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8788F">
      <w:bookmarkStart w:id="22" w:name="_GoBack"/>
      <w:bookmarkEnd w:id="22"/>
    </w:p>
    <w:p w14:paraId="622DAC3B">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1D84C0E3">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sz w:val="36"/>
          <w:szCs w:val="36"/>
          <w:lang w:val="en-US" w:eastAsia="zh-CN"/>
        </w:rPr>
      </w:pPr>
    </w:p>
    <w:p w14:paraId="2F6E85A5">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和田地区洛浦县2024年自治区适龄妇女宫颈癌</w:t>
      </w:r>
    </w:p>
    <w:p w14:paraId="7E201BCA">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检查项目（彩票基金）项目</w:t>
      </w:r>
    </w:p>
    <w:p w14:paraId="7CFA5223">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sz w:val="36"/>
          <w:szCs w:val="36"/>
        </w:rPr>
      </w:pPr>
      <w:r>
        <w:rPr>
          <w:rFonts w:hint="eastAsia" w:ascii="黑体" w:hAnsi="黑体" w:eastAsia="黑体" w:cs="黑体"/>
          <w:b/>
          <w:sz w:val="36"/>
          <w:szCs w:val="36"/>
        </w:rPr>
        <w:t>支出绩效评价报告</w:t>
      </w:r>
    </w:p>
    <w:p w14:paraId="22D6555C">
      <w:pPr>
        <w:pStyle w:val="6"/>
        <w:jc w:val="center"/>
        <w:rPr>
          <w:rFonts w:hint="eastAsia" w:eastAsia="仿宋_GB2312"/>
          <w:lang w:eastAsia="zh-CN"/>
        </w:rPr>
      </w:pPr>
      <w:r>
        <w:rPr>
          <w:rFonts w:hint="eastAsia"/>
          <w:lang w:eastAsia="zh-CN"/>
        </w:rPr>
        <w:t>（</w:t>
      </w:r>
      <w:r>
        <w:rPr>
          <w:rFonts w:hint="eastAsia"/>
          <w:lang w:val="en-US" w:eastAsia="zh-CN"/>
        </w:rPr>
        <w:t>2024年度</w:t>
      </w:r>
      <w:r>
        <w:rPr>
          <w:rFonts w:hint="eastAsia"/>
          <w:lang w:eastAsia="zh-CN"/>
        </w:rPr>
        <w:t>）</w:t>
      </w:r>
    </w:p>
    <w:p w14:paraId="23960FE7">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1835A39F">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1EC52204">
      <w:pPr>
        <w:pStyle w:val="6"/>
        <w:rPr>
          <w:rFonts w:hint="eastAsia" w:eastAsia="方正仿宋_GBK" w:cs="方正仿宋_GBK"/>
          <w:b/>
          <w:kern w:val="0"/>
          <w:sz w:val="32"/>
          <w:szCs w:val="32"/>
          <w:lang w:bidi="en-US"/>
        </w:rPr>
      </w:pPr>
    </w:p>
    <w:p w14:paraId="229733B7">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4F260C1D">
      <w:pPr>
        <w:pageBreakBefore w:val="0"/>
        <w:widowControl w:val="0"/>
        <w:kinsoku/>
        <w:wordWrap/>
        <w:topLinePunct w:val="0"/>
        <w:autoSpaceDE/>
        <w:autoSpaceDN/>
        <w:bidi w:val="0"/>
        <w:spacing w:line="560" w:lineRule="exact"/>
        <w:ind w:left="0" w:leftChars="0" w:firstLine="560"/>
        <w:textAlignment w:val="auto"/>
        <w:rPr>
          <w:rFonts w:hint="eastAsia"/>
        </w:rPr>
      </w:pPr>
    </w:p>
    <w:p w14:paraId="3CDAFA43">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64BCE65F">
      <w:pPr>
        <w:pageBreakBefore w:val="0"/>
        <w:widowControl w:val="0"/>
        <w:kinsoku/>
        <w:wordWrap/>
        <w:topLinePunct w:val="0"/>
        <w:autoSpaceDE/>
        <w:autoSpaceDN/>
        <w:bidi w:val="0"/>
        <w:spacing w:line="560" w:lineRule="exact"/>
        <w:ind w:firstLine="1120" w:firstLineChars="400"/>
        <w:jc w:val="left"/>
        <w:textAlignment w:val="auto"/>
        <w:rPr>
          <w:rFonts w:hint="eastAsia" w:ascii="宋体" w:hAnsi="宋体" w:eastAsia="宋体" w:cs="宋体"/>
          <w:color w:val="auto"/>
          <w:kern w:val="0"/>
          <w:sz w:val="28"/>
          <w:szCs w:val="28"/>
          <w:lang w:bidi="en-US"/>
        </w:rPr>
      </w:pPr>
      <w:r>
        <w:rPr>
          <w:rFonts w:hint="eastAsia" w:ascii="宋体" w:hAnsi="宋体" w:eastAsia="宋体" w:cs="宋体"/>
          <w:kern w:val="0"/>
          <w:sz w:val="28"/>
          <w:szCs w:val="28"/>
          <w:lang w:bidi="en-US"/>
        </w:rPr>
        <w:t>项目名称：</w:t>
      </w:r>
      <w:r>
        <w:rPr>
          <w:rFonts w:hint="eastAsia" w:ascii="宋体" w:hAnsi="宋体" w:eastAsia="宋体" w:cs="宋体"/>
          <w:color w:val="auto"/>
          <w:kern w:val="0"/>
          <w:sz w:val="28"/>
          <w:szCs w:val="28"/>
          <w:lang w:bidi="en-US"/>
        </w:rPr>
        <w:t>2024年自治区适龄妇女宫颈癌</w:t>
      </w:r>
    </w:p>
    <w:p w14:paraId="5F324211">
      <w:pPr>
        <w:pageBreakBefore w:val="0"/>
        <w:widowControl w:val="0"/>
        <w:kinsoku/>
        <w:wordWrap/>
        <w:topLinePunct w:val="0"/>
        <w:autoSpaceDE/>
        <w:autoSpaceDN/>
        <w:bidi w:val="0"/>
        <w:spacing w:line="560" w:lineRule="exact"/>
        <w:ind w:firstLine="2520" w:firstLineChars="900"/>
        <w:jc w:val="left"/>
        <w:textAlignment w:val="auto"/>
        <w:rPr>
          <w:rFonts w:hint="eastAsia" w:ascii="宋体" w:hAnsi="宋体" w:eastAsia="宋体" w:cs="宋体"/>
          <w:color w:val="auto"/>
          <w:kern w:val="0"/>
          <w:sz w:val="28"/>
          <w:szCs w:val="28"/>
          <w:lang w:val="en-US" w:eastAsia="zh-CN" w:bidi="en-US"/>
        </w:rPr>
      </w:pPr>
      <w:r>
        <w:rPr>
          <w:rFonts w:hint="eastAsia" w:ascii="宋体" w:hAnsi="宋体" w:eastAsia="宋体" w:cs="宋体"/>
          <w:color w:val="auto"/>
          <w:kern w:val="0"/>
          <w:sz w:val="28"/>
          <w:szCs w:val="28"/>
          <w:lang w:bidi="en-US"/>
        </w:rPr>
        <w:t>检查项目（彩票基金）</w:t>
      </w:r>
      <w:r>
        <w:rPr>
          <w:rFonts w:hint="eastAsia" w:ascii="宋体" w:hAnsi="宋体" w:eastAsia="宋体" w:cs="宋体"/>
          <w:color w:val="auto"/>
          <w:kern w:val="0"/>
          <w:sz w:val="28"/>
          <w:szCs w:val="28"/>
          <w:lang w:val="en-US" w:eastAsia="zh-CN" w:bidi="en-US"/>
        </w:rPr>
        <w:t>项目</w:t>
      </w:r>
    </w:p>
    <w:p w14:paraId="2781FC37">
      <w:pPr>
        <w:pageBreakBefore w:val="0"/>
        <w:widowControl w:val="0"/>
        <w:kinsoku/>
        <w:wordWrap/>
        <w:topLinePunct w:val="0"/>
        <w:autoSpaceDE/>
        <w:autoSpaceDN/>
        <w:bidi w:val="0"/>
        <w:spacing w:line="560" w:lineRule="exact"/>
        <w:ind w:firstLine="1120" w:firstLineChars="400"/>
        <w:jc w:val="left"/>
        <w:textAlignment w:val="auto"/>
        <w:rPr>
          <w:rFonts w:hint="default" w:ascii="宋体" w:hAnsi="宋体" w:eastAsia="宋体" w:cs="宋体"/>
          <w:color w:val="auto"/>
          <w:kern w:val="0"/>
          <w:sz w:val="28"/>
          <w:szCs w:val="28"/>
          <w:lang w:val="en-US" w:eastAsia="zh-CN" w:bidi="en-US"/>
        </w:rPr>
      </w:pPr>
      <w:r>
        <w:rPr>
          <w:rFonts w:hint="eastAsia" w:ascii="宋体" w:hAnsi="宋体" w:eastAsia="宋体" w:cs="宋体"/>
          <w:color w:val="auto"/>
          <w:kern w:val="0"/>
          <w:sz w:val="28"/>
          <w:szCs w:val="28"/>
          <w:lang w:bidi="en-US"/>
        </w:rPr>
        <w:t>项目单位：</w:t>
      </w:r>
      <w:r>
        <w:rPr>
          <w:rFonts w:hint="eastAsia" w:ascii="宋体" w:hAnsi="宋体" w:eastAsia="宋体" w:cs="宋体"/>
          <w:color w:val="auto"/>
          <w:kern w:val="0"/>
          <w:sz w:val="28"/>
          <w:szCs w:val="28"/>
          <w:lang w:val="en-US" w:eastAsia="zh-CN" w:bidi="en-US"/>
        </w:rPr>
        <w:t>洛浦县妇幼保健院</w:t>
      </w:r>
    </w:p>
    <w:p w14:paraId="46FF389E">
      <w:pPr>
        <w:pageBreakBefore w:val="0"/>
        <w:widowControl w:val="0"/>
        <w:kinsoku/>
        <w:wordWrap/>
        <w:topLinePunct w:val="0"/>
        <w:autoSpaceDE/>
        <w:autoSpaceDN/>
        <w:bidi w:val="0"/>
        <w:spacing w:line="560" w:lineRule="exact"/>
        <w:ind w:firstLine="1120" w:firstLineChars="400"/>
        <w:jc w:val="left"/>
        <w:textAlignment w:val="auto"/>
        <w:rPr>
          <w:rFonts w:hint="default" w:ascii="宋体" w:hAnsi="宋体" w:eastAsia="宋体" w:cs="宋体"/>
          <w:color w:val="auto"/>
          <w:kern w:val="0"/>
          <w:sz w:val="28"/>
          <w:szCs w:val="28"/>
          <w:lang w:val="en-US" w:eastAsia="zh-CN" w:bidi="en-US"/>
        </w:rPr>
      </w:pPr>
      <w:r>
        <w:rPr>
          <w:rFonts w:hint="eastAsia" w:ascii="宋体" w:hAnsi="宋体" w:eastAsia="宋体" w:cs="宋体"/>
          <w:color w:val="auto"/>
          <w:kern w:val="0"/>
          <w:sz w:val="28"/>
          <w:szCs w:val="28"/>
          <w:lang w:bidi="en-US"/>
        </w:rPr>
        <w:t>主管部门：</w:t>
      </w:r>
      <w:r>
        <w:rPr>
          <w:rFonts w:hint="eastAsia" w:ascii="宋体" w:hAnsi="宋体" w:eastAsia="宋体" w:cs="宋体"/>
          <w:color w:val="auto"/>
          <w:kern w:val="0"/>
          <w:sz w:val="28"/>
          <w:szCs w:val="28"/>
          <w:lang w:val="en-US" w:eastAsia="zh-CN" w:bidi="en-US"/>
        </w:rPr>
        <w:t>洛浦县卫生健康委员会</w:t>
      </w:r>
    </w:p>
    <w:p w14:paraId="36023CA9">
      <w:pPr>
        <w:pageBreakBefore w:val="0"/>
        <w:widowControl w:val="0"/>
        <w:kinsoku/>
        <w:wordWrap/>
        <w:topLinePunct w:val="0"/>
        <w:autoSpaceDE/>
        <w:autoSpaceDN/>
        <w:bidi w:val="0"/>
        <w:spacing w:line="560" w:lineRule="exact"/>
        <w:ind w:firstLine="1120" w:firstLineChars="400"/>
        <w:jc w:val="left"/>
        <w:textAlignment w:val="auto"/>
        <w:rPr>
          <w:rFonts w:hint="eastAsia" w:ascii="宋体" w:hAnsi="宋体" w:eastAsia="宋体" w:cs="宋体"/>
          <w:color w:val="auto"/>
          <w:kern w:val="0"/>
          <w:sz w:val="28"/>
          <w:szCs w:val="28"/>
          <w:lang w:val="en-US" w:eastAsia="zh-CN" w:bidi="en-US"/>
        </w:rPr>
      </w:pPr>
      <w:r>
        <w:rPr>
          <w:rFonts w:hint="eastAsia" w:ascii="宋体" w:hAnsi="宋体" w:eastAsia="宋体" w:cs="宋体"/>
          <w:color w:val="auto"/>
          <w:kern w:val="0"/>
          <w:sz w:val="28"/>
          <w:szCs w:val="28"/>
          <w:lang w:bidi="en-US"/>
        </w:rPr>
        <w:t>项目负责人：</w:t>
      </w:r>
      <w:r>
        <w:rPr>
          <w:rFonts w:hint="eastAsia" w:ascii="宋体" w:hAnsi="宋体" w:eastAsia="宋体" w:cs="宋体"/>
          <w:color w:val="auto"/>
          <w:kern w:val="0"/>
          <w:sz w:val="28"/>
          <w:szCs w:val="28"/>
          <w:lang w:val="en-US" w:eastAsia="zh-CN" w:bidi="en-US"/>
        </w:rPr>
        <w:t>布麦热姆</w:t>
      </w:r>
    </w:p>
    <w:p w14:paraId="6E1228FB">
      <w:pPr>
        <w:pageBreakBefore w:val="0"/>
        <w:widowControl w:val="0"/>
        <w:kinsoku/>
        <w:wordWrap/>
        <w:topLinePunct w:val="0"/>
        <w:autoSpaceDE/>
        <w:autoSpaceDN/>
        <w:bidi w:val="0"/>
        <w:spacing w:line="560" w:lineRule="exact"/>
        <w:ind w:firstLine="1120" w:firstLineChars="400"/>
        <w:jc w:val="left"/>
        <w:textAlignment w:val="auto"/>
        <w:rPr>
          <w:rFonts w:hint="eastAsia" w:ascii="宋体" w:hAnsi="宋体" w:eastAsia="宋体" w:cs="宋体"/>
          <w:kern w:val="0"/>
          <w:sz w:val="28"/>
          <w:szCs w:val="28"/>
          <w:lang w:bidi="en-US"/>
        </w:rPr>
      </w:pPr>
      <w:r>
        <w:rPr>
          <w:rFonts w:hint="eastAsia" w:ascii="宋体" w:hAnsi="宋体" w:eastAsia="宋体" w:cs="宋体"/>
          <w:kern w:val="0"/>
          <w:sz w:val="28"/>
          <w:szCs w:val="28"/>
          <w:lang w:bidi="en-US"/>
        </w:rPr>
        <w:t>填报时间：</w:t>
      </w:r>
      <w:r>
        <w:rPr>
          <w:rFonts w:hint="eastAsia" w:ascii="宋体" w:hAnsi="宋体" w:eastAsia="宋体" w:cs="宋体"/>
          <w:kern w:val="0"/>
          <w:sz w:val="28"/>
          <w:szCs w:val="28"/>
          <w:lang w:val="en-US" w:eastAsia="zh-CN" w:bidi="en-US"/>
        </w:rPr>
        <w:t>2025</w:t>
      </w:r>
      <w:r>
        <w:rPr>
          <w:rFonts w:hint="eastAsia" w:ascii="宋体" w:hAnsi="宋体" w:eastAsia="宋体" w:cs="宋体"/>
          <w:kern w:val="0"/>
          <w:sz w:val="28"/>
          <w:szCs w:val="28"/>
          <w:lang w:bidi="en-US"/>
        </w:rPr>
        <w:t>年</w:t>
      </w:r>
      <w:r>
        <w:rPr>
          <w:rFonts w:hint="eastAsia" w:ascii="宋体" w:hAnsi="宋体" w:eastAsia="宋体" w:cs="宋体"/>
          <w:kern w:val="0"/>
          <w:sz w:val="28"/>
          <w:szCs w:val="28"/>
          <w:lang w:val="en-US" w:eastAsia="zh-CN" w:bidi="en-US"/>
        </w:rPr>
        <w:t>3</w:t>
      </w:r>
      <w:r>
        <w:rPr>
          <w:rFonts w:hint="eastAsia" w:ascii="宋体" w:hAnsi="宋体" w:eastAsia="宋体" w:cs="宋体"/>
          <w:kern w:val="0"/>
          <w:sz w:val="28"/>
          <w:szCs w:val="28"/>
          <w:lang w:bidi="en-US"/>
        </w:rPr>
        <w:t>月</w:t>
      </w:r>
      <w:r>
        <w:rPr>
          <w:rFonts w:hint="eastAsia" w:ascii="宋体" w:hAnsi="宋体" w:eastAsia="宋体" w:cs="宋体"/>
          <w:kern w:val="0"/>
          <w:sz w:val="28"/>
          <w:szCs w:val="28"/>
          <w:lang w:val="en-US" w:eastAsia="zh-CN" w:bidi="en-US"/>
        </w:rPr>
        <w:t>31</w:t>
      </w:r>
      <w:r>
        <w:rPr>
          <w:rFonts w:hint="eastAsia" w:ascii="宋体" w:hAnsi="宋体" w:eastAsia="宋体" w:cs="宋体"/>
          <w:kern w:val="0"/>
          <w:sz w:val="28"/>
          <w:szCs w:val="28"/>
          <w:lang w:bidi="en-US"/>
        </w:rPr>
        <w:t xml:space="preserve"> 日</w:t>
      </w:r>
    </w:p>
    <w:p w14:paraId="18195F73">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lang w:val="en-US" w:eastAsia="zh-CN"/>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bookmarkStart w:id="0" w:name="_Toc68364657"/>
    </w:p>
    <w:p w14:paraId="02A6F84E">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5DCF35F8">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37059C10">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项目背景</w:t>
      </w:r>
    </w:p>
    <w:p w14:paraId="1A65C9F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为了贯彻落实国家卫生健康委等10部委《加速消除宫颈癌行动计划（2023-2030）》工作要求，提高全县适龄妇女宫颈癌筛查率，做到辖区内农村妇女中宫颈癌患者早发现、早诊断、早治疗，根据《2024年自治区适龄妇女宫颈癌检查项目实施方案》要求，结合项目要求及我县实际，特制定本实施方案。</w:t>
      </w:r>
    </w:p>
    <w:p w14:paraId="36FB5F7F">
      <w:pPr>
        <w:pageBreakBefore w:val="0"/>
        <w:kinsoku/>
        <w:wordWrap/>
        <w:topLinePunct w:val="0"/>
        <w:autoSpaceDE/>
        <w:bidi w:val="0"/>
        <w:adjustRightInd/>
        <w:snapToGrid/>
        <w:spacing w:line="360" w:lineRule="auto"/>
        <w:ind w:left="0" w:leftChars="0" w:firstLine="480" w:firstLineChars="200"/>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 xml:space="preserve">逐步提高全县妇女整体健康水平，宫颈癌防治知识知晓率不断提高，促进基层逐步建立制度化、规范化的宫颈癌防治长效机制。  </w:t>
      </w:r>
    </w:p>
    <w:p w14:paraId="264E6AC5">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sz w:val="24"/>
          <w:szCs w:val="24"/>
          <w:lang w:val="en-US" w:eastAsia="zh-CN"/>
        </w:rPr>
        <w:t>2.</w:t>
      </w:r>
      <w:r>
        <w:rPr>
          <w:rFonts w:hint="eastAsia" w:ascii="宋体" w:hAnsi="宋体" w:eastAsia="宋体" w:cs="宋体"/>
          <w:b/>
          <w:bCs/>
          <w:sz w:val="24"/>
          <w:szCs w:val="24"/>
        </w:rPr>
        <w:t>主要内容及实施情况</w:t>
      </w:r>
    </w:p>
    <w:p w14:paraId="772F67EB">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根据《关于2024年自治区适龄妇女宫颈癌检查项目（彩票基金）》项目和地财综2023完成5500名35-64岁农村和低收入适龄妇女宫颈癌检查，逐步提高全区妇女整体健康水平，宫颈癌防治知识知晓率不断提高，促进基层逐步建立制度化、规范化的 宫颈癌防治长效机制。</w:t>
      </w:r>
    </w:p>
    <w:p w14:paraId="1530720B">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2.实施情况</w:t>
      </w:r>
    </w:p>
    <w:p w14:paraId="793CCE7C">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1）项目实施主体</w:t>
      </w:r>
    </w:p>
    <w:p w14:paraId="50E0E851">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本项目主管部门为洛浦县卫生健康委员会，实施单位为洛浦县妇幼保健院。</w:t>
      </w:r>
    </w:p>
    <w:p w14:paraId="50949EB2">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b w:val="0"/>
          <w:bCs w:val="0"/>
          <w:color w:val="auto"/>
          <w:sz w:val="24"/>
          <w:szCs w:val="24"/>
          <w:lang w:val="en-US" w:eastAsia="zh-CN"/>
        </w:rPr>
      </w:pPr>
      <w:r>
        <w:rPr>
          <w:rFonts w:hint="eastAsia" w:ascii="宋体" w:hAnsi="宋体" w:eastAsia="宋体" w:cs="宋体"/>
          <w:b/>
          <w:bCs/>
          <w:sz w:val="24"/>
          <w:szCs w:val="24"/>
          <w:lang w:val="en-US" w:eastAsia="zh-CN"/>
        </w:rPr>
        <w:t>（2）项目实施时间：</w:t>
      </w:r>
      <w:r>
        <w:rPr>
          <w:rFonts w:hint="eastAsia" w:ascii="宋体" w:hAnsi="宋体" w:eastAsia="宋体" w:cs="宋体"/>
          <w:b w:val="0"/>
          <w:bCs w:val="0"/>
          <w:color w:val="auto"/>
          <w:sz w:val="24"/>
          <w:szCs w:val="24"/>
          <w:lang w:val="en-US" w:eastAsia="zh-CN"/>
        </w:rPr>
        <w:t>2024年1月-2024年12月</w:t>
      </w:r>
    </w:p>
    <w:p w14:paraId="43916ABE">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（3）项目实施情况</w:t>
      </w:r>
    </w:p>
    <w:p w14:paraId="54FDBA90">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b w:val="0"/>
          <w:bCs w:val="0"/>
          <w:color w:val="auto"/>
          <w:sz w:val="24"/>
          <w:szCs w:val="24"/>
          <w:highlight w:val="none"/>
          <w:lang w:val="en-US" w:eastAsia="zh-CN"/>
        </w:rPr>
      </w:pPr>
      <w:r>
        <w:rPr>
          <w:rFonts w:hint="default" w:ascii="宋体" w:hAnsi="宋体" w:eastAsia="宋体" w:cs="宋体"/>
          <w:b w:val="0"/>
          <w:bCs w:val="0"/>
          <w:color w:val="auto"/>
          <w:sz w:val="24"/>
          <w:szCs w:val="24"/>
          <w:highlight w:val="none"/>
          <w:lang w:val="en-US" w:eastAsia="zh-CN"/>
        </w:rPr>
        <w:t>本</w:t>
      </w:r>
      <w:r>
        <w:rPr>
          <w:rFonts w:hint="eastAsia" w:ascii="宋体" w:hAnsi="宋体" w:eastAsia="宋体" w:cs="宋体"/>
          <w:b w:val="0"/>
          <w:bCs w:val="0"/>
          <w:color w:val="auto"/>
          <w:sz w:val="24"/>
          <w:szCs w:val="24"/>
          <w:highlight w:val="none"/>
          <w:lang w:val="en-US" w:eastAsia="zh-CN"/>
        </w:rPr>
        <w:t>项目</w:t>
      </w:r>
      <w:r>
        <w:rPr>
          <w:rFonts w:hint="default" w:ascii="宋体" w:hAnsi="宋体" w:eastAsia="宋体" w:cs="宋体"/>
          <w:b w:val="0"/>
          <w:bCs w:val="0"/>
          <w:color w:val="auto"/>
          <w:sz w:val="24"/>
          <w:szCs w:val="24"/>
          <w:highlight w:val="none"/>
          <w:lang w:val="en-US" w:eastAsia="zh-CN"/>
        </w:rPr>
        <w:t>于202</w:t>
      </w:r>
      <w:r>
        <w:rPr>
          <w:rFonts w:hint="eastAsia" w:ascii="宋体" w:hAnsi="宋体" w:eastAsia="宋体" w:cs="宋体"/>
          <w:b w:val="0"/>
          <w:bCs w:val="0"/>
          <w:color w:val="auto"/>
          <w:sz w:val="24"/>
          <w:szCs w:val="24"/>
          <w:highlight w:val="none"/>
          <w:lang w:val="en-US" w:eastAsia="zh-CN"/>
        </w:rPr>
        <w:t>4</w:t>
      </w:r>
      <w:r>
        <w:rPr>
          <w:rFonts w:hint="default" w:ascii="宋体" w:hAnsi="宋体" w:eastAsia="宋体" w:cs="宋体"/>
          <w:b w:val="0"/>
          <w:bCs w:val="0"/>
          <w:color w:val="auto"/>
          <w:sz w:val="24"/>
          <w:szCs w:val="24"/>
          <w:highlight w:val="none"/>
          <w:lang w:val="en-US" w:eastAsia="zh-CN"/>
        </w:rPr>
        <w:t>年12月</w:t>
      </w:r>
      <w:r>
        <w:rPr>
          <w:rFonts w:hint="eastAsia" w:ascii="宋体" w:hAnsi="宋体" w:eastAsia="宋体" w:cs="宋体"/>
          <w:b w:val="0"/>
          <w:bCs w:val="0"/>
          <w:color w:val="auto"/>
          <w:sz w:val="24"/>
          <w:szCs w:val="24"/>
          <w:highlight w:val="none"/>
          <w:lang w:val="en-US" w:eastAsia="zh-CN"/>
        </w:rPr>
        <w:t>31</w:t>
      </w:r>
      <w:r>
        <w:rPr>
          <w:rFonts w:hint="default" w:ascii="宋体" w:hAnsi="宋体" w:eastAsia="宋体" w:cs="宋体"/>
          <w:b w:val="0"/>
          <w:bCs w:val="0"/>
          <w:color w:val="auto"/>
          <w:sz w:val="24"/>
          <w:szCs w:val="24"/>
          <w:highlight w:val="none"/>
          <w:lang w:val="en-US" w:eastAsia="zh-CN"/>
        </w:rPr>
        <w:t>日前全部</w:t>
      </w:r>
      <w:r>
        <w:rPr>
          <w:rFonts w:hint="eastAsia" w:ascii="宋体" w:hAnsi="宋体" w:eastAsia="宋体" w:cs="宋体"/>
          <w:b w:val="0"/>
          <w:bCs w:val="0"/>
          <w:color w:val="auto"/>
          <w:sz w:val="24"/>
          <w:szCs w:val="24"/>
          <w:highlight w:val="none"/>
          <w:lang w:val="en-US" w:eastAsia="zh-CN"/>
        </w:rPr>
        <w:t>实施完毕</w:t>
      </w:r>
      <w:r>
        <w:rPr>
          <w:rFonts w:hint="default" w:ascii="宋体" w:hAnsi="宋体" w:eastAsia="宋体" w:cs="宋体"/>
          <w:b w:val="0"/>
          <w:bCs w:val="0"/>
          <w:color w:val="auto"/>
          <w:sz w:val="24"/>
          <w:szCs w:val="24"/>
          <w:highlight w:val="none"/>
          <w:lang w:val="en-US" w:eastAsia="zh-CN"/>
        </w:rPr>
        <w:t>。</w:t>
      </w:r>
    </w:p>
    <w:p w14:paraId="7AD3B0A7">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根据《专项资金-和地财综【2023】21号：2024年中央专项彩票公益金（2024年“宫颈癌”检查项目）》（和地财宗21号）文件实施，由洛浦县妇幼保健院、具体开展实施。主要职责严格按照《国家基本公共卫生服务项目规范(第三版)》的服务内容、服务流程等要求，认真组织好、做实、做细实施。</w:t>
      </w:r>
    </w:p>
    <w:p w14:paraId="7C6F6CD2">
      <w:pPr>
        <w:keepNext w:val="0"/>
        <w:keepLines w:val="0"/>
        <w:pageBreakBefore w:val="0"/>
        <w:widowControl w:val="0"/>
        <w:numPr>
          <w:ilvl w:val="0"/>
          <w:numId w:val="1"/>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资金投入和使用情况</w:t>
      </w:r>
    </w:p>
    <w:p w14:paraId="6DFAF81C">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（1）项目资金安排</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投入情况</w:t>
      </w:r>
    </w:p>
    <w:p w14:paraId="01430662">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本项目预算安排总额为</w:t>
      </w:r>
      <w:r>
        <w:rPr>
          <w:rFonts w:hint="eastAsia" w:ascii="宋体" w:hAnsi="宋体" w:eastAsia="宋体" w:cs="宋体"/>
          <w:color w:val="auto"/>
          <w:sz w:val="24"/>
          <w:szCs w:val="24"/>
          <w:highlight w:val="none"/>
          <w:lang w:val="en-US" w:eastAsia="zh-CN"/>
        </w:rPr>
        <w:t>12.93</w:t>
      </w:r>
      <w:r>
        <w:rPr>
          <w:rFonts w:hint="eastAsia" w:ascii="宋体" w:hAnsi="宋体" w:eastAsia="宋体" w:cs="宋体"/>
          <w:color w:val="auto"/>
          <w:sz w:val="24"/>
          <w:szCs w:val="24"/>
          <w:highlight w:val="none"/>
        </w:rPr>
        <w:t>万元，资金来源为部门预算中央专项资金资金，其中：财政资金</w:t>
      </w:r>
      <w:r>
        <w:rPr>
          <w:rFonts w:hint="eastAsia" w:ascii="宋体" w:hAnsi="宋体" w:eastAsia="宋体" w:cs="宋体"/>
          <w:color w:val="auto"/>
          <w:sz w:val="24"/>
          <w:szCs w:val="24"/>
          <w:highlight w:val="none"/>
          <w:lang w:val="en-US" w:eastAsia="zh-CN"/>
        </w:rPr>
        <w:t>12.93</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0万元</w:t>
      </w:r>
      <w:r>
        <w:rPr>
          <w:rFonts w:hint="eastAsia" w:ascii="宋体" w:hAnsi="宋体" w:eastAsia="宋体" w:cs="宋体"/>
          <w:color w:val="auto"/>
          <w:sz w:val="24"/>
          <w:szCs w:val="24"/>
          <w:highlight w:val="none"/>
        </w:rPr>
        <w:t>，202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w:t>
      </w:r>
      <w:r>
        <w:rPr>
          <w:rFonts w:hint="eastAsia" w:ascii="宋体" w:hAnsi="宋体" w:eastAsia="宋体" w:cs="宋体"/>
          <w:color w:val="auto"/>
          <w:sz w:val="24"/>
          <w:szCs w:val="24"/>
          <w:highlight w:val="none"/>
          <w:lang w:val="en-US" w:eastAsia="zh-CN"/>
        </w:rPr>
        <w:t>12.93</w:t>
      </w:r>
      <w:r>
        <w:rPr>
          <w:rFonts w:hint="eastAsia" w:ascii="宋体" w:hAnsi="宋体" w:eastAsia="宋体" w:cs="宋体"/>
          <w:color w:val="auto"/>
          <w:sz w:val="24"/>
          <w:szCs w:val="24"/>
          <w:highlight w:val="none"/>
        </w:rPr>
        <w:t>万元，预算资金到位率为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6FA89017">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（2）项目资金实际使用情况分析</w:t>
      </w:r>
    </w:p>
    <w:p w14:paraId="026C33F0">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val="en-US" w:eastAsia="zh-CN"/>
        </w:rPr>
        <w:t>12.93</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45C01DF0">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line="360" w:lineRule="auto"/>
        <w:ind w:left="0" w:leftChars="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本项目资金主要用于支付</w:t>
      </w:r>
      <w:r>
        <w:rPr>
          <w:rFonts w:hint="eastAsia" w:ascii="宋体" w:hAnsi="宋体" w:eastAsia="宋体" w:cs="宋体"/>
          <w:color w:val="auto"/>
          <w:sz w:val="24"/>
          <w:szCs w:val="24"/>
          <w:highlight w:val="none"/>
          <w:lang w:val="en-US" w:eastAsia="zh-CN"/>
        </w:rPr>
        <w:t>培训</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1.08</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印刷</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3.74</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办公用品费1.5万元，小型设备采购费6.09万元，车辆运行费用0.49万元。</w:t>
      </w:r>
    </w:p>
    <w:p w14:paraId="631F591C">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349D1AC9">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65A7006F">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1B1629B5">
      <w:pPr>
        <w:pStyle w:val="22"/>
        <w:pageBreakBefore w:val="0"/>
        <w:widowControl/>
        <w:shd w:val="clear" w:color="auto" w:fill="auto"/>
        <w:kinsoku/>
        <w:wordWrap/>
        <w:topLinePunct w:val="0"/>
        <w:autoSpaceDE/>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通过项目实施，</w:t>
      </w:r>
      <w:r>
        <w:rPr>
          <w:rFonts w:hint="eastAsia" w:ascii="宋体" w:hAnsi="宋体" w:eastAsia="宋体" w:cs="宋体"/>
          <w:color w:val="auto"/>
          <w:sz w:val="24"/>
          <w:szCs w:val="24"/>
          <w:highlight w:val="none"/>
          <w:lang w:val="en-US" w:eastAsia="zh-CN"/>
        </w:rPr>
        <w:t>建立覆盖城乡妇女儿童的基本医疗卫生制度，健全妇幼卫生服务体系，保障妇女儿童平等享有基本医疗卫生服务，不断提高妇女儿童健康水平、降低孕产妇及儿童死亡率。</w:t>
      </w:r>
    </w:p>
    <w:p w14:paraId="27091A76">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p>
    <w:p w14:paraId="1F35240F">
      <w:pPr>
        <w:pStyle w:val="47"/>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638BA4CB">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0F09F018">
      <w:pPr>
        <w:pStyle w:val="47"/>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产出指标</w:t>
      </w:r>
    </w:p>
    <w:p w14:paraId="2912DF64">
      <w:pPr>
        <w:pStyle w:val="47"/>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数量指标:</w:t>
      </w:r>
    </w:p>
    <w:p w14:paraId="6D7735EF">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指标1：</w:t>
      </w:r>
      <w:r>
        <w:rPr>
          <w:rFonts w:hint="eastAsia" w:ascii="宋体" w:hAnsi="宋体" w:eastAsia="宋体" w:cs="宋体"/>
          <w:color w:val="auto"/>
          <w:sz w:val="24"/>
          <w:szCs w:val="24"/>
          <w:highlight w:val="none"/>
        </w:rPr>
        <w:t>完成适龄农村适龄妇女宫颈癌检查人数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&gt;=</w:t>
      </w:r>
      <w:r>
        <w:rPr>
          <w:rFonts w:hint="eastAsia" w:ascii="宋体" w:hAnsi="宋体" w:eastAsia="宋体" w:cs="宋体"/>
          <w:color w:val="auto"/>
          <w:sz w:val="24"/>
          <w:szCs w:val="24"/>
          <w:highlight w:val="none"/>
          <w:lang w:val="en-US" w:eastAsia="zh-CN"/>
        </w:rPr>
        <w:t>5500人”；</w:t>
      </w:r>
    </w:p>
    <w:p w14:paraId="6C4B3979">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指标2：</w:t>
      </w:r>
      <w:r>
        <w:rPr>
          <w:rFonts w:hint="eastAsia" w:ascii="宋体" w:hAnsi="宋体" w:eastAsia="宋体" w:cs="宋体"/>
          <w:color w:val="auto"/>
          <w:sz w:val="24"/>
          <w:szCs w:val="24"/>
          <w:highlight w:val="none"/>
        </w:rPr>
        <w:t>县乡级培训人次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&gt;=120人次</w:t>
      </w:r>
    </w:p>
    <w:p w14:paraId="30D6AD53">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指标3：</w:t>
      </w:r>
      <w:r>
        <w:rPr>
          <w:rFonts w:hint="eastAsia" w:ascii="宋体" w:hAnsi="宋体" w:eastAsia="宋体" w:cs="宋体"/>
          <w:color w:val="auto"/>
          <w:sz w:val="24"/>
          <w:szCs w:val="24"/>
          <w:highlight w:val="none"/>
        </w:rPr>
        <w:t>本机构赴上级部门培训人次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&gt;=2人次</w:t>
      </w:r>
    </w:p>
    <w:p w14:paraId="07DFB8D4">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指标4：</w:t>
      </w:r>
      <w:r>
        <w:rPr>
          <w:rFonts w:hint="eastAsia" w:ascii="宋体" w:hAnsi="宋体" w:eastAsia="宋体" w:cs="宋体"/>
          <w:color w:val="auto"/>
          <w:sz w:val="24"/>
          <w:szCs w:val="24"/>
          <w:highlight w:val="none"/>
        </w:rPr>
        <w:t>印刷用品批数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&gt;=</w:t>
      </w:r>
      <w:r>
        <w:rPr>
          <w:rFonts w:hint="eastAsia" w:ascii="宋体" w:hAnsi="宋体" w:eastAsia="宋体" w:cs="宋体"/>
          <w:color w:val="auto"/>
          <w:sz w:val="24"/>
          <w:szCs w:val="24"/>
          <w:highlight w:val="none"/>
          <w:lang w:val="en-US" w:eastAsia="zh-CN"/>
        </w:rPr>
        <w:t>1批</w:t>
      </w:r>
    </w:p>
    <w:p w14:paraId="51FED513">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指标5：</w:t>
      </w:r>
      <w:r>
        <w:rPr>
          <w:rFonts w:hint="eastAsia" w:ascii="宋体" w:hAnsi="宋体" w:eastAsia="宋体" w:cs="宋体"/>
          <w:color w:val="auto"/>
          <w:sz w:val="24"/>
          <w:szCs w:val="24"/>
          <w:highlight w:val="none"/>
        </w:rPr>
        <w:t>购置办公用品批数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&gt;=</w:t>
      </w:r>
      <w:r>
        <w:rPr>
          <w:rFonts w:hint="eastAsia" w:ascii="宋体" w:hAnsi="宋体" w:eastAsia="宋体" w:cs="宋体"/>
          <w:color w:val="auto"/>
          <w:sz w:val="24"/>
          <w:szCs w:val="24"/>
          <w:highlight w:val="none"/>
          <w:lang w:val="en-US" w:eastAsia="zh-CN"/>
        </w:rPr>
        <w:t>1批</w:t>
      </w:r>
    </w:p>
    <w:p w14:paraId="7628E6F4">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指标6：</w:t>
      </w:r>
      <w:r>
        <w:rPr>
          <w:rFonts w:hint="eastAsia" w:ascii="宋体" w:hAnsi="宋体" w:eastAsia="宋体" w:cs="宋体"/>
          <w:color w:val="auto"/>
          <w:sz w:val="24"/>
          <w:szCs w:val="24"/>
          <w:highlight w:val="none"/>
        </w:rPr>
        <w:t>保障公务用车数量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&gt;=</w:t>
      </w:r>
      <w:r>
        <w:rPr>
          <w:rFonts w:hint="eastAsia" w:ascii="宋体" w:hAnsi="宋体" w:eastAsia="宋体" w:cs="宋体"/>
          <w:color w:val="auto"/>
          <w:sz w:val="24"/>
          <w:szCs w:val="24"/>
          <w:highlight w:val="none"/>
          <w:lang w:val="en-US" w:eastAsia="zh-CN"/>
        </w:rPr>
        <w:t>2辆</w:t>
      </w:r>
    </w:p>
    <w:p w14:paraId="35A78F12">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指标6：</w:t>
      </w:r>
      <w:r>
        <w:rPr>
          <w:rFonts w:hint="eastAsia" w:ascii="宋体" w:hAnsi="宋体" w:eastAsia="宋体" w:cs="宋体"/>
          <w:color w:val="auto"/>
          <w:sz w:val="24"/>
          <w:szCs w:val="24"/>
          <w:highlight w:val="none"/>
        </w:rPr>
        <w:t>购置小型医疗设备采购</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&gt;=</w:t>
      </w:r>
      <w:r>
        <w:rPr>
          <w:rFonts w:hint="eastAsia" w:ascii="宋体" w:hAnsi="宋体" w:eastAsia="宋体" w:cs="宋体"/>
          <w:color w:val="auto"/>
          <w:sz w:val="24"/>
          <w:szCs w:val="24"/>
          <w:highlight w:val="none"/>
          <w:lang w:val="en-US" w:eastAsia="zh-CN"/>
        </w:rPr>
        <w:t>1批</w:t>
      </w:r>
    </w:p>
    <w:p w14:paraId="10F0A030">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2）质量指标：</w:t>
      </w:r>
    </w:p>
    <w:p w14:paraId="2DC2B41F">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指标1：</w:t>
      </w:r>
      <w:r>
        <w:rPr>
          <w:rFonts w:hint="eastAsia" w:ascii="宋体" w:hAnsi="宋体" w:eastAsia="宋体" w:cs="宋体"/>
          <w:color w:val="auto"/>
          <w:sz w:val="24"/>
          <w:szCs w:val="24"/>
          <w:highlight w:val="none"/>
        </w:rPr>
        <w:t>宫颈癌早期诊断率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预期指标值为&gt;=</w:t>
      </w:r>
      <w:r>
        <w:rPr>
          <w:rFonts w:hint="eastAsia" w:ascii="宋体" w:hAnsi="宋体" w:eastAsia="宋体" w:cs="宋体"/>
          <w:color w:val="auto"/>
          <w:sz w:val="24"/>
          <w:szCs w:val="24"/>
          <w:highlight w:val="none"/>
          <w:lang w:val="en-US" w:eastAsia="zh-CN"/>
        </w:rPr>
        <w:t>90%</w:t>
      </w:r>
    </w:p>
    <w:p w14:paraId="62F33BA8">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指标2：资金使用合格率：</w:t>
      </w:r>
      <w:r>
        <w:rPr>
          <w:rFonts w:hint="eastAsia" w:ascii="宋体" w:hAnsi="宋体" w:eastAsia="宋体" w:cs="宋体"/>
          <w:color w:val="auto"/>
          <w:sz w:val="24"/>
          <w:szCs w:val="24"/>
          <w:highlight w:val="none"/>
        </w:rPr>
        <w:t>预期指标值为&gt;=</w:t>
      </w:r>
      <w:r>
        <w:rPr>
          <w:rFonts w:hint="eastAsia" w:ascii="宋体" w:hAnsi="宋体" w:eastAsia="宋体" w:cs="宋体"/>
          <w:color w:val="auto"/>
          <w:sz w:val="24"/>
          <w:szCs w:val="24"/>
          <w:highlight w:val="none"/>
          <w:lang w:val="en-US" w:eastAsia="zh-CN"/>
        </w:rPr>
        <w:t>100%</w:t>
      </w:r>
    </w:p>
    <w:p w14:paraId="029C5FF3">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3）时效目标：</w:t>
      </w:r>
    </w:p>
    <w:p w14:paraId="649B19E4">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指标1：项目完成时间：</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val="en-US" w:eastAsia="zh-CN"/>
        </w:rPr>
        <w:t>2024年12月</w:t>
      </w:r>
    </w:p>
    <w:p w14:paraId="18678725">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指标2：项目支付及时率：</w:t>
      </w:r>
      <w:r>
        <w:rPr>
          <w:rFonts w:hint="eastAsia" w:ascii="宋体" w:hAnsi="宋体" w:eastAsia="宋体" w:cs="宋体"/>
          <w:color w:val="auto"/>
          <w:sz w:val="24"/>
          <w:szCs w:val="24"/>
          <w:highlight w:val="none"/>
        </w:rPr>
        <w:t>预期指标值为&gt;=</w:t>
      </w:r>
      <w:r>
        <w:rPr>
          <w:rFonts w:hint="eastAsia" w:ascii="宋体" w:hAnsi="宋体" w:eastAsia="宋体" w:cs="宋体"/>
          <w:color w:val="auto"/>
          <w:sz w:val="24"/>
          <w:szCs w:val="24"/>
          <w:highlight w:val="none"/>
          <w:lang w:val="en-US" w:eastAsia="zh-CN"/>
        </w:rPr>
        <w:t>100%</w:t>
      </w:r>
    </w:p>
    <w:p w14:paraId="286B3DCE">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指标3：项目开始时间：2024年1月</w:t>
      </w:r>
    </w:p>
    <w:p w14:paraId="4746D839">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（2）成本指标： </w:t>
      </w:r>
    </w:p>
    <w:p w14:paraId="64E50955">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1）经济成本指标</w:t>
      </w:r>
    </w:p>
    <w:p w14:paraId="55156383">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指标1：培训费</w:t>
      </w:r>
      <w:r>
        <w:rPr>
          <w:rFonts w:hint="eastAsia" w:ascii="宋体" w:hAnsi="宋体" w:eastAsia="宋体" w:cs="宋体"/>
          <w:color w:val="auto"/>
          <w:sz w:val="24"/>
          <w:szCs w:val="24"/>
          <w:highlight w:val="none"/>
        </w:rPr>
        <w:t>：预期指标值为&lt;=</w:t>
      </w:r>
      <w:r>
        <w:rPr>
          <w:rFonts w:hint="eastAsia" w:ascii="宋体" w:hAnsi="宋体" w:eastAsia="宋体" w:cs="宋体"/>
          <w:color w:val="auto"/>
          <w:sz w:val="24"/>
          <w:szCs w:val="24"/>
          <w:highlight w:val="none"/>
          <w:lang w:val="en-US" w:eastAsia="zh-CN"/>
        </w:rPr>
        <w:t>1.0754</w:t>
      </w:r>
      <w:r>
        <w:rPr>
          <w:rFonts w:hint="eastAsia" w:ascii="宋体" w:hAnsi="宋体" w:eastAsia="宋体" w:cs="宋体"/>
          <w:color w:val="auto"/>
          <w:sz w:val="24"/>
          <w:szCs w:val="24"/>
          <w:highlight w:val="none"/>
        </w:rPr>
        <w:t>万元；</w:t>
      </w:r>
    </w:p>
    <w:p w14:paraId="747EA292">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指标2：印刷费：</w:t>
      </w:r>
      <w:r>
        <w:rPr>
          <w:rFonts w:hint="eastAsia" w:ascii="宋体" w:hAnsi="宋体" w:eastAsia="宋体" w:cs="宋体"/>
          <w:color w:val="auto"/>
          <w:sz w:val="24"/>
          <w:szCs w:val="24"/>
          <w:highlight w:val="none"/>
        </w:rPr>
        <w:t>预期指标值为&lt;=</w:t>
      </w:r>
      <w:r>
        <w:rPr>
          <w:rFonts w:hint="eastAsia" w:ascii="宋体" w:hAnsi="宋体" w:eastAsia="宋体" w:cs="宋体"/>
          <w:color w:val="auto"/>
          <w:sz w:val="24"/>
          <w:szCs w:val="24"/>
          <w:highlight w:val="none"/>
          <w:lang w:val="en-US" w:eastAsia="zh-CN"/>
        </w:rPr>
        <w:t>3.741</w:t>
      </w:r>
      <w:r>
        <w:rPr>
          <w:rFonts w:hint="eastAsia" w:ascii="宋体" w:hAnsi="宋体" w:eastAsia="宋体" w:cs="宋体"/>
          <w:color w:val="auto"/>
          <w:sz w:val="24"/>
          <w:szCs w:val="24"/>
          <w:highlight w:val="none"/>
        </w:rPr>
        <w:t>万元；</w:t>
      </w:r>
    </w:p>
    <w:p w14:paraId="0A433ED1">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指标3：办公用品费：</w:t>
      </w:r>
      <w:r>
        <w:rPr>
          <w:rFonts w:hint="eastAsia" w:ascii="宋体" w:hAnsi="宋体" w:eastAsia="宋体" w:cs="宋体"/>
          <w:color w:val="auto"/>
          <w:sz w:val="24"/>
          <w:szCs w:val="24"/>
          <w:highlight w:val="none"/>
        </w:rPr>
        <w:t>预期指标值为&lt;=</w:t>
      </w:r>
      <w:r>
        <w:rPr>
          <w:rFonts w:hint="eastAsia" w:ascii="宋体" w:hAnsi="宋体" w:eastAsia="宋体" w:cs="宋体"/>
          <w:color w:val="auto"/>
          <w:sz w:val="24"/>
          <w:szCs w:val="24"/>
          <w:highlight w:val="none"/>
          <w:lang w:val="en-US" w:eastAsia="zh-CN"/>
        </w:rPr>
        <w:t>1.5038</w:t>
      </w:r>
      <w:r>
        <w:rPr>
          <w:rFonts w:hint="eastAsia" w:ascii="宋体" w:hAnsi="宋体" w:eastAsia="宋体" w:cs="宋体"/>
          <w:color w:val="auto"/>
          <w:sz w:val="24"/>
          <w:szCs w:val="24"/>
          <w:highlight w:val="none"/>
        </w:rPr>
        <w:t>万元；</w:t>
      </w:r>
    </w:p>
    <w:p w14:paraId="05E16A04">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指标4：小型设备采购：</w:t>
      </w:r>
      <w:r>
        <w:rPr>
          <w:rFonts w:hint="eastAsia" w:ascii="宋体" w:hAnsi="宋体" w:eastAsia="宋体" w:cs="宋体"/>
          <w:color w:val="auto"/>
          <w:sz w:val="24"/>
          <w:szCs w:val="24"/>
          <w:highlight w:val="none"/>
        </w:rPr>
        <w:t>预期指标值为&lt;=</w:t>
      </w:r>
      <w:r>
        <w:rPr>
          <w:rFonts w:hint="eastAsia" w:ascii="宋体" w:hAnsi="宋体" w:eastAsia="宋体" w:cs="宋体"/>
          <w:color w:val="auto"/>
          <w:sz w:val="24"/>
          <w:szCs w:val="24"/>
          <w:highlight w:val="none"/>
          <w:lang w:val="en-US" w:eastAsia="zh-CN"/>
        </w:rPr>
        <w:t>6.095</w:t>
      </w:r>
      <w:r>
        <w:rPr>
          <w:rFonts w:hint="eastAsia" w:ascii="宋体" w:hAnsi="宋体" w:eastAsia="宋体" w:cs="宋体"/>
          <w:color w:val="auto"/>
          <w:sz w:val="24"/>
          <w:szCs w:val="24"/>
          <w:highlight w:val="none"/>
        </w:rPr>
        <w:t>万元；</w:t>
      </w:r>
    </w:p>
    <w:p w14:paraId="199D33DE">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指标5：车辆运行费：</w:t>
      </w:r>
      <w:r>
        <w:rPr>
          <w:rFonts w:hint="eastAsia" w:ascii="宋体" w:hAnsi="宋体" w:eastAsia="宋体" w:cs="宋体"/>
          <w:color w:val="auto"/>
          <w:sz w:val="24"/>
          <w:szCs w:val="24"/>
          <w:highlight w:val="none"/>
        </w:rPr>
        <w:t>预期指标值为&lt;=</w:t>
      </w:r>
      <w:r>
        <w:rPr>
          <w:rFonts w:hint="eastAsia" w:ascii="宋体" w:hAnsi="宋体" w:eastAsia="宋体" w:cs="宋体"/>
          <w:color w:val="auto"/>
          <w:sz w:val="24"/>
          <w:szCs w:val="24"/>
          <w:highlight w:val="none"/>
          <w:lang w:val="en-US" w:eastAsia="zh-CN"/>
        </w:rPr>
        <w:t>0.4885</w:t>
      </w:r>
      <w:r>
        <w:rPr>
          <w:rFonts w:hint="eastAsia" w:ascii="宋体" w:hAnsi="宋体" w:eastAsia="宋体" w:cs="宋体"/>
          <w:color w:val="auto"/>
          <w:sz w:val="24"/>
          <w:szCs w:val="24"/>
          <w:highlight w:val="none"/>
        </w:rPr>
        <w:t>万元；</w:t>
      </w:r>
    </w:p>
    <w:p w14:paraId="3C064AEC">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2）社会效益指标：</w:t>
      </w:r>
    </w:p>
    <w:p w14:paraId="570E7198">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指标1：</w:t>
      </w:r>
      <w:r>
        <w:rPr>
          <w:rFonts w:hint="eastAsia" w:ascii="宋体" w:hAnsi="宋体" w:eastAsia="宋体" w:cs="宋体"/>
          <w:color w:val="auto"/>
          <w:sz w:val="24"/>
          <w:szCs w:val="24"/>
          <w:highlight w:val="none"/>
        </w:rPr>
        <w:t>提高农村妇女自我保健意识和技能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val="en-US" w:eastAsia="zh-CN"/>
        </w:rPr>
        <w:t>有效提高</w:t>
      </w:r>
    </w:p>
    <w:p w14:paraId="526E7480">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）服务对象满意度指标：</w:t>
      </w:r>
    </w:p>
    <w:p w14:paraId="5DED786D">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指标1：</w:t>
      </w:r>
      <w:r>
        <w:rPr>
          <w:rFonts w:hint="eastAsia" w:ascii="宋体" w:hAnsi="宋体" w:eastAsia="宋体" w:cs="宋体"/>
          <w:color w:val="auto"/>
          <w:sz w:val="24"/>
          <w:szCs w:val="24"/>
          <w:highlight w:val="none"/>
        </w:rPr>
        <w:t>受益员工满意度：预期指标值为&gt;=</w:t>
      </w:r>
      <w:r>
        <w:rPr>
          <w:rFonts w:hint="eastAsia" w:ascii="宋体" w:hAnsi="宋体" w:eastAsia="宋体" w:cs="宋体"/>
          <w:color w:val="auto"/>
          <w:sz w:val="24"/>
          <w:szCs w:val="24"/>
          <w:highlight w:val="none"/>
          <w:lang w:val="en-US" w:eastAsia="zh-CN"/>
        </w:rPr>
        <w:t>95%</w:t>
      </w:r>
    </w:p>
    <w:p w14:paraId="403D0669">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指标2：</w:t>
      </w:r>
      <w:r>
        <w:rPr>
          <w:rFonts w:hint="eastAsia" w:ascii="宋体" w:hAnsi="宋体" w:eastAsia="宋体" w:cs="宋体"/>
          <w:color w:val="auto"/>
          <w:sz w:val="24"/>
          <w:szCs w:val="24"/>
          <w:highlight w:val="none"/>
        </w:rPr>
        <w:t>受益</w:t>
      </w:r>
      <w:r>
        <w:rPr>
          <w:rFonts w:hint="eastAsia" w:ascii="宋体" w:hAnsi="宋体" w:eastAsia="宋体" w:cs="宋体"/>
          <w:color w:val="auto"/>
          <w:sz w:val="24"/>
          <w:szCs w:val="24"/>
          <w:highlight w:val="none"/>
          <w:lang w:val="en-US" w:eastAsia="zh-CN"/>
        </w:rPr>
        <w:t>妇女</w:t>
      </w:r>
      <w:r>
        <w:rPr>
          <w:rFonts w:hint="eastAsia" w:ascii="宋体" w:hAnsi="宋体" w:eastAsia="宋体" w:cs="宋体"/>
          <w:color w:val="auto"/>
          <w:sz w:val="24"/>
          <w:szCs w:val="24"/>
          <w:highlight w:val="none"/>
        </w:rPr>
        <w:t>满意度：预期指标值为&gt;=</w:t>
      </w:r>
      <w:r>
        <w:rPr>
          <w:rFonts w:hint="eastAsia" w:ascii="宋体" w:hAnsi="宋体" w:eastAsia="宋体" w:cs="宋体"/>
          <w:color w:val="auto"/>
          <w:sz w:val="24"/>
          <w:szCs w:val="24"/>
          <w:highlight w:val="none"/>
          <w:lang w:val="en-US" w:eastAsia="zh-CN"/>
        </w:rPr>
        <w:t>95%</w:t>
      </w:r>
    </w:p>
    <w:p w14:paraId="0AEAD9B4">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0BCA2C72">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0E0089DA">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74CDF559">
      <w:pPr>
        <w:pageBreakBefore w:val="0"/>
        <w:widowControl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w:t>
      </w:r>
      <w:r>
        <w:rPr>
          <w:rFonts w:hint="eastAsia" w:ascii="宋体" w:hAnsi="宋体" w:eastAsia="宋体" w:cs="宋体"/>
          <w:sz w:val="24"/>
          <w:szCs w:val="24"/>
          <w:highlight w:val="none"/>
        </w:rPr>
        <w:t>等相关政策文件与规</w:t>
      </w:r>
      <w:r>
        <w:rPr>
          <w:rFonts w:hint="eastAsia" w:ascii="宋体" w:hAnsi="宋体" w:eastAsia="宋体" w:cs="宋体"/>
          <w:sz w:val="24"/>
          <w:szCs w:val="24"/>
        </w:rPr>
        <w:t>定，对</w:t>
      </w:r>
      <w:r>
        <w:rPr>
          <w:rFonts w:hint="eastAsia" w:ascii="宋体" w:hAnsi="宋体" w:eastAsia="宋体" w:cs="宋体"/>
          <w:color w:val="auto"/>
          <w:kern w:val="0"/>
          <w:sz w:val="24"/>
          <w:szCs w:val="24"/>
          <w:lang w:bidi="en-US"/>
        </w:rPr>
        <w:t>024年自治区适龄妇女宫颈癌检查项目（彩票基金）</w:t>
      </w:r>
      <w:r>
        <w:rPr>
          <w:rFonts w:hint="eastAsia" w:ascii="宋体" w:hAnsi="宋体" w:eastAsia="宋体" w:cs="宋体"/>
          <w:color w:val="auto"/>
          <w:sz w:val="24"/>
          <w:szCs w:val="24"/>
        </w:rPr>
        <w:t>项目</w:t>
      </w:r>
      <w:r>
        <w:rPr>
          <w:rFonts w:hint="eastAsia" w:ascii="宋体" w:hAnsi="宋体" w:eastAsia="宋体" w:cs="宋体"/>
          <w:sz w:val="24"/>
          <w:szCs w:val="24"/>
        </w:rPr>
        <w:t>开展本次部门项目支出绩效评价工作。全面了解</w:t>
      </w:r>
      <w:r>
        <w:rPr>
          <w:rFonts w:hint="eastAsia" w:ascii="宋体" w:hAnsi="宋体" w:eastAsia="宋体" w:cs="宋体"/>
          <w:color w:val="auto"/>
          <w:kern w:val="0"/>
          <w:sz w:val="24"/>
          <w:szCs w:val="24"/>
          <w:lang w:bidi="en-US"/>
        </w:rPr>
        <w:t>024年自治区适龄妇女宫颈癌检查项目（彩票基金）</w:t>
      </w:r>
      <w:r>
        <w:rPr>
          <w:rFonts w:hint="eastAsia" w:ascii="宋体" w:hAnsi="宋体" w:eastAsia="宋体" w:cs="宋体"/>
          <w:color w:val="auto"/>
          <w:kern w:val="0"/>
          <w:sz w:val="24"/>
          <w:szCs w:val="24"/>
          <w:lang w:val="en-US" w:eastAsia="zh-CN" w:bidi="en-US"/>
        </w:rPr>
        <w:t>项目</w:t>
      </w:r>
      <w:r>
        <w:rPr>
          <w:rFonts w:hint="eastAsia" w:ascii="宋体" w:hAnsi="宋体" w:eastAsia="宋体" w:cs="宋体"/>
          <w:sz w:val="24"/>
          <w:szCs w:val="24"/>
        </w:rPr>
        <w:t>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4F0DFCD0">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7D2D3E22">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051FCBC0">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28069264">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3232EA6A">
      <w:pPr>
        <w:pageBreakBefore w:val="0"/>
        <w:widowControl w:val="0"/>
        <w:kinsoku/>
        <w:wordWrap/>
        <w:topLinePunct w:val="0"/>
        <w:autoSpaceDE/>
        <w:autoSpaceDN/>
        <w:bidi w:val="0"/>
        <w:adjustRightInd/>
        <w:snapToGrid/>
        <w:spacing w:line="360" w:lineRule="auto"/>
        <w:ind w:left="0" w:leftChars="0" w:firstLine="480" w:firstLineChars="200"/>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kern w:val="0"/>
          <w:sz w:val="24"/>
          <w:szCs w:val="24"/>
          <w:lang w:bidi="en-US"/>
        </w:rPr>
        <w:t>024年自治区适龄妇女宫颈癌检查项目（彩票基金）</w:t>
      </w:r>
      <w:r>
        <w:rPr>
          <w:rFonts w:hint="eastAsia" w:ascii="宋体" w:hAnsi="宋体" w:eastAsia="宋体" w:cs="宋体"/>
          <w:color w:val="auto"/>
          <w:kern w:val="0"/>
          <w:sz w:val="24"/>
          <w:szCs w:val="24"/>
          <w:lang w:val="en-US" w:eastAsia="zh-CN" w:bidi="en-US"/>
        </w:rPr>
        <w:t>项目</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653BA48B">
      <w:pPr>
        <w:pStyle w:val="47"/>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3. 绩效评价范围</w:t>
      </w:r>
    </w:p>
    <w:p w14:paraId="50783B5B">
      <w:pPr>
        <w:pageBreakBefore w:val="0"/>
        <w:widowControl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本次绩效评价主要围绕</w:t>
      </w:r>
      <w:r>
        <w:rPr>
          <w:rFonts w:hint="eastAsia" w:ascii="宋体" w:hAnsi="宋体" w:eastAsia="宋体" w:cs="宋体"/>
          <w:sz w:val="24"/>
          <w:szCs w:val="24"/>
          <w:lang w:val="en-US" w:eastAsia="zh-CN"/>
        </w:rPr>
        <w:t>2</w:t>
      </w:r>
      <w:r>
        <w:rPr>
          <w:rFonts w:hint="eastAsia" w:ascii="宋体" w:hAnsi="宋体" w:eastAsia="宋体" w:cs="宋体"/>
          <w:color w:val="auto"/>
          <w:kern w:val="0"/>
          <w:sz w:val="24"/>
          <w:szCs w:val="24"/>
          <w:lang w:bidi="en-US"/>
        </w:rPr>
        <w:t>024年自治区适龄妇女宫颈癌检查项目（彩票基金）</w:t>
      </w:r>
      <w:r>
        <w:rPr>
          <w:rFonts w:hint="eastAsia" w:ascii="宋体" w:hAnsi="宋体" w:eastAsia="宋体" w:cs="宋体"/>
          <w:color w:val="auto"/>
          <w:kern w:val="0"/>
          <w:sz w:val="24"/>
          <w:szCs w:val="24"/>
          <w:lang w:val="en-US" w:eastAsia="zh-CN" w:bidi="en-US"/>
        </w:rPr>
        <w:t>项目</w:t>
      </w:r>
      <w:r>
        <w:rPr>
          <w:rFonts w:hint="eastAsia" w:ascii="宋体" w:hAnsi="宋体" w:eastAsia="宋体" w:cs="宋体"/>
          <w:sz w:val="24"/>
          <w:szCs w:val="24"/>
        </w:rPr>
        <w:t>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sz w:val="24"/>
          <w:szCs w:val="24"/>
          <w:lang w:eastAsia="zh-CN"/>
        </w:rPr>
        <w:t>，</w:t>
      </w:r>
      <w:r>
        <w:rPr>
          <w:rFonts w:hint="eastAsia" w:ascii="宋体" w:hAnsi="宋体" w:eastAsia="宋体" w:cs="宋体"/>
          <w:sz w:val="24"/>
          <w:szCs w:val="24"/>
        </w:rPr>
        <w:t>覆盖预算资金支出项目的所有内容进行评价。</w:t>
      </w:r>
    </w:p>
    <w:p w14:paraId="7DC0F24A">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135423C9">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084D88BA">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16A571C6">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451C7B98">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5BEAF155">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41D5E445">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090D1152">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07554ACE">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2DA14F33">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67273E95">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55DDF6F7">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16F38817">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584F6AEE">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179645B0">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54337D20">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5DBE2DCD">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41864833">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7F2FD262">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6E084793">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1B8A419F">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503AEFF0">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6E93B6DC">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297C9F24">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2ADE857C">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353EDB0B">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47847432">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4850F453">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7C4C2CFB">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23481021">
      <w:pPr>
        <w:pStyle w:val="47"/>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26939E9B">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FF0000"/>
          <w:sz w:val="24"/>
          <w:szCs w:val="24"/>
        </w:rPr>
      </w:pPr>
      <w:bookmarkStart w:id="6" w:name="_Toc68364663"/>
      <w:r>
        <w:rPr>
          <w:rFonts w:hint="eastAsia" w:ascii="宋体" w:hAnsi="宋体" w:eastAsia="宋体" w:cs="宋体"/>
          <w:sz w:val="24"/>
          <w:szCs w:val="24"/>
        </w:rPr>
        <w:t>绩效评价标准通常包括计划标准、行业标准、历史标准等，用于对绩效指标完成情况进行比较、分析、评价。本次</w:t>
      </w:r>
      <w:r>
        <w:rPr>
          <w:rFonts w:hint="eastAsia" w:ascii="宋体" w:hAnsi="宋体" w:eastAsia="宋体" w:cs="宋体"/>
          <w:color w:val="auto"/>
          <w:sz w:val="24"/>
          <w:szCs w:val="24"/>
          <w:highlight w:val="none"/>
        </w:rPr>
        <w:t>主要采用了</w:t>
      </w:r>
      <w:r>
        <w:rPr>
          <w:rFonts w:hint="eastAsia" w:ascii="宋体" w:hAnsi="宋体" w:eastAsia="宋体" w:cs="宋体"/>
          <w:color w:val="auto"/>
          <w:sz w:val="24"/>
          <w:szCs w:val="24"/>
          <w:highlight w:val="none"/>
          <w:lang w:eastAsia="zh-CN"/>
        </w:rPr>
        <w:t>计划</w:t>
      </w:r>
      <w:r>
        <w:rPr>
          <w:rFonts w:hint="eastAsia" w:ascii="宋体" w:hAnsi="宋体" w:eastAsia="宋体" w:cs="宋体"/>
          <w:color w:val="auto"/>
          <w:sz w:val="24"/>
          <w:szCs w:val="24"/>
          <w:highlight w:val="none"/>
        </w:rPr>
        <w:t>标准</w:t>
      </w:r>
      <w:r>
        <w:rPr>
          <w:rFonts w:hint="eastAsia" w:ascii="宋体" w:hAnsi="宋体" w:eastAsia="宋体" w:cs="宋体"/>
          <w:color w:val="auto"/>
          <w:sz w:val="24"/>
          <w:szCs w:val="24"/>
          <w:highlight w:val="none"/>
          <w:lang w:eastAsia="zh-CN"/>
        </w:rPr>
        <w:t>、行业标准</w:t>
      </w:r>
      <w:r>
        <w:rPr>
          <w:rFonts w:hint="eastAsia" w:ascii="宋体" w:hAnsi="宋体" w:eastAsia="宋体" w:cs="宋体"/>
          <w:color w:val="auto"/>
          <w:sz w:val="24"/>
          <w:szCs w:val="24"/>
          <w:highlight w:val="none"/>
        </w:rPr>
        <w:t>。</w:t>
      </w:r>
    </w:p>
    <w:p w14:paraId="089F824C">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7" w:name="_Toc31464"/>
      <w:bookmarkStart w:id="8" w:name="_Toc17882"/>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4E9627D6">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9" w:name="_Toc2318"/>
      <w:bookmarkStart w:id="10" w:name="_Toc5633"/>
      <w:r>
        <w:rPr>
          <w:rFonts w:hint="eastAsia" w:ascii="宋体" w:hAnsi="宋体" w:eastAsia="宋体" w:cs="宋体"/>
          <w:b/>
          <w:bCs/>
          <w:sz w:val="24"/>
          <w:szCs w:val="24"/>
        </w:rPr>
        <w:t>行业标准：</w:t>
      </w:r>
      <w:r>
        <w:rPr>
          <w:rFonts w:hint="eastAsia" w:ascii="宋体" w:hAnsi="宋体" w:eastAsia="宋体" w:cs="宋体"/>
          <w:sz w:val="24"/>
          <w:szCs w:val="24"/>
        </w:rPr>
        <w:t>指参照国家公布的行业指标数据制定的评价标准。</w:t>
      </w:r>
      <w:bookmarkEnd w:id="9"/>
      <w:bookmarkEnd w:id="10"/>
    </w:p>
    <w:p w14:paraId="0EC6C34F">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11" w:name="_Toc16028"/>
      <w:bookmarkStart w:id="12" w:name="_Toc430"/>
      <w:r>
        <w:rPr>
          <w:rFonts w:hint="eastAsia" w:ascii="宋体" w:hAnsi="宋体" w:eastAsia="宋体" w:cs="宋体"/>
          <w:b/>
          <w:bCs/>
          <w:sz w:val="24"/>
          <w:szCs w:val="24"/>
        </w:rPr>
        <w:t>历史标准：</w:t>
      </w:r>
      <w:r>
        <w:rPr>
          <w:rFonts w:hint="eastAsia" w:ascii="宋体" w:hAnsi="宋体" w:eastAsia="宋体" w:cs="宋体"/>
          <w:sz w:val="24"/>
          <w:szCs w:val="24"/>
        </w:rPr>
        <w:t>指参照历史数据制定的评价标准，为体现绩效改进的原则，在可实现的条件下应当确定相对较高的评价标准。</w:t>
      </w:r>
      <w:bookmarkEnd w:id="11"/>
      <w:bookmarkEnd w:id="12"/>
    </w:p>
    <w:p w14:paraId="3FE61D9E">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3AA833BA">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3" w:name="_Toc68364664"/>
      <w:r>
        <w:rPr>
          <w:rFonts w:hint="eastAsia" w:ascii="宋体" w:hAnsi="宋体" w:eastAsia="宋体" w:cs="宋体"/>
          <w:sz w:val="24"/>
          <w:szCs w:val="24"/>
        </w:rPr>
        <w:t>1.前期准备</w:t>
      </w:r>
    </w:p>
    <w:p w14:paraId="0F60E80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32FB697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布威海丽且姆</w:t>
      </w:r>
      <w:r>
        <w:rPr>
          <w:rFonts w:hint="eastAsia" w:ascii="宋体" w:hAnsi="宋体" w:eastAsia="宋体" w:cs="宋体"/>
          <w:color w:val="auto"/>
          <w:sz w:val="24"/>
          <w:szCs w:val="24"/>
          <w:highlight w:val="none"/>
        </w:rPr>
        <w:t>（评价小组组长）：主要负责</w:t>
      </w:r>
      <w:r>
        <w:rPr>
          <w:rFonts w:hint="eastAsia" w:ascii="宋体" w:hAnsi="宋体" w:eastAsia="宋体" w:cs="宋体"/>
          <w:color w:val="auto"/>
          <w:sz w:val="24"/>
          <w:szCs w:val="24"/>
          <w:highlight w:val="none"/>
          <w:lang w:val="en-US" w:eastAsia="zh-CN"/>
        </w:rPr>
        <w:t>组织安排绩效评价工作</w:t>
      </w:r>
      <w:r>
        <w:rPr>
          <w:rFonts w:hint="eastAsia" w:ascii="宋体" w:hAnsi="宋体" w:eastAsia="宋体" w:cs="宋体"/>
          <w:color w:val="auto"/>
          <w:sz w:val="24"/>
          <w:szCs w:val="24"/>
          <w:highlight w:val="none"/>
        </w:rPr>
        <w:t>;</w:t>
      </w:r>
    </w:p>
    <w:p w14:paraId="22FB3A3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夏迪娅</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val="en-US" w:eastAsia="zh-CN"/>
        </w:rPr>
        <w:t>资料整理及信息汇总工作</w:t>
      </w:r>
      <w:r>
        <w:rPr>
          <w:rFonts w:hint="eastAsia" w:ascii="宋体" w:hAnsi="宋体" w:eastAsia="宋体" w:cs="宋体"/>
          <w:color w:val="auto"/>
          <w:sz w:val="24"/>
          <w:szCs w:val="24"/>
          <w:highlight w:val="none"/>
        </w:rPr>
        <w:t>;</w:t>
      </w:r>
    </w:p>
    <w:p w14:paraId="71FB925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布麦热木</w:t>
      </w:r>
      <w:r>
        <w:rPr>
          <w:rFonts w:hint="eastAsia" w:ascii="宋体" w:hAnsi="宋体" w:eastAsia="宋体" w:cs="宋体"/>
          <w:color w:val="auto"/>
          <w:sz w:val="24"/>
          <w:szCs w:val="24"/>
          <w:highlight w:val="none"/>
          <w:lang w:eastAsia="zh-CN"/>
        </w:rPr>
        <w:t>（评价小组组员）：主</w:t>
      </w:r>
      <w:r>
        <w:rPr>
          <w:rFonts w:hint="eastAsia" w:ascii="宋体" w:hAnsi="宋体" w:eastAsia="宋体" w:cs="宋体"/>
          <w:color w:val="auto"/>
          <w:sz w:val="24"/>
          <w:szCs w:val="24"/>
          <w:highlight w:val="none"/>
        </w:rPr>
        <w:t>要负责</w:t>
      </w:r>
      <w:r>
        <w:rPr>
          <w:rFonts w:hint="eastAsia" w:ascii="宋体" w:hAnsi="宋体" w:eastAsia="宋体" w:cs="宋体"/>
          <w:color w:val="auto"/>
          <w:sz w:val="24"/>
          <w:szCs w:val="24"/>
          <w:highlight w:val="none"/>
          <w:lang w:val="en-US" w:eastAsia="zh-CN"/>
        </w:rPr>
        <w:t>出具项目绩效评价报告</w:t>
      </w:r>
      <w:r>
        <w:rPr>
          <w:rFonts w:hint="eastAsia" w:ascii="宋体" w:hAnsi="宋体" w:eastAsia="宋体" w:cs="宋体"/>
          <w:color w:val="auto"/>
          <w:sz w:val="24"/>
          <w:szCs w:val="24"/>
          <w:highlight w:val="none"/>
        </w:rPr>
        <w:t>。</w:t>
      </w:r>
    </w:p>
    <w:p w14:paraId="7935B409">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2.组织实施</w:t>
      </w:r>
    </w:p>
    <w:p w14:paraId="5349D43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rPr>
        <w:t>，评价工作进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147510CD">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3.分析评价</w:t>
      </w:r>
    </w:p>
    <w:p w14:paraId="783F7ED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01496518">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4.撰写与提交评价报告</w:t>
      </w:r>
    </w:p>
    <w:p w14:paraId="7C460DF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3FFBDD7E">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5.问题整改</w:t>
      </w:r>
    </w:p>
    <w:p w14:paraId="01BC2C0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5E1DCA4D">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6.档案整理</w:t>
      </w:r>
    </w:p>
    <w:p w14:paraId="0BB326E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1DF50806">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p>
    <w:p w14:paraId="3FCFA600">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13"/>
    </w:p>
    <w:p w14:paraId="2C923703">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4" w:name="_Toc68364665"/>
      <w:r>
        <w:rPr>
          <w:rFonts w:hint="eastAsia" w:ascii="宋体" w:hAnsi="宋体" w:eastAsia="宋体" w:cs="宋体"/>
          <w:sz w:val="24"/>
          <w:szCs w:val="24"/>
        </w:rPr>
        <w:t>（一）综合评价情况</w:t>
      </w:r>
      <w:bookmarkEnd w:id="14"/>
    </w:p>
    <w:p w14:paraId="4772E1A7">
      <w:pPr>
        <w:pageBreakBefore w:val="0"/>
        <w:widowControl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FF0000"/>
          <w:sz w:val="24"/>
          <w:szCs w:val="24"/>
          <w:highlight w:val="none"/>
        </w:rPr>
      </w:pPr>
      <w:bookmarkStart w:id="15" w:name="_Toc68364666"/>
      <w:r>
        <w:rPr>
          <w:rFonts w:hint="eastAsia" w:ascii="宋体" w:hAnsi="宋体" w:eastAsia="宋体" w:cs="宋体"/>
          <w:color w:val="auto"/>
          <w:sz w:val="24"/>
          <w:szCs w:val="24"/>
        </w:rPr>
        <w:t>通过实施</w:t>
      </w:r>
      <w:r>
        <w:rPr>
          <w:rFonts w:hint="eastAsia" w:ascii="宋体" w:hAnsi="宋体" w:eastAsia="宋体" w:cs="宋体"/>
          <w:color w:val="auto"/>
          <w:kern w:val="0"/>
          <w:sz w:val="24"/>
          <w:szCs w:val="24"/>
          <w:lang w:bidi="en-US"/>
        </w:rPr>
        <w:t>2024年自治区适龄妇女宫颈癌检查项目（彩票基金）</w:t>
      </w:r>
      <w:r>
        <w:rPr>
          <w:rFonts w:hint="eastAsia" w:ascii="宋体" w:hAnsi="宋体" w:eastAsia="宋体" w:cs="宋体"/>
          <w:sz w:val="24"/>
          <w:szCs w:val="24"/>
        </w:rPr>
        <w:t>项目</w:t>
      </w:r>
      <w:r>
        <w:rPr>
          <w:rFonts w:hint="eastAsia" w:ascii="宋体" w:hAnsi="宋体" w:eastAsia="宋体" w:cs="宋体"/>
          <w:sz w:val="24"/>
          <w:szCs w:val="24"/>
          <w:highlight w:val="none"/>
          <w:lang w:val="en-US" w:eastAsia="zh-CN"/>
        </w:rPr>
        <w:t>提</w:t>
      </w:r>
      <w:r>
        <w:rPr>
          <w:rFonts w:hint="eastAsia" w:ascii="宋体" w:hAnsi="宋体" w:eastAsia="宋体" w:cs="宋体"/>
          <w:color w:val="auto"/>
          <w:kern w:val="0"/>
          <w:sz w:val="24"/>
          <w:szCs w:val="24"/>
          <w:highlight w:val="none"/>
          <w:lang w:bidi="en-US"/>
        </w:rPr>
        <w:t>高农村妇女自我保健意识和技能</w:t>
      </w:r>
      <w:r>
        <w:rPr>
          <w:rFonts w:hint="eastAsia" w:ascii="宋体" w:hAnsi="宋体" w:eastAsia="宋体" w:cs="宋体"/>
          <w:color w:val="auto"/>
          <w:kern w:val="0"/>
          <w:sz w:val="24"/>
          <w:szCs w:val="24"/>
          <w:highlight w:val="none"/>
          <w:lang w:eastAsia="zh-CN" w:bidi="en-US"/>
        </w:rPr>
        <w:t>，</w:t>
      </w:r>
      <w:r>
        <w:rPr>
          <w:rFonts w:hint="eastAsia" w:ascii="宋体" w:hAnsi="宋体" w:eastAsia="宋体" w:cs="宋体"/>
          <w:sz w:val="24"/>
          <w:szCs w:val="24"/>
          <w:highlight w:val="none"/>
        </w:rPr>
        <w:t>实施主要通过项目决策、项目过程、项目产出以及项目效益等方面进行评价，其中：</w:t>
      </w:r>
    </w:p>
    <w:p w14:paraId="40C8BB4A">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FF0000"/>
          <w:sz w:val="24"/>
          <w:szCs w:val="24"/>
        </w:rPr>
      </w:pPr>
      <w:r>
        <w:rPr>
          <w:rFonts w:hint="eastAsia" w:ascii="宋体" w:hAnsi="宋体" w:eastAsia="宋体" w:cs="宋体"/>
          <w:color w:val="auto"/>
          <w:sz w:val="24"/>
          <w:szCs w:val="24"/>
        </w:rPr>
        <w:t>项目决策：该项目主要通过专项资金-和地财综【2023】21号：2024年中央专项彩票公益金（2024年“宫颈癌”检查项目）和地财宗21号文件立项，项目实施符合</w:t>
      </w:r>
      <w:r>
        <w:rPr>
          <w:rFonts w:hint="eastAsia" w:ascii="宋体" w:hAnsi="宋体" w:eastAsia="宋体" w:cs="宋体"/>
          <w:color w:val="auto"/>
          <w:sz w:val="24"/>
          <w:szCs w:val="24"/>
          <w:lang w:val="en-US" w:eastAsia="zh-CN"/>
        </w:rPr>
        <w:t>农村妇女两癌筛查</w:t>
      </w:r>
      <w:r>
        <w:rPr>
          <w:rFonts w:hint="eastAsia" w:ascii="宋体" w:hAnsi="宋体" w:eastAsia="宋体" w:cs="宋体"/>
          <w:color w:val="auto"/>
          <w:sz w:val="24"/>
          <w:szCs w:val="24"/>
        </w:rPr>
        <w:t>要求，</w:t>
      </w:r>
      <w:r>
        <w:rPr>
          <w:rFonts w:hint="eastAsia" w:ascii="宋体" w:hAnsi="宋体" w:eastAsia="宋体" w:cs="宋体"/>
          <w:sz w:val="24"/>
          <w:szCs w:val="24"/>
        </w:rPr>
        <w:t>项目立项依据充分，立项程序规范。</w:t>
      </w:r>
      <w:r>
        <w:rPr>
          <w:rFonts w:hint="eastAsia" w:ascii="宋体" w:hAnsi="宋体" w:eastAsia="宋体" w:cs="宋体"/>
          <w:color w:val="FF0000"/>
          <w:sz w:val="24"/>
          <w:szCs w:val="24"/>
        </w:rPr>
        <w:t xml:space="preserve"> </w:t>
      </w:r>
    </w:p>
    <w:p w14:paraId="7A58614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 xml:space="preserve">项目过程：24年中央专项彩票公益金（2024年“宫颈癌”检查项目）预算安排 </w:t>
      </w: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12.93</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58</w:t>
      </w:r>
      <w:r>
        <w:rPr>
          <w:rFonts w:hint="eastAsia" w:ascii="宋体" w:hAnsi="宋体" w:eastAsia="宋体" w:cs="宋体"/>
          <w:color w:val="auto"/>
          <w:sz w:val="24"/>
          <w:szCs w:val="24"/>
        </w:rPr>
        <w:t>%。</w:t>
      </w:r>
      <w:r>
        <w:rPr>
          <w:rFonts w:hint="eastAsia" w:ascii="宋体" w:hAnsi="宋体" w:eastAsia="宋体" w:cs="宋体"/>
          <w:sz w:val="24"/>
          <w:szCs w:val="24"/>
        </w:rPr>
        <w:t>项目资金使用合规，项目财务管理制度健全，财务监控到位，所有资金支付均按照国库集中支付制度严格执行，现有项目管理制度执行情况良好。</w:t>
      </w:r>
    </w:p>
    <w:p w14:paraId="319AAE64">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项目产出：我单位已完成完成5500名适龄妇女宫颈癌检查，县乡级培训人120人次，本机构人员去上级部门技术培训2人次，购置印刷用品1批，购置办公用品1批，保障公务用车2辆，宫颈癌癌早期诊断率达到90%。项目资金已使用12.93万元。</w:t>
      </w:r>
    </w:p>
    <w:p w14:paraId="37AE9EDC">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项目效益：通过项目的实施。有效提高农村妇女自我保健意识和技能，持续完善妇女“宫颈癌”防治工作机制。</w:t>
      </w:r>
    </w:p>
    <w:p w14:paraId="17460241">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（二）综合评价结论</w:t>
      </w:r>
    </w:p>
    <w:p w14:paraId="1545714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sz w:val="24"/>
          <w:szCs w:val="24"/>
        </w:rPr>
      </w:pPr>
      <w:r>
        <w:rPr>
          <w:rFonts w:hint="eastAsia" w:ascii="宋体" w:hAnsi="宋体" w:eastAsia="宋体" w:cs="宋体"/>
          <w:color w:val="333333"/>
          <w:sz w:val="24"/>
          <w:szCs w:val="24"/>
          <w:highlight w:val="none"/>
        </w:rPr>
        <w:t>依据《中共中央国务院关于全面实施预算绩效管理的意见》《</w:t>
      </w:r>
      <w:r>
        <w:rPr>
          <w:rFonts w:hint="eastAsia" w:ascii="宋体" w:hAnsi="宋体" w:eastAsia="宋体" w:cs="宋体"/>
          <w:color w:val="333333"/>
          <w:sz w:val="24"/>
          <w:szCs w:val="24"/>
        </w:rPr>
        <w:t>项目支出绩效评价管理办法》（财预〔2020〕10号）文件，绩效评价总分设置为100分，划分为四档：90（含）-100分为“优”、80（含）-90分为“良”、70（含）-80分为“中”、70分以下为“差”。经对</w:t>
      </w:r>
      <w:r>
        <w:rPr>
          <w:rFonts w:hint="eastAsia" w:ascii="宋体" w:hAnsi="宋体" w:eastAsia="宋体" w:cs="宋体"/>
          <w:color w:val="auto"/>
          <w:kern w:val="0"/>
          <w:sz w:val="24"/>
          <w:szCs w:val="24"/>
          <w:lang w:bidi="en-US"/>
        </w:rPr>
        <w:t>024年自治区适龄妇女宫颈癌检查项目（彩票基金）</w:t>
      </w:r>
      <w:r>
        <w:rPr>
          <w:rFonts w:hint="eastAsia" w:ascii="宋体" w:hAnsi="宋体" w:eastAsia="宋体" w:cs="宋体"/>
          <w:sz w:val="24"/>
          <w:szCs w:val="24"/>
        </w:rPr>
        <w:t>项目</w:t>
      </w:r>
      <w:r>
        <w:rPr>
          <w:rFonts w:hint="eastAsia" w:ascii="宋体" w:hAnsi="宋体" w:eastAsia="宋体" w:cs="宋体"/>
          <w:color w:val="333333"/>
          <w:sz w:val="24"/>
          <w:szCs w:val="24"/>
        </w:rPr>
        <w:t>进行客观评价，最终评分结果：评价总分</w:t>
      </w:r>
      <w:r>
        <w:rPr>
          <w:rFonts w:hint="eastAsia" w:ascii="宋体" w:hAnsi="宋体" w:eastAsia="宋体" w:cs="宋体"/>
          <w:color w:val="333333"/>
          <w:sz w:val="24"/>
          <w:szCs w:val="24"/>
          <w:lang w:val="en-US" w:eastAsia="zh-CN"/>
        </w:rPr>
        <w:t>98</w:t>
      </w:r>
      <w:r>
        <w:rPr>
          <w:rFonts w:hint="eastAsia" w:ascii="宋体" w:hAnsi="宋体" w:eastAsia="宋体" w:cs="宋体"/>
          <w:color w:val="333333"/>
          <w:sz w:val="24"/>
          <w:szCs w:val="24"/>
        </w:rPr>
        <w:t>分，绩效等级为“</w:t>
      </w:r>
      <w:r>
        <w:rPr>
          <w:rFonts w:hint="eastAsia" w:ascii="宋体" w:hAnsi="宋体" w:eastAsia="宋体" w:cs="宋体"/>
          <w:color w:val="333333"/>
          <w:sz w:val="24"/>
          <w:szCs w:val="24"/>
          <w:lang w:val="en-US" w:eastAsia="zh-CN"/>
        </w:rPr>
        <w:t>优</w:t>
      </w:r>
      <w:r>
        <w:rPr>
          <w:rFonts w:hint="eastAsia" w:ascii="宋体" w:hAnsi="宋体" w:eastAsia="宋体" w:cs="宋体"/>
          <w:color w:val="333333"/>
          <w:sz w:val="24"/>
          <w:szCs w:val="24"/>
        </w:rPr>
        <w:t>”。</w:t>
      </w:r>
      <w:bookmarkEnd w:id="15"/>
      <w:bookmarkStart w:id="16" w:name="_Toc68364667"/>
    </w:p>
    <w:p w14:paraId="4C6BA5FA">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p>
    <w:p w14:paraId="2360AA67">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16"/>
    </w:p>
    <w:p w14:paraId="27F5E808">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7" w:name="_Toc68364668"/>
      <w:r>
        <w:rPr>
          <w:rFonts w:hint="eastAsia" w:ascii="宋体" w:hAnsi="宋体" w:eastAsia="宋体" w:cs="宋体"/>
          <w:sz w:val="24"/>
          <w:szCs w:val="24"/>
        </w:rPr>
        <w:t>（一）项目决策情况</w:t>
      </w:r>
    </w:p>
    <w:p w14:paraId="341F7C0A">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FF0000"/>
          <w:sz w:val="24"/>
          <w:szCs w:val="24"/>
        </w:rPr>
      </w:pPr>
      <w:r>
        <w:rPr>
          <w:rFonts w:hint="eastAsia" w:ascii="宋体" w:hAnsi="宋体" w:eastAsia="宋体" w:cs="宋体"/>
          <w:sz w:val="24"/>
          <w:szCs w:val="24"/>
        </w:rPr>
        <w:t>项目决策类指标包括项目立项、绩效目标和资金投入三方面的内容，由6个三级指标构成，权重分</w:t>
      </w:r>
      <w:r>
        <w:rPr>
          <w:rFonts w:hint="eastAsia" w:ascii="宋体" w:hAnsi="宋体" w:eastAsia="宋体" w:cs="宋体"/>
          <w:sz w:val="24"/>
          <w:szCs w:val="24"/>
          <w:highlight w:val="none"/>
        </w:rPr>
        <w:t>为15分</w:t>
      </w:r>
      <w:r>
        <w:rPr>
          <w:rFonts w:hint="eastAsia" w:ascii="宋体" w:hAnsi="宋体" w:eastAsia="宋体" w:cs="宋体"/>
          <w:sz w:val="24"/>
          <w:szCs w:val="24"/>
          <w:highlight w:val="none"/>
          <w:lang w:eastAsia="zh-CN"/>
        </w:rPr>
        <w:t>，</w:t>
      </w:r>
      <w:r>
        <w:rPr>
          <w:rFonts w:hint="eastAsia" w:ascii="宋体" w:hAnsi="宋体" w:eastAsia="宋体" w:cs="宋体"/>
          <w:color w:val="auto"/>
          <w:sz w:val="24"/>
          <w:szCs w:val="24"/>
          <w:highlight w:val="none"/>
        </w:rPr>
        <w:t>实际得分</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B379CEC">
      <w:pPr>
        <w:keepNext w:val="0"/>
        <w:keepLines w:val="0"/>
        <w:pageBreakBefore w:val="0"/>
        <w:widowControl w:val="0"/>
        <w:numPr>
          <w:ilvl w:val="0"/>
          <w:numId w:val="5"/>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立项依据充分性：</w:t>
      </w:r>
    </w:p>
    <w:p w14:paraId="3E7260BC">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本项目立项符合</w:t>
      </w:r>
      <w:r>
        <w:rPr>
          <w:rFonts w:hint="eastAsia" w:ascii="宋体" w:hAnsi="宋体" w:eastAsia="宋体" w:cs="宋体"/>
          <w:color w:val="auto"/>
          <w:sz w:val="24"/>
          <w:szCs w:val="24"/>
        </w:rPr>
        <w:t>该项目主要通过专项资金-和地财综【2023】21号：2024年中央专项彩票公益金（2024年“宫颈癌”检查项目）和地财宗21号文件立项，</w:t>
      </w:r>
      <w:r>
        <w:rPr>
          <w:rFonts w:hint="eastAsia" w:ascii="宋体" w:hAnsi="宋体" w:eastAsia="宋体" w:cs="宋体"/>
          <w:color w:val="000000"/>
          <w:sz w:val="24"/>
          <w:szCs w:val="24"/>
        </w:rPr>
        <w:t>本项目立项符合</w:t>
      </w:r>
      <w:r>
        <w:rPr>
          <w:rFonts w:hint="eastAsia" w:ascii="宋体" w:hAnsi="宋体" w:eastAsia="宋体" w:cs="宋体"/>
          <w:color w:val="auto"/>
          <w:sz w:val="24"/>
          <w:szCs w:val="24"/>
        </w:rPr>
        <w:t>2024年中央专项彩票公益金（2024年“宫颈癌”检查项目）</w:t>
      </w:r>
      <w:r>
        <w:rPr>
          <w:rFonts w:hint="eastAsia" w:ascii="宋体" w:hAnsi="宋体" w:eastAsia="宋体" w:cs="宋体"/>
          <w:color w:val="000000"/>
          <w:sz w:val="24"/>
          <w:szCs w:val="24"/>
        </w:rPr>
        <w:t>符合行业发展规划和政策要求；本项目立项符合《</w:t>
      </w:r>
      <w:r>
        <w:rPr>
          <w:rFonts w:hint="eastAsia" w:ascii="宋体" w:hAnsi="宋体" w:eastAsia="宋体" w:cs="宋体"/>
          <w:color w:val="auto"/>
          <w:sz w:val="24"/>
          <w:szCs w:val="24"/>
          <w:lang w:val="en-US" w:eastAsia="zh-CN"/>
        </w:rPr>
        <w:t>洛浦县妇幼保健院</w:t>
      </w:r>
      <w:r>
        <w:rPr>
          <w:rFonts w:hint="eastAsia" w:ascii="宋体" w:hAnsi="宋体" w:eastAsia="宋体" w:cs="宋体"/>
          <w:color w:val="000000"/>
          <w:sz w:val="24"/>
          <w:szCs w:val="24"/>
        </w:rPr>
        <w:t>单位配置内设机构和人员编制规定》中职责范围中的</w:t>
      </w:r>
      <w:r>
        <w:rPr>
          <w:rFonts w:hint="eastAsia" w:ascii="宋体" w:hAnsi="宋体" w:eastAsia="宋体" w:cs="宋体"/>
          <w:color w:val="auto"/>
          <w:sz w:val="24"/>
          <w:szCs w:val="24"/>
          <w:highlight w:val="none"/>
        </w:rPr>
        <w:t>“</w:t>
      </w:r>
      <w:r>
        <w:rPr>
          <w:rStyle w:val="27"/>
          <w:rFonts w:hint="eastAsia" w:ascii="宋体" w:hAnsi="宋体" w:eastAsia="宋体" w:cs="宋体"/>
          <w:b w:val="0"/>
          <w:color w:val="auto"/>
          <w:spacing w:val="-4"/>
          <w:sz w:val="24"/>
          <w:szCs w:val="24"/>
          <w:highlight w:val="none"/>
          <w:lang w:eastAsia="zh-CN"/>
        </w:rPr>
        <w:t>制定并组织实施卫生健康基本公共服务均等化、普惠化、便捷化和公共资源向基层延伸等政策措施</w:t>
      </w:r>
      <w:r>
        <w:rPr>
          <w:rFonts w:hint="eastAsia" w:ascii="宋体" w:hAnsi="宋体" w:eastAsia="宋体" w:cs="宋体"/>
          <w:color w:val="auto"/>
          <w:sz w:val="24"/>
          <w:szCs w:val="24"/>
          <w:highlight w:val="none"/>
        </w:rPr>
        <w:t>”，</w:t>
      </w:r>
      <w:r>
        <w:rPr>
          <w:rFonts w:hint="eastAsia" w:ascii="宋体" w:hAnsi="宋体" w:eastAsia="宋体" w:cs="宋体"/>
          <w:color w:val="000000"/>
          <w:sz w:val="24"/>
          <w:szCs w:val="24"/>
        </w:rPr>
        <w:t>属于我单位履职所需；根据</w:t>
      </w:r>
      <w:r>
        <w:rPr>
          <w:rFonts w:hint="eastAsia" w:ascii="宋体" w:hAnsi="宋体" w:eastAsia="宋体" w:cs="宋体"/>
          <w:color w:val="auto"/>
          <w:sz w:val="24"/>
          <w:szCs w:val="24"/>
        </w:rPr>
        <w:t>《财政资金直接支付申请书》</w:t>
      </w:r>
      <w:r>
        <w:rPr>
          <w:rFonts w:hint="eastAsia" w:ascii="宋体" w:hAnsi="宋体" w:eastAsia="宋体" w:cs="宋体"/>
          <w:color w:val="000000"/>
          <w:sz w:val="24"/>
          <w:szCs w:val="24"/>
        </w:rPr>
        <w:t>，本项目资金性质为“公共财政预算”功能分类为“</w:t>
      </w:r>
      <w:r>
        <w:rPr>
          <w:rFonts w:hint="eastAsia" w:ascii="宋体" w:hAnsi="宋体" w:eastAsia="宋体" w:cs="宋体"/>
          <w:color w:val="000000"/>
          <w:sz w:val="24"/>
          <w:szCs w:val="24"/>
          <w:lang w:val="en-US" w:eastAsia="zh-CN"/>
        </w:rPr>
        <w:t>229999</w:t>
      </w:r>
      <w:r>
        <w:rPr>
          <w:rFonts w:hint="eastAsia" w:ascii="宋体" w:hAnsi="宋体" w:eastAsia="宋体" w:cs="宋体"/>
          <w:color w:val="000000"/>
          <w:sz w:val="24"/>
          <w:szCs w:val="24"/>
        </w:rPr>
        <w:t>”经济分类为“</w:t>
      </w:r>
      <w:r>
        <w:rPr>
          <w:rFonts w:hint="eastAsia" w:ascii="宋体" w:hAnsi="宋体" w:eastAsia="宋体" w:cs="宋体"/>
          <w:color w:val="000000"/>
          <w:sz w:val="24"/>
          <w:szCs w:val="24"/>
          <w:lang w:val="en-US" w:eastAsia="zh-CN"/>
        </w:rPr>
        <w:t>229999</w:t>
      </w:r>
      <w:r>
        <w:rPr>
          <w:rFonts w:hint="eastAsia" w:ascii="宋体" w:hAnsi="宋体" w:eastAsia="宋体" w:cs="宋体"/>
          <w:color w:val="000000"/>
          <w:sz w:val="24"/>
          <w:szCs w:val="24"/>
        </w:rPr>
        <w:t>”属</w:t>
      </w:r>
      <w:r>
        <w:rPr>
          <w:rFonts w:hint="eastAsia" w:ascii="宋体" w:hAnsi="宋体" w:eastAsia="宋体" w:cs="宋体"/>
          <w:color w:val="000000"/>
          <w:sz w:val="24"/>
          <w:szCs w:val="24"/>
          <w:highlight w:val="none"/>
        </w:rPr>
        <w:t>于公共财政支持范围，符合中央、地方事权支出责任划分原则；经检查我单位财政应用平台指标，本项目不存在重复。</w:t>
      </w:r>
    </w:p>
    <w:p w14:paraId="2C45A860">
      <w:pPr>
        <w:keepNext w:val="0"/>
        <w:keepLines w:val="0"/>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综上所述，</w:t>
      </w:r>
      <w:r>
        <w:rPr>
          <w:rFonts w:hint="eastAsia" w:ascii="宋体" w:hAnsi="宋体" w:eastAsia="宋体" w:cs="宋体"/>
          <w:color w:val="000000"/>
          <w:sz w:val="24"/>
          <w:szCs w:val="24"/>
          <w:highlight w:val="none"/>
        </w:rPr>
        <w:t>本指标满分为</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r>
        <w:rPr>
          <w:rFonts w:hint="eastAsia" w:ascii="宋体" w:hAnsi="宋体" w:eastAsia="宋体" w:cs="宋体"/>
          <w:sz w:val="24"/>
          <w:szCs w:val="24"/>
          <w:highlight w:val="none"/>
        </w:rPr>
        <w:t>本项目立项依据</w:t>
      </w:r>
      <w:r>
        <w:rPr>
          <w:rFonts w:hint="eastAsia" w:ascii="宋体" w:hAnsi="宋体" w:eastAsia="宋体" w:cs="宋体"/>
          <w:sz w:val="24"/>
          <w:szCs w:val="24"/>
          <w:highlight w:val="none"/>
          <w:lang w:val="en-US" w:eastAsia="zh-CN"/>
        </w:rPr>
        <w:t>2分</w:t>
      </w:r>
      <w:r>
        <w:rPr>
          <w:rFonts w:hint="eastAsia" w:ascii="宋体" w:hAnsi="宋体" w:eastAsia="宋体" w:cs="宋体"/>
          <w:sz w:val="24"/>
          <w:szCs w:val="24"/>
          <w:highlight w:val="none"/>
        </w:rPr>
        <w:t>。</w:t>
      </w:r>
    </w:p>
    <w:p w14:paraId="158503F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（2）立项程序规范性：</w:t>
      </w:r>
    </w:p>
    <w:p w14:paraId="50128AB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eastAsia="zh-CN"/>
        </w:rPr>
        <w:t>立项程序规范</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val="en-US" w:eastAsia="zh-CN"/>
        </w:rPr>
        <w:t>特定目标</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12.93</w:t>
      </w:r>
      <w:r>
        <w:rPr>
          <w:rFonts w:hint="eastAsia" w:ascii="宋体" w:hAnsi="宋体" w:eastAsia="宋体" w:cs="宋体"/>
          <w:color w:val="auto"/>
          <w:sz w:val="24"/>
          <w:szCs w:val="24"/>
          <w:highlight w:val="none"/>
        </w:rPr>
        <w:t>万元，不涉及事前绩效评估和风险评估，已委托</w:t>
      </w:r>
      <w:r>
        <w:rPr>
          <w:rFonts w:hint="eastAsia" w:ascii="宋体" w:hAnsi="宋体" w:eastAsia="宋体" w:cs="宋体"/>
          <w:color w:val="auto"/>
          <w:sz w:val="24"/>
          <w:szCs w:val="24"/>
          <w:highlight w:val="none"/>
          <w:lang w:val="en-US" w:eastAsia="zh-CN"/>
        </w:rPr>
        <w:t>洛浦县财政局</w:t>
      </w:r>
      <w:r>
        <w:rPr>
          <w:rFonts w:hint="eastAsia" w:ascii="宋体" w:hAnsi="宋体" w:eastAsia="宋体" w:cs="宋体"/>
          <w:color w:val="auto"/>
          <w:sz w:val="24"/>
          <w:szCs w:val="24"/>
          <w:highlight w:val="none"/>
        </w:rPr>
        <w:t>单位完成本项目可行性研究报告的编制，并经过专家论证。</w:t>
      </w:r>
    </w:p>
    <w:p w14:paraId="0813272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r>
        <w:rPr>
          <w:rFonts w:hint="eastAsia" w:ascii="宋体" w:hAnsi="宋体" w:eastAsia="宋体" w:cs="宋体"/>
          <w:b/>
          <w:bCs/>
          <w:sz w:val="24"/>
          <w:szCs w:val="24"/>
        </w:rPr>
        <w:t>（3）绩效目标合理性</w:t>
      </w:r>
      <w:r>
        <w:rPr>
          <w:rFonts w:hint="eastAsia" w:ascii="宋体" w:hAnsi="宋体" w:eastAsia="宋体" w:cs="宋体"/>
          <w:sz w:val="24"/>
          <w:szCs w:val="24"/>
        </w:rPr>
        <w:t>：</w:t>
      </w:r>
    </w:p>
    <w:p w14:paraId="507BDF7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①该项目已设置年度绩效目标，具体内容为专项资金-和地财综【2023】21号：2024年中央专项彩票公益金（2024年“宫颈癌”检查项目）和地财宗21号文件</w:t>
      </w:r>
      <w:r>
        <w:rPr>
          <w:rFonts w:hint="eastAsia" w:ascii="宋体" w:hAnsi="宋体" w:eastAsia="宋体" w:cs="宋体"/>
          <w:color w:val="auto"/>
          <w:sz w:val="24"/>
          <w:szCs w:val="24"/>
          <w:highlight w:val="none"/>
        </w:rPr>
        <w:t>实施本项目</w:t>
      </w:r>
      <w:r>
        <w:rPr>
          <w:rFonts w:hint="eastAsia" w:ascii="宋体" w:hAnsi="宋体" w:eastAsia="宋体" w:cs="宋体"/>
          <w:color w:val="auto"/>
          <w:sz w:val="24"/>
          <w:szCs w:val="24"/>
        </w:rPr>
        <w:t>。</w:t>
      </w:r>
    </w:p>
    <w:p w14:paraId="6AA8C04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w:t>
      </w:r>
      <w:r>
        <w:rPr>
          <w:rFonts w:ascii="宋体" w:hAnsi="宋体" w:eastAsia="宋体" w:cs="宋体"/>
          <w:sz w:val="24"/>
          <w:szCs w:val="24"/>
        </w:rPr>
        <w:br w:type="textWrapping"/>
      </w:r>
      <w:r>
        <w:rPr>
          <w:rFonts w:hint="eastAsia" w:ascii="宋体" w:hAnsi="宋体" w:eastAsia="宋体" w:cs="宋体"/>
          <w:color w:val="auto"/>
          <w:sz w:val="24"/>
          <w:szCs w:val="24"/>
          <w:highlight w:val="none"/>
        </w:rPr>
        <w:t>完成5500名适龄妇女宫颈癌检查，县乡级培训人120人次，本机构人员去上级部门技术培训2人次，购置印刷用品1批，购置办公用品1批，保障公务用车2辆，宫颈癌癌早期诊断率达到90%以上，于2024年12月完成；项目总投资12.93万元，其中培训费1.0754万元，印刷费3.741万元，办公用品费1.5308万元，车辆运行费0.4485万元，采购小型医疗设备6.095万元。通过本项目的实施，有效提高农村妇女自我保健意识和技能，持续完善妇女“宫颈癌”防治工作机制，争取使受益员工及受益妇女满意度达到95%以上。绩效目标与实际工作内容一致，两者具有相关性。</w:t>
      </w:r>
    </w:p>
    <w:p w14:paraId="4476B69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val="en-US" w:eastAsia="zh-CN"/>
        </w:rPr>
        <w:t>该项目的各项指标</w:t>
      </w:r>
      <w:r>
        <w:rPr>
          <w:rFonts w:hint="eastAsia" w:ascii="宋体" w:hAnsi="宋体" w:eastAsia="宋体" w:cs="宋体"/>
          <w:color w:val="auto"/>
          <w:sz w:val="24"/>
          <w:szCs w:val="24"/>
          <w:highlight w:val="none"/>
        </w:rPr>
        <w:t>，达到</w:t>
      </w:r>
      <w:r>
        <w:rPr>
          <w:rFonts w:ascii="Arial" w:hAnsi="Arial" w:eastAsia="宋体" w:cs="Arial"/>
          <w:i w:val="0"/>
          <w:iCs w:val="0"/>
          <w:caps w:val="0"/>
          <w:color w:val="2B2B2B"/>
          <w:spacing w:val="0"/>
          <w:sz w:val="19"/>
          <w:szCs w:val="19"/>
          <w:shd w:val="clear" w:color="auto" w:fill="EDEDED"/>
        </w:rPr>
        <w:t>提</w:t>
      </w:r>
      <w:r>
        <w:rPr>
          <w:rFonts w:hint="eastAsia" w:ascii="宋体" w:hAnsi="宋体" w:eastAsia="宋体" w:cs="宋体"/>
          <w:color w:val="auto"/>
          <w:sz w:val="24"/>
          <w:szCs w:val="24"/>
          <w:highlight w:val="none"/>
          <w:lang w:val="en-US" w:eastAsia="zh-CN"/>
        </w:rPr>
        <w:t>高农村妇女自我保健意识和技能效</w:t>
      </w:r>
      <w:r>
        <w:rPr>
          <w:rFonts w:hint="eastAsia" w:ascii="宋体" w:hAnsi="宋体" w:eastAsia="宋体" w:cs="宋体"/>
          <w:color w:val="auto"/>
          <w:sz w:val="24"/>
          <w:szCs w:val="24"/>
          <w:highlight w:val="none"/>
        </w:rPr>
        <w:t>益，预期产出效益和效果是否符合正常的业绩水平。</w:t>
      </w:r>
    </w:p>
    <w:p w14:paraId="0D39615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12.93</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12.93</w:t>
      </w:r>
      <w:r>
        <w:rPr>
          <w:rFonts w:hint="eastAsia" w:ascii="宋体" w:hAnsi="宋体" w:eastAsia="宋体" w:cs="宋体"/>
          <w:color w:val="auto"/>
          <w:sz w:val="24"/>
          <w:szCs w:val="24"/>
          <w:highlight w:val="none"/>
        </w:rPr>
        <w:t>万元，预算确定的项目资金与预算确定的项目投资额相匹配。</w:t>
      </w:r>
    </w:p>
    <w:p w14:paraId="423EE5F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制定了实施方案，明确了总体思路及目标、并对任务进行了详细分解，对目标进行了细化，根据评分标准，该指标不扣分，得3分。</w:t>
      </w:r>
    </w:p>
    <w:p w14:paraId="32ADCB24">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，共设置一级指标3个，二级指标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95</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4EF6674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w:t>
      </w:r>
      <w:r>
        <w:rPr>
          <w:rFonts w:hint="eastAsia" w:ascii="宋体" w:hAnsi="宋体" w:eastAsia="宋体" w:cs="宋体"/>
          <w:color w:val="auto"/>
          <w:sz w:val="24"/>
          <w:szCs w:val="24"/>
          <w:highlight w:val="none"/>
          <w:lang w:val="en-US" w:eastAsia="zh-CN"/>
        </w:rPr>
        <w:t>7个</w:t>
      </w:r>
      <w:r>
        <w:rPr>
          <w:rFonts w:hint="eastAsia" w:ascii="宋体" w:hAnsi="宋体" w:eastAsia="宋体" w:cs="宋体"/>
          <w:color w:val="auto"/>
          <w:sz w:val="24"/>
          <w:szCs w:val="24"/>
          <w:highlight w:val="none"/>
        </w:rPr>
        <w:t>，三级指标的年度指标值与年度绩效目标中任务数一致（或不完全一致），已设置时效指标“</w:t>
      </w:r>
      <w:r>
        <w:rPr>
          <w:rFonts w:hint="eastAsia" w:ascii="宋体" w:hAnsi="宋体" w:eastAsia="宋体" w:cs="宋体"/>
          <w:color w:val="auto"/>
          <w:sz w:val="24"/>
          <w:szCs w:val="24"/>
          <w:highlight w:val="none"/>
          <w:lang w:val="en-US" w:eastAsia="zh-CN"/>
        </w:rPr>
        <w:t>2个</w:t>
      </w:r>
      <w:r>
        <w:rPr>
          <w:rFonts w:hint="eastAsia" w:ascii="宋体" w:hAnsi="宋体" w:eastAsia="宋体" w:cs="宋体"/>
          <w:color w:val="auto"/>
          <w:sz w:val="24"/>
          <w:szCs w:val="24"/>
          <w:highlight w:val="none"/>
        </w:rPr>
        <w:t>”。已设置的绩效目标具备明确性、可衡量性、可实现性、相关性、时限性。根据评分标准，该指标不扣分，得2分。</w:t>
      </w:r>
    </w:p>
    <w:p w14:paraId="0A2909C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eastAsia="zh-CN"/>
        </w:rPr>
        <w:t>预算编制科学</w:t>
      </w:r>
      <w:r>
        <w:rPr>
          <w:rFonts w:hint="eastAsia" w:ascii="宋体" w:hAnsi="宋体" w:eastAsia="宋体" w:cs="宋体"/>
          <w:color w:val="auto"/>
          <w:sz w:val="24"/>
          <w:szCs w:val="24"/>
          <w:highlight w:val="none"/>
        </w:rPr>
        <w:t>，即预算编制较科学且经过论证；</w:t>
      </w:r>
    </w:p>
    <w:p w14:paraId="57D1325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预算申请内容为</w:t>
      </w:r>
      <w:r>
        <w:rPr>
          <w:rFonts w:hint="eastAsia" w:ascii="宋体" w:hAnsi="宋体" w:eastAsia="宋体" w:cs="宋体"/>
          <w:color w:val="auto"/>
          <w:sz w:val="24"/>
          <w:szCs w:val="24"/>
        </w:rPr>
        <w:t>专项资金-和地财综【2023】21号：2024年中央专项彩票公益金（2024年“宫颈癌”检查项目）</w:t>
      </w:r>
      <w:r>
        <w:rPr>
          <w:rFonts w:hint="eastAsia" w:ascii="宋体" w:hAnsi="宋体" w:eastAsia="宋体" w:cs="宋体"/>
          <w:color w:val="auto"/>
          <w:sz w:val="24"/>
          <w:szCs w:val="24"/>
          <w:highlight w:val="none"/>
        </w:rPr>
        <w:t>，项目实际内容为</w:t>
      </w:r>
      <w:r>
        <w:rPr>
          <w:rFonts w:hint="eastAsia" w:ascii="宋体" w:hAnsi="宋体" w:eastAsia="宋体" w:cs="宋体"/>
          <w:color w:val="auto"/>
          <w:sz w:val="24"/>
          <w:szCs w:val="24"/>
        </w:rPr>
        <w:t>专项资金-和地财综【2023】21号：2024年中央专项彩票公益金（2024年“宫颈癌”检查项目）</w:t>
      </w:r>
      <w:r>
        <w:rPr>
          <w:rFonts w:hint="eastAsia" w:ascii="宋体" w:hAnsi="宋体" w:eastAsia="宋体" w:cs="宋体"/>
          <w:color w:val="auto"/>
          <w:sz w:val="24"/>
          <w:szCs w:val="24"/>
          <w:highlight w:val="none"/>
        </w:rPr>
        <w:t>，预算申请与《</w:t>
      </w:r>
      <w:r>
        <w:rPr>
          <w:rFonts w:hint="eastAsia" w:ascii="宋体" w:hAnsi="宋体" w:eastAsia="宋体" w:cs="宋体"/>
          <w:color w:val="auto"/>
          <w:sz w:val="24"/>
          <w:szCs w:val="24"/>
        </w:rPr>
        <w:t>专项资金-和地财综【2023】21号：2024年中央专项彩票公益金（2024年“宫颈癌”检查项目）</w:t>
      </w:r>
      <w:r>
        <w:rPr>
          <w:rFonts w:hint="eastAsia" w:ascii="宋体" w:hAnsi="宋体" w:eastAsia="宋体" w:cs="宋体"/>
          <w:color w:val="auto"/>
          <w:sz w:val="24"/>
          <w:szCs w:val="24"/>
          <w:highlight w:val="none"/>
        </w:rPr>
        <w:t>项目实施方案》中涉及的项目内容匹配；</w:t>
      </w:r>
    </w:p>
    <w:p w14:paraId="37E6A4B3">
      <w:pPr>
        <w:pStyle w:val="47"/>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12.93</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val="en-US" w:eastAsia="zh-CN"/>
        </w:rPr>
        <w:t>培训费1.0754</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印刷费3.741</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办公用品费1.5038</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小型设备采购6.095</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车辆运行费0.4885</w:t>
      </w:r>
      <w:r>
        <w:rPr>
          <w:rFonts w:hint="eastAsia" w:ascii="宋体" w:hAnsi="宋体" w:eastAsia="宋体" w:cs="宋体"/>
          <w:color w:val="auto"/>
          <w:sz w:val="24"/>
          <w:szCs w:val="24"/>
          <w:highlight w:val="none"/>
        </w:rPr>
        <w:t>万元；预算确定资金量与实际工作任务相匹配。本项目预算额度测算依据充分，严格按照标准编制，预算确定资金量与实际工作任务相匹配；根据评分标准，该指标不扣分，得3分。</w:t>
      </w:r>
    </w:p>
    <w:p w14:paraId="1AE9862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本项目实际分配资金以《关于申请</w:t>
      </w:r>
      <w:r>
        <w:rPr>
          <w:rFonts w:hint="eastAsia" w:ascii="宋体" w:hAnsi="宋体" w:eastAsia="宋体" w:cs="宋体"/>
          <w:color w:val="auto"/>
          <w:sz w:val="24"/>
          <w:szCs w:val="24"/>
        </w:rPr>
        <w:t>专项资金-和地财综【2023】21号：2024年中央专项彩票公益金（2024年“宫颈癌”检查项目）</w:t>
      </w:r>
      <w:r>
        <w:rPr>
          <w:rFonts w:hint="eastAsia" w:ascii="宋体" w:hAnsi="宋体" w:eastAsia="宋体" w:cs="宋体"/>
          <w:color w:val="auto"/>
          <w:sz w:val="24"/>
          <w:szCs w:val="24"/>
          <w:highlight w:val="none"/>
        </w:rPr>
        <w:t>项目资金的请示》和《</w:t>
      </w:r>
      <w:r>
        <w:rPr>
          <w:rFonts w:hint="eastAsia" w:ascii="宋体" w:hAnsi="宋体" w:eastAsia="宋体" w:cs="宋体"/>
          <w:color w:val="auto"/>
          <w:sz w:val="24"/>
          <w:szCs w:val="24"/>
        </w:rPr>
        <w:t>专项资金-和地财综【2023】21号：2024年中央专项彩票公益金（2024年“宫颈癌”检查项目）</w:t>
      </w:r>
      <w:r>
        <w:rPr>
          <w:rFonts w:hint="eastAsia" w:ascii="宋体" w:hAnsi="宋体" w:eastAsia="宋体" w:cs="宋体"/>
          <w:color w:val="auto"/>
          <w:sz w:val="24"/>
          <w:szCs w:val="24"/>
          <w:highlight w:val="none"/>
        </w:rPr>
        <w:t>项目实施方案》为依据进行资金分配，预算资金分配依据充分。根据《</w:t>
      </w:r>
      <w:r>
        <w:rPr>
          <w:rFonts w:hint="eastAsia" w:ascii="宋体" w:hAnsi="宋体" w:eastAsia="宋体" w:cs="宋体"/>
          <w:color w:val="auto"/>
          <w:sz w:val="24"/>
          <w:szCs w:val="24"/>
        </w:rPr>
        <w:t>专项资金-和地财综【2023】21号：2024年中央专项彩票公益金（2024年“宫颈癌”检查项目）</w:t>
      </w:r>
      <w:r>
        <w:rPr>
          <w:rFonts w:hint="eastAsia" w:ascii="宋体" w:hAnsi="宋体" w:eastAsia="宋体" w:cs="宋体"/>
          <w:color w:val="auto"/>
          <w:sz w:val="24"/>
          <w:szCs w:val="24"/>
          <w:lang w:val="en-US" w:eastAsia="zh-CN"/>
        </w:rPr>
        <w:t>和地财宗27号</w:t>
      </w:r>
      <w:r>
        <w:rPr>
          <w:rFonts w:hint="eastAsia" w:ascii="宋体" w:hAnsi="宋体" w:eastAsia="宋体" w:cs="宋体"/>
          <w:color w:val="auto"/>
          <w:sz w:val="24"/>
          <w:szCs w:val="24"/>
          <w:highlight w:val="none"/>
        </w:rPr>
        <w:t>文件》本项目实际到位资金</w:t>
      </w:r>
      <w:r>
        <w:rPr>
          <w:rFonts w:hint="eastAsia" w:ascii="宋体" w:hAnsi="宋体" w:eastAsia="宋体" w:cs="宋体"/>
          <w:color w:val="auto"/>
          <w:sz w:val="24"/>
          <w:szCs w:val="24"/>
          <w:highlight w:val="none"/>
          <w:lang w:val="en-US" w:eastAsia="zh-CN"/>
        </w:rPr>
        <w:t>12.93</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万元，资金分配额度合理，与我单位实际需求相适应。资金分配与实际相适应，根据评分标准，该指标不扣分，得2分。</w:t>
      </w:r>
    </w:p>
    <w:p w14:paraId="7DA7986F">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22431F1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项目过程类指标包括资金管理和组织实施两方面的内容，由 5个三级指标构成，权重分为20分</w:t>
      </w:r>
      <w:r>
        <w:rPr>
          <w:rFonts w:hint="eastAsia" w:ascii="宋体" w:hAnsi="宋体" w:eastAsia="宋体" w:cs="宋体"/>
          <w:color w:val="auto"/>
          <w:sz w:val="24"/>
          <w:szCs w:val="24"/>
          <w:highlight w:val="none"/>
        </w:rPr>
        <w:t>，实际得分</w:t>
      </w:r>
      <w:r>
        <w:rPr>
          <w:rFonts w:hint="eastAsia" w:ascii="宋体" w:hAnsi="宋体" w:eastAsia="宋体" w:cs="宋体"/>
          <w:color w:val="auto"/>
          <w:sz w:val="24"/>
          <w:szCs w:val="24"/>
          <w:highlight w:val="none"/>
          <w:lang w:val="en-US" w:eastAsia="zh-CN"/>
        </w:rPr>
        <w:t>17.8</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88.85</w:t>
      </w:r>
      <w:r>
        <w:rPr>
          <w:rFonts w:hint="eastAsia" w:ascii="宋体" w:hAnsi="宋体" w:eastAsia="宋体" w:cs="宋体"/>
          <w:color w:val="auto"/>
          <w:sz w:val="24"/>
          <w:szCs w:val="24"/>
          <w:highlight w:val="none"/>
        </w:rPr>
        <w:t>%。</w:t>
      </w:r>
    </w:p>
    <w:p w14:paraId="62300C8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12.93</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12.93</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12.93</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根据评分标准，该指标不扣分，得3分。   </w:t>
      </w:r>
    </w:p>
    <w:p w14:paraId="0A24995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12.93</w:t>
      </w:r>
      <w:r>
        <w:rPr>
          <w:rFonts w:hint="eastAsia" w:ascii="宋体" w:hAnsi="宋体" w:eastAsia="宋体" w:cs="宋体"/>
          <w:color w:val="auto"/>
          <w:sz w:val="24"/>
          <w:szCs w:val="24"/>
          <w:highlight w:val="none"/>
        </w:rPr>
        <w:t>万元，预算执行率=（实际支出资金/实际到位资金）×100.0%=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预算编制较为详细，项目资金支出总体能够按照预算执行，根据评分标准，该指标不扣分，得3分。</w:t>
      </w:r>
    </w:p>
    <w:p w14:paraId="073C8C2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洛浦县妇幼保健院</w:t>
      </w:r>
      <w:r>
        <w:rPr>
          <w:rFonts w:hint="eastAsia" w:ascii="宋体" w:hAnsi="宋体" w:eastAsia="宋体" w:cs="宋体"/>
          <w:color w:val="auto"/>
          <w:sz w:val="24"/>
          <w:szCs w:val="24"/>
          <w:highlight w:val="none"/>
        </w:rPr>
        <w:t>单位资金管理办法》《</w:t>
      </w:r>
      <w:r>
        <w:rPr>
          <w:rFonts w:hint="eastAsia" w:ascii="宋体" w:hAnsi="宋体" w:eastAsia="宋体" w:cs="宋体"/>
          <w:color w:val="auto"/>
          <w:sz w:val="24"/>
          <w:szCs w:val="24"/>
          <w:highlight w:val="none"/>
          <w:lang w:val="en-US" w:eastAsia="zh-CN"/>
        </w:rPr>
        <w:t>洛浦县妇幼保健院</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制定了相关的制度和管理规定对经费使用进行规范管理，财务制度健全、执行严格，根据评分标准，该指标不扣分，得4分。</w:t>
      </w:r>
    </w:p>
    <w:p w14:paraId="568FE0B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b w:val="0"/>
          <w:bCs w:val="0"/>
          <w:color w:val="auto"/>
          <w:sz w:val="24"/>
          <w:szCs w:val="24"/>
          <w:highlight w:val="none"/>
          <w:lang w:val="en-US" w:eastAsia="zh-CN"/>
        </w:rPr>
        <w:t>洛浦县妇幼保健院</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b w:val="0"/>
          <w:bCs w:val="0"/>
          <w:color w:val="auto"/>
          <w:sz w:val="24"/>
          <w:szCs w:val="24"/>
          <w:highlight w:val="none"/>
          <w:lang w:val="en-US" w:eastAsia="zh-CN"/>
        </w:rPr>
        <w:t>洛浦县妇幼保健院</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b w:val="0"/>
          <w:bCs w:val="0"/>
          <w:color w:val="auto"/>
          <w:sz w:val="24"/>
          <w:szCs w:val="24"/>
          <w:highlight w:val="none"/>
          <w:lang w:val="en-US" w:eastAsia="zh-CN"/>
        </w:rPr>
        <w:t>洛浦县妇幼保健院</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b w:val="0"/>
          <w:bCs w:val="0"/>
          <w:color w:val="auto"/>
          <w:sz w:val="24"/>
          <w:szCs w:val="24"/>
          <w:highlight w:val="none"/>
          <w:lang w:val="en-US" w:eastAsia="zh-CN"/>
        </w:rPr>
        <w:t>洛浦县妇幼保健院</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制度均符合行政事业单位内控管理要求，财务和业务管理制度合法、合规、完整，本项目执行符合上述制度规定。根据评分标准，该指标不扣分，得5分。</w:t>
      </w:r>
    </w:p>
    <w:p w14:paraId="468515B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val="en-US" w:eastAsia="zh-CN"/>
        </w:rPr>
        <w:t>洛浦县妇幼保健院</w:t>
      </w:r>
      <w:r>
        <w:rPr>
          <w:rFonts w:hint="eastAsia" w:ascii="宋体" w:hAnsi="宋体" w:eastAsia="宋体" w:cs="宋体"/>
          <w:color w:val="auto"/>
          <w:sz w:val="24"/>
          <w:szCs w:val="24"/>
          <w:highlight w:val="none"/>
        </w:rPr>
        <w:t>办法》《</w:t>
      </w:r>
      <w:r>
        <w:rPr>
          <w:rFonts w:hint="eastAsia" w:ascii="宋体" w:hAnsi="宋体" w:eastAsia="宋体" w:cs="宋体"/>
          <w:color w:val="auto"/>
          <w:sz w:val="24"/>
          <w:szCs w:val="24"/>
          <w:highlight w:val="none"/>
          <w:lang w:val="en-US" w:eastAsia="zh-CN"/>
        </w:rPr>
        <w:t>洛浦县妇幼保健院</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val="en-US" w:eastAsia="zh-CN"/>
        </w:rPr>
        <w:t>洛浦县妇幼保健院</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val="en-US" w:eastAsia="zh-CN"/>
        </w:rPr>
        <w:t>洛浦县妇幼保健院</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4A0400C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4A84295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41B56AC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auto"/>
          <w:sz w:val="24"/>
          <w:szCs w:val="24"/>
        </w:rPr>
        <w:t>专项资金-和地财综【2023】21号：2024年中央专项彩票公益金（2024年“宫颈癌”检查项目）</w:t>
      </w:r>
      <w:r>
        <w:rPr>
          <w:rFonts w:hint="eastAsia" w:ascii="宋体" w:hAnsi="宋体" w:eastAsia="宋体" w:cs="宋体"/>
          <w:color w:val="auto"/>
          <w:sz w:val="24"/>
          <w:szCs w:val="24"/>
          <w:highlight w:val="none"/>
        </w:rPr>
        <w:t>项目工作领导小组，由</w:t>
      </w:r>
      <w:r>
        <w:rPr>
          <w:rFonts w:hint="eastAsia" w:ascii="宋体" w:hAnsi="宋体" w:eastAsia="宋体" w:cs="宋体"/>
          <w:color w:val="auto"/>
          <w:sz w:val="24"/>
          <w:szCs w:val="24"/>
          <w:highlight w:val="none"/>
          <w:lang w:val="en-US" w:eastAsia="zh-CN"/>
        </w:rPr>
        <w:t>布威海丽且木</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val="en-US" w:eastAsia="zh-CN"/>
        </w:rPr>
        <w:t>布麦热姆</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val="en-US" w:eastAsia="zh-CN"/>
        </w:rPr>
        <w:t>夏迪娅</w:t>
      </w:r>
      <w:r>
        <w:rPr>
          <w:rFonts w:hint="eastAsia" w:ascii="宋体" w:hAnsi="宋体" w:eastAsia="宋体" w:cs="宋体"/>
          <w:color w:val="auto"/>
          <w:sz w:val="24"/>
          <w:szCs w:val="24"/>
          <w:highlight w:val="none"/>
        </w:rPr>
        <w:t>，主要负责项目监督管理、验收以及资金核拨等工作。根据评分标准，该指标不扣分，得5分。</w:t>
      </w:r>
    </w:p>
    <w:p w14:paraId="5680DE2A">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05937C4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386FD25">
      <w:pPr>
        <w:pageBreakBefore w:val="0"/>
        <w:widowControl w:val="0"/>
        <w:numPr>
          <w:ilvl w:val="0"/>
          <w:numId w:val="6"/>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5597D1A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rPr>
        <w:t>完成适龄农村适龄妇女宫颈癌检查人数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highlight w:val="none"/>
          <w:lang w:val="en-US" w:eastAsia="zh-CN"/>
        </w:rPr>
        <w:t>大于等于5500人，实际完成指5500人，</w:t>
      </w:r>
      <w:r>
        <w:rPr>
          <w:rFonts w:hint="eastAsia" w:ascii="宋体" w:hAnsi="宋体" w:eastAsia="宋体" w:cs="宋体"/>
          <w:color w:val="auto"/>
          <w:sz w:val="24"/>
          <w:szCs w:val="24"/>
          <w:highlight w:val="none"/>
          <w:lang w:eastAsia="zh-CN"/>
        </w:rPr>
        <w:t>指标完成率为</w:t>
      </w:r>
      <w:r>
        <w:rPr>
          <w:rFonts w:hint="eastAsia" w:ascii="宋体" w:hAnsi="宋体" w:eastAsia="宋体" w:cs="宋体"/>
          <w:color w:val="auto"/>
          <w:sz w:val="24"/>
          <w:szCs w:val="24"/>
          <w:highlight w:val="none"/>
          <w:lang w:val="en-US" w:eastAsia="zh-CN"/>
        </w:rPr>
        <w:t>100%，与预期目标一致，根据评分标准，该指标不扣分，得1分</w:t>
      </w:r>
      <w:r>
        <w:rPr>
          <w:rFonts w:hint="eastAsia" w:ascii="宋体" w:hAnsi="宋体" w:eastAsia="宋体" w:cs="宋体"/>
          <w:color w:val="auto"/>
          <w:sz w:val="24"/>
          <w:szCs w:val="24"/>
          <w:highlight w:val="none"/>
          <w:lang w:eastAsia="zh-CN"/>
        </w:rPr>
        <w:t>。</w:t>
      </w:r>
    </w:p>
    <w:p w14:paraId="3BF6D1E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rPr>
        <w:t>县乡级培训人次</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大于等于</w:t>
      </w:r>
      <w:r>
        <w:rPr>
          <w:rFonts w:hint="eastAsia" w:ascii="宋体" w:hAnsi="宋体" w:eastAsia="宋体" w:cs="宋体"/>
          <w:color w:val="auto"/>
          <w:sz w:val="24"/>
          <w:szCs w:val="24"/>
        </w:rPr>
        <w:t>120人次</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highlight w:val="none"/>
          <w:lang w:val="en-US" w:eastAsia="zh-CN"/>
        </w:rPr>
        <w:t>，实际完成指120人次，</w:t>
      </w:r>
      <w:r>
        <w:rPr>
          <w:rFonts w:hint="eastAsia" w:ascii="宋体" w:hAnsi="宋体" w:eastAsia="宋体" w:cs="宋体"/>
          <w:color w:val="auto"/>
          <w:sz w:val="24"/>
          <w:szCs w:val="24"/>
          <w:highlight w:val="none"/>
          <w:lang w:eastAsia="zh-CN"/>
        </w:rPr>
        <w:t>指标完成率为</w:t>
      </w:r>
      <w:r>
        <w:rPr>
          <w:rFonts w:hint="eastAsia" w:ascii="宋体" w:hAnsi="宋体" w:eastAsia="宋体" w:cs="宋体"/>
          <w:color w:val="auto"/>
          <w:sz w:val="24"/>
          <w:szCs w:val="24"/>
          <w:highlight w:val="none"/>
          <w:lang w:val="en-US" w:eastAsia="zh-CN"/>
        </w:rPr>
        <w:t>100%，与预期目标一致，根据评分标准，该指标不扣分，得1分</w:t>
      </w:r>
      <w:r>
        <w:rPr>
          <w:rFonts w:hint="eastAsia" w:ascii="宋体" w:hAnsi="宋体" w:eastAsia="宋体" w:cs="宋体"/>
          <w:color w:val="auto"/>
          <w:sz w:val="24"/>
          <w:szCs w:val="24"/>
          <w:highlight w:val="none"/>
          <w:lang w:eastAsia="zh-CN"/>
        </w:rPr>
        <w:t>。</w:t>
      </w:r>
    </w:p>
    <w:p w14:paraId="26C21BA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rPr>
        <w:t>本机构赴上级部门培训人次</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大于等于</w:t>
      </w:r>
      <w:r>
        <w:rPr>
          <w:rFonts w:hint="eastAsia" w:ascii="宋体" w:hAnsi="宋体" w:eastAsia="宋体" w:cs="宋体"/>
          <w:color w:val="auto"/>
          <w:sz w:val="24"/>
          <w:szCs w:val="24"/>
        </w:rPr>
        <w:t>2人次</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highlight w:val="none"/>
          <w:lang w:val="en-US" w:eastAsia="zh-CN"/>
        </w:rPr>
        <w:t>实际完成指2人，</w:t>
      </w:r>
      <w:r>
        <w:rPr>
          <w:rFonts w:hint="eastAsia" w:ascii="宋体" w:hAnsi="宋体" w:eastAsia="宋体" w:cs="宋体"/>
          <w:color w:val="auto"/>
          <w:sz w:val="24"/>
          <w:szCs w:val="24"/>
          <w:highlight w:val="none"/>
          <w:lang w:eastAsia="zh-CN"/>
        </w:rPr>
        <w:t>指标完成率为</w:t>
      </w:r>
      <w:r>
        <w:rPr>
          <w:rFonts w:hint="eastAsia" w:ascii="宋体" w:hAnsi="宋体" w:eastAsia="宋体" w:cs="宋体"/>
          <w:color w:val="auto"/>
          <w:sz w:val="24"/>
          <w:szCs w:val="24"/>
          <w:highlight w:val="none"/>
          <w:lang w:val="en-US" w:eastAsia="zh-CN"/>
        </w:rPr>
        <w:t>100%，与预期目标一致，根据评分标准，该指标不扣分，得1分</w:t>
      </w:r>
      <w:r>
        <w:rPr>
          <w:rFonts w:hint="eastAsia" w:ascii="宋体" w:hAnsi="宋体" w:eastAsia="宋体" w:cs="宋体"/>
          <w:color w:val="auto"/>
          <w:sz w:val="24"/>
          <w:szCs w:val="24"/>
          <w:highlight w:val="none"/>
          <w:lang w:eastAsia="zh-CN"/>
        </w:rPr>
        <w:t>。</w:t>
      </w:r>
    </w:p>
    <w:p w14:paraId="1E38EB5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rPr>
        <w:t>印刷用品批数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大于等于1批</w:t>
      </w:r>
      <w:r>
        <w:rPr>
          <w:rFonts w:hint="eastAsia" w:ascii="宋体" w:hAnsi="宋体" w:eastAsia="宋体" w:cs="宋体"/>
          <w:color w:val="auto"/>
          <w:sz w:val="24"/>
          <w:szCs w:val="24"/>
          <w:highlight w:val="none"/>
          <w:lang w:val="en-US" w:eastAsia="zh-CN"/>
        </w:rPr>
        <w:t>，实际完成指1批，</w:t>
      </w:r>
      <w:r>
        <w:rPr>
          <w:rFonts w:hint="eastAsia" w:ascii="宋体" w:hAnsi="宋体" w:eastAsia="宋体" w:cs="宋体"/>
          <w:color w:val="auto"/>
          <w:sz w:val="24"/>
          <w:szCs w:val="24"/>
          <w:highlight w:val="none"/>
          <w:lang w:eastAsia="zh-CN"/>
        </w:rPr>
        <w:t>指标完成率为</w:t>
      </w:r>
      <w:r>
        <w:rPr>
          <w:rFonts w:hint="eastAsia" w:ascii="宋体" w:hAnsi="宋体" w:eastAsia="宋体" w:cs="宋体"/>
          <w:color w:val="auto"/>
          <w:sz w:val="24"/>
          <w:szCs w:val="24"/>
          <w:highlight w:val="none"/>
          <w:lang w:val="en-US" w:eastAsia="zh-CN"/>
        </w:rPr>
        <w:t>100%，与预期目标一致，根据评分标准，该指标不扣分，得1分</w:t>
      </w:r>
      <w:r>
        <w:rPr>
          <w:rFonts w:hint="eastAsia" w:ascii="宋体" w:hAnsi="宋体" w:eastAsia="宋体" w:cs="宋体"/>
          <w:color w:val="auto"/>
          <w:sz w:val="24"/>
          <w:szCs w:val="24"/>
          <w:highlight w:val="none"/>
          <w:lang w:eastAsia="zh-CN"/>
        </w:rPr>
        <w:t>。</w:t>
      </w:r>
    </w:p>
    <w:p w14:paraId="71B2CF1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rPr>
        <w:t>购置办公用品批数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大于等于1批</w:t>
      </w:r>
      <w:r>
        <w:rPr>
          <w:rFonts w:hint="eastAsia" w:ascii="宋体" w:hAnsi="宋体" w:eastAsia="宋体" w:cs="宋体"/>
          <w:color w:val="auto"/>
          <w:sz w:val="24"/>
          <w:szCs w:val="24"/>
          <w:highlight w:val="none"/>
          <w:lang w:val="en-US" w:eastAsia="zh-CN"/>
        </w:rPr>
        <w:t>，实际完成指1批，</w:t>
      </w:r>
      <w:r>
        <w:rPr>
          <w:rFonts w:hint="eastAsia" w:ascii="宋体" w:hAnsi="宋体" w:eastAsia="宋体" w:cs="宋体"/>
          <w:color w:val="auto"/>
          <w:sz w:val="24"/>
          <w:szCs w:val="24"/>
          <w:highlight w:val="none"/>
          <w:lang w:eastAsia="zh-CN"/>
        </w:rPr>
        <w:t>指标完成率为</w:t>
      </w:r>
      <w:r>
        <w:rPr>
          <w:rFonts w:hint="eastAsia" w:ascii="宋体" w:hAnsi="宋体" w:eastAsia="宋体" w:cs="宋体"/>
          <w:color w:val="auto"/>
          <w:sz w:val="24"/>
          <w:szCs w:val="24"/>
          <w:highlight w:val="none"/>
          <w:lang w:val="en-US" w:eastAsia="zh-CN"/>
        </w:rPr>
        <w:t>100%，与预期目标一致，根据评分标准，该指标不扣分，得2分</w:t>
      </w:r>
      <w:r>
        <w:rPr>
          <w:rFonts w:hint="eastAsia" w:ascii="宋体" w:hAnsi="宋体" w:eastAsia="宋体" w:cs="宋体"/>
          <w:color w:val="auto"/>
          <w:sz w:val="24"/>
          <w:szCs w:val="24"/>
          <w:highlight w:val="none"/>
          <w:lang w:eastAsia="zh-CN"/>
        </w:rPr>
        <w:t>。</w:t>
      </w:r>
    </w:p>
    <w:p w14:paraId="63F6967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rPr>
        <w:t>保障公务用车数量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大于等于2辆</w:t>
      </w:r>
      <w:r>
        <w:rPr>
          <w:rFonts w:hint="eastAsia" w:ascii="宋体" w:hAnsi="宋体" w:eastAsia="宋体" w:cs="宋体"/>
          <w:color w:val="auto"/>
          <w:sz w:val="24"/>
          <w:szCs w:val="24"/>
          <w:highlight w:val="none"/>
          <w:lang w:val="en-US" w:eastAsia="zh-CN"/>
        </w:rPr>
        <w:t>，实际完成指2辆，</w:t>
      </w:r>
      <w:r>
        <w:rPr>
          <w:rFonts w:hint="eastAsia" w:ascii="宋体" w:hAnsi="宋体" w:eastAsia="宋体" w:cs="宋体"/>
          <w:color w:val="auto"/>
          <w:sz w:val="24"/>
          <w:szCs w:val="24"/>
          <w:highlight w:val="none"/>
          <w:lang w:eastAsia="zh-CN"/>
        </w:rPr>
        <w:t>指标完成率为</w:t>
      </w:r>
      <w:r>
        <w:rPr>
          <w:rFonts w:hint="eastAsia" w:ascii="宋体" w:hAnsi="宋体" w:eastAsia="宋体" w:cs="宋体"/>
          <w:color w:val="auto"/>
          <w:sz w:val="24"/>
          <w:szCs w:val="24"/>
          <w:highlight w:val="none"/>
          <w:lang w:val="en-US" w:eastAsia="zh-CN"/>
        </w:rPr>
        <w:t>100%，与预期目标一致，根据评分标准，该指标不扣分，得2分</w:t>
      </w:r>
      <w:r>
        <w:rPr>
          <w:rFonts w:hint="eastAsia" w:ascii="宋体" w:hAnsi="宋体" w:eastAsia="宋体" w:cs="宋体"/>
          <w:color w:val="auto"/>
          <w:sz w:val="24"/>
          <w:szCs w:val="24"/>
          <w:highlight w:val="none"/>
          <w:lang w:eastAsia="zh-CN"/>
        </w:rPr>
        <w:t>。</w:t>
      </w:r>
    </w:p>
    <w:p w14:paraId="44D0F1F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rPr>
        <w:t>购置小型医疗设备采购</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大于等于1批，</w:t>
      </w:r>
      <w:r>
        <w:rPr>
          <w:rFonts w:hint="eastAsia" w:ascii="宋体" w:hAnsi="宋体" w:eastAsia="宋体" w:cs="宋体"/>
          <w:color w:val="auto"/>
          <w:sz w:val="24"/>
          <w:szCs w:val="24"/>
          <w:highlight w:val="none"/>
          <w:lang w:val="en-US" w:eastAsia="zh-CN"/>
        </w:rPr>
        <w:t>实际完成指1批，</w:t>
      </w:r>
      <w:r>
        <w:rPr>
          <w:rFonts w:hint="eastAsia" w:ascii="宋体" w:hAnsi="宋体" w:eastAsia="宋体" w:cs="宋体"/>
          <w:color w:val="auto"/>
          <w:sz w:val="24"/>
          <w:szCs w:val="24"/>
          <w:highlight w:val="none"/>
          <w:lang w:eastAsia="zh-CN"/>
        </w:rPr>
        <w:t>指标完成率为</w:t>
      </w:r>
      <w:r>
        <w:rPr>
          <w:rFonts w:hint="eastAsia" w:ascii="宋体" w:hAnsi="宋体" w:eastAsia="宋体" w:cs="宋体"/>
          <w:color w:val="auto"/>
          <w:sz w:val="24"/>
          <w:szCs w:val="24"/>
          <w:highlight w:val="none"/>
          <w:lang w:val="en-US" w:eastAsia="zh-CN"/>
        </w:rPr>
        <w:t>100%，与预期目标一致，根据评分标准，该指标不扣分，得2分</w:t>
      </w:r>
      <w:r>
        <w:rPr>
          <w:rFonts w:hint="eastAsia" w:ascii="宋体" w:hAnsi="宋体" w:eastAsia="宋体" w:cs="宋体"/>
          <w:color w:val="auto"/>
          <w:sz w:val="24"/>
          <w:szCs w:val="24"/>
          <w:highlight w:val="none"/>
          <w:lang w:eastAsia="zh-CN"/>
        </w:rPr>
        <w:t>。</w:t>
      </w:r>
    </w:p>
    <w:p w14:paraId="58DE60F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30A42525">
      <w:pPr>
        <w:pageBreakBefore w:val="0"/>
        <w:widowControl w:val="0"/>
        <w:numPr>
          <w:ilvl w:val="0"/>
          <w:numId w:val="6"/>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对于“产出质量”：</w:t>
      </w:r>
    </w:p>
    <w:p w14:paraId="02CAF6D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lang w:val="en-US" w:eastAsia="zh-CN"/>
        </w:rPr>
        <w:t>质量指标为</w:t>
      </w:r>
      <w:r>
        <w:rPr>
          <w:rFonts w:hint="eastAsia" w:ascii="宋体" w:hAnsi="宋体" w:eastAsia="宋体" w:cs="宋体"/>
          <w:color w:val="auto"/>
          <w:sz w:val="24"/>
          <w:szCs w:val="24"/>
        </w:rPr>
        <w:t>宫颈癌早期诊断率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大于等于90%，</w:t>
      </w:r>
      <w:r>
        <w:rPr>
          <w:rFonts w:hint="eastAsia" w:ascii="宋体" w:hAnsi="宋体" w:eastAsia="宋体" w:cs="宋体"/>
          <w:color w:val="auto"/>
          <w:sz w:val="24"/>
          <w:szCs w:val="24"/>
          <w:highlight w:val="none"/>
        </w:rPr>
        <w:t>指标达到预期目标</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指标完成率为</w:t>
      </w:r>
      <w:r>
        <w:rPr>
          <w:rFonts w:hint="eastAsia" w:ascii="宋体" w:hAnsi="宋体" w:eastAsia="宋体" w:cs="宋体"/>
          <w:color w:val="auto"/>
          <w:sz w:val="24"/>
          <w:szCs w:val="24"/>
          <w:highlight w:val="none"/>
          <w:lang w:val="en-US" w:eastAsia="zh-CN"/>
        </w:rPr>
        <w:t>100%，与预期目标一致，根据评分标准，该指标不扣分，得5分</w:t>
      </w:r>
      <w:r>
        <w:rPr>
          <w:rFonts w:hint="eastAsia" w:ascii="宋体" w:hAnsi="宋体" w:eastAsia="宋体" w:cs="宋体"/>
          <w:color w:val="auto"/>
          <w:sz w:val="24"/>
          <w:szCs w:val="24"/>
          <w:highlight w:val="none"/>
          <w:lang w:eastAsia="zh-CN"/>
        </w:rPr>
        <w:t>。</w:t>
      </w:r>
    </w:p>
    <w:p w14:paraId="165BF52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lang w:val="en-US" w:eastAsia="zh-CN"/>
        </w:rPr>
        <w:t>质量指标为资金使用合格率：</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大于等于100%，</w:t>
      </w:r>
      <w:r>
        <w:rPr>
          <w:rFonts w:hint="eastAsia" w:ascii="宋体" w:hAnsi="宋体" w:eastAsia="宋体" w:cs="宋体"/>
          <w:color w:val="auto"/>
          <w:sz w:val="24"/>
          <w:szCs w:val="24"/>
          <w:highlight w:val="none"/>
        </w:rPr>
        <w:t>指标达到预期目标</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指标完成率为</w:t>
      </w:r>
      <w:r>
        <w:rPr>
          <w:rFonts w:hint="eastAsia" w:ascii="宋体" w:hAnsi="宋体" w:eastAsia="宋体" w:cs="宋体"/>
          <w:color w:val="auto"/>
          <w:sz w:val="24"/>
          <w:szCs w:val="24"/>
          <w:highlight w:val="none"/>
          <w:lang w:val="en-US" w:eastAsia="zh-CN"/>
        </w:rPr>
        <w:t>100%，与预期目标一致，根据评分标准，该指标不扣分，得5分</w:t>
      </w:r>
      <w:r>
        <w:rPr>
          <w:rFonts w:hint="eastAsia" w:ascii="宋体" w:hAnsi="宋体" w:eastAsia="宋体" w:cs="宋体"/>
          <w:color w:val="auto"/>
          <w:sz w:val="24"/>
          <w:szCs w:val="24"/>
          <w:highlight w:val="none"/>
          <w:lang w:eastAsia="zh-CN"/>
        </w:rPr>
        <w:t>。</w:t>
      </w:r>
    </w:p>
    <w:p w14:paraId="4A97678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09E1C8A9">
      <w:pPr>
        <w:pStyle w:val="10"/>
        <w:pageBreakBefore w:val="0"/>
        <w:widowControl w:val="0"/>
        <w:numPr>
          <w:ilvl w:val="0"/>
          <w:numId w:val="6"/>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对于“产出时效”：</w:t>
      </w:r>
    </w:p>
    <w:p w14:paraId="5BD5F28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lang w:val="en-US" w:eastAsia="zh-CN"/>
        </w:rPr>
        <w:t>项目完成时间：</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2024年12月，</w:t>
      </w:r>
      <w:r>
        <w:rPr>
          <w:rFonts w:hint="eastAsia" w:ascii="宋体" w:hAnsi="宋体" w:eastAsia="宋体" w:cs="宋体"/>
          <w:color w:val="auto"/>
          <w:sz w:val="24"/>
          <w:szCs w:val="24"/>
          <w:highlight w:val="none"/>
        </w:rPr>
        <w:t>指标达到预期目标</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指标完成率为</w:t>
      </w:r>
      <w:r>
        <w:rPr>
          <w:rFonts w:hint="eastAsia" w:ascii="宋体" w:hAnsi="宋体" w:eastAsia="宋体" w:cs="宋体"/>
          <w:color w:val="auto"/>
          <w:sz w:val="24"/>
          <w:szCs w:val="24"/>
          <w:highlight w:val="none"/>
          <w:lang w:val="en-US" w:eastAsia="zh-CN"/>
        </w:rPr>
        <w:t>100%，与预期目标一致，根据评分标准，该指标不扣分，得3分</w:t>
      </w:r>
      <w:r>
        <w:rPr>
          <w:rFonts w:hint="eastAsia" w:ascii="宋体" w:hAnsi="宋体" w:eastAsia="宋体" w:cs="宋体"/>
          <w:color w:val="auto"/>
          <w:sz w:val="24"/>
          <w:szCs w:val="24"/>
          <w:highlight w:val="none"/>
          <w:lang w:eastAsia="zh-CN"/>
        </w:rPr>
        <w:t>。</w:t>
      </w:r>
    </w:p>
    <w:p w14:paraId="67F6A0A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lang w:val="en-US" w:eastAsia="zh-CN"/>
        </w:rPr>
        <w:t>项目支付及时率：</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大于等于100%，</w:t>
      </w:r>
      <w:r>
        <w:rPr>
          <w:rFonts w:hint="eastAsia" w:ascii="宋体" w:hAnsi="宋体" w:eastAsia="宋体" w:cs="宋体"/>
          <w:color w:val="auto"/>
          <w:sz w:val="24"/>
          <w:szCs w:val="24"/>
          <w:highlight w:val="none"/>
        </w:rPr>
        <w:t>指标达到预期目标</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指标完成率为</w:t>
      </w:r>
      <w:r>
        <w:rPr>
          <w:rFonts w:hint="eastAsia" w:ascii="宋体" w:hAnsi="宋体" w:eastAsia="宋体" w:cs="宋体"/>
          <w:color w:val="auto"/>
          <w:sz w:val="24"/>
          <w:szCs w:val="24"/>
          <w:highlight w:val="none"/>
          <w:lang w:val="en-US" w:eastAsia="zh-CN"/>
        </w:rPr>
        <w:t>100%，与预期目标一致，根据评分标准，该指标不扣分，得3分</w:t>
      </w:r>
      <w:r>
        <w:rPr>
          <w:rFonts w:hint="eastAsia" w:ascii="宋体" w:hAnsi="宋体" w:eastAsia="宋体" w:cs="宋体"/>
          <w:color w:val="auto"/>
          <w:sz w:val="24"/>
          <w:szCs w:val="24"/>
          <w:highlight w:val="none"/>
          <w:lang w:eastAsia="zh-CN"/>
        </w:rPr>
        <w:t>。</w:t>
      </w:r>
    </w:p>
    <w:p w14:paraId="756A09E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lang w:val="en-US" w:eastAsia="zh-CN"/>
        </w:rPr>
        <w:t>项目开始时间：2024年1月，</w:t>
      </w:r>
      <w:r>
        <w:rPr>
          <w:rFonts w:hint="eastAsia" w:ascii="宋体" w:hAnsi="宋体" w:eastAsia="宋体" w:cs="宋体"/>
          <w:color w:val="auto"/>
          <w:sz w:val="24"/>
          <w:szCs w:val="24"/>
          <w:highlight w:val="none"/>
        </w:rPr>
        <w:t>指标达到预期目标</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指标完成率为</w:t>
      </w:r>
      <w:r>
        <w:rPr>
          <w:rFonts w:hint="eastAsia" w:ascii="宋体" w:hAnsi="宋体" w:eastAsia="宋体" w:cs="宋体"/>
          <w:color w:val="auto"/>
          <w:sz w:val="24"/>
          <w:szCs w:val="24"/>
          <w:highlight w:val="none"/>
          <w:lang w:val="en-US" w:eastAsia="zh-CN"/>
        </w:rPr>
        <w:t>100%，与预期目标一致，根据评分标准，该指标不扣分，得4分</w:t>
      </w:r>
      <w:r>
        <w:rPr>
          <w:rFonts w:hint="eastAsia" w:ascii="宋体" w:hAnsi="宋体" w:eastAsia="宋体" w:cs="宋体"/>
          <w:color w:val="auto"/>
          <w:sz w:val="24"/>
          <w:szCs w:val="24"/>
          <w:highlight w:val="none"/>
          <w:lang w:eastAsia="zh-CN"/>
        </w:rPr>
        <w:t>。</w:t>
      </w:r>
    </w:p>
    <w:p w14:paraId="275E21E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3733E204">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（4）对于“产出成本”：</w:t>
      </w:r>
    </w:p>
    <w:p w14:paraId="09CEAF2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培训费</w:t>
      </w:r>
      <w:r>
        <w:rPr>
          <w:rFonts w:hint="eastAsia" w:ascii="宋体" w:hAnsi="宋体" w:eastAsia="宋体" w:cs="宋体"/>
          <w:color w:val="auto"/>
          <w:sz w:val="24"/>
          <w:szCs w:val="24"/>
          <w:highlight w:val="none"/>
        </w:rPr>
        <w:t>：预期指标值为&lt;=</w:t>
      </w:r>
      <w:r>
        <w:rPr>
          <w:rFonts w:hint="eastAsia" w:ascii="宋体" w:hAnsi="宋体" w:eastAsia="宋体" w:cs="宋体"/>
          <w:color w:val="auto"/>
          <w:sz w:val="24"/>
          <w:szCs w:val="24"/>
          <w:highlight w:val="none"/>
          <w:lang w:val="en-US" w:eastAsia="zh-CN"/>
        </w:rPr>
        <w:t>1.0754</w:t>
      </w:r>
      <w:r>
        <w:rPr>
          <w:rFonts w:hint="eastAsia" w:ascii="宋体" w:hAnsi="宋体" w:eastAsia="宋体" w:cs="宋体"/>
          <w:color w:val="auto"/>
          <w:sz w:val="24"/>
          <w:szCs w:val="24"/>
          <w:highlight w:val="none"/>
        </w:rPr>
        <w:t>万元；指标达到预期目标</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指标完成率为</w:t>
      </w:r>
      <w:r>
        <w:rPr>
          <w:rFonts w:hint="eastAsia" w:ascii="宋体" w:hAnsi="宋体" w:eastAsia="宋体" w:cs="宋体"/>
          <w:color w:val="auto"/>
          <w:sz w:val="24"/>
          <w:szCs w:val="24"/>
          <w:highlight w:val="none"/>
          <w:lang w:val="en-US" w:eastAsia="zh-CN"/>
        </w:rPr>
        <w:t>100%，与预期目标一致，根据评分标准，该指标不扣分，得2分</w:t>
      </w:r>
      <w:r>
        <w:rPr>
          <w:rFonts w:hint="eastAsia" w:ascii="宋体" w:hAnsi="宋体" w:eastAsia="宋体" w:cs="宋体"/>
          <w:color w:val="auto"/>
          <w:sz w:val="24"/>
          <w:szCs w:val="24"/>
          <w:highlight w:val="none"/>
          <w:lang w:eastAsia="zh-CN"/>
        </w:rPr>
        <w:t>。</w:t>
      </w:r>
    </w:p>
    <w:p w14:paraId="4A5DD77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印刷费：</w:t>
      </w:r>
      <w:r>
        <w:rPr>
          <w:rFonts w:hint="eastAsia" w:ascii="宋体" w:hAnsi="宋体" w:eastAsia="宋体" w:cs="宋体"/>
          <w:color w:val="auto"/>
          <w:sz w:val="24"/>
          <w:szCs w:val="24"/>
          <w:highlight w:val="none"/>
        </w:rPr>
        <w:t>预期指标值为&lt;=</w:t>
      </w:r>
      <w:r>
        <w:rPr>
          <w:rFonts w:hint="eastAsia" w:ascii="宋体" w:hAnsi="宋体" w:eastAsia="宋体" w:cs="宋体"/>
          <w:color w:val="auto"/>
          <w:sz w:val="24"/>
          <w:szCs w:val="24"/>
          <w:highlight w:val="none"/>
          <w:lang w:val="en-US" w:eastAsia="zh-CN"/>
        </w:rPr>
        <w:t>3.741</w:t>
      </w:r>
      <w:r>
        <w:rPr>
          <w:rFonts w:hint="eastAsia" w:ascii="宋体" w:hAnsi="宋体" w:eastAsia="宋体" w:cs="宋体"/>
          <w:color w:val="auto"/>
          <w:sz w:val="24"/>
          <w:szCs w:val="24"/>
          <w:highlight w:val="none"/>
        </w:rPr>
        <w:t>万元；指标达到预期目标</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指标完成率为</w:t>
      </w:r>
      <w:r>
        <w:rPr>
          <w:rFonts w:hint="eastAsia" w:ascii="宋体" w:hAnsi="宋体" w:eastAsia="宋体" w:cs="宋体"/>
          <w:color w:val="auto"/>
          <w:sz w:val="24"/>
          <w:szCs w:val="24"/>
          <w:highlight w:val="none"/>
          <w:lang w:val="en-US" w:eastAsia="zh-CN"/>
        </w:rPr>
        <w:t>100%，与预期目标一致，根据评分标准，该指标不扣分，得2分，</w:t>
      </w:r>
    </w:p>
    <w:p w14:paraId="575ADE0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办公用品费：</w:t>
      </w:r>
      <w:r>
        <w:rPr>
          <w:rFonts w:hint="eastAsia" w:ascii="宋体" w:hAnsi="宋体" w:eastAsia="宋体" w:cs="宋体"/>
          <w:color w:val="auto"/>
          <w:sz w:val="24"/>
          <w:szCs w:val="24"/>
          <w:highlight w:val="none"/>
        </w:rPr>
        <w:t>预期指标值为&lt;=</w:t>
      </w:r>
      <w:r>
        <w:rPr>
          <w:rFonts w:hint="eastAsia" w:ascii="宋体" w:hAnsi="宋体" w:eastAsia="宋体" w:cs="宋体"/>
          <w:color w:val="auto"/>
          <w:sz w:val="24"/>
          <w:szCs w:val="24"/>
          <w:highlight w:val="none"/>
          <w:lang w:val="en-US" w:eastAsia="zh-CN"/>
        </w:rPr>
        <w:t>1.5038</w:t>
      </w:r>
      <w:r>
        <w:rPr>
          <w:rFonts w:hint="eastAsia" w:ascii="宋体" w:hAnsi="宋体" w:eastAsia="宋体" w:cs="宋体"/>
          <w:color w:val="auto"/>
          <w:sz w:val="24"/>
          <w:szCs w:val="24"/>
          <w:highlight w:val="none"/>
        </w:rPr>
        <w:t>万元；指标达到预期目标</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指标完成率为</w:t>
      </w:r>
      <w:r>
        <w:rPr>
          <w:rFonts w:hint="eastAsia" w:ascii="宋体" w:hAnsi="宋体" w:eastAsia="宋体" w:cs="宋体"/>
          <w:color w:val="auto"/>
          <w:sz w:val="24"/>
          <w:szCs w:val="24"/>
          <w:highlight w:val="none"/>
          <w:lang w:val="en-US" w:eastAsia="zh-CN"/>
        </w:rPr>
        <w:t>100%，与预期目标一致，根据评分标准，该指标不扣分，得2分</w:t>
      </w:r>
      <w:r>
        <w:rPr>
          <w:rFonts w:hint="eastAsia" w:ascii="宋体" w:hAnsi="宋体" w:eastAsia="宋体" w:cs="宋体"/>
          <w:color w:val="auto"/>
          <w:sz w:val="24"/>
          <w:szCs w:val="24"/>
          <w:highlight w:val="none"/>
          <w:lang w:eastAsia="zh-CN"/>
        </w:rPr>
        <w:t>。</w:t>
      </w:r>
    </w:p>
    <w:p w14:paraId="2A577FD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小型设备采购：</w:t>
      </w:r>
      <w:r>
        <w:rPr>
          <w:rFonts w:hint="eastAsia" w:ascii="宋体" w:hAnsi="宋体" w:eastAsia="宋体" w:cs="宋体"/>
          <w:color w:val="auto"/>
          <w:sz w:val="24"/>
          <w:szCs w:val="24"/>
          <w:highlight w:val="none"/>
        </w:rPr>
        <w:t>预期指标值为&lt;=</w:t>
      </w:r>
      <w:r>
        <w:rPr>
          <w:rFonts w:hint="eastAsia" w:ascii="宋体" w:hAnsi="宋体" w:eastAsia="宋体" w:cs="宋体"/>
          <w:color w:val="auto"/>
          <w:sz w:val="24"/>
          <w:szCs w:val="24"/>
          <w:highlight w:val="none"/>
          <w:lang w:val="en-US" w:eastAsia="zh-CN"/>
        </w:rPr>
        <w:t>6.095</w:t>
      </w:r>
      <w:r>
        <w:rPr>
          <w:rFonts w:hint="eastAsia" w:ascii="宋体" w:hAnsi="宋体" w:eastAsia="宋体" w:cs="宋体"/>
          <w:color w:val="auto"/>
          <w:sz w:val="24"/>
          <w:szCs w:val="24"/>
          <w:highlight w:val="none"/>
        </w:rPr>
        <w:t>万元；指标达到预期目标</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指标完成率为</w:t>
      </w:r>
      <w:r>
        <w:rPr>
          <w:rFonts w:hint="eastAsia" w:ascii="宋体" w:hAnsi="宋体" w:eastAsia="宋体" w:cs="宋体"/>
          <w:color w:val="auto"/>
          <w:sz w:val="24"/>
          <w:szCs w:val="24"/>
          <w:highlight w:val="none"/>
          <w:lang w:val="en-US" w:eastAsia="zh-CN"/>
        </w:rPr>
        <w:t>100%，与预期目标一致，根据评分标准，该指标不扣分，得2分</w:t>
      </w:r>
      <w:r>
        <w:rPr>
          <w:rFonts w:hint="eastAsia" w:ascii="宋体" w:hAnsi="宋体" w:eastAsia="宋体" w:cs="宋体"/>
          <w:color w:val="auto"/>
          <w:sz w:val="24"/>
          <w:szCs w:val="24"/>
          <w:highlight w:val="none"/>
          <w:lang w:eastAsia="zh-CN"/>
        </w:rPr>
        <w:t>。</w:t>
      </w:r>
    </w:p>
    <w:p w14:paraId="4A22F37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车辆运行费：</w:t>
      </w:r>
      <w:r>
        <w:rPr>
          <w:rFonts w:hint="eastAsia" w:ascii="宋体" w:hAnsi="宋体" w:eastAsia="宋体" w:cs="宋体"/>
          <w:color w:val="auto"/>
          <w:sz w:val="24"/>
          <w:szCs w:val="24"/>
          <w:highlight w:val="none"/>
        </w:rPr>
        <w:t>预期指标值为&lt;=</w:t>
      </w:r>
      <w:r>
        <w:rPr>
          <w:rFonts w:hint="eastAsia" w:ascii="宋体" w:hAnsi="宋体" w:eastAsia="宋体" w:cs="宋体"/>
          <w:color w:val="auto"/>
          <w:sz w:val="24"/>
          <w:szCs w:val="24"/>
          <w:highlight w:val="none"/>
          <w:lang w:val="en-US" w:eastAsia="zh-CN"/>
        </w:rPr>
        <w:t>0.4885</w:t>
      </w:r>
      <w:r>
        <w:rPr>
          <w:rFonts w:hint="eastAsia" w:ascii="宋体" w:hAnsi="宋体" w:eastAsia="宋体" w:cs="宋体"/>
          <w:color w:val="auto"/>
          <w:sz w:val="24"/>
          <w:szCs w:val="24"/>
          <w:highlight w:val="none"/>
        </w:rPr>
        <w:t>万元；指标达到预期目标</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指标完成率为</w:t>
      </w:r>
      <w:r>
        <w:rPr>
          <w:rFonts w:hint="eastAsia" w:ascii="宋体" w:hAnsi="宋体" w:eastAsia="宋体" w:cs="宋体"/>
          <w:color w:val="auto"/>
          <w:sz w:val="24"/>
          <w:szCs w:val="24"/>
          <w:highlight w:val="none"/>
          <w:lang w:val="en-US" w:eastAsia="zh-CN"/>
        </w:rPr>
        <w:t>100%，与预期目标一致，根据评分标准，该指标不扣分，得2分</w:t>
      </w:r>
      <w:r>
        <w:rPr>
          <w:rFonts w:hint="eastAsia" w:ascii="宋体" w:hAnsi="宋体" w:eastAsia="宋体" w:cs="宋体"/>
          <w:color w:val="auto"/>
          <w:sz w:val="24"/>
          <w:szCs w:val="24"/>
          <w:highlight w:val="none"/>
          <w:lang w:eastAsia="zh-CN"/>
        </w:rPr>
        <w:t>。</w:t>
      </w:r>
    </w:p>
    <w:p w14:paraId="010BCA4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31908DB7">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687A796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个三级指标构成，权重分为</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分，实际得分</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分，得分率为100%。</w:t>
      </w:r>
    </w:p>
    <w:p w14:paraId="0600B90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（1）对于“社会效益指标”：</w:t>
      </w:r>
    </w:p>
    <w:p w14:paraId="56BDA8D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提高农村妇女自我保健意识和技能</w:t>
      </w:r>
      <w:r>
        <w:rPr>
          <w:rFonts w:hint="eastAsia" w:ascii="宋体" w:hAnsi="宋体" w:eastAsia="宋体" w:cs="宋体"/>
          <w:sz w:val="24"/>
          <w:szCs w:val="24"/>
          <w:highlight w:val="none"/>
          <w:lang w:val="en-US" w:eastAsia="zh-CN"/>
        </w:rPr>
        <w:t>指标，</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，与预期指标一致，根据评分标准，该指标不扣分，得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26D9D81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sz w:val="24"/>
          <w:szCs w:val="24"/>
          <w:highlight w:val="none"/>
        </w:rPr>
        <w:t>（</w:t>
      </w:r>
      <w:r>
        <w:rPr>
          <w:rFonts w:hint="eastAsia" w:ascii="宋体" w:hAnsi="宋体" w:eastAsia="宋体" w:cs="宋体"/>
          <w:b/>
          <w:bCs/>
          <w:sz w:val="24"/>
          <w:szCs w:val="24"/>
        </w:rPr>
        <w:t>2）对于“经济效益指标”：</w:t>
      </w:r>
    </w:p>
    <w:p w14:paraId="0B30BC61">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t>无</w:t>
      </w:r>
    </w:p>
    <w:p w14:paraId="6A80E77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Cs/>
          <w:sz w:val="24"/>
          <w:szCs w:val="24"/>
        </w:rPr>
        <w:t>（3）对于“生态效益指标”：</w:t>
      </w:r>
    </w:p>
    <w:p w14:paraId="6D974AE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t>无</w:t>
      </w:r>
    </w:p>
    <w:p w14:paraId="113F738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rPr>
      </w:pPr>
      <w:r>
        <w:rPr>
          <w:rFonts w:hint="eastAsia" w:ascii="宋体" w:hAnsi="宋体" w:eastAsia="宋体" w:cs="宋体"/>
          <w:bCs/>
          <w:sz w:val="24"/>
          <w:szCs w:val="24"/>
        </w:rPr>
        <w:t>（4）满意度指标分析</w:t>
      </w:r>
    </w:p>
    <w:p w14:paraId="63986B2C">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对于“满意度指标：受益员工满意度，该指标预期指标值为</w:t>
      </w:r>
      <w:r>
        <w:rPr>
          <w:rFonts w:hint="eastAsia" w:ascii="宋体" w:hAnsi="宋体" w:eastAsia="宋体" w:cs="宋体"/>
          <w:sz w:val="24"/>
          <w:szCs w:val="24"/>
          <w:lang w:val="en-US" w:eastAsia="zh-CN"/>
        </w:rPr>
        <w:t>大于等于95%</w:t>
      </w:r>
      <w:r>
        <w:rPr>
          <w:rFonts w:hint="eastAsia" w:ascii="宋体" w:hAnsi="宋体" w:eastAsia="宋体" w:cs="宋体"/>
          <w:sz w:val="24"/>
          <w:szCs w:val="24"/>
        </w:rPr>
        <w:t>，实际完成值为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w:t>
      </w:r>
      <w:r>
        <w:rPr>
          <w:rFonts w:hint="eastAsia" w:ascii="宋体" w:hAnsi="宋体" w:eastAsia="宋体" w:cs="宋体"/>
          <w:sz w:val="24"/>
          <w:szCs w:val="24"/>
        </w:rPr>
        <w:t>与预期目标一致，根据评分标准，该指标不扣分,得</w:t>
      </w:r>
      <w:r>
        <w:rPr>
          <w:rFonts w:hint="eastAsia" w:ascii="宋体" w:hAnsi="宋体" w:eastAsia="宋体" w:cs="宋体"/>
          <w:sz w:val="24"/>
          <w:szCs w:val="24"/>
          <w:lang w:val="en-US" w:eastAsia="zh-CN"/>
        </w:rPr>
        <w:t>5</w:t>
      </w:r>
      <w:r>
        <w:rPr>
          <w:rFonts w:hint="eastAsia" w:ascii="宋体" w:hAnsi="宋体" w:eastAsia="宋体" w:cs="宋体"/>
          <w:sz w:val="24"/>
          <w:szCs w:val="24"/>
        </w:rPr>
        <w:t>分。</w:t>
      </w:r>
      <w:bookmarkEnd w:id="17"/>
    </w:p>
    <w:p w14:paraId="70F4C299">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sz w:val="24"/>
          <w:szCs w:val="24"/>
        </w:rPr>
      </w:pPr>
      <w:r>
        <w:rPr>
          <w:rFonts w:hint="eastAsia" w:ascii="宋体" w:hAnsi="宋体" w:eastAsia="宋体" w:cs="宋体"/>
          <w:sz w:val="24"/>
          <w:szCs w:val="24"/>
        </w:rPr>
        <w:t>对于“满意度指标：受益妇女满意度，该指标预期指标值为</w:t>
      </w:r>
      <w:r>
        <w:rPr>
          <w:rFonts w:hint="eastAsia" w:ascii="宋体" w:hAnsi="宋体" w:eastAsia="宋体" w:cs="宋体"/>
          <w:sz w:val="24"/>
          <w:szCs w:val="24"/>
          <w:lang w:val="en-US" w:eastAsia="zh-CN"/>
        </w:rPr>
        <w:t>大于等于95%</w:t>
      </w:r>
      <w:r>
        <w:rPr>
          <w:rFonts w:hint="eastAsia" w:ascii="宋体" w:hAnsi="宋体" w:eastAsia="宋体" w:cs="宋体"/>
          <w:sz w:val="24"/>
          <w:szCs w:val="24"/>
        </w:rPr>
        <w:t>，实际完成值为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w:t>
      </w:r>
      <w:r>
        <w:rPr>
          <w:rFonts w:hint="eastAsia" w:ascii="宋体" w:hAnsi="宋体" w:eastAsia="宋体" w:cs="宋体"/>
          <w:sz w:val="24"/>
          <w:szCs w:val="24"/>
        </w:rPr>
        <w:t>与预期目标一致，根据评分标准，该指标不扣分,得</w:t>
      </w:r>
      <w:r>
        <w:rPr>
          <w:rFonts w:hint="eastAsia" w:ascii="宋体" w:hAnsi="宋体" w:eastAsia="宋体" w:cs="宋体"/>
          <w:sz w:val="24"/>
          <w:szCs w:val="24"/>
          <w:lang w:val="en-US" w:eastAsia="zh-CN"/>
        </w:rPr>
        <w:t>5</w:t>
      </w:r>
      <w:r>
        <w:rPr>
          <w:rFonts w:hint="eastAsia" w:ascii="宋体" w:hAnsi="宋体" w:eastAsia="宋体" w:cs="宋体"/>
          <w:sz w:val="24"/>
          <w:szCs w:val="24"/>
        </w:rPr>
        <w:t>分。</w:t>
      </w:r>
    </w:p>
    <w:p w14:paraId="07BB75E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7C7BBECE">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p>
    <w:p w14:paraId="3841CB5B">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73B8093B">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12.93</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12.93</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12.93</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2524D27A">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本项目共设置三级指标数量</w:t>
      </w:r>
      <w:r>
        <w:rPr>
          <w:rFonts w:hint="eastAsia" w:ascii="宋体" w:hAnsi="宋体" w:eastAsia="宋体" w:cs="宋体"/>
          <w:sz w:val="24"/>
          <w:szCs w:val="24"/>
          <w:lang w:val="en-US" w:eastAsia="zh-CN"/>
        </w:rPr>
        <w:t>20</w:t>
      </w:r>
      <w:r>
        <w:rPr>
          <w:rFonts w:hint="eastAsia" w:ascii="宋体" w:hAnsi="宋体" w:eastAsia="宋体" w:cs="宋体"/>
          <w:sz w:val="24"/>
          <w:szCs w:val="24"/>
        </w:rPr>
        <w:t>个，满分指标数量</w:t>
      </w:r>
      <w:r>
        <w:rPr>
          <w:rFonts w:hint="eastAsia" w:ascii="宋体" w:hAnsi="宋体" w:eastAsia="宋体" w:cs="宋体"/>
          <w:sz w:val="24"/>
          <w:szCs w:val="24"/>
          <w:lang w:val="en-US" w:eastAsia="zh-CN"/>
        </w:rPr>
        <w:t>20</w:t>
      </w:r>
      <w:r>
        <w:rPr>
          <w:rFonts w:hint="eastAsia" w:ascii="宋体" w:hAnsi="宋体" w:eastAsia="宋体" w:cs="宋体"/>
          <w:sz w:val="24"/>
          <w:szCs w:val="24"/>
        </w:rPr>
        <w:t>个，扣分指标数量</w:t>
      </w:r>
      <w:r>
        <w:rPr>
          <w:rFonts w:hint="eastAsia" w:ascii="宋体" w:hAnsi="宋体" w:eastAsia="宋体" w:cs="宋体"/>
          <w:sz w:val="24"/>
          <w:szCs w:val="24"/>
          <w:lang w:val="en-US" w:eastAsia="zh-CN"/>
        </w:rPr>
        <w:t>0</w:t>
      </w:r>
      <w:r>
        <w:rPr>
          <w:rFonts w:hint="eastAsia" w:ascii="宋体" w:hAnsi="宋体" w:eastAsia="宋体" w:cs="宋体"/>
          <w:sz w:val="24"/>
          <w:szCs w:val="24"/>
        </w:rPr>
        <w:t>个，经分析计算所有三级指标完成率得出，本项目总体完成率为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704D528C">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综上所述本项目预算执行率与总体完成率之间的偏差为</w:t>
      </w:r>
      <w:r>
        <w:rPr>
          <w:rFonts w:hint="eastAsia" w:ascii="宋体" w:hAnsi="宋体" w:eastAsia="宋体" w:cs="宋体"/>
          <w:sz w:val="24"/>
          <w:szCs w:val="24"/>
          <w:lang w:val="en-US" w:eastAsia="zh-CN"/>
        </w:rPr>
        <w:t>0</w:t>
      </w:r>
      <w:r>
        <w:rPr>
          <w:rFonts w:hint="eastAsia" w:ascii="宋体" w:hAnsi="宋体" w:eastAsia="宋体" w:cs="宋体"/>
          <w:sz w:val="24"/>
          <w:szCs w:val="24"/>
        </w:rPr>
        <w:t>%。</w:t>
      </w:r>
    </w:p>
    <w:p w14:paraId="365398BD">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8" w:name="_Toc68364673"/>
      <w:r>
        <w:rPr>
          <w:rFonts w:hint="eastAsia" w:ascii="宋体" w:hAnsi="宋体" w:eastAsia="宋体" w:cs="宋体"/>
          <w:sz w:val="24"/>
          <w:szCs w:val="24"/>
        </w:rPr>
        <w:t>六、主要经验及做法、存在的问题及原因分析</w:t>
      </w:r>
    </w:p>
    <w:p w14:paraId="6328B944">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rPr>
        <w:t>（一）主要经验及做法</w:t>
      </w:r>
      <w:bookmarkEnd w:id="18"/>
      <w:r>
        <w:rPr>
          <w:rFonts w:hint="eastAsia" w:ascii="宋体" w:hAnsi="宋体" w:eastAsia="宋体" w:cs="宋体"/>
          <w:color w:val="auto"/>
          <w:sz w:val="24"/>
          <w:szCs w:val="24"/>
          <w:highlight w:val="none"/>
        </w:rPr>
        <w:t>一是本项目能够严格按照《</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rPr>
        <w:t>2024年中央专项彩票公益金（2024年“宫颈癌”检查项目）</w:t>
      </w:r>
      <w:r>
        <w:rPr>
          <w:rFonts w:hint="eastAsia" w:ascii="宋体" w:hAnsi="宋体" w:eastAsia="宋体" w:cs="宋体"/>
          <w:color w:val="auto"/>
          <w:sz w:val="24"/>
          <w:szCs w:val="24"/>
          <w:highlight w:val="none"/>
        </w:rPr>
        <w:t>实施方案》执行，项目执行情况较好。</w:t>
      </w:r>
    </w:p>
    <w:p w14:paraId="5D5A1FC6">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二是加强组织领导，本项目绩效评价工作，有主要领导亲自挂帅，分管领导具体负责，从项目到资金，均能够很好的执行。</w:t>
      </w:r>
    </w:p>
    <w:p w14:paraId="20416AB4">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FF0000"/>
          <w:sz w:val="24"/>
          <w:szCs w:val="24"/>
          <w:lang w:val="en-US" w:eastAsia="zh-CN"/>
        </w:rPr>
      </w:pPr>
      <w:r>
        <w:rPr>
          <w:rFonts w:hint="eastAsia" w:ascii="宋体" w:hAnsi="宋体" w:eastAsia="宋体" w:cs="宋体"/>
          <w:color w:val="auto"/>
          <w:sz w:val="24"/>
          <w:szCs w:val="24"/>
          <w:highlight w:val="none"/>
        </w:rPr>
        <w:t>三是加强沟通协调，我单位及时向领导汇报</w:t>
      </w:r>
      <w:r>
        <w:rPr>
          <w:rFonts w:hint="eastAsia" w:ascii="宋体" w:hAnsi="宋体" w:eastAsia="宋体" w:cs="宋体"/>
          <w:color w:val="auto"/>
          <w:sz w:val="24"/>
          <w:szCs w:val="24"/>
          <w:highlight w:val="none"/>
          <w:lang w:eastAsia="zh-CN"/>
        </w:rPr>
        <w:t>项目资金执行</w:t>
      </w:r>
      <w:r>
        <w:rPr>
          <w:rFonts w:hint="eastAsia" w:ascii="宋体" w:hAnsi="宋体" w:eastAsia="宋体" w:cs="宋体"/>
          <w:color w:val="auto"/>
          <w:sz w:val="24"/>
          <w:szCs w:val="24"/>
          <w:highlight w:val="none"/>
        </w:rPr>
        <w:t>进度，加强与</w:t>
      </w:r>
      <w:r>
        <w:rPr>
          <w:rFonts w:hint="eastAsia" w:ascii="宋体" w:hAnsi="宋体" w:eastAsia="宋体" w:cs="宋体"/>
          <w:color w:val="auto"/>
          <w:sz w:val="24"/>
          <w:szCs w:val="24"/>
          <w:highlight w:val="none"/>
          <w:lang w:eastAsia="zh-CN"/>
        </w:rPr>
        <w:t>财政、具体实施</w:t>
      </w:r>
      <w:r>
        <w:rPr>
          <w:rFonts w:hint="eastAsia" w:ascii="宋体" w:hAnsi="宋体" w:eastAsia="宋体" w:cs="宋体"/>
          <w:color w:val="auto"/>
          <w:sz w:val="24"/>
          <w:szCs w:val="24"/>
          <w:highlight w:val="none"/>
        </w:rPr>
        <w:t>单位的沟通，确保项目按期</w:t>
      </w:r>
      <w:r>
        <w:rPr>
          <w:rFonts w:hint="eastAsia" w:ascii="宋体" w:hAnsi="宋体" w:eastAsia="宋体" w:cs="宋体"/>
          <w:color w:val="auto"/>
          <w:sz w:val="24"/>
          <w:szCs w:val="24"/>
          <w:highlight w:val="none"/>
          <w:lang w:eastAsia="zh-CN"/>
        </w:rPr>
        <w:t>实施</w:t>
      </w:r>
      <w:r>
        <w:rPr>
          <w:rFonts w:hint="eastAsia" w:ascii="宋体" w:hAnsi="宋体" w:eastAsia="宋体" w:cs="宋体"/>
          <w:color w:val="auto"/>
          <w:sz w:val="24"/>
          <w:szCs w:val="24"/>
          <w:highlight w:val="none"/>
        </w:rPr>
        <w:t>。</w:t>
      </w:r>
    </w:p>
    <w:p w14:paraId="6025E26F">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rPr>
      </w:pPr>
      <w:bookmarkStart w:id="19" w:name="_Toc68364674"/>
      <w:r>
        <w:rPr>
          <w:rFonts w:hint="eastAsia" w:ascii="宋体" w:hAnsi="宋体" w:eastAsia="宋体" w:cs="宋体"/>
          <w:sz w:val="24"/>
          <w:szCs w:val="24"/>
        </w:rPr>
        <w:t>（二）存在问题及原因分析</w:t>
      </w:r>
      <w:bookmarkEnd w:id="19"/>
    </w:p>
    <w:p w14:paraId="6FC5C427">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1.项目资金管理环节：</w:t>
      </w:r>
    </w:p>
    <w:p w14:paraId="2566711E">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办理支付手续较为缓慢，支付进度较为缓慢；原因分析：对于项目预算统筹谋划不到位，指导督促不到位。</w:t>
      </w:r>
    </w:p>
    <w:p w14:paraId="3FD8385F">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2.项目管理环节：</w:t>
      </w:r>
    </w:p>
    <w:p w14:paraId="5C086EBA">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项目开展过程中，虽根据实施进度定期进行绩效监控，但部分指标监控不到位。原因分析：对于资金支付金额、指标任务完成情况没能很好地统筹开展。</w:t>
      </w:r>
    </w:p>
    <w:p w14:paraId="7BA722FB">
      <w:pPr>
        <w:pStyle w:val="2"/>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sz w:val="24"/>
          <w:szCs w:val="24"/>
        </w:rPr>
      </w:pPr>
      <w:bookmarkStart w:id="20" w:name="_Toc68364675"/>
    </w:p>
    <w:p w14:paraId="6F7FDEF2">
      <w:pPr>
        <w:pStyle w:val="2"/>
        <w:pageBreakBefore w:val="0"/>
        <w:widowControl w:val="0"/>
        <w:numPr>
          <w:ilvl w:val="0"/>
          <w:numId w:val="7"/>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有关建议</w:t>
      </w:r>
      <w:bookmarkEnd w:id="20"/>
    </w:p>
    <w:p w14:paraId="3E342143">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color w:val="auto"/>
          <w:sz w:val="24"/>
          <w:szCs w:val="24"/>
          <w:highlight w:val="none"/>
        </w:rPr>
        <w:t>加强项目管理方面</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根据项目实施方案、项目资金管理办法，合理、规范使用专项资金，严格按照方案内容、推进进度进行资金支付。</w:t>
      </w:r>
    </w:p>
    <w:p w14:paraId="33F79DB2">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2.项目绩效管理方面。</w:t>
      </w:r>
      <w:r>
        <w:rPr>
          <w:rFonts w:hint="eastAsia" w:ascii="宋体" w:hAnsi="宋体" w:eastAsia="宋体" w:cs="宋体"/>
          <w:color w:val="auto"/>
          <w:sz w:val="24"/>
          <w:szCs w:val="24"/>
          <w:highlight w:val="none"/>
        </w:rPr>
        <w:t>加强</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专项资金-和地财综【2023】21号：2024年中央专项彩票公益金（2024年“宫颈癌”检查项目）资金管理；通过绩效管理，发现实施中存在漏洞，以后加强管理，及时掌握与之相关的各类信息，减少成本，使资金效益最大化。</w:t>
      </w:r>
    </w:p>
    <w:p w14:paraId="26AF8F88">
      <w:pPr>
        <w:pStyle w:val="3"/>
        <w:pageBreakBefore w:val="0"/>
        <w:numPr>
          <w:ilvl w:val="0"/>
          <w:numId w:val="0"/>
        </w:numPr>
        <w:kinsoku/>
        <w:wordWrap/>
        <w:topLinePunct w:val="0"/>
        <w:autoSpaceDE/>
        <w:bidi w:val="0"/>
        <w:adjustRightInd/>
        <w:snapToGrid/>
        <w:spacing w:line="360" w:lineRule="auto"/>
        <w:ind w:left="0" w:leftChars="0" w:firstLine="560" w:firstLineChars="200"/>
        <w:textAlignment w:val="auto"/>
        <w:rPr>
          <w:rFonts w:hint="eastAsia"/>
        </w:rPr>
      </w:pPr>
    </w:p>
    <w:p w14:paraId="62FD0120">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1" w:name="_Toc68364676"/>
    </w:p>
    <w:p w14:paraId="10DD11F3">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八、其他需要说明的问题</w:t>
      </w:r>
      <w:bookmarkEnd w:id="21"/>
    </w:p>
    <w:p w14:paraId="58CA6BB2">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052420BB">
      <w:pPr>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p>
    <w:p w14:paraId="65FA46A5">
      <w:pPr>
        <w:bidi w:val="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附件1：</w:t>
      </w:r>
      <w:r>
        <w:rPr>
          <w:rFonts w:hint="eastAsia" w:ascii="宋体" w:hAnsi="宋体" w:eastAsia="宋体" w:cs="宋体"/>
          <w:color w:val="auto"/>
          <w:sz w:val="24"/>
          <w:szCs w:val="24"/>
          <w:highlight w:val="none"/>
        </w:rPr>
        <w:t>专项资金-和地财综【2023】21号：2024年中央专项彩票公益金（2024年“宫颈癌”检查项目）</w:t>
      </w:r>
      <w:r>
        <w:rPr>
          <w:rFonts w:hint="eastAsia" w:ascii="宋体" w:hAnsi="宋体" w:eastAsia="宋体" w:cs="宋体"/>
          <w:kern w:val="0"/>
          <w:sz w:val="24"/>
          <w:szCs w:val="24"/>
          <w:highlight w:val="none"/>
          <w:lang w:val="en-US" w:eastAsia="zh-CN" w:bidi="ar-SA"/>
        </w:rPr>
        <w:t>项目绩效评价指标体系</w:t>
      </w:r>
    </w:p>
    <w:p w14:paraId="6D5CFFF6">
      <w:pPr>
        <w:bidi w:val="0"/>
        <w:rPr>
          <w:rFonts w:hint="default"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附件2：</w:t>
      </w:r>
      <w:r>
        <w:rPr>
          <w:rFonts w:hint="eastAsia" w:ascii="宋体" w:hAnsi="宋体" w:eastAsia="宋体" w:cs="宋体"/>
          <w:color w:val="auto"/>
          <w:sz w:val="24"/>
          <w:szCs w:val="24"/>
          <w:highlight w:val="none"/>
        </w:rPr>
        <w:t>专项资金-和地财综【2023】21号：2024年中央专项彩票公益金（2024年“宫颈癌”检查项目）</w:t>
      </w:r>
      <w:r>
        <w:rPr>
          <w:rFonts w:hint="eastAsia" w:ascii="宋体" w:hAnsi="宋体" w:eastAsia="宋体" w:cs="宋体"/>
          <w:kern w:val="0"/>
          <w:sz w:val="24"/>
          <w:szCs w:val="24"/>
          <w:highlight w:val="none"/>
          <w:lang w:val="en-US" w:eastAsia="zh-CN" w:bidi="ar-SA"/>
        </w:rPr>
        <w:t>项目综合得分表</w:t>
      </w:r>
    </w:p>
    <w:p w14:paraId="49EFAECB">
      <w:pPr>
        <w:bidi w:val="0"/>
        <w:rPr>
          <w:rFonts w:hint="default"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附件3：满意度调查问分析情况</w:t>
      </w:r>
    </w:p>
    <w:p w14:paraId="2C4F8C7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red"/>
        </w:rPr>
      </w:pPr>
    </w:p>
    <w:p w14:paraId="033864A1">
      <w:pPr>
        <w:pStyle w:val="10"/>
        <w:ind w:left="0" w:leftChars="0" w:firstLine="0" w:firstLineChars="0"/>
        <w:jc w:val="both"/>
        <w:rPr>
          <w:rFonts w:hint="eastAsia" w:ascii="宋体" w:hAnsi="宋体" w:eastAsia="宋体" w:cs="宋体"/>
          <w:sz w:val="24"/>
          <w:szCs w:val="24"/>
        </w:rPr>
      </w:pPr>
    </w:p>
    <w:p w14:paraId="10FF51BE">
      <w:pPr>
        <w:pStyle w:val="10"/>
        <w:ind w:left="0" w:leftChars="0" w:firstLine="0" w:firstLineChars="0"/>
        <w:jc w:val="both"/>
        <w:rPr>
          <w:rFonts w:hint="eastAsia" w:ascii="宋体" w:hAnsi="宋体" w:eastAsia="宋体" w:cs="宋体"/>
          <w:sz w:val="24"/>
          <w:szCs w:val="24"/>
        </w:rPr>
        <w:sectPr>
          <w:footerReference r:id="rId7" w:type="default"/>
          <w:pgSz w:w="11906" w:h="16838"/>
          <w:pgMar w:top="1985" w:right="1531" w:bottom="1701" w:left="1531" w:header="851" w:footer="992" w:gutter="0"/>
          <w:pgNumType w:fmt="decimal" w:start="1"/>
          <w:cols w:space="720" w:num="1"/>
          <w:docGrid w:type="linesAndChars" w:linePitch="386" w:charSpace="0"/>
        </w:sectPr>
      </w:pPr>
    </w:p>
    <w:tbl>
      <w:tblPr>
        <w:tblStyle w:val="24"/>
        <w:tblW w:w="1470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8"/>
        <w:gridCol w:w="793"/>
        <w:gridCol w:w="921"/>
        <w:gridCol w:w="750"/>
        <w:gridCol w:w="879"/>
        <w:gridCol w:w="643"/>
        <w:gridCol w:w="2501"/>
        <w:gridCol w:w="1319"/>
        <w:gridCol w:w="4500"/>
        <w:gridCol w:w="857"/>
        <w:gridCol w:w="685"/>
      </w:tblGrid>
      <w:tr w14:paraId="415B2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2572" w:type="dxa"/>
            <w:gridSpan w:val="3"/>
            <w:tcBorders>
              <w:top w:val="nil"/>
              <w:left w:val="nil"/>
              <w:bottom w:val="nil"/>
              <w:right w:val="nil"/>
            </w:tcBorders>
            <w:noWrap w:val="0"/>
            <w:vAlign w:val="center"/>
          </w:tcPr>
          <w:p w14:paraId="4B388B84">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b/>
                <w:bCs/>
                <w:i w:val="0"/>
                <w:iCs w:val="0"/>
                <w:color w:val="000000"/>
                <w:sz w:val="36"/>
                <w:szCs w:val="36"/>
                <w:u w:val="none"/>
              </w:rPr>
            </w:pPr>
            <w:r>
              <w:rPr>
                <w:rFonts w:hint="eastAsia" w:ascii="宋体" w:hAnsi="宋体" w:eastAsia="宋体" w:cs="宋体"/>
                <w:b/>
                <w:bCs/>
                <w:i w:val="0"/>
                <w:iCs w:val="0"/>
                <w:color w:val="000000"/>
                <w:kern w:val="0"/>
                <w:sz w:val="24"/>
                <w:szCs w:val="24"/>
                <w:highlight w:val="none"/>
                <w:u w:val="none"/>
                <w:lang w:val="en-US" w:eastAsia="zh-CN"/>
              </w:rPr>
              <w:t>附件1：</w:t>
            </w:r>
          </w:p>
        </w:tc>
        <w:tc>
          <w:tcPr>
            <w:tcW w:w="750" w:type="dxa"/>
            <w:tcBorders>
              <w:top w:val="nil"/>
              <w:left w:val="nil"/>
              <w:bottom w:val="nil"/>
              <w:right w:val="nil"/>
            </w:tcBorders>
            <w:noWrap w:val="0"/>
            <w:vAlign w:val="center"/>
          </w:tcPr>
          <w:p w14:paraId="255EBA5E">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b/>
                <w:bCs/>
                <w:i w:val="0"/>
                <w:iCs w:val="0"/>
                <w:color w:val="000000"/>
                <w:sz w:val="36"/>
                <w:szCs w:val="36"/>
                <w:u w:val="none"/>
              </w:rPr>
            </w:pPr>
          </w:p>
        </w:tc>
        <w:tc>
          <w:tcPr>
            <w:tcW w:w="879" w:type="dxa"/>
            <w:tcBorders>
              <w:top w:val="nil"/>
              <w:left w:val="nil"/>
              <w:bottom w:val="nil"/>
              <w:right w:val="nil"/>
            </w:tcBorders>
            <w:noWrap w:val="0"/>
            <w:vAlign w:val="center"/>
          </w:tcPr>
          <w:p w14:paraId="6F2D63B1">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b/>
                <w:bCs/>
                <w:i w:val="0"/>
                <w:iCs w:val="0"/>
                <w:color w:val="000000"/>
                <w:sz w:val="36"/>
                <w:szCs w:val="36"/>
                <w:u w:val="none"/>
              </w:rPr>
            </w:pPr>
          </w:p>
        </w:tc>
        <w:tc>
          <w:tcPr>
            <w:tcW w:w="643" w:type="dxa"/>
            <w:tcBorders>
              <w:top w:val="nil"/>
              <w:left w:val="nil"/>
              <w:bottom w:val="nil"/>
              <w:right w:val="nil"/>
            </w:tcBorders>
            <w:noWrap w:val="0"/>
            <w:vAlign w:val="center"/>
          </w:tcPr>
          <w:p w14:paraId="50E0B547">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b/>
                <w:bCs/>
                <w:i w:val="0"/>
                <w:iCs w:val="0"/>
                <w:color w:val="000000"/>
                <w:sz w:val="36"/>
                <w:szCs w:val="36"/>
                <w:u w:val="none"/>
              </w:rPr>
            </w:pPr>
          </w:p>
        </w:tc>
        <w:tc>
          <w:tcPr>
            <w:tcW w:w="2501" w:type="dxa"/>
            <w:tcBorders>
              <w:top w:val="nil"/>
              <w:left w:val="nil"/>
              <w:bottom w:val="nil"/>
              <w:right w:val="nil"/>
            </w:tcBorders>
            <w:noWrap w:val="0"/>
            <w:vAlign w:val="center"/>
          </w:tcPr>
          <w:p w14:paraId="54A04345">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b/>
                <w:bCs/>
                <w:i w:val="0"/>
                <w:iCs w:val="0"/>
                <w:color w:val="000000"/>
                <w:sz w:val="36"/>
                <w:szCs w:val="36"/>
                <w:u w:val="none"/>
              </w:rPr>
            </w:pPr>
          </w:p>
        </w:tc>
        <w:tc>
          <w:tcPr>
            <w:tcW w:w="1319" w:type="dxa"/>
            <w:tcBorders>
              <w:top w:val="nil"/>
              <w:left w:val="nil"/>
              <w:bottom w:val="nil"/>
              <w:right w:val="nil"/>
            </w:tcBorders>
            <w:noWrap w:val="0"/>
            <w:vAlign w:val="center"/>
          </w:tcPr>
          <w:p w14:paraId="0446A000">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b/>
                <w:bCs/>
                <w:i w:val="0"/>
                <w:iCs w:val="0"/>
                <w:color w:val="000000"/>
                <w:sz w:val="36"/>
                <w:szCs w:val="36"/>
                <w:u w:val="none"/>
              </w:rPr>
            </w:pPr>
          </w:p>
        </w:tc>
        <w:tc>
          <w:tcPr>
            <w:tcW w:w="4500" w:type="dxa"/>
            <w:tcBorders>
              <w:top w:val="nil"/>
              <w:left w:val="nil"/>
              <w:bottom w:val="nil"/>
              <w:right w:val="nil"/>
            </w:tcBorders>
            <w:noWrap w:val="0"/>
            <w:vAlign w:val="center"/>
          </w:tcPr>
          <w:p w14:paraId="1CCFC27D">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b/>
                <w:bCs/>
                <w:i w:val="0"/>
                <w:iCs w:val="0"/>
                <w:color w:val="000000"/>
                <w:sz w:val="36"/>
                <w:szCs w:val="36"/>
                <w:u w:val="none"/>
              </w:rPr>
            </w:pPr>
          </w:p>
        </w:tc>
        <w:tc>
          <w:tcPr>
            <w:tcW w:w="857" w:type="dxa"/>
            <w:tcBorders>
              <w:top w:val="nil"/>
              <w:left w:val="nil"/>
              <w:bottom w:val="nil"/>
              <w:right w:val="nil"/>
            </w:tcBorders>
            <w:noWrap w:val="0"/>
            <w:vAlign w:val="center"/>
          </w:tcPr>
          <w:p w14:paraId="6323B211">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b/>
                <w:bCs/>
                <w:i w:val="0"/>
                <w:iCs w:val="0"/>
                <w:color w:val="000000"/>
                <w:sz w:val="36"/>
                <w:szCs w:val="36"/>
                <w:u w:val="none"/>
              </w:rPr>
            </w:pPr>
          </w:p>
        </w:tc>
        <w:tc>
          <w:tcPr>
            <w:tcW w:w="685" w:type="dxa"/>
            <w:tcBorders>
              <w:top w:val="nil"/>
              <w:left w:val="nil"/>
              <w:bottom w:val="nil"/>
              <w:right w:val="nil"/>
            </w:tcBorders>
            <w:noWrap w:val="0"/>
            <w:vAlign w:val="center"/>
          </w:tcPr>
          <w:p w14:paraId="691EFDD1">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b/>
                <w:bCs/>
                <w:i w:val="0"/>
                <w:iCs w:val="0"/>
                <w:color w:val="000000"/>
                <w:sz w:val="36"/>
                <w:szCs w:val="36"/>
                <w:u w:val="none"/>
              </w:rPr>
            </w:pPr>
          </w:p>
        </w:tc>
      </w:tr>
      <w:tr w14:paraId="48E4A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4706" w:type="dxa"/>
            <w:gridSpan w:val="11"/>
            <w:tcBorders>
              <w:top w:val="nil"/>
              <w:left w:val="nil"/>
              <w:bottom w:val="nil"/>
              <w:right w:val="nil"/>
            </w:tcBorders>
            <w:noWrap w:val="0"/>
            <w:vAlign w:val="center"/>
          </w:tcPr>
          <w:p w14:paraId="4ED50C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b/>
                <w:bCs/>
                <w:i w:val="0"/>
                <w:iCs w:val="0"/>
                <w:color w:val="FF0000"/>
                <w:sz w:val="36"/>
                <w:szCs w:val="36"/>
                <w:u w:val="none"/>
              </w:rPr>
            </w:pPr>
            <w:r>
              <w:rPr>
                <w:rFonts w:hint="eastAsia" w:ascii="宋体" w:hAnsi="宋体" w:eastAsia="宋体" w:cs="宋体"/>
                <w:b/>
                <w:bCs/>
                <w:i w:val="0"/>
                <w:iCs w:val="0"/>
                <w:color w:val="000000"/>
                <w:kern w:val="0"/>
                <w:sz w:val="24"/>
                <w:szCs w:val="24"/>
                <w:highlight w:val="none"/>
                <w:u w:val="none"/>
                <w:lang w:val="en-US" w:eastAsia="zh-CN"/>
              </w:rPr>
              <w:t>2024年中央专项彩票公益基金（2024年宫颈癌检查项目）绩效评价指标体系综合评分表</w:t>
            </w:r>
          </w:p>
        </w:tc>
      </w:tr>
      <w:tr w14:paraId="4D1D0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58" w:type="dxa"/>
            <w:tcBorders>
              <w:top w:val="single" w:color="auto" w:sz="4" w:space="0"/>
              <w:left w:val="single" w:color="auto" w:sz="4" w:space="0"/>
              <w:bottom w:val="single" w:color="auto" w:sz="4" w:space="0"/>
              <w:right w:val="single" w:color="auto" w:sz="4" w:space="0"/>
            </w:tcBorders>
            <w:noWrap w:val="0"/>
            <w:vAlign w:val="center"/>
          </w:tcPr>
          <w:p w14:paraId="64F054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rPr>
              <w:t>一级指标</w:t>
            </w:r>
          </w:p>
        </w:tc>
        <w:tc>
          <w:tcPr>
            <w:tcW w:w="793" w:type="dxa"/>
            <w:tcBorders>
              <w:top w:val="single" w:color="auto" w:sz="4" w:space="0"/>
              <w:left w:val="single" w:color="auto" w:sz="4" w:space="0"/>
              <w:bottom w:val="single" w:color="auto" w:sz="4" w:space="0"/>
              <w:right w:val="single" w:color="auto" w:sz="4" w:space="0"/>
            </w:tcBorders>
            <w:noWrap w:val="0"/>
            <w:vAlign w:val="center"/>
          </w:tcPr>
          <w:p w14:paraId="4D8548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rPr>
              <w:t>分值</w:t>
            </w:r>
          </w:p>
        </w:tc>
        <w:tc>
          <w:tcPr>
            <w:tcW w:w="921" w:type="dxa"/>
            <w:tcBorders>
              <w:top w:val="single" w:color="auto" w:sz="4" w:space="0"/>
              <w:left w:val="single" w:color="auto" w:sz="4" w:space="0"/>
              <w:bottom w:val="single" w:color="auto" w:sz="4" w:space="0"/>
              <w:right w:val="single" w:color="auto" w:sz="4" w:space="0"/>
            </w:tcBorders>
            <w:noWrap w:val="0"/>
            <w:vAlign w:val="center"/>
          </w:tcPr>
          <w:p w14:paraId="4C652B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rPr>
              <w:t>二级指标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57EA92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rPr>
              <w:t>分值</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008DE5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rPr>
              <w:t>三级指标</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30A90B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rPr>
              <w:t>分值</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6E6DAF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rPr>
              <w:t>指标解释</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7F7469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rPr>
              <w:t>标杆值</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36E62B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rPr>
              <w:t>评分标准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36971E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rPr>
              <w:t>完成值</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4CCF47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rPr>
              <w:t>得分</w:t>
            </w:r>
          </w:p>
        </w:tc>
      </w:tr>
      <w:tr w14:paraId="23D06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4" w:hRule="atLeast"/>
        </w:trPr>
        <w:tc>
          <w:tcPr>
            <w:tcW w:w="858" w:type="dxa"/>
            <w:vMerge w:val="restart"/>
            <w:tcBorders>
              <w:top w:val="single" w:color="auto" w:sz="4" w:space="0"/>
              <w:left w:val="single" w:color="auto" w:sz="4" w:space="0"/>
              <w:bottom w:val="single" w:color="auto" w:sz="4" w:space="0"/>
              <w:right w:val="single" w:color="auto" w:sz="4" w:space="0"/>
            </w:tcBorders>
            <w:noWrap w:val="0"/>
            <w:vAlign w:val="center"/>
          </w:tcPr>
          <w:p w14:paraId="65F004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项目决策</w:t>
            </w:r>
          </w:p>
        </w:tc>
        <w:tc>
          <w:tcPr>
            <w:tcW w:w="793" w:type="dxa"/>
            <w:vMerge w:val="restart"/>
            <w:tcBorders>
              <w:top w:val="single" w:color="auto" w:sz="4" w:space="0"/>
              <w:left w:val="single" w:color="auto" w:sz="4" w:space="0"/>
              <w:bottom w:val="single" w:color="auto" w:sz="4" w:space="0"/>
              <w:right w:val="single" w:color="auto" w:sz="4" w:space="0"/>
            </w:tcBorders>
            <w:noWrap w:val="0"/>
            <w:vAlign w:val="center"/>
          </w:tcPr>
          <w:p w14:paraId="483DF19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w:t>
            </w:r>
          </w:p>
        </w:tc>
        <w:tc>
          <w:tcPr>
            <w:tcW w:w="921" w:type="dxa"/>
            <w:vMerge w:val="restart"/>
            <w:tcBorders>
              <w:top w:val="single" w:color="auto" w:sz="4" w:space="0"/>
              <w:left w:val="single" w:color="auto" w:sz="4" w:space="0"/>
              <w:bottom w:val="single" w:color="auto" w:sz="4" w:space="0"/>
              <w:right w:val="single" w:color="auto" w:sz="4" w:space="0"/>
            </w:tcBorders>
            <w:noWrap w:val="0"/>
            <w:vAlign w:val="center"/>
          </w:tcPr>
          <w:p w14:paraId="3DDC4AE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w:t>
            </w:r>
          </w:p>
        </w:tc>
        <w:tc>
          <w:tcPr>
            <w:tcW w:w="750" w:type="dxa"/>
            <w:vMerge w:val="restart"/>
            <w:tcBorders>
              <w:top w:val="single" w:color="auto" w:sz="4" w:space="0"/>
              <w:left w:val="single" w:color="auto" w:sz="4" w:space="0"/>
              <w:bottom w:val="single" w:color="auto" w:sz="4" w:space="0"/>
              <w:right w:val="single" w:color="auto" w:sz="4" w:space="0"/>
            </w:tcBorders>
            <w:noWrap w:val="0"/>
            <w:vAlign w:val="center"/>
          </w:tcPr>
          <w:p w14:paraId="42D09ED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7C8E1D8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6BAAE96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006C1FA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2A7808E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15CD4F6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0E4B646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71FA47A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0F2E94D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5673815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67ABC72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03430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充分</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279CEB34">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r>
      <w:tr w14:paraId="5AE68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2D810A52">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65DFE87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top w:val="single" w:color="auto" w:sz="4" w:space="0"/>
              <w:left w:val="single" w:color="auto" w:sz="4" w:space="0"/>
              <w:bottom w:val="single" w:color="auto" w:sz="4" w:space="0"/>
              <w:right w:val="single" w:color="auto" w:sz="4" w:space="0"/>
            </w:tcBorders>
            <w:noWrap w:val="0"/>
            <w:vAlign w:val="center"/>
          </w:tcPr>
          <w:p w14:paraId="65A6D95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18FA253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tcBorders>
              <w:top w:val="single" w:color="auto" w:sz="4" w:space="0"/>
              <w:left w:val="single" w:color="auto" w:sz="4" w:space="0"/>
              <w:bottom w:val="single" w:color="auto" w:sz="4" w:space="0"/>
              <w:right w:val="single" w:color="auto" w:sz="4" w:space="0"/>
            </w:tcBorders>
            <w:noWrap w:val="0"/>
            <w:vAlign w:val="center"/>
          </w:tcPr>
          <w:p w14:paraId="7668318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782D7CE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606646D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1EBF7AB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49C4819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5169A43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260E76F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311BC56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7F7D5B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规范</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5B5C8A36">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r>
      <w:tr w14:paraId="5320D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74328A06">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0640605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restart"/>
            <w:tcBorders>
              <w:top w:val="single" w:color="auto" w:sz="4" w:space="0"/>
              <w:left w:val="single" w:color="auto" w:sz="4" w:space="0"/>
              <w:bottom w:val="single" w:color="auto" w:sz="4" w:space="0"/>
              <w:right w:val="single" w:color="auto" w:sz="4" w:space="0"/>
            </w:tcBorders>
            <w:noWrap w:val="0"/>
            <w:vAlign w:val="center"/>
          </w:tcPr>
          <w:p w14:paraId="25DE5AA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w:t>
            </w:r>
          </w:p>
        </w:tc>
        <w:tc>
          <w:tcPr>
            <w:tcW w:w="750" w:type="dxa"/>
            <w:vMerge w:val="restart"/>
            <w:tcBorders>
              <w:top w:val="single" w:color="auto" w:sz="4" w:space="0"/>
              <w:left w:val="single" w:color="auto" w:sz="4" w:space="0"/>
              <w:bottom w:val="single" w:color="auto" w:sz="4" w:space="0"/>
              <w:right w:val="single" w:color="auto" w:sz="4" w:space="0"/>
            </w:tcBorders>
            <w:noWrap w:val="0"/>
            <w:vAlign w:val="center"/>
          </w:tcPr>
          <w:p w14:paraId="4AF6762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074F63B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746EC7B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1369984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416E89F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177510D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2DD70E3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5400E97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5266237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251302C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064838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合理</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791685E6">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r>
      <w:tr w14:paraId="195DB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57E83C2D">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44E5AA7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top w:val="single" w:color="auto" w:sz="4" w:space="0"/>
              <w:left w:val="single" w:color="auto" w:sz="4" w:space="0"/>
              <w:bottom w:val="single" w:color="auto" w:sz="4" w:space="0"/>
              <w:right w:val="single" w:color="auto" w:sz="4" w:space="0"/>
            </w:tcBorders>
            <w:noWrap w:val="0"/>
            <w:vAlign w:val="center"/>
          </w:tcPr>
          <w:p w14:paraId="169DBD8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55935B9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tcBorders>
              <w:top w:val="single" w:color="auto" w:sz="4" w:space="0"/>
              <w:left w:val="single" w:color="auto" w:sz="4" w:space="0"/>
              <w:bottom w:val="single" w:color="auto" w:sz="4" w:space="0"/>
              <w:right w:val="single" w:color="auto" w:sz="4" w:space="0"/>
            </w:tcBorders>
            <w:noWrap w:val="0"/>
            <w:vAlign w:val="center"/>
          </w:tcPr>
          <w:p w14:paraId="342A1D2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3A59B1C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546D33D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019907A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7CF744C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3D06902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2F51778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34B479C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9350E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明确</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459342D8">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r>
      <w:tr w14:paraId="60FCB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5"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6C807576">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52D9034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restart"/>
            <w:tcBorders>
              <w:top w:val="single" w:color="auto" w:sz="4" w:space="0"/>
              <w:left w:val="single" w:color="auto" w:sz="4" w:space="0"/>
              <w:bottom w:val="single" w:color="auto" w:sz="4" w:space="0"/>
              <w:right w:val="single" w:color="auto" w:sz="4" w:space="0"/>
            </w:tcBorders>
            <w:noWrap w:val="0"/>
            <w:vAlign w:val="center"/>
          </w:tcPr>
          <w:p w14:paraId="2ECE094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资金投入</w:t>
            </w:r>
          </w:p>
        </w:tc>
        <w:tc>
          <w:tcPr>
            <w:tcW w:w="750" w:type="dxa"/>
            <w:vMerge w:val="restart"/>
            <w:tcBorders>
              <w:top w:val="single" w:color="auto" w:sz="4" w:space="0"/>
              <w:left w:val="single" w:color="auto" w:sz="4" w:space="0"/>
              <w:bottom w:val="single" w:color="auto" w:sz="4" w:space="0"/>
              <w:right w:val="single" w:color="auto" w:sz="4" w:space="0"/>
            </w:tcBorders>
            <w:noWrap w:val="0"/>
            <w:vAlign w:val="center"/>
          </w:tcPr>
          <w:p w14:paraId="19856ED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3C7A07A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6E77DB5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7617DF4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6D82226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12C4532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0853684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1D03486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5AD2AD1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35754E1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5A9A9E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科学</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17B5A093">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r>
      <w:tr w14:paraId="393DC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6"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7602B0A0">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4B24ED4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top w:val="single" w:color="auto" w:sz="4" w:space="0"/>
              <w:left w:val="single" w:color="auto" w:sz="4" w:space="0"/>
              <w:bottom w:val="single" w:color="auto" w:sz="4" w:space="0"/>
              <w:right w:val="single" w:color="auto" w:sz="4" w:space="0"/>
            </w:tcBorders>
            <w:noWrap w:val="0"/>
            <w:vAlign w:val="center"/>
          </w:tcPr>
          <w:p w14:paraId="5119A20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19D9061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tcBorders>
              <w:top w:val="single" w:color="auto" w:sz="4" w:space="0"/>
              <w:left w:val="single" w:color="auto" w:sz="4" w:space="0"/>
              <w:bottom w:val="single" w:color="auto" w:sz="4" w:space="0"/>
              <w:right w:val="single" w:color="auto" w:sz="4" w:space="0"/>
            </w:tcBorders>
            <w:noWrap w:val="0"/>
            <w:vAlign w:val="center"/>
          </w:tcPr>
          <w:p w14:paraId="4A2494F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3778AEB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48295AE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300634B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029AAE7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5C74C8D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40F7E80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2487F2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合理</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65EA6A7E">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r>
      <w:tr w14:paraId="6FBBE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6" w:hRule="atLeast"/>
        </w:trPr>
        <w:tc>
          <w:tcPr>
            <w:tcW w:w="858" w:type="dxa"/>
            <w:vMerge w:val="restart"/>
            <w:tcBorders>
              <w:top w:val="single" w:color="auto" w:sz="4" w:space="0"/>
              <w:left w:val="single" w:color="auto" w:sz="4" w:space="0"/>
              <w:bottom w:val="single" w:color="auto" w:sz="4" w:space="0"/>
              <w:right w:val="single" w:color="auto" w:sz="4" w:space="0"/>
            </w:tcBorders>
            <w:noWrap w:val="0"/>
            <w:vAlign w:val="center"/>
          </w:tcPr>
          <w:p w14:paraId="7BD4BA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项目过程</w:t>
            </w:r>
          </w:p>
        </w:tc>
        <w:tc>
          <w:tcPr>
            <w:tcW w:w="793" w:type="dxa"/>
            <w:vMerge w:val="restart"/>
            <w:tcBorders>
              <w:top w:val="single" w:color="auto" w:sz="4" w:space="0"/>
              <w:left w:val="single" w:color="auto" w:sz="4" w:space="0"/>
              <w:bottom w:val="single" w:color="auto" w:sz="4" w:space="0"/>
              <w:right w:val="single" w:color="auto" w:sz="4" w:space="0"/>
            </w:tcBorders>
            <w:noWrap w:val="0"/>
            <w:vAlign w:val="center"/>
          </w:tcPr>
          <w:p w14:paraId="713BE42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w:t>
            </w:r>
          </w:p>
        </w:tc>
        <w:tc>
          <w:tcPr>
            <w:tcW w:w="921" w:type="dxa"/>
            <w:vMerge w:val="restart"/>
            <w:tcBorders>
              <w:top w:val="single" w:color="auto" w:sz="4" w:space="0"/>
              <w:left w:val="single" w:color="auto" w:sz="4" w:space="0"/>
              <w:bottom w:val="single" w:color="auto" w:sz="4" w:space="0"/>
              <w:right w:val="single" w:color="auto" w:sz="4" w:space="0"/>
            </w:tcBorders>
            <w:noWrap w:val="0"/>
            <w:vAlign w:val="center"/>
          </w:tcPr>
          <w:p w14:paraId="0DCD3D5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资金管理</w:t>
            </w:r>
          </w:p>
        </w:tc>
        <w:tc>
          <w:tcPr>
            <w:tcW w:w="750" w:type="dxa"/>
            <w:vMerge w:val="restart"/>
            <w:tcBorders>
              <w:top w:val="single" w:color="auto" w:sz="4" w:space="0"/>
              <w:left w:val="single" w:color="auto" w:sz="4" w:space="0"/>
              <w:bottom w:val="single" w:color="auto" w:sz="4" w:space="0"/>
              <w:right w:val="single" w:color="auto" w:sz="4" w:space="0"/>
            </w:tcBorders>
            <w:noWrap w:val="0"/>
            <w:vAlign w:val="center"/>
          </w:tcPr>
          <w:p w14:paraId="5B7DAFC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4BEC586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7F0CDFD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5581395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484ECE4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3CE6D5B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47461B0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533217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100%</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03BC00BB">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r>
      <w:tr w14:paraId="5DF01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3577390C">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5488E3D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top w:val="single" w:color="auto" w:sz="4" w:space="0"/>
              <w:left w:val="single" w:color="auto" w:sz="4" w:space="0"/>
              <w:bottom w:val="single" w:color="auto" w:sz="4" w:space="0"/>
              <w:right w:val="single" w:color="auto" w:sz="4" w:space="0"/>
            </w:tcBorders>
            <w:noWrap w:val="0"/>
            <w:vAlign w:val="center"/>
          </w:tcPr>
          <w:p w14:paraId="533349E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77D59FB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tcBorders>
              <w:top w:val="single" w:color="auto" w:sz="4" w:space="0"/>
              <w:left w:val="single" w:color="auto" w:sz="4" w:space="0"/>
              <w:bottom w:val="single" w:color="auto" w:sz="4" w:space="0"/>
              <w:right w:val="single" w:color="auto" w:sz="4" w:space="0"/>
            </w:tcBorders>
            <w:noWrap w:val="0"/>
            <w:vAlign w:val="center"/>
          </w:tcPr>
          <w:p w14:paraId="7BC31C7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1B6CDD5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13A5257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5A0453F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75A7638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6D719EE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395F3D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微软雅黑" w:hAnsi="微软雅黑" w:eastAsia="微软雅黑" w:cs="微软雅黑"/>
                <w:i w:val="0"/>
                <w:iCs w:val="0"/>
                <w:color w:val="000000"/>
                <w:sz w:val="22"/>
                <w:szCs w:val="22"/>
                <w:u w:val="none"/>
                <w:lang w:val="en-US"/>
              </w:rPr>
            </w:pPr>
            <w:r>
              <w:rPr>
                <w:rFonts w:hint="eastAsia" w:ascii="微软雅黑" w:hAnsi="微软雅黑" w:eastAsia="微软雅黑" w:cs="微软雅黑"/>
                <w:i w:val="0"/>
                <w:iCs w:val="0"/>
                <w:color w:val="000000"/>
                <w:kern w:val="0"/>
                <w:sz w:val="22"/>
                <w:szCs w:val="22"/>
                <w:u w:val="none"/>
                <w:lang w:val="en-US" w:eastAsia="zh-CN"/>
              </w:rPr>
              <w:t>100%</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35FB2D48">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r>
      <w:tr w14:paraId="333F7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6D97BD85">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31E98E1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top w:val="single" w:color="auto" w:sz="4" w:space="0"/>
              <w:left w:val="single" w:color="auto" w:sz="4" w:space="0"/>
              <w:bottom w:val="single" w:color="auto" w:sz="4" w:space="0"/>
              <w:right w:val="single" w:color="auto" w:sz="4" w:space="0"/>
            </w:tcBorders>
            <w:noWrap w:val="0"/>
            <w:vAlign w:val="center"/>
          </w:tcPr>
          <w:p w14:paraId="79AA1A1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60BA643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tcBorders>
              <w:top w:val="single" w:color="auto" w:sz="4" w:space="0"/>
              <w:left w:val="single" w:color="auto" w:sz="4" w:space="0"/>
              <w:bottom w:val="single" w:color="auto" w:sz="4" w:space="0"/>
              <w:right w:val="single" w:color="auto" w:sz="4" w:space="0"/>
            </w:tcBorders>
            <w:noWrap w:val="0"/>
            <w:vAlign w:val="center"/>
          </w:tcPr>
          <w:p w14:paraId="6054B31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1E75906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0E8F74C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20C5BDB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1B2BA6A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18E96FC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3C10533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03BA54F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6F24A15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29AD39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合规</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4CCD80D2">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r>
      <w:tr w14:paraId="0F10E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1B33CB54">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4DD4166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restart"/>
            <w:tcBorders>
              <w:top w:val="single" w:color="auto" w:sz="4" w:space="0"/>
              <w:left w:val="single" w:color="auto" w:sz="4" w:space="0"/>
              <w:bottom w:val="single" w:color="auto" w:sz="4" w:space="0"/>
              <w:right w:val="single" w:color="auto" w:sz="4" w:space="0"/>
            </w:tcBorders>
            <w:noWrap w:val="0"/>
            <w:vAlign w:val="center"/>
          </w:tcPr>
          <w:p w14:paraId="6F03DCF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组织实施</w:t>
            </w:r>
          </w:p>
        </w:tc>
        <w:tc>
          <w:tcPr>
            <w:tcW w:w="750" w:type="dxa"/>
            <w:vMerge w:val="restart"/>
            <w:tcBorders>
              <w:top w:val="single" w:color="auto" w:sz="4" w:space="0"/>
              <w:left w:val="single" w:color="auto" w:sz="4" w:space="0"/>
              <w:bottom w:val="single" w:color="auto" w:sz="4" w:space="0"/>
              <w:right w:val="single" w:color="auto" w:sz="4" w:space="0"/>
            </w:tcBorders>
            <w:noWrap w:val="0"/>
            <w:vAlign w:val="center"/>
          </w:tcPr>
          <w:p w14:paraId="63FA016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5D8424C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693C4B3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1257A47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6FB4A53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5E9E5BC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2328E7A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018A6D3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319162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健全</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5C9CC862">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r>
      <w:tr w14:paraId="16947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5E4A88AC">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7FD95C9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top w:val="single" w:color="auto" w:sz="4" w:space="0"/>
              <w:left w:val="single" w:color="auto" w:sz="4" w:space="0"/>
              <w:bottom w:val="single" w:color="auto" w:sz="4" w:space="0"/>
              <w:right w:val="single" w:color="auto" w:sz="4" w:space="0"/>
            </w:tcBorders>
            <w:noWrap w:val="0"/>
            <w:vAlign w:val="center"/>
          </w:tcPr>
          <w:p w14:paraId="4943B5B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37B3E32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tcBorders>
              <w:top w:val="single" w:color="auto" w:sz="4" w:space="0"/>
              <w:left w:val="single" w:color="auto" w:sz="4" w:space="0"/>
              <w:bottom w:val="single" w:color="auto" w:sz="4" w:space="0"/>
              <w:right w:val="single" w:color="auto" w:sz="4" w:space="0"/>
            </w:tcBorders>
            <w:noWrap w:val="0"/>
            <w:vAlign w:val="center"/>
          </w:tcPr>
          <w:p w14:paraId="709268C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6FDD867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1B41DB1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73BCEA1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0EB1D95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5F9BE7F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1D73D85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609CC5B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0314B4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有效</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607369EE">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r>
      <w:tr w14:paraId="228A6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8" w:type="dxa"/>
            <w:vMerge w:val="restart"/>
            <w:tcBorders>
              <w:top w:val="single" w:color="auto" w:sz="4" w:space="0"/>
              <w:left w:val="single" w:color="auto" w:sz="4" w:space="0"/>
              <w:bottom w:val="single" w:color="auto" w:sz="4" w:space="0"/>
              <w:right w:val="single" w:color="auto" w:sz="4" w:space="0"/>
            </w:tcBorders>
            <w:noWrap w:val="0"/>
            <w:vAlign w:val="center"/>
          </w:tcPr>
          <w:p w14:paraId="1838C3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项目产出</w:t>
            </w:r>
          </w:p>
        </w:tc>
        <w:tc>
          <w:tcPr>
            <w:tcW w:w="793" w:type="dxa"/>
            <w:vMerge w:val="restart"/>
            <w:tcBorders>
              <w:top w:val="single" w:color="auto" w:sz="4" w:space="0"/>
              <w:left w:val="single" w:color="auto" w:sz="4" w:space="0"/>
              <w:bottom w:val="single" w:color="auto" w:sz="4" w:space="0"/>
              <w:right w:val="single" w:color="auto" w:sz="4" w:space="0"/>
            </w:tcBorders>
            <w:noWrap w:val="0"/>
            <w:vAlign w:val="center"/>
          </w:tcPr>
          <w:p w14:paraId="3AB488B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w:t>
            </w:r>
          </w:p>
        </w:tc>
        <w:tc>
          <w:tcPr>
            <w:tcW w:w="921" w:type="dxa"/>
            <w:vMerge w:val="restart"/>
            <w:tcBorders>
              <w:top w:val="single" w:color="auto" w:sz="4" w:space="0"/>
              <w:left w:val="single" w:color="auto" w:sz="4" w:space="0"/>
              <w:right w:val="single" w:color="auto" w:sz="4" w:space="0"/>
            </w:tcBorders>
            <w:noWrap w:val="0"/>
            <w:vAlign w:val="center"/>
          </w:tcPr>
          <w:p w14:paraId="60C36EE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产出数量</w:t>
            </w:r>
          </w:p>
        </w:tc>
        <w:tc>
          <w:tcPr>
            <w:tcW w:w="750" w:type="dxa"/>
            <w:vMerge w:val="restart"/>
            <w:tcBorders>
              <w:top w:val="single" w:color="auto" w:sz="4" w:space="0"/>
              <w:left w:val="single" w:color="auto" w:sz="4" w:space="0"/>
              <w:right w:val="single" w:color="auto" w:sz="4" w:space="0"/>
            </w:tcBorders>
            <w:noWrap w:val="0"/>
            <w:vAlign w:val="center"/>
          </w:tcPr>
          <w:p w14:paraId="2D2514D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879" w:type="dxa"/>
            <w:vMerge w:val="restart"/>
            <w:tcBorders>
              <w:top w:val="single" w:color="auto" w:sz="4" w:space="0"/>
              <w:left w:val="single" w:color="auto" w:sz="4" w:space="0"/>
              <w:right w:val="single" w:color="auto" w:sz="4" w:space="0"/>
            </w:tcBorders>
            <w:noWrap w:val="0"/>
            <w:vAlign w:val="center"/>
          </w:tcPr>
          <w:p w14:paraId="3E3B0FB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0A79E7C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2295285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完成适龄农村适龄妇女宫颈癌检查人数</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1317AFB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=5500人</w:t>
            </w:r>
          </w:p>
        </w:tc>
        <w:tc>
          <w:tcPr>
            <w:tcW w:w="4500" w:type="dxa"/>
            <w:vMerge w:val="restart"/>
            <w:tcBorders>
              <w:top w:val="single" w:color="auto" w:sz="4" w:space="0"/>
              <w:left w:val="single" w:color="auto" w:sz="4" w:space="0"/>
              <w:right w:val="single" w:color="auto" w:sz="4" w:space="0"/>
            </w:tcBorders>
            <w:noWrap w:val="0"/>
            <w:vAlign w:val="center"/>
          </w:tcPr>
          <w:p w14:paraId="351FD9F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实际完成率=（实际完成/预期完成）×100%。①实际完成率≥100%，且偏离程度＜20%，得满分；②实际完成率≥100%，偏离程度≥20%，得0分；③实际完成率×100%＜100%，得分=实际完成率×指标分值。</w:t>
            </w:r>
          </w:p>
          <w:p w14:paraId="2841168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857" w:type="dxa"/>
            <w:tcBorders>
              <w:top w:val="single" w:color="auto" w:sz="4" w:space="0"/>
              <w:left w:val="single" w:color="auto" w:sz="4" w:space="0"/>
              <w:bottom w:val="single" w:color="auto" w:sz="4" w:space="0"/>
              <w:right w:val="single" w:color="auto" w:sz="4" w:space="0"/>
            </w:tcBorders>
            <w:noWrap w:val="0"/>
            <w:vAlign w:val="center"/>
          </w:tcPr>
          <w:p w14:paraId="2595999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5500人</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3363D13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1</w:t>
            </w:r>
          </w:p>
        </w:tc>
      </w:tr>
      <w:tr w14:paraId="1E2BD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6FAD9217">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4614924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left w:val="single" w:color="auto" w:sz="4" w:space="0"/>
              <w:right w:val="single" w:color="auto" w:sz="4" w:space="0"/>
            </w:tcBorders>
            <w:noWrap w:val="0"/>
            <w:vAlign w:val="center"/>
          </w:tcPr>
          <w:p w14:paraId="0581F96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left w:val="single" w:color="auto" w:sz="4" w:space="0"/>
              <w:right w:val="single" w:color="auto" w:sz="4" w:space="0"/>
            </w:tcBorders>
            <w:noWrap w:val="0"/>
            <w:vAlign w:val="center"/>
          </w:tcPr>
          <w:p w14:paraId="5268354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vMerge w:val="continue"/>
            <w:tcBorders>
              <w:left w:val="single" w:color="auto" w:sz="4" w:space="0"/>
              <w:right w:val="single" w:color="auto" w:sz="4" w:space="0"/>
            </w:tcBorders>
            <w:noWrap w:val="0"/>
            <w:vAlign w:val="center"/>
          </w:tcPr>
          <w:p w14:paraId="072E809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75C7E8D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27DD914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县乡级培训人次</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6E5F75A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=126人次</w:t>
            </w:r>
          </w:p>
        </w:tc>
        <w:tc>
          <w:tcPr>
            <w:tcW w:w="4500" w:type="dxa"/>
            <w:vMerge w:val="continue"/>
            <w:tcBorders>
              <w:left w:val="single" w:color="auto" w:sz="4" w:space="0"/>
              <w:right w:val="single" w:color="auto" w:sz="4" w:space="0"/>
            </w:tcBorders>
            <w:noWrap w:val="0"/>
            <w:vAlign w:val="center"/>
          </w:tcPr>
          <w:p w14:paraId="17C5C4F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857" w:type="dxa"/>
            <w:tcBorders>
              <w:top w:val="single" w:color="auto" w:sz="4" w:space="0"/>
              <w:left w:val="single" w:color="auto" w:sz="4" w:space="0"/>
              <w:bottom w:val="single" w:color="auto" w:sz="4" w:space="0"/>
              <w:right w:val="single" w:color="auto" w:sz="4" w:space="0"/>
            </w:tcBorders>
            <w:noWrap w:val="0"/>
            <w:vAlign w:val="center"/>
          </w:tcPr>
          <w:p w14:paraId="0A94832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126人次</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4B61876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1</w:t>
            </w:r>
          </w:p>
        </w:tc>
      </w:tr>
      <w:tr w14:paraId="6CBB5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19076DE7">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3F9A2C7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left w:val="single" w:color="auto" w:sz="4" w:space="0"/>
              <w:right w:val="single" w:color="auto" w:sz="4" w:space="0"/>
            </w:tcBorders>
            <w:noWrap w:val="0"/>
            <w:vAlign w:val="center"/>
          </w:tcPr>
          <w:p w14:paraId="5005693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left w:val="single" w:color="auto" w:sz="4" w:space="0"/>
              <w:right w:val="single" w:color="auto" w:sz="4" w:space="0"/>
            </w:tcBorders>
            <w:noWrap w:val="0"/>
            <w:vAlign w:val="center"/>
          </w:tcPr>
          <w:p w14:paraId="508EEBD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vMerge w:val="continue"/>
            <w:tcBorders>
              <w:left w:val="single" w:color="auto" w:sz="4" w:space="0"/>
              <w:right w:val="single" w:color="auto" w:sz="4" w:space="0"/>
            </w:tcBorders>
            <w:noWrap w:val="0"/>
            <w:vAlign w:val="center"/>
          </w:tcPr>
          <w:p w14:paraId="1546619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2E8313C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22DC3EB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本机构赴上级部门培训人次</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4C35825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=2人次</w:t>
            </w:r>
          </w:p>
        </w:tc>
        <w:tc>
          <w:tcPr>
            <w:tcW w:w="4500" w:type="dxa"/>
            <w:vMerge w:val="continue"/>
            <w:tcBorders>
              <w:left w:val="single" w:color="auto" w:sz="4" w:space="0"/>
              <w:right w:val="single" w:color="auto" w:sz="4" w:space="0"/>
            </w:tcBorders>
            <w:noWrap w:val="0"/>
            <w:vAlign w:val="center"/>
          </w:tcPr>
          <w:p w14:paraId="0A2F060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857" w:type="dxa"/>
            <w:tcBorders>
              <w:top w:val="single" w:color="auto" w:sz="4" w:space="0"/>
              <w:left w:val="single" w:color="auto" w:sz="4" w:space="0"/>
              <w:bottom w:val="single" w:color="auto" w:sz="4" w:space="0"/>
              <w:right w:val="single" w:color="auto" w:sz="4" w:space="0"/>
            </w:tcBorders>
            <w:noWrap w:val="0"/>
            <w:vAlign w:val="center"/>
          </w:tcPr>
          <w:p w14:paraId="5590DF6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2人次</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397DE8F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1</w:t>
            </w:r>
          </w:p>
        </w:tc>
      </w:tr>
      <w:tr w14:paraId="6B9A0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249381B7">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2062025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left w:val="single" w:color="auto" w:sz="4" w:space="0"/>
              <w:right w:val="single" w:color="auto" w:sz="4" w:space="0"/>
            </w:tcBorders>
            <w:noWrap w:val="0"/>
            <w:vAlign w:val="center"/>
          </w:tcPr>
          <w:p w14:paraId="699EBDC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left w:val="single" w:color="auto" w:sz="4" w:space="0"/>
              <w:right w:val="single" w:color="auto" w:sz="4" w:space="0"/>
            </w:tcBorders>
            <w:noWrap w:val="0"/>
            <w:vAlign w:val="center"/>
          </w:tcPr>
          <w:p w14:paraId="553A75F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vMerge w:val="continue"/>
            <w:tcBorders>
              <w:left w:val="single" w:color="auto" w:sz="4" w:space="0"/>
              <w:right w:val="single" w:color="auto" w:sz="4" w:space="0"/>
            </w:tcBorders>
            <w:noWrap w:val="0"/>
            <w:vAlign w:val="center"/>
          </w:tcPr>
          <w:p w14:paraId="5A48B9D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236D3B5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727269B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印刷用品批数</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130E7DE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=1批</w:t>
            </w:r>
          </w:p>
        </w:tc>
        <w:tc>
          <w:tcPr>
            <w:tcW w:w="4500" w:type="dxa"/>
            <w:vMerge w:val="continue"/>
            <w:tcBorders>
              <w:left w:val="single" w:color="auto" w:sz="4" w:space="0"/>
              <w:right w:val="single" w:color="auto" w:sz="4" w:space="0"/>
            </w:tcBorders>
            <w:noWrap w:val="0"/>
            <w:vAlign w:val="center"/>
          </w:tcPr>
          <w:p w14:paraId="0F5431D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857" w:type="dxa"/>
            <w:tcBorders>
              <w:top w:val="single" w:color="auto" w:sz="4" w:space="0"/>
              <w:left w:val="single" w:color="auto" w:sz="4" w:space="0"/>
              <w:bottom w:val="single" w:color="auto" w:sz="4" w:space="0"/>
              <w:right w:val="single" w:color="auto" w:sz="4" w:space="0"/>
            </w:tcBorders>
            <w:noWrap w:val="0"/>
            <w:vAlign w:val="center"/>
          </w:tcPr>
          <w:p w14:paraId="1B2E235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1批</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1284104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1</w:t>
            </w:r>
          </w:p>
        </w:tc>
      </w:tr>
      <w:tr w14:paraId="576D7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6CF03AA9">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330D6A6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left w:val="single" w:color="auto" w:sz="4" w:space="0"/>
              <w:right w:val="single" w:color="auto" w:sz="4" w:space="0"/>
            </w:tcBorders>
            <w:noWrap w:val="0"/>
            <w:vAlign w:val="center"/>
          </w:tcPr>
          <w:p w14:paraId="7A289E8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left w:val="single" w:color="auto" w:sz="4" w:space="0"/>
              <w:right w:val="single" w:color="auto" w:sz="4" w:space="0"/>
            </w:tcBorders>
            <w:noWrap w:val="0"/>
            <w:vAlign w:val="center"/>
          </w:tcPr>
          <w:p w14:paraId="7E0C6F6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vMerge w:val="continue"/>
            <w:tcBorders>
              <w:left w:val="single" w:color="auto" w:sz="4" w:space="0"/>
              <w:right w:val="single" w:color="auto" w:sz="4" w:space="0"/>
            </w:tcBorders>
            <w:noWrap w:val="0"/>
            <w:vAlign w:val="center"/>
          </w:tcPr>
          <w:p w14:paraId="0BBB309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4EF632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1F1C709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购置办公用品批数</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1BCF6F7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=1批</w:t>
            </w:r>
          </w:p>
        </w:tc>
        <w:tc>
          <w:tcPr>
            <w:tcW w:w="4500" w:type="dxa"/>
            <w:vMerge w:val="continue"/>
            <w:tcBorders>
              <w:left w:val="single" w:color="auto" w:sz="4" w:space="0"/>
              <w:right w:val="single" w:color="auto" w:sz="4" w:space="0"/>
            </w:tcBorders>
            <w:noWrap w:val="0"/>
            <w:vAlign w:val="center"/>
          </w:tcPr>
          <w:p w14:paraId="5B68F28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857" w:type="dxa"/>
            <w:tcBorders>
              <w:top w:val="single" w:color="auto" w:sz="4" w:space="0"/>
              <w:left w:val="single" w:color="auto" w:sz="4" w:space="0"/>
              <w:bottom w:val="single" w:color="auto" w:sz="4" w:space="0"/>
              <w:right w:val="single" w:color="auto" w:sz="4" w:space="0"/>
            </w:tcBorders>
            <w:noWrap w:val="0"/>
            <w:vAlign w:val="center"/>
          </w:tcPr>
          <w:p w14:paraId="23499F4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1批</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0AABFC1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r>
      <w:tr w14:paraId="44AD8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5BB83DFA">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548A491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left w:val="single" w:color="auto" w:sz="4" w:space="0"/>
              <w:right w:val="single" w:color="auto" w:sz="4" w:space="0"/>
            </w:tcBorders>
            <w:noWrap w:val="0"/>
            <w:vAlign w:val="center"/>
          </w:tcPr>
          <w:p w14:paraId="5DF55C2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left w:val="single" w:color="auto" w:sz="4" w:space="0"/>
              <w:right w:val="single" w:color="auto" w:sz="4" w:space="0"/>
            </w:tcBorders>
            <w:noWrap w:val="0"/>
            <w:vAlign w:val="center"/>
          </w:tcPr>
          <w:p w14:paraId="11C2D60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vMerge w:val="continue"/>
            <w:tcBorders>
              <w:left w:val="single" w:color="auto" w:sz="4" w:space="0"/>
              <w:right w:val="single" w:color="auto" w:sz="4" w:space="0"/>
            </w:tcBorders>
            <w:noWrap w:val="0"/>
            <w:vAlign w:val="center"/>
          </w:tcPr>
          <w:p w14:paraId="58FB0A8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7ECB130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393158E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保障公务用车数量</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3FF317F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=2辆</w:t>
            </w:r>
          </w:p>
        </w:tc>
        <w:tc>
          <w:tcPr>
            <w:tcW w:w="4500" w:type="dxa"/>
            <w:vMerge w:val="continue"/>
            <w:tcBorders>
              <w:left w:val="single" w:color="auto" w:sz="4" w:space="0"/>
              <w:right w:val="single" w:color="auto" w:sz="4" w:space="0"/>
            </w:tcBorders>
            <w:noWrap w:val="0"/>
            <w:vAlign w:val="center"/>
          </w:tcPr>
          <w:p w14:paraId="6686802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857" w:type="dxa"/>
            <w:tcBorders>
              <w:top w:val="single" w:color="auto" w:sz="4" w:space="0"/>
              <w:left w:val="single" w:color="auto" w:sz="4" w:space="0"/>
              <w:bottom w:val="single" w:color="auto" w:sz="4" w:space="0"/>
              <w:right w:val="single" w:color="auto" w:sz="4" w:space="0"/>
            </w:tcBorders>
            <w:noWrap w:val="0"/>
            <w:vAlign w:val="center"/>
          </w:tcPr>
          <w:p w14:paraId="0FD2BEA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2辆</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7284130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r>
      <w:tr w14:paraId="2574A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63572117">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785C1C3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left w:val="single" w:color="auto" w:sz="4" w:space="0"/>
              <w:bottom w:val="single" w:color="auto" w:sz="4" w:space="0"/>
              <w:right w:val="single" w:color="auto" w:sz="4" w:space="0"/>
            </w:tcBorders>
            <w:noWrap w:val="0"/>
            <w:vAlign w:val="center"/>
          </w:tcPr>
          <w:p w14:paraId="5A64811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left w:val="single" w:color="auto" w:sz="4" w:space="0"/>
              <w:bottom w:val="single" w:color="auto" w:sz="4" w:space="0"/>
              <w:right w:val="single" w:color="auto" w:sz="4" w:space="0"/>
            </w:tcBorders>
            <w:noWrap w:val="0"/>
            <w:vAlign w:val="center"/>
          </w:tcPr>
          <w:p w14:paraId="3B8A14B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vMerge w:val="continue"/>
            <w:tcBorders>
              <w:left w:val="single" w:color="auto" w:sz="4" w:space="0"/>
              <w:bottom w:val="single" w:color="auto" w:sz="4" w:space="0"/>
              <w:right w:val="single" w:color="auto" w:sz="4" w:space="0"/>
            </w:tcBorders>
            <w:noWrap w:val="0"/>
            <w:vAlign w:val="center"/>
          </w:tcPr>
          <w:p w14:paraId="07977F2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43DE2AB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14610A8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购置小型医疗设备采购</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04D6805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=1批</w:t>
            </w:r>
          </w:p>
        </w:tc>
        <w:tc>
          <w:tcPr>
            <w:tcW w:w="4500" w:type="dxa"/>
            <w:vMerge w:val="continue"/>
            <w:tcBorders>
              <w:left w:val="single" w:color="auto" w:sz="4" w:space="0"/>
              <w:right w:val="single" w:color="auto" w:sz="4" w:space="0"/>
            </w:tcBorders>
            <w:noWrap w:val="0"/>
            <w:vAlign w:val="center"/>
          </w:tcPr>
          <w:p w14:paraId="66091F1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857" w:type="dxa"/>
            <w:tcBorders>
              <w:top w:val="single" w:color="auto" w:sz="4" w:space="0"/>
              <w:left w:val="single" w:color="auto" w:sz="4" w:space="0"/>
              <w:bottom w:val="single" w:color="auto" w:sz="4" w:space="0"/>
              <w:right w:val="single" w:color="auto" w:sz="4" w:space="0"/>
            </w:tcBorders>
            <w:noWrap w:val="0"/>
            <w:vAlign w:val="center"/>
          </w:tcPr>
          <w:p w14:paraId="52D721B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1批</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50C0E4C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r>
      <w:tr w14:paraId="5A59E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345AC059">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35C1016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restart"/>
            <w:tcBorders>
              <w:top w:val="single" w:color="auto" w:sz="4" w:space="0"/>
              <w:left w:val="single" w:color="auto" w:sz="4" w:space="0"/>
              <w:right w:val="single" w:color="auto" w:sz="4" w:space="0"/>
            </w:tcBorders>
            <w:noWrap w:val="0"/>
            <w:vAlign w:val="center"/>
          </w:tcPr>
          <w:p w14:paraId="1B2B727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产出质量</w:t>
            </w:r>
          </w:p>
        </w:tc>
        <w:tc>
          <w:tcPr>
            <w:tcW w:w="750" w:type="dxa"/>
            <w:vMerge w:val="restart"/>
            <w:tcBorders>
              <w:top w:val="single" w:color="auto" w:sz="4" w:space="0"/>
              <w:left w:val="single" w:color="auto" w:sz="4" w:space="0"/>
              <w:right w:val="single" w:color="auto" w:sz="4" w:space="0"/>
            </w:tcBorders>
            <w:noWrap w:val="0"/>
            <w:vAlign w:val="center"/>
          </w:tcPr>
          <w:p w14:paraId="54F4401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879" w:type="dxa"/>
            <w:vMerge w:val="restart"/>
            <w:tcBorders>
              <w:top w:val="single" w:color="auto" w:sz="4" w:space="0"/>
              <w:left w:val="single" w:color="auto" w:sz="4" w:space="0"/>
              <w:right w:val="single" w:color="auto" w:sz="4" w:space="0"/>
            </w:tcBorders>
            <w:noWrap w:val="0"/>
            <w:vAlign w:val="center"/>
          </w:tcPr>
          <w:p w14:paraId="7CE7E8A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7D030B3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0D62D83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宫颈癌早期诊断率</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2546580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=90%</w:t>
            </w:r>
          </w:p>
        </w:tc>
        <w:tc>
          <w:tcPr>
            <w:tcW w:w="4500" w:type="dxa"/>
            <w:vMerge w:val="continue"/>
            <w:tcBorders>
              <w:left w:val="single" w:color="auto" w:sz="4" w:space="0"/>
              <w:bottom w:val="single" w:color="auto" w:sz="4" w:space="0"/>
              <w:right w:val="single" w:color="auto" w:sz="4" w:space="0"/>
            </w:tcBorders>
            <w:noWrap w:val="0"/>
            <w:vAlign w:val="center"/>
          </w:tcPr>
          <w:p w14:paraId="3221CB0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857" w:type="dxa"/>
            <w:tcBorders>
              <w:top w:val="single" w:color="auto" w:sz="4" w:space="0"/>
              <w:left w:val="single" w:color="auto" w:sz="4" w:space="0"/>
              <w:bottom w:val="single" w:color="auto" w:sz="4" w:space="0"/>
              <w:right w:val="single" w:color="auto" w:sz="4" w:space="0"/>
            </w:tcBorders>
            <w:noWrap w:val="0"/>
            <w:vAlign w:val="center"/>
          </w:tcPr>
          <w:p w14:paraId="120052D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90%</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452ADE9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r>
      <w:tr w14:paraId="411BA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5C02947A">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2079110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left w:val="single" w:color="auto" w:sz="4" w:space="0"/>
              <w:bottom w:val="single" w:color="auto" w:sz="4" w:space="0"/>
              <w:right w:val="single" w:color="auto" w:sz="4" w:space="0"/>
            </w:tcBorders>
            <w:noWrap w:val="0"/>
            <w:vAlign w:val="center"/>
          </w:tcPr>
          <w:p w14:paraId="564384C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left w:val="single" w:color="auto" w:sz="4" w:space="0"/>
              <w:bottom w:val="single" w:color="auto" w:sz="4" w:space="0"/>
              <w:right w:val="single" w:color="auto" w:sz="4" w:space="0"/>
            </w:tcBorders>
            <w:noWrap w:val="0"/>
            <w:vAlign w:val="center"/>
          </w:tcPr>
          <w:p w14:paraId="3FFD1B6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vMerge w:val="continue"/>
            <w:tcBorders>
              <w:left w:val="single" w:color="auto" w:sz="4" w:space="0"/>
              <w:bottom w:val="single" w:color="auto" w:sz="4" w:space="0"/>
              <w:right w:val="single" w:color="auto" w:sz="4" w:space="0"/>
            </w:tcBorders>
            <w:noWrap w:val="0"/>
            <w:vAlign w:val="center"/>
          </w:tcPr>
          <w:p w14:paraId="71FFCAA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5B26F1E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3CE0DAE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资金使用合规率</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4AD7332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56B5FC8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实际完成率=（实际完成/预期完成）×100%。①实际完成率≥100%，且偏离程度＜20%，得满分；②实际完成率≥100%，偏离程度≥20%，得0分；③实际完成率×100%＜100%，得分=实际完成率×指标分值。</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B51981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04A0C6C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r>
      <w:tr w14:paraId="2B97D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6FFAF1F8">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0EEF634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restart"/>
            <w:tcBorders>
              <w:top w:val="single" w:color="auto" w:sz="4" w:space="0"/>
              <w:left w:val="single" w:color="auto" w:sz="4" w:space="0"/>
              <w:right w:val="single" w:color="auto" w:sz="4" w:space="0"/>
            </w:tcBorders>
            <w:noWrap w:val="0"/>
            <w:vAlign w:val="center"/>
          </w:tcPr>
          <w:p w14:paraId="46033FD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产出时效</w:t>
            </w:r>
          </w:p>
        </w:tc>
        <w:tc>
          <w:tcPr>
            <w:tcW w:w="750" w:type="dxa"/>
            <w:vMerge w:val="restart"/>
            <w:tcBorders>
              <w:top w:val="single" w:color="auto" w:sz="4" w:space="0"/>
              <w:left w:val="single" w:color="auto" w:sz="4" w:space="0"/>
              <w:right w:val="single" w:color="auto" w:sz="4" w:space="0"/>
            </w:tcBorders>
            <w:noWrap w:val="0"/>
            <w:vAlign w:val="center"/>
          </w:tcPr>
          <w:p w14:paraId="7D0C4E4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879" w:type="dxa"/>
            <w:vMerge w:val="restart"/>
            <w:tcBorders>
              <w:top w:val="single" w:color="auto" w:sz="4" w:space="0"/>
              <w:left w:val="single" w:color="auto" w:sz="4" w:space="0"/>
              <w:right w:val="single" w:color="auto" w:sz="4" w:space="0"/>
            </w:tcBorders>
            <w:noWrap w:val="0"/>
            <w:vAlign w:val="center"/>
          </w:tcPr>
          <w:p w14:paraId="2453266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14C532F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388FBA0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项目完成时间</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35BE5F1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2024年10月</w:t>
            </w:r>
          </w:p>
        </w:tc>
        <w:tc>
          <w:tcPr>
            <w:tcW w:w="4500" w:type="dxa"/>
            <w:vMerge w:val="restart"/>
            <w:tcBorders>
              <w:top w:val="single" w:color="auto" w:sz="4" w:space="0"/>
              <w:left w:val="single" w:color="auto" w:sz="4" w:space="0"/>
              <w:right w:val="single" w:color="auto" w:sz="4" w:space="0"/>
            </w:tcBorders>
            <w:noWrap w:val="0"/>
            <w:vAlign w:val="center"/>
          </w:tcPr>
          <w:p w14:paraId="1D9ECC9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实际完成率=（实际完成/预期完成）×100%。①实际完成率≥100%，且偏离程度＜20%，得满分；②实际完成率≥100%，偏离程度≥20%，得0分；③实际完成率×100%＜100%，得分=实际完成率×指标分值。</w:t>
            </w:r>
          </w:p>
          <w:p w14:paraId="4C632C3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实际完成率=（实际完成/预期完成）×100%。①实际完成率</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25AC446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2024年10月</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41189BC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r>
      <w:tr w14:paraId="79E5A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24C19196">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3F25057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left w:val="single" w:color="auto" w:sz="4" w:space="0"/>
              <w:right w:val="single" w:color="auto" w:sz="4" w:space="0"/>
            </w:tcBorders>
            <w:noWrap w:val="0"/>
            <w:vAlign w:val="center"/>
          </w:tcPr>
          <w:p w14:paraId="717B464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left w:val="single" w:color="auto" w:sz="4" w:space="0"/>
              <w:right w:val="single" w:color="auto" w:sz="4" w:space="0"/>
            </w:tcBorders>
            <w:noWrap w:val="0"/>
            <w:vAlign w:val="center"/>
          </w:tcPr>
          <w:p w14:paraId="13389D8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vMerge w:val="continue"/>
            <w:tcBorders>
              <w:left w:val="single" w:color="auto" w:sz="4" w:space="0"/>
              <w:right w:val="single" w:color="auto" w:sz="4" w:space="0"/>
            </w:tcBorders>
            <w:noWrap w:val="0"/>
            <w:vAlign w:val="center"/>
          </w:tcPr>
          <w:p w14:paraId="0F7D33B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0381C94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59D6B87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资金支付及时率</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5D82FAA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500" w:type="dxa"/>
            <w:vMerge w:val="continue"/>
            <w:tcBorders>
              <w:left w:val="single" w:color="auto" w:sz="4" w:space="0"/>
              <w:right w:val="single" w:color="auto" w:sz="4" w:space="0"/>
            </w:tcBorders>
            <w:noWrap w:val="0"/>
            <w:vAlign w:val="center"/>
          </w:tcPr>
          <w:p w14:paraId="2BAB859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857" w:type="dxa"/>
            <w:tcBorders>
              <w:top w:val="single" w:color="auto" w:sz="4" w:space="0"/>
              <w:left w:val="single" w:color="auto" w:sz="4" w:space="0"/>
              <w:bottom w:val="single" w:color="auto" w:sz="4" w:space="0"/>
              <w:right w:val="single" w:color="auto" w:sz="4" w:space="0"/>
            </w:tcBorders>
            <w:noWrap w:val="0"/>
            <w:vAlign w:val="center"/>
          </w:tcPr>
          <w:p w14:paraId="4AE6140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041D63D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r>
      <w:tr w14:paraId="047DE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0E99A096">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58FB0F8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left w:val="single" w:color="auto" w:sz="4" w:space="0"/>
              <w:bottom w:val="single" w:color="auto" w:sz="4" w:space="0"/>
              <w:right w:val="single" w:color="auto" w:sz="4" w:space="0"/>
            </w:tcBorders>
            <w:noWrap w:val="0"/>
            <w:vAlign w:val="center"/>
          </w:tcPr>
          <w:p w14:paraId="43ED6C8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left w:val="single" w:color="auto" w:sz="4" w:space="0"/>
              <w:bottom w:val="single" w:color="auto" w:sz="4" w:space="0"/>
              <w:right w:val="single" w:color="auto" w:sz="4" w:space="0"/>
            </w:tcBorders>
            <w:noWrap w:val="0"/>
            <w:vAlign w:val="center"/>
          </w:tcPr>
          <w:p w14:paraId="534E98D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vMerge w:val="continue"/>
            <w:tcBorders>
              <w:left w:val="single" w:color="auto" w:sz="4" w:space="0"/>
              <w:bottom w:val="single" w:color="auto" w:sz="4" w:space="0"/>
              <w:right w:val="single" w:color="auto" w:sz="4" w:space="0"/>
            </w:tcBorders>
            <w:noWrap w:val="0"/>
            <w:vAlign w:val="center"/>
          </w:tcPr>
          <w:p w14:paraId="0C61E36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29A094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141E7B0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项目开始时间</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5550060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=2024年1月</w:t>
            </w:r>
          </w:p>
        </w:tc>
        <w:tc>
          <w:tcPr>
            <w:tcW w:w="4500" w:type="dxa"/>
            <w:vMerge w:val="continue"/>
            <w:tcBorders>
              <w:left w:val="single" w:color="auto" w:sz="4" w:space="0"/>
              <w:bottom w:val="single" w:color="auto" w:sz="4" w:space="0"/>
              <w:right w:val="single" w:color="auto" w:sz="4" w:space="0"/>
            </w:tcBorders>
            <w:noWrap w:val="0"/>
            <w:vAlign w:val="center"/>
          </w:tcPr>
          <w:p w14:paraId="421FB8C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857" w:type="dxa"/>
            <w:tcBorders>
              <w:top w:val="single" w:color="auto" w:sz="4" w:space="0"/>
              <w:left w:val="single" w:color="auto" w:sz="4" w:space="0"/>
              <w:bottom w:val="single" w:color="auto" w:sz="4" w:space="0"/>
              <w:right w:val="single" w:color="auto" w:sz="4" w:space="0"/>
            </w:tcBorders>
            <w:noWrap w:val="0"/>
            <w:vAlign w:val="center"/>
          </w:tcPr>
          <w:p w14:paraId="7B1D691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2024年1月</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7CC3237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r>
      <w:tr w14:paraId="3939D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0C455B08">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3A65B18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restart"/>
            <w:tcBorders>
              <w:top w:val="single" w:color="auto" w:sz="4" w:space="0"/>
              <w:left w:val="single" w:color="auto" w:sz="4" w:space="0"/>
              <w:bottom w:val="single" w:color="auto" w:sz="4" w:space="0"/>
              <w:right w:val="single" w:color="auto" w:sz="4" w:space="0"/>
            </w:tcBorders>
            <w:noWrap w:val="0"/>
            <w:vAlign w:val="center"/>
          </w:tcPr>
          <w:p w14:paraId="35F6B13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产出成本</w:t>
            </w:r>
          </w:p>
        </w:tc>
        <w:tc>
          <w:tcPr>
            <w:tcW w:w="750" w:type="dxa"/>
            <w:vMerge w:val="restart"/>
            <w:tcBorders>
              <w:top w:val="single" w:color="auto" w:sz="4" w:space="0"/>
              <w:left w:val="single" w:color="auto" w:sz="4" w:space="0"/>
              <w:bottom w:val="single" w:color="auto" w:sz="4" w:space="0"/>
              <w:right w:val="single" w:color="auto" w:sz="4" w:space="0"/>
            </w:tcBorders>
            <w:noWrap w:val="0"/>
            <w:vAlign w:val="center"/>
          </w:tcPr>
          <w:p w14:paraId="027F300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879" w:type="dxa"/>
            <w:vMerge w:val="restart"/>
            <w:tcBorders>
              <w:top w:val="single" w:color="auto" w:sz="4" w:space="0"/>
              <w:left w:val="single" w:color="auto" w:sz="4" w:space="0"/>
              <w:bottom w:val="single" w:color="auto" w:sz="4" w:space="0"/>
              <w:right w:val="single" w:color="auto" w:sz="4" w:space="0"/>
            </w:tcBorders>
            <w:noWrap w:val="0"/>
            <w:vAlign w:val="center"/>
          </w:tcPr>
          <w:p w14:paraId="1BCC940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380A5D0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6099C13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培训费</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0AC785F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&lt;=1.0754万元</w:t>
            </w:r>
          </w:p>
        </w:tc>
        <w:tc>
          <w:tcPr>
            <w:tcW w:w="4500" w:type="dxa"/>
            <w:vMerge w:val="restart"/>
            <w:tcBorders>
              <w:top w:val="single" w:color="auto" w:sz="4" w:space="0"/>
              <w:left w:val="single" w:color="auto" w:sz="4" w:space="0"/>
              <w:right w:val="single" w:color="auto" w:sz="4" w:space="0"/>
            </w:tcBorders>
            <w:noWrap w:val="0"/>
            <w:vAlign w:val="center"/>
          </w:tcPr>
          <w:p w14:paraId="64A222F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实际完成率=（实际完成/预期完成）×100%。①实际完成率≥100%，且偏离程度＜20%，得满分；②实际完成率≥100%，偏离程度≥20%，得0分；③实际完成率×100%＜100%，得分=实际完成率×指标分值。</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7C034D9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FF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1.0754万元</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4B860D7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r>
      <w:tr w14:paraId="570B5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7B05BE4E">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6F6226C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top w:val="single" w:color="auto" w:sz="4" w:space="0"/>
              <w:left w:val="single" w:color="auto" w:sz="4" w:space="0"/>
              <w:bottom w:val="single" w:color="auto" w:sz="4" w:space="0"/>
              <w:right w:val="single" w:color="auto" w:sz="4" w:space="0"/>
            </w:tcBorders>
            <w:noWrap w:val="0"/>
            <w:vAlign w:val="center"/>
          </w:tcPr>
          <w:p w14:paraId="555AF97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1506CED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14:paraId="5215A8F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23A3FA5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3CADE46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印刷费</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1FEAC48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&lt;=3.741万元</w:t>
            </w:r>
          </w:p>
        </w:tc>
        <w:tc>
          <w:tcPr>
            <w:tcW w:w="4500" w:type="dxa"/>
            <w:vMerge w:val="continue"/>
            <w:tcBorders>
              <w:left w:val="single" w:color="auto" w:sz="4" w:space="0"/>
              <w:right w:val="single" w:color="auto" w:sz="4" w:space="0"/>
            </w:tcBorders>
            <w:noWrap w:val="0"/>
            <w:vAlign w:val="center"/>
          </w:tcPr>
          <w:p w14:paraId="38C40AF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857" w:type="dxa"/>
            <w:tcBorders>
              <w:top w:val="single" w:color="auto" w:sz="4" w:space="0"/>
              <w:left w:val="single" w:color="auto" w:sz="4" w:space="0"/>
              <w:bottom w:val="single" w:color="auto" w:sz="4" w:space="0"/>
              <w:right w:val="single" w:color="auto" w:sz="4" w:space="0"/>
            </w:tcBorders>
            <w:noWrap w:val="0"/>
            <w:vAlign w:val="center"/>
          </w:tcPr>
          <w:p w14:paraId="7C2B201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FF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3.741万元</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249E976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r>
      <w:tr w14:paraId="68A65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6849A90C">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147C8DF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top w:val="single" w:color="auto" w:sz="4" w:space="0"/>
              <w:left w:val="single" w:color="auto" w:sz="4" w:space="0"/>
              <w:bottom w:val="single" w:color="auto" w:sz="4" w:space="0"/>
              <w:right w:val="single" w:color="auto" w:sz="4" w:space="0"/>
            </w:tcBorders>
            <w:noWrap w:val="0"/>
            <w:vAlign w:val="center"/>
          </w:tcPr>
          <w:p w14:paraId="78D93C1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080B232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14:paraId="473EC9B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43EEEAE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7220A22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办公用品费</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52AC17D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&lt;=1.5038万元</w:t>
            </w:r>
          </w:p>
        </w:tc>
        <w:tc>
          <w:tcPr>
            <w:tcW w:w="4500" w:type="dxa"/>
            <w:vMerge w:val="continue"/>
            <w:tcBorders>
              <w:left w:val="single" w:color="auto" w:sz="4" w:space="0"/>
              <w:right w:val="single" w:color="auto" w:sz="4" w:space="0"/>
            </w:tcBorders>
            <w:noWrap w:val="0"/>
            <w:vAlign w:val="center"/>
          </w:tcPr>
          <w:p w14:paraId="328D10F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857" w:type="dxa"/>
            <w:tcBorders>
              <w:top w:val="single" w:color="auto" w:sz="4" w:space="0"/>
              <w:left w:val="single" w:color="auto" w:sz="4" w:space="0"/>
              <w:bottom w:val="single" w:color="auto" w:sz="4" w:space="0"/>
              <w:right w:val="single" w:color="auto" w:sz="4" w:space="0"/>
            </w:tcBorders>
            <w:noWrap w:val="0"/>
            <w:vAlign w:val="center"/>
          </w:tcPr>
          <w:p w14:paraId="5505819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FF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1.5038万元</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7D8D72A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r>
      <w:tr w14:paraId="259D5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38EEFDCD">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446438F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top w:val="single" w:color="auto" w:sz="4" w:space="0"/>
              <w:left w:val="single" w:color="auto" w:sz="4" w:space="0"/>
              <w:bottom w:val="single" w:color="auto" w:sz="4" w:space="0"/>
              <w:right w:val="single" w:color="auto" w:sz="4" w:space="0"/>
            </w:tcBorders>
            <w:noWrap w:val="0"/>
            <w:vAlign w:val="center"/>
          </w:tcPr>
          <w:p w14:paraId="3CDD3D1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431DBBB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14:paraId="619C7A3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46EDF34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179D6E5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小型设备采购</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54302E9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&lt;=6.095万元</w:t>
            </w:r>
          </w:p>
        </w:tc>
        <w:tc>
          <w:tcPr>
            <w:tcW w:w="4500" w:type="dxa"/>
            <w:vMerge w:val="continue"/>
            <w:tcBorders>
              <w:left w:val="single" w:color="auto" w:sz="4" w:space="0"/>
              <w:right w:val="single" w:color="auto" w:sz="4" w:space="0"/>
            </w:tcBorders>
            <w:noWrap w:val="0"/>
            <w:vAlign w:val="center"/>
          </w:tcPr>
          <w:p w14:paraId="3D24891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857" w:type="dxa"/>
            <w:tcBorders>
              <w:top w:val="single" w:color="auto" w:sz="4" w:space="0"/>
              <w:left w:val="single" w:color="auto" w:sz="4" w:space="0"/>
              <w:bottom w:val="single" w:color="auto" w:sz="4" w:space="0"/>
              <w:right w:val="single" w:color="auto" w:sz="4" w:space="0"/>
            </w:tcBorders>
            <w:noWrap w:val="0"/>
            <w:vAlign w:val="center"/>
          </w:tcPr>
          <w:p w14:paraId="7902963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FF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6.095万元</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1FEE7F6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r>
      <w:tr w14:paraId="6563B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73C86892">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10BEA27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top w:val="single" w:color="auto" w:sz="4" w:space="0"/>
              <w:left w:val="single" w:color="auto" w:sz="4" w:space="0"/>
              <w:bottom w:val="single" w:color="auto" w:sz="4" w:space="0"/>
              <w:right w:val="single" w:color="auto" w:sz="4" w:space="0"/>
            </w:tcBorders>
            <w:noWrap w:val="0"/>
            <w:vAlign w:val="center"/>
          </w:tcPr>
          <w:p w14:paraId="7266F12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0B9F8F9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14:paraId="6325CE7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25DFEDB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447CEDD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车辆运行费</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19B8586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&lt;=0.4885万元</w:t>
            </w:r>
          </w:p>
        </w:tc>
        <w:tc>
          <w:tcPr>
            <w:tcW w:w="4500" w:type="dxa"/>
            <w:vMerge w:val="continue"/>
            <w:tcBorders>
              <w:left w:val="single" w:color="auto" w:sz="4" w:space="0"/>
              <w:bottom w:val="single" w:color="auto" w:sz="4" w:space="0"/>
              <w:right w:val="single" w:color="auto" w:sz="4" w:space="0"/>
            </w:tcBorders>
            <w:noWrap w:val="0"/>
            <w:vAlign w:val="center"/>
          </w:tcPr>
          <w:p w14:paraId="028570E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857" w:type="dxa"/>
            <w:tcBorders>
              <w:top w:val="single" w:color="auto" w:sz="4" w:space="0"/>
              <w:left w:val="single" w:color="auto" w:sz="4" w:space="0"/>
              <w:bottom w:val="single" w:color="auto" w:sz="4" w:space="0"/>
              <w:right w:val="single" w:color="auto" w:sz="4" w:space="0"/>
            </w:tcBorders>
            <w:noWrap w:val="0"/>
            <w:vAlign w:val="center"/>
          </w:tcPr>
          <w:p w14:paraId="55A6A4B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FF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0.4885万元</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048164D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r>
      <w:tr w14:paraId="553D5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 w:hRule="atLeast"/>
        </w:trPr>
        <w:tc>
          <w:tcPr>
            <w:tcW w:w="858" w:type="dxa"/>
            <w:vMerge w:val="restart"/>
            <w:tcBorders>
              <w:top w:val="single" w:color="auto" w:sz="4" w:space="0"/>
              <w:left w:val="single" w:color="auto" w:sz="4" w:space="0"/>
              <w:bottom w:val="single" w:color="auto" w:sz="4" w:space="0"/>
              <w:right w:val="single" w:color="auto" w:sz="4" w:space="0"/>
            </w:tcBorders>
            <w:noWrap w:val="0"/>
            <w:vAlign w:val="center"/>
          </w:tcPr>
          <w:p w14:paraId="6A9A22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项目效益</w:t>
            </w:r>
          </w:p>
        </w:tc>
        <w:tc>
          <w:tcPr>
            <w:tcW w:w="793" w:type="dxa"/>
            <w:vMerge w:val="restart"/>
            <w:tcBorders>
              <w:top w:val="single" w:color="auto" w:sz="4" w:space="0"/>
              <w:left w:val="single" w:color="auto" w:sz="4" w:space="0"/>
              <w:bottom w:val="single" w:color="auto" w:sz="4" w:space="0"/>
              <w:right w:val="single" w:color="auto" w:sz="4" w:space="0"/>
            </w:tcBorders>
            <w:noWrap w:val="0"/>
            <w:vAlign w:val="center"/>
          </w:tcPr>
          <w:p w14:paraId="6577F17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921" w:type="dxa"/>
            <w:vMerge w:val="restart"/>
            <w:tcBorders>
              <w:top w:val="single" w:color="auto" w:sz="4" w:space="0"/>
              <w:left w:val="single" w:color="auto" w:sz="4" w:space="0"/>
              <w:bottom w:val="single" w:color="auto" w:sz="4" w:space="0"/>
              <w:right w:val="single" w:color="auto" w:sz="4" w:space="0"/>
            </w:tcBorders>
            <w:noWrap w:val="0"/>
            <w:vAlign w:val="center"/>
          </w:tcPr>
          <w:p w14:paraId="72659C6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750" w:type="dxa"/>
            <w:vMerge w:val="restart"/>
            <w:tcBorders>
              <w:top w:val="single" w:color="auto" w:sz="4" w:space="0"/>
              <w:left w:val="single" w:color="auto" w:sz="4" w:space="0"/>
              <w:bottom w:val="single" w:color="auto" w:sz="4" w:space="0"/>
              <w:right w:val="single" w:color="auto" w:sz="4" w:space="0"/>
            </w:tcBorders>
            <w:noWrap w:val="0"/>
            <w:vAlign w:val="center"/>
          </w:tcPr>
          <w:p w14:paraId="432FF14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3498C1D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社会效益</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4D47EF3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3F1FA18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提高农村妇女自我保健意识和技能</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7C06D0A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有效提高</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68A17E7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实际完成率=（实际完成/预期完成）×100%。①实际完成率≥100%，且偏离程度＜20%，得满分；②实际完成率≥100%，偏离程度≥20%，得0分；③实际完成率×100%＜100%，得分=实际完成率×指标分值。</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2340847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有效提高</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7ED9032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r>
      <w:tr w14:paraId="5CBAB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858" w:type="dxa"/>
            <w:vMerge w:val="continue"/>
            <w:tcBorders>
              <w:top w:val="single" w:color="auto" w:sz="4" w:space="0"/>
              <w:left w:val="single" w:color="auto" w:sz="4" w:space="0"/>
              <w:bottom w:val="single" w:color="auto" w:sz="4" w:space="0"/>
              <w:right w:val="single" w:color="auto" w:sz="4" w:space="0"/>
            </w:tcBorders>
            <w:noWrap w:val="0"/>
            <w:vAlign w:val="center"/>
          </w:tcPr>
          <w:p w14:paraId="3F907884">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93" w:type="dxa"/>
            <w:vMerge w:val="continue"/>
            <w:tcBorders>
              <w:top w:val="single" w:color="auto" w:sz="4" w:space="0"/>
              <w:left w:val="single" w:color="auto" w:sz="4" w:space="0"/>
              <w:bottom w:val="single" w:color="auto" w:sz="4" w:space="0"/>
              <w:right w:val="single" w:color="auto" w:sz="4" w:space="0"/>
            </w:tcBorders>
            <w:noWrap w:val="0"/>
            <w:vAlign w:val="center"/>
          </w:tcPr>
          <w:p w14:paraId="75FABDB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21" w:type="dxa"/>
            <w:vMerge w:val="continue"/>
            <w:tcBorders>
              <w:top w:val="single" w:color="auto" w:sz="4" w:space="0"/>
              <w:left w:val="single" w:color="auto" w:sz="4" w:space="0"/>
              <w:bottom w:val="single" w:color="auto" w:sz="4" w:space="0"/>
              <w:right w:val="single" w:color="auto" w:sz="4" w:space="0"/>
            </w:tcBorders>
            <w:noWrap w:val="0"/>
            <w:vAlign w:val="center"/>
          </w:tcPr>
          <w:p w14:paraId="7E064B7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6165483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79" w:type="dxa"/>
            <w:vMerge w:val="restart"/>
            <w:tcBorders>
              <w:top w:val="single" w:color="auto" w:sz="4" w:space="0"/>
              <w:left w:val="single" w:color="auto" w:sz="4" w:space="0"/>
              <w:right w:val="single" w:color="auto" w:sz="4" w:space="0"/>
            </w:tcBorders>
            <w:noWrap w:val="0"/>
            <w:vAlign w:val="center"/>
          </w:tcPr>
          <w:p w14:paraId="5C386CF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643" w:type="dxa"/>
            <w:vMerge w:val="restart"/>
            <w:tcBorders>
              <w:top w:val="single" w:color="auto" w:sz="4" w:space="0"/>
              <w:left w:val="single" w:color="auto" w:sz="4" w:space="0"/>
              <w:right w:val="single" w:color="auto" w:sz="4" w:space="0"/>
            </w:tcBorders>
            <w:noWrap w:val="0"/>
            <w:vAlign w:val="center"/>
          </w:tcPr>
          <w:p w14:paraId="59BF6FF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5992141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受益员工满意度</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1BB257B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&gt;=95%</w:t>
            </w:r>
          </w:p>
        </w:tc>
        <w:tc>
          <w:tcPr>
            <w:tcW w:w="4500" w:type="dxa"/>
            <w:vMerge w:val="restart"/>
            <w:tcBorders>
              <w:top w:val="single" w:color="auto" w:sz="4" w:space="0"/>
              <w:left w:val="single" w:color="auto" w:sz="4" w:space="0"/>
              <w:right w:val="single" w:color="auto" w:sz="4" w:space="0"/>
            </w:tcBorders>
            <w:noWrap w:val="0"/>
            <w:vAlign w:val="center"/>
          </w:tcPr>
          <w:p w14:paraId="319DCC5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7572AEB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95%</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7C0AD2F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7A3A3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858" w:type="dxa"/>
            <w:vMerge w:val="continue"/>
            <w:tcBorders>
              <w:left w:val="single" w:color="auto" w:sz="4" w:space="0"/>
              <w:bottom w:val="single" w:color="auto" w:sz="4" w:space="0"/>
              <w:right w:val="single" w:color="auto" w:sz="4" w:space="0"/>
            </w:tcBorders>
            <w:noWrap w:val="0"/>
            <w:vAlign w:val="center"/>
          </w:tcPr>
          <w:p w14:paraId="06512D0C">
            <w:pPr>
              <w:keepNext w:val="0"/>
              <w:keepLines w:val="0"/>
              <w:pageBreakBefore w:val="0"/>
              <w:kinsoku/>
              <w:wordWrap/>
              <w:overflowPunct/>
              <w:topLinePunct w:val="0"/>
              <w:autoSpaceDE/>
              <w:autoSpaceDN/>
              <w:bidi w:val="0"/>
              <w:adjustRightInd/>
              <w:snapToGrid/>
              <w:spacing w:line="240" w:lineRule="exact"/>
              <w:ind w:firstLine="0" w:firstLineChars="0"/>
              <w:jc w:val="center"/>
            </w:pPr>
          </w:p>
        </w:tc>
        <w:tc>
          <w:tcPr>
            <w:tcW w:w="793" w:type="dxa"/>
            <w:vMerge w:val="continue"/>
            <w:tcBorders>
              <w:left w:val="single" w:color="auto" w:sz="4" w:space="0"/>
              <w:bottom w:val="single" w:color="auto" w:sz="4" w:space="0"/>
              <w:right w:val="single" w:color="auto" w:sz="4" w:space="0"/>
            </w:tcBorders>
            <w:noWrap w:val="0"/>
            <w:vAlign w:val="center"/>
          </w:tcPr>
          <w:p w14:paraId="174E3683">
            <w:pPr>
              <w:keepNext w:val="0"/>
              <w:keepLines w:val="0"/>
              <w:pageBreakBefore w:val="0"/>
              <w:kinsoku/>
              <w:wordWrap/>
              <w:overflowPunct/>
              <w:topLinePunct w:val="0"/>
              <w:autoSpaceDE/>
              <w:autoSpaceDN/>
              <w:bidi w:val="0"/>
              <w:adjustRightInd/>
              <w:snapToGrid/>
              <w:spacing w:line="240" w:lineRule="exact"/>
              <w:ind w:firstLine="0" w:firstLineChars="0"/>
              <w:jc w:val="center"/>
            </w:pPr>
          </w:p>
        </w:tc>
        <w:tc>
          <w:tcPr>
            <w:tcW w:w="921" w:type="dxa"/>
            <w:vMerge w:val="continue"/>
            <w:tcBorders>
              <w:left w:val="single" w:color="auto" w:sz="4" w:space="0"/>
              <w:bottom w:val="single" w:color="auto" w:sz="4" w:space="0"/>
              <w:right w:val="single" w:color="auto" w:sz="4" w:space="0"/>
            </w:tcBorders>
            <w:noWrap w:val="0"/>
            <w:vAlign w:val="center"/>
          </w:tcPr>
          <w:p w14:paraId="6AF36D83">
            <w:pPr>
              <w:keepNext w:val="0"/>
              <w:keepLines w:val="0"/>
              <w:pageBreakBefore w:val="0"/>
              <w:kinsoku/>
              <w:wordWrap/>
              <w:overflowPunct/>
              <w:topLinePunct w:val="0"/>
              <w:autoSpaceDE/>
              <w:autoSpaceDN/>
              <w:bidi w:val="0"/>
              <w:adjustRightInd/>
              <w:snapToGrid/>
              <w:spacing w:line="240" w:lineRule="exact"/>
              <w:ind w:firstLine="0" w:firstLineChars="0"/>
              <w:jc w:val="center"/>
            </w:pPr>
          </w:p>
        </w:tc>
        <w:tc>
          <w:tcPr>
            <w:tcW w:w="750" w:type="dxa"/>
            <w:vMerge w:val="continue"/>
            <w:tcBorders>
              <w:left w:val="single" w:color="auto" w:sz="4" w:space="0"/>
              <w:bottom w:val="single" w:color="auto" w:sz="4" w:space="0"/>
              <w:right w:val="single" w:color="auto" w:sz="4" w:space="0"/>
            </w:tcBorders>
            <w:noWrap w:val="0"/>
            <w:vAlign w:val="center"/>
          </w:tcPr>
          <w:p w14:paraId="2240FE0F">
            <w:pPr>
              <w:keepNext w:val="0"/>
              <w:keepLines w:val="0"/>
              <w:pageBreakBefore w:val="0"/>
              <w:kinsoku/>
              <w:wordWrap/>
              <w:overflowPunct/>
              <w:topLinePunct w:val="0"/>
              <w:autoSpaceDE/>
              <w:autoSpaceDN/>
              <w:bidi w:val="0"/>
              <w:adjustRightInd/>
              <w:snapToGrid/>
              <w:spacing w:line="240" w:lineRule="exact"/>
              <w:ind w:firstLine="0" w:firstLineChars="0"/>
              <w:jc w:val="center"/>
            </w:pPr>
          </w:p>
        </w:tc>
        <w:tc>
          <w:tcPr>
            <w:tcW w:w="879" w:type="dxa"/>
            <w:vMerge w:val="continue"/>
            <w:tcBorders>
              <w:left w:val="single" w:color="auto" w:sz="4" w:space="0"/>
              <w:bottom w:val="single" w:color="auto" w:sz="4" w:space="0"/>
              <w:right w:val="single" w:color="auto" w:sz="4" w:space="0"/>
            </w:tcBorders>
            <w:noWrap w:val="0"/>
            <w:vAlign w:val="center"/>
          </w:tcPr>
          <w:p w14:paraId="288B1CFC">
            <w:pPr>
              <w:keepNext w:val="0"/>
              <w:keepLines w:val="0"/>
              <w:pageBreakBefore w:val="0"/>
              <w:kinsoku/>
              <w:wordWrap/>
              <w:overflowPunct/>
              <w:topLinePunct w:val="0"/>
              <w:autoSpaceDE/>
              <w:autoSpaceDN/>
              <w:bidi w:val="0"/>
              <w:adjustRightInd/>
              <w:snapToGrid/>
              <w:spacing w:line="240" w:lineRule="exact"/>
              <w:ind w:firstLine="0" w:firstLineChars="0"/>
              <w:jc w:val="center"/>
            </w:pPr>
          </w:p>
        </w:tc>
        <w:tc>
          <w:tcPr>
            <w:tcW w:w="643" w:type="dxa"/>
            <w:vMerge w:val="continue"/>
            <w:tcBorders>
              <w:left w:val="single" w:color="auto" w:sz="4" w:space="0"/>
              <w:bottom w:val="single" w:color="auto" w:sz="4" w:space="0"/>
              <w:right w:val="single" w:color="auto" w:sz="4" w:space="0"/>
            </w:tcBorders>
            <w:noWrap w:val="0"/>
            <w:vAlign w:val="center"/>
          </w:tcPr>
          <w:p w14:paraId="5D73C23A">
            <w:pPr>
              <w:keepNext w:val="0"/>
              <w:keepLines w:val="0"/>
              <w:pageBreakBefore w:val="0"/>
              <w:kinsoku/>
              <w:wordWrap/>
              <w:overflowPunct/>
              <w:topLinePunct w:val="0"/>
              <w:autoSpaceDE/>
              <w:autoSpaceDN/>
              <w:bidi w:val="0"/>
              <w:adjustRightInd/>
              <w:snapToGrid/>
              <w:spacing w:line="240" w:lineRule="exact"/>
              <w:ind w:firstLine="0" w:firstLineChars="0"/>
              <w:jc w:val="center"/>
            </w:pPr>
          </w:p>
        </w:tc>
        <w:tc>
          <w:tcPr>
            <w:tcW w:w="2501" w:type="dxa"/>
            <w:tcBorders>
              <w:top w:val="single" w:color="auto" w:sz="4" w:space="0"/>
              <w:left w:val="single" w:color="auto" w:sz="4" w:space="0"/>
              <w:bottom w:val="single" w:color="auto" w:sz="4" w:space="0"/>
              <w:right w:val="single" w:color="auto" w:sz="4" w:space="0"/>
            </w:tcBorders>
            <w:noWrap w:val="0"/>
            <w:vAlign w:val="center"/>
          </w:tcPr>
          <w:p w14:paraId="1FED7F00">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受益妇女满意度</w:t>
            </w:r>
          </w:p>
        </w:tc>
        <w:tc>
          <w:tcPr>
            <w:tcW w:w="1319" w:type="dxa"/>
            <w:tcBorders>
              <w:top w:val="single" w:color="auto" w:sz="4" w:space="0"/>
              <w:left w:val="single" w:color="auto" w:sz="4" w:space="0"/>
              <w:bottom w:val="single" w:color="auto" w:sz="4" w:space="0"/>
              <w:right w:val="single" w:color="auto" w:sz="4" w:space="0"/>
            </w:tcBorders>
            <w:noWrap w:val="0"/>
            <w:vAlign w:val="center"/>
          </w:tcPr>
          <w:p w14:paraId="6964555F">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&gt;=95%</w:t>
            </w:r>
          </w:p>
        </w:tc>
        <w:tc>
          <w:tcPr>
            <w:tcW w:w="4500" w:type="dxa"/>
            <w:vMerge w:val="continue"/>
            <w:tcBorders>
              <w:left w:val="single" w:color="auto" w:sz="4" w:space="0"/>
              <w:bottom w:val="single" w:color="auto" w:sz="4" w:space="0"/>
              <w:right w:val="single" w:color="auto" w:sz="4" w:space="0"/>
            </w:tcBorders>
            <w:noWrap w:val="0"/>
            <w:vAlign w:val="center"/>
          </w:tcPr>
          <w:p w14:paraId="1A46F6C3">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kern w:val="0"/>
                <w:sz w:val="18"/>
                <w:szCs w:val="18"/>
                <w:highlight w:val="none"/>
                <w:u w:val="none"/>
                <w:lang w:val="en-US" w:eastAsia="zh-CN"/>
              </w:rPr>
            </w:pPr>
          </w:p>
        </w:tc>
        <w:tc>
          <w:tcPr>
            <w:tcW w:w="857" w:type="dxa"/>
            <w:tcBorders>
              <w:top w:val="single" w:color="auto" w:sz="4" w:space="0"/>
              <w:left w:val="single" w:color="auto" w:sz="4" w:space="0"/>
              <w:bottom w:val="single" w:color="auto" w:sz="4" w:space="0"/>
              <w:right w:val="single" w:color="auto" w:sz="4" w:space="0"/>
            </w:tcBorders>
            <w:noWrap w:val="0"/>
            <w:vAlign w:val="center"/>
          </w:tcPr>
          <w:p w14:paraId="180AFD2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95%</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6026F79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1A1C9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58" w:type="dxa"/>
            <w:tcBorders>
              <w:top w:val="single" w:color="auto" w:sz="4" w:space="0"/>
              <w:left w:val="single" w:color="auto" w:sz="4" w:space="0"/>
              <w:bottom w:val="single" w:color="auto" w:sz="4" w:space="0"/>
              <w:right w:val="single" w:color="auto" w:sz="4" w:space="0"/>
            </w:tcBorders>
            <w:noWrap w:val="0"/>
            <w:vAlign w:val="center"/>
          </w:tcPr>
          <w:p w14:paraId="3F1268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总分</w:t>
            </w:r>
          </w:p>
        </w:tc>
        <w:tc>
          <w:tcPr>
            <w:tcW w:w="793" w:type="dxa"/>
            <w:tcBorders>
              <w:top w:val="single" w:color="auto" w:sz="4" w:space="0"/>
              <w:left w:val="single" w:color="auto" w:sz="4" w:space="0"/>
              <w:bottom w:val="single" w:color="auto" w:sz="4" w:space="0"/>
              <w:right w:val="single" w:color="auto" w:sz="4" w:space="0"/>
            </w:tcBorders>
            <w:noWrap w:val="0"/>
            <w:vAlign w:val="center"/>
          </w:tcPr>
          <w:p w14:paraId="5F6E96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100</w:t>
            </w:r>
          </w:p>
        </w:tc>
        <w:tc>
          <w:tcPr>
            <w:tcW w:w="921" w:type="dxa"/>
            <w:tcBorders>
              <w:top w:val="single" w:color="auto" w:sz="4" w:space="0"/>
              <w:left w:val="single" w:color="auto" w:sz="4" w:space="0"/>
              <w:bottom w:val="single" w:color="auto" w:sz="4" w:space="0"/>
              <w:right w:val="single" w:color="auto" w:sz="4" w:space="0"/>
            </w:tcBorders>
            <w:noWrap w:val="0"/>
            <w:vAlign w:val="center"/>
          </w:tcPr>
          <w:p w14:paraId="006FAD87">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07389C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100</w:t>
            </w:r>
          </w:p>
        </w:tc>
        <w:tc>
          <w:tcPr>
            <w:tcW w:w="879" w:type="dxa"/>
            <w:tcBorders>
              <w:top w:val="single" w:color="auto" w:sz="4" w:space="0"/>
              <w:left w:val="single" w:color="auto" w:sz="4" w:space="0"/>
              <w:bottom w:val="single" w:color="auto" w:sz="4" w:space="0"/>
              <w:right w:val="single" w:color="auto" w:sz="4" w:space="0"/>
            </w:tcBorders>
            <w:noWrap w:val="0"/>
            <w:vAlign w:val="center"/>
          </w:tcPr>
          <w:p w14:paraId="66D9444F">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41D74C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100</w:t>
            </w:r>
          </w:p>
        </w:tc>
        <w:tc>
          <w:tcPr>
            <w:tcW w:w="2501" w:type="dxa"/>
            <w:tcBorders>
              <w:top w:val="single" w:color="auto" w:sz="4" w:space="0"/>
              <w:left w:val="single" w:color="auto" w:sz="4" w:space="0"/>
              <w:bottom w:val="single" w:color="auto" w:sz="4" w:space="0"/>
              <w:right w:val="single" w:color="auto" w:sz="4" w:space="0"/>
            </w:tcBorders>
            <w:noWrap w:val="0"/>
            <w:vAlign w:val="center"/>
          </w:tcPr>
          <w:p w14:paraId="6E07E251">
            <w:pPr>
              <w:keepNext w:val="0"/>
              <w:keepLines w:val="0"/>
              <w:pageBreakBefore w:val="0"/>
              <w:kinsoku/>
              <w:wordWrap/>
              <w:overflowPunct/>
              <w:topLinePunct w:val="0"/>
              <w:autoSpaceDE/>
              <w:autoSpaceDN/>
              <w:bidi w:val="0"/>
              <w:adjustRightInd/>
              <w:snapToGrid/>
              <w:spacing w:line="240" w:lineRule="exact"/>
              <w:ind w:firstLine="0" w:firstLineChars="0"/>
              <w:jc w:val="center"/>
              <w:rPr>
                <w:rFonts w:hint="eastAsia" w:ascii="微软雅黑" w:hAnsi="微软雅黑" w:eastAsia="微软雅黑" w:cs="微软雅黑"/>
                <w:i w:val="0"/>
                <w:iCs w:val="0"/>
                <w:color w:val="000000"/>
                <w:sz w:val="22"/>
                <w:szCs w:val="22"/>
                <w:u w:val="none"/>
              </w:rPr>
            </w:pPr>
          </w:p>
        </w:tc>
        <w:tc>
          <w:tcPr>
            <w:tcW w:w="1319" w:type="dxa"/>
            <w:tcBorders>
              <w:top w:val="single" w:color="auto" w:sz="4" w:space="0"/>
              <w:left w:val="single" w:color="auto" w:sz="4" w:space="0"/>
              <w:bottom w:val="single" w:color="auto" w:sz="4" w:space="0"/>
              <w:right w:val="single" w:color="auto" w:sz="4" w:space="0"/>
            </w:tcBorders>
            <w:noWrap w:val="0"/>
            <w:vAlign w:val="center"/>
          </w:tcPr>
          <w:p w14:paraId="73ABFE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rPr>
              <w:t>-</w:t>
            </w:r>
          </w:p>
        </w:tc>
        <w:tc>
          <w:tcPr>
            <w:tcW w:w="4500" w:type="dxa"/>
            <w:tcBorders>
              <w:top w:val="single" w:color="auto" w:sz="4" w:space="0"/>
              <w:left w:val="single" w:color="auto" w:sz="4" w:space="0"/>
              <w:bottom w:val="single" w:color="auto" w:sz="4" w:space="0"/>
              <w:right w:val="single" w:color="auto" w:sz="4" w:space="0"/>
            </w:tcBorders>
            <w:noWrap w:val="0"/>
            <w:vAlign w:val="center"/>
          </w:tcPr>
          <w:p w14:paraId="2213D489">
            <w:pPr>
              <w:keepNext w:val="0"/>
              <w:keepLines w:val="0"/>
              <w:pageBreakBefore w:val="0"/>
              <w:kinsoku/>
              <w:wordWrap/>
              <w:overflowPunct/>
              <w:topLinePunct w:val="0"/>
              <w:autoSpaceDE/>
              <w:autoSpaceDN/>
              <w:bidi w:val="0"/>
              <w:adjustRightInd/>
              <w:snapToGrid/>
              <w:spacing w:line="240" w:lineRule="exact"/>
              <w:ind w:firstLine="0" w:firstLineChars="0"/>
              <w:jc w:val="left"/>
              <w:rPr>
                <w:rFonts w:hint="eastAsia" w:ascii="微软雅黑" w:hAnsi="微软雅黑" w:eastAsia="微软雅黑" w:cs="微软雅黑"/>
                <w:i w:val="0"/>
                <w:iCs w:val="0"/>
                <w:color w:val="000000"/>
                <w:sz w:val="22"/>
                <w:szCs w:val="22"/>
                <w:u w:val="none"/>
              </w:rPr>
            </w:pPr>
          </w:p>
        </w:tc>
        <w:tc>
          <w:tcPr>
            <w:tcW w:w="857" w:type="dxa"/>
            <w:tcBorders>
              <w:top w:val="single" w:color="auto" w:sz="4" w:space="0"/>
              <w:left w:val="single" w:color="auto" w:sz="4" w:space="0"/>
              <w:bottom w:val="single" w:color="auto" w:sz="4" w:space="0"/>
              <w:right w:val="single" w:color="auto" w:sz="4" w:space="0"/>
            </w:tcBorders>
            <w:noWrap w:val="0"/>
            <w:vAlign w:val="center"/>
          </w:tcPr>
          <w:p w14:paraId="61BC8BA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118B990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r>
    </w:tbl>
    <w:p w14:paraId="1D7F8A8C">
      <w:pPr>
        <w:pStyle w:val="10"/>
        <w:rPr>
          <w:rFonts w:hint="eastAsia" w:ascii="宋体" w:hAnsi="宋体" w:eastAsia="宋体" w:cs="宋体"/>
          <w:sz w:val="24"/>
          <w:szCs w:val="24"/>
          <w:lang w:eastAsia="zh-CN"/>
        </w:rPr>
      </w:pPr>
    </w:p>
    <w:p w14:paraId="13C9AAED">
      <w:pPr>
        <w:pStyle w:val="10"/>
        <w:rPr>
          <w:rFonts w:hint="eastAsia" w:ascii="宋体" w:hAnsi="宋体" w:eastAsia="宋体" w:cs="宋体"/>
          <w:sz w:val="24"/>
          <w:szCs w:val="24"/>
          <w:lang w:eastAsia="zh-CN"/>
        </w:rPr>
      </w:pPr>
    </w:p>
    <w:p w14:paraId="2C57CA06">
      <w:pPr>
        <w:pStyle w:val="10"/>
        <w:rPr>
          <w:rFonts w:hint="eastAsia" w:ascii="宋体" w:hAnsi="宋体" w:eastAsia="宋体" w:cs="宋体"/>
          <w:sz w:val="24"/>
          <w:szCs w:val="24"/>
          <w:lang w:eastAsia="zh-CN"/>
        </w:rPr>
      </w:pPr>
    </w:p>
    <w:p w14:paraId="12BF0E24">
      <w:pPr>
        <w:pStyle w:val="10"/>
        <w:ind w:left="0" w:leftChars="0" w:firstLine="0" w:firstLineChars="0"/>
        <w:jc w:val="both"/>
        <w:rPr>
          <w:rFonts w:hint="eastAsia" w:ascii="宋体" w:hAnsi="宋体" w:eastAsia="宋体" w:cs="宋体"/>
          <w:sz w:val="24"/>
          <w:szCs w:val="24"/>
          <w:lang w:val="en-US" w:eastAsia="zh-CN"/>
        </w:rPr>
      </w:pPr>
    </w:p>
    <w:p w14:paraId="0E2F346E">
      <w:pPr>
        <w:pStyle w:val="10"/>
        <w:ind w:left="0" w:leftChars="0" w:firstLine="0" w:firstLineChars="0"/>
        <w:jc w:val="both"/>
        <w:rPr>
          <w:rFonts w:hint="eastAsia" w:ascii="宋体" w:hAnsi="宋体" w:eastAsia="宋体" w:cs="宋体"/>
          <w:sz w:val="24"/>
          <w:szCs w:val="24"/>
          <w:lang w:val="en-US" w:eastAsia="zh-CN"/>
        </w:rPr>
      </w:pPr>
    </w:p>
    <w:p w14:paraId="24E0618F">
      <w:pPr>
        <w:pStyle w:val="10"/>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4"/>
        <w:tblW w:w="166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8"/>
        <w:gridCol w:w="2598"/>
        <w:gridCol w:w="2598"/>
        <w:gridCol w:w="2598"/>
        <w:gridCol w:w="2598"/>
        <w:gridCol w:w="2598"/>
        <w:gridCol w:w="1083"/>
      </w:tblGrid>
      <w:tr w14:paraId="783C9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598" w:type="dxa"/>
            <w:tcBorders>
              <w:top w:val="nil"/>
              <w:left w:val="nil"/>
              <w:bottom w:val="nil"/>
              <w:right w:val="nil"/>
            </w:tcBorders>
            <w:noWrap/>
            <w:vAlign w:val="center"/>
          </w:tcPr>
          <w:p w14:paraId="0918EE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598" w:type="dxa"/>
            <w:tcBorders>
              <w:top w:val="nil"/>
              <w:left w:val="nil"/>
              <w:bottom w:val="nil"/>
              <w:right w:val="nil"/>
            </w:tcBorders>
            <w:noWrap/>
            <w:vAlign w:val="center"/>
          </w:tcPr>
          <w:p w14:paraId="775B0BEF">
            <w:pPr>
              <w:rPr>
                <w:rFonts w:hint="eastAsia" w:ascii="宋体" w:hAnsi="宋体" w:eastAsia="宋体" w:cs="宋体"/>
                <w:i w:val="0"/>
                <w:iCs w:val="0"/>
                <w:color w:val="000000"/>
                <w:sz w:val="22"/>
                <w:szCs w:val="22"/>
                <w:u w:val="none"/>
              </w:rPr>
            </w:pPr>
          </w:p>
        </w:tc>
        <w:tc>
          <w:tcPr>
            <w:tcW w:w="2598" w:type="dxa"/>
            <w:tcBorders>
              <w:top w:val="nil"/>
              <w:left w:val="nil"/>
              <w:bottom w:val="nil"/>
              <w:right w:val="nil"/>
            </w:tcBorders>
            <w:noWrap/>
            <w:vAlign w:val="center"/>
          </w:tcPr>
          <w:p w14:paraId="0BBFBD12">
            <w:pPr>
              <w:rPr>
                <w:rFonts w:hint="eastAsia" w:ascii="宋体" w:hAnsi="宋体" w:eastAsia="宋体" w:cs="宋体"/>
                <w:i w:val="0"/>
                <w:iCs w:val="0"/>
                <w:color w:val="000000"/>
                <w:sz w:val="22"/>
                <w:szCs w:val="22"/>
                <w:u w:val="none"/>
              </w:rPr>
            </w:pPr>
          </w:p>
        </w:tc>
        <w:tc>
          <w:tcPr>
            <w:tcW w:w="2598" w:type="dxa"/>
            <w:tcBorders>
              <w:top w:val="nil"/>
              <w:left w:val="nil"/>
              <w:bottom w:val="nil"/>
              <w:right w:val="nil"/>
            </w:tcBorders>
            <w:noWrap/>
            <w:vAlign w:val="center"/>
          </w:tcPr>
          <w:p w14:paraId="32B233DB">
            <w:pPr>
              <w:rPr>
                <w:rFonts w:hint="eastAsia" w:ascii="宋体" w:hAnsi="宋体" w:eastAsia="宋体" w:cs="宋体"/>
                <w:i w:val="0"/>
                <w:iCs w:val="0"/>
                <w:color w:val="000000"/>
                <w:sz w:val="22"/>
                <w:szCs w:val="22"/>
                <w:u w:val="none"/>
              </w:rPr>
            </w:pPr>
          </w:p>
        </w:tc>
        <w:tc>
          <w:tcPr>
            <w:tcW w:w="2598" w:type="dxa"/>
            <w:tcBorders>
              <w:top w:val="nil"/>
              <w:left w:val="nil"/>
              <w:bottom w:val="nil"/>
              <w:right w:val="nil"/>
            </w:tcBorders>
            <w:noWrap/>
            <w:vAlign w:val="center"/>
          </w:tcPr>
          <w:p w14:paraId="68F84C6A">
            <w:pPr>
              <w:rPr>
                <w:rFonts w:hint="eastAsia" w:ascii="宋体" w:hAnsi="宋体" w:eastAsia="宋体" w:cs="宋体"/>
                <w:i w:val="0"/>
                <w:iCs w:val="0"/>
                <w:color w:val="000000"/>
                <w:sz w:val="22"/>
                <w:szCs w:val="22"/>
                <w:u w:val="none"/>
              </w:rPr>
            </w:pPr>
          </w:p>
        </w:tc>
        <w:tc>
          <w:tcPr>
            <w:tcW w:w="2598" w:type="dxa"/>
            <w:tcBorders>
              <w:top w:val="nil"/>
              <w:left w:val="nil"/>
              <w:bottom w:val="nil"/>
              <w:right w:val="nil"/>
            </w:tcBorders>
            <w:noWrap/>
            <w:vAlign w:val="center"/>
          </w:tcPr>
          <w:p w14:paraId="105ADC2E">
            <w:pPr>
              <w:rPr>
                <w:rFonts w:hint="eastAsia" w:ascii="宋体" w:hAnsi="宋体" w:eastAsia="宋体" w:cs="宋体"/>
                <w:i w:val="0"/>
                <w:iCs w:val="0"/>
                <w:color w:val="000000"/>
                <w:sz w:val="22"/>
                <w:szCs w:val="22"/>
                <w:u w:val="none"/>
              </w:rPr>
            </w:pPr>
          </w:p>
        </w:tc>
        <w:tc>
          <w:tcPr>
            <w:tcW w:w="1083" w:type="dxa"/>
            <w:tcBorders>
              <w:top w:val="nil"/>
              <w:left w:val="nil"/>
              <w:bottom w:val="nil"/>
              <w:right w:val="nil"/>
            </w:tcBorders>
            <w:noWrap/>
            <w:vAlign w:val="center"/>
          </w:tcPr>
          <w:p w14:paraId="25DB48E9">
            <w:pPr>
              <w:rPr>
                <w:rFonts w:hint="eastAsia" w:ascii="宋体" w:hAnsi="宋体" w:eastAsia="宋体" w:cs="宋体"/>
                <w:i w:val="0"/>
                <w:iCs w:val="0"/>
                <w:color w:val="000000"/>
                <w:sz w:val="22"/>
                <w:szCs w:val="22"/>
                <w:u w:val="none"/>
              </w:rPr>
            </w:pPr>
          </w:p>
        </w:tc>
      </w:tr>
      <w:tr w14:paraId="71F04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gridSpan w:val="6"/>
            <w:tcBorders>
              <w:top w:val="nil"/>
              <w:left w:val="nil"/>
              <w:bottom w:val="nil"/>
              <w:right w:val="nil"/>
            </w:tcBorders>
            <w:noWrap/>
            <w:vAlign w:val="center"/>
          </w:tcPr>
          <w:p w14:paraId="347CA055">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kern w:val="0"/>
                <w:sz w:val="36"/>
                <w:szCs w:val="36"/>
                <w:highlight w:val="none"/>
                <w:u w:val="none"/>
                <w:lang w:val="en-US" w:eastAsia="zh-CN"/>
              </w:rPr>
            </w:pPr>
            <w:r>
              <w:rPr>
                <w:rFonts w:hint="eastAsia" w:ascii="宋体" w:hAnsi="宋体" w:eastAsia="宋体" w:cs="宋体"/>
                <w:b/>
                <w:bCs/>
                <w:i w:val="0"/>
                <w:iCs w:val="0"/>
                <w:color w:val="auto"/>
                <w:kern w:val="0"/>
                <w:sz w:val="36"/>
                <w:szCs w:val="36"/>
                <w:highlight w:val="none"/>
                <w:u w:val="none"/>
                <w:lang w:val="en-US" w:eastAsia="zh-CN"/>
              </w:rPr>
              <w:t>2024年中央专项彩票公益基金（2024年宫颈癌检查项目）综合得分表</w:t>
            </w:r>
          </w:p>
        </w:tc>
        <w:tc>
          <w:tcPr>
            <w:tcW w:w="0" w:type="auto"/>
            <w:tcBorders>
              <w:top w:val="nil"/>
              <w:left w:val="nil"/>
              <w:bottom w:val="nil"/>
              <w:right w:val="nil"/>
            </w:tcBorders>
            <w:noWrap/>
            <w:vAlign w:val="center"/>
          </w:tcPr>
          <w:p w14:paraId="432A09E0">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kern w:val="0"/>
                <w:sz w:val="36"/>
                <w:szCs w:val="36"/>
                <w:highlight w:val="none"/>
                <w:u w:val="none"/>
                <w:lang w:val="en-US" w:eastAsia="zh-CN"/>
              </w:rPr>
            </w:pPr>
          </w:p>
        </w:tc>
      </w:tr>
      <w:tr w14:paraId="62509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598" w:type="dxa"/>
            <w:tcBorders>
              <w:top w:val="single" w:color="auto" w:sz="4" w:space="0"/>
              <w:left w:val="single" w:color="auto" w:sz="4" w:space="0"/>
              <w:bottom w:val="single" w:color="auto" w:sz="4" w:space="0"/>
              <w:right w:val="single" w:color="auto" w:sz="4" w:space="0"/>
            </w:tcBorders>
            <w:noWrap w:val="0"/>
            <w:vAlign w:val="center"/>
          </w:tcPr>
          <w:p w14:paraId="4F9B5361">
            <w:pPr>
              <w:keepNext w:val="0"/>
              <w:keepLines w:val="0"/>
              <w:widowControl/>
              <w:suppressLineNumbers w:val="0"/>
              <w:shd w:val="clear" w:color="auto" w:fill="auto"/>
              <w:ind w:left="0" w:leftChars="0"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指标</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7CE0D034">
            <w:pPr>
              <w:keepNext w:val="0"/>
              <w:keepLines w:val="0"/>
              <w:widowControl/>
              <w:suppressLineNumbers w:val="0"/>
              <w:shd w:val="clear" w:color="auto" w:fill="auto"/>
              <w:ind w:left="0" w:leftChars="0"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项目决策</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1F5163CE">
            <w:pPr>
              <w:keepNext w:val="0"/>
              <w:keepLines w:val="0"/>
              <w:widowControl/>
              <w:suppressLineNumbers w:val="0"/>
              <w:shd w:val="clear" w:color="auto" w:fill="auto"/>
              <w:ind w:firstLine="480" w:firstLineChars="20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项目过程</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2A6B6C2B">
            <w:pPr>
              <w:keepNext w:val="0"/>
              <w:keepLines w:val="0"/>
              <w:widowControl/>
              <w:suppressLineNumbers w:val="0"/>
              <w:shd w:val="clear" w:color="auto" w:fill="auto"/>
              <w:ind w:firstLine="480" w:firstLineChars="20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项目产出</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04DFCE32">
            <w:pPr>
              <w:keepNext w:val="0"/>
              <w:keepLines w:val="0"/>
              <w:widowControl/>
              <w:suppressLineNumbers w:val="0"/>
              <w:shd w:val="clear" w:color="auto" w:fill="auto"/>
              <w:ind w:firstLine="480" w:firstLineChars="20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项目效益</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4D9A3DCE">
            <w:pPr>
              <w:keepNext w:val="0"/>
              <w:keepLines w:val="0"/>
              <w:widowControl/>
              <w:suppressLineNumbers w:val="0"/>
              <w:shd w:val="clear" w:color="auto" w:fill="auto"/>
              <w:ind w:firstLine="480" w:firstLineChars="20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合计</w:t>
            </w:r>
          </w:p>
        </w:tc>
        <w:tc>
          <w:tcPr>
            <w:tcW w:w="0" w:type="auto"/>
            <w:tcBorders>
              <w:top w:val="nil"/>
              <w:left w:val="nil"/>
              <w:bottom w:val="nil"/>
              <w:right w:val="nil"/>
            </w:tcBorders>
            <w:noWrap/>
            <w:vAlign w:val="center"/>
          </w:tcPr>
          <w:p w14:paraId="51F6A25C">
            <w:pPr>
              <w:rPr>
                <w:rFonts w:hint="eastAsia" w:ascii="宋体" w:hAnsi="宋体" w:eastAsia="宋体" w:cs="宋体"/>
                <w:i w:val="0"/>
                <w:iCs w:val="0"/>
                <w:color w:val="000000"/>
                <w:sz w:val="22"/>
                <w:szCs w:val="22"/>
                <w:u w:val="none"/>
              </w:rPr>
            </w:pPr>
          </w:p>
        </w:tc>
      </w:tr>
      <w:tr w14:paraId="78BD5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598" w:type="dxa"/>
            <w:tcBorders>
              <w:top w:val="single" w:color="auto" w:sz="4" w:space="0"/>
              <w:left w:val="single" w:color="auto" w:sz="4" w:space="0"/>
              <w:bottom w:val="single" w:color="auto" w:sz="4" w:space="0"/>
              <w:right w:val="single" w:color="auto" w:sz="4" w:space="0"/>
            </w:tcBorders>
            <w:noWrap w:val="0"/>
            <w:vAlign w:val="center"/>
          </w:tcPr>
          <w:p w14:paraId="7B9E7B56">
            <w:pPr>
              <w:keepNext w:val="0"/>
              <w:keepLines w:val="0"/>
              <w:widowControl/>
              <w:suppressLineNumbers w:val="0"/>
              <w:shd w:val="clear" w:color="auto" w:fill="auto"/>
              <w:ind w:left="0" w:leftChars="0"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权重</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4750D3F7">
            <w:pPr>
              <w:keepNext w:val="0"/>
              <w:keepLines w:val="0"/>
              <w:widowControl/>
              <w:suppressLineNumbers w:val="0"/>
              <w:shd w:val="clear" w:color="auto" w:fill="auto"/>
              <w:ind w:firstLine="480" w:firstLineChars="200"/>
              <w:jc w:val="center"/>
              <w:textAlignment w:val="center"/>
              <w:rPr>
                <w:rFonts w:hint="eastAsia" w:ascii="宋体" w:hAnsi="宋体" w:eastAsia="宋体" w:cs="宋体"/>
                <w:i w:val="0"/>
                <w:iCs w:val="0"/>
                <w:color w:val="FF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23.00</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451EFD35">
            <w:pPr>
              <w:keepNext w:val="0"/>
              <w:keepLines w:val="0"/>
              <w:widowControl/>
              <w:suppressLineNumbers w:val="0"/>
              <w:shd w:val="clear" w:color="auto" w:fill="auto"/>
              <w:ind w:firstLine="480" w:firstLineChars="200"/>
              <w:jc w:val="center"/>
              <w:textAlignment w:val="center"/>
              <w:rPr>
                <w:rFonts w:hint="eastAsia" w:ascii="宋体" w:hAnsi="宋体" w:eastAsia="宋体" w:cs="宋体"/>
                <w:i w:val="0"/>
                <w:iCs w:val="0"/>
                <w:color w:val="FF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12.00</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6A858081">
            <w:pPr>
              <w:keepNext w:val="0"/>
              <w:keepLines w:val="0"/>
              <w:widowControl/>
              <w:suppressLineNumbers w:val="0"/>
              <w:shd w:val="clear" w:color="auto" w:fill="auto"/>
              <w:ind w:firstLine="480" w:firstLineChars="200"/>
              <w:jc w:val="center"/>
              <w:textAlignment w:val="center"/>
              <w:rPr>
                <w:rFonts w:hint="eastAsia" w:ascii="宋体" w:hAnsi="宋体" w:eastAsia="宋体" w:cs="宋体"/>
                <w:i w:val="0"/>
                <w:iCs w:val="0"/>
                <w:color w:val="FF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40.00</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548D4119">
            <w:pPr>
              <w:keepNext w:val="0"/>
              <w:keepLines w:val="0"/>
              <w:widowControl/>
              <w:suppressLineNumbers w:val="0"/>
              <w:shd w:val="clear" w:color="auto" w:fill="auto"/>
              <w:ind w:firstLine="480" w:firstLineChars="200"/>
              <w:jc w:val="center"/>
              <w:textAlignment w:val="center"/>
              <w:rPr>
                <w:rFonts w:hint="eastAsia" w:ascii="宋体" w:hAnsi="宋体" w:eastAsia="宋体" w:cs="宋体"/>
                <w:i w:val="0"/>
                <w:iCs w:val="0"/>
                <w:color w:val="FF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25.00</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1204B096">
            <w:pPr>
              <w:keepNext w:val="0"/>
              <w:keepLines w:val="0"/>
              <w:widowControl/>
              <w:suppressLineNumbers w:val="0"/>
              <w:shd w:val="clear" w:color="auto" w:fill="auto"/>
              <w:ind w:left="0" w:leftChars="0" w:firstLine="0" w:firstLineChars="0"/>
              <w:jc w:val="center"/>
              <w:textAlignment w:val="center"/>
              <w:rPr>
                <w:rFonts w:hint="eastAsia" w:ascii="宋体" w:hAnsi="宋体" w:eastAsia="宋体" w:cs="宋体"/>
                <w:i w:val="0"/>
                <w:iCs w:val="0"/>
                <w:color w:val="FF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0" w:type="auto"/>
            <w:tcBorders>
              <w:top w:val="nil"/>
              <w:left w:val="nil"/>
              <w:bottom w:val="nil"/>
              <w:right w:val="nil"/>
            </w:tcBorders>
            <w:noWrap/>
            <w:vAlign w:val="center"/>
          </w:tcPr>
          <w:p w14:paraId="1F347563">
            <w:pPr>
              <w:rPr>
                <w:rFonts w:hint="eastAsia" w:ascii="宋体" w:hAnsi="宋体" w:eastAsia="宋体" w:cs="宋体"/>
                <w:i w:val="0"/>
                <w:iCs w:val="0"/>
                <w:color w:val="000000"/>
                <w:sz w:val="22"/>
                <w:szCs w:val="22"/>
                <w:u w:val="none"/>
              </w:rPr>
            </w:pPr>
          </w:p>
        </w:tc>
      </w:tr>
      <w:tr w14:paraId="08292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598" w:type="dxa"/>
            <w:tcBorders>
              <w:top w:val="single" w:color="auto" w:sz="4" w:space="0"/>
              <w:left w:val="single" w:color="auto" w:sz="4" w:space="0"/>
              <w:bottom w:val="single" w:color="auto" w:sz="4" w:space="0"/>
              <w:right w:val="single" w:color="auto" w:sz="4" w:space="0"/>
            </w:tcBorders>
            <w:noWrap w:val="0"/>
            <w:vAlign w:val="center"/>
          </w:tcPr>
          <w:p w14:paraId="23FB3D24">
            <w:pPr>
              <w:keepNext w:val="0"/>
              <w:keepLines w:val="0"/>
              <w:widowControl/>
              <w:suppressLineNumbers w:val="0"/>
              <w:shd w:val="clear" w:color="auto" w:fill="auto"/>
              <w:ind w:left="0" w:leftChars="0"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得分</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7D957E13">
            <w:pPr>
              <w:keepNext w:val="0"/>
              <w:keepLines w:val="0"/>
              <w:widowControl/>
              <w:suppressLineNumbers w:val="0"/>
              <w:shd w:val="clear" w:color="auto" w:fill="auto"/>
              <w:ind w:firstLine="480" w:firstLineChars="200"/>
              <w:jc w:val="center"/>
              <w:textAlignment w:val="center"/>
              <w:rPr>
                <w:rFonts w:hint="eastAsia" w:ascii="宋体" w:hAnsi="宋体" w:eastAsia="宋体" w:cs="宋体"/>
                <w:i w:val="0"/>
                <w:iCs w:val="0"/>
                <w:color w:val="FF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23.00</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26A318D6">
            <w:pPr>
              <w:keepNext w:val="0"/>
              <w:keepLines w:val="0"/>
              <w:widowControl/>
              <w:suppressLineNumbers w:val="0"/>
              <w:shd w:val="clear" w:color="auto" w:fill="auto"/>
              <w:ind w:firstLine="480" w:firstLineChars="200"/>
              <w:jc w:val="center"/>
              <w:textAlignment w:val="center"/>
              <w:rPr>
                <w:rFonts w:hint="eastAsia" w:ascii="宋体" w:hAnsi="宋体" w:eastAsia="宋体" w:cs="宋体"/>
                <w:i w:val="0"/>
                <w:iCs w:val="0"/>
                <w:color w:val="FF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12.00</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38B3F8AF">
            <w:pPr>
              <w:keepNext w:val="0"/>
              <w:keepLines w:val="0"/>
              <w:widowControl/>
              <w:suppressLineNumbers w:val="0"/>
              <w:shd w:val="clear" w:color="auto" w:fill="auto"/>
              <w:ind w:firstLine="480" w:firstLineChars="200"/>
              <w:jc w:val="center"/>
              <w:textAlignment w:val="center"/>
              <w:rPr>
                <w:rFonts w:hint="eastAsia" w:ascii="宋体" w:hAnsi="宋体" w:eastAsia="宋体" w:cs="宋体"/>
                <w:i w:val="0"/>
                <w:iCs w:val="0"/>
                <w:color w:val="FF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40.00</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67A33886">
            <w:pPr>
              <w:keepNext w:val="0"/>
              <w:keepLines w:val="0"/>
              <w:widowControl/>
              <w:suppressLineNumbers w:val="0"/>
              <w:shd w:val="clear" w:color="auto" w:fill="auto"/>
              <w:ind w:firstLine="480" w:firstLineChars="200"/>
              <w:jc w:val="center"/>
              <w:textAlignment w:val="center"/>
              <w:rPr>
                <w:rFonts w:hint="eastAsia" w:ascii="宋体" w:hAnsi="宋体" w:eastAsia="宋体" w:cs="宋体"/>
                <w:i w:val="0"/>
                <w:iCs w:val="0"/>
                <w:color w:val="FF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25.00</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3D9C9343">
            <w:pPr>
              <w:keepNext w:val="0"/>
              <w:keepLines w:val="0"/>
              <w:widowControl/>
              <w:suppressLineNumbers w:val="0"/>
              <w:shd w:val="clear" w:color="auto" w:fill="auto"/>
              <w:ind w:left="0" w:leftChars="0" w:firstLine="0" w:firstLineChars="0"/>
              <w:jc w:val="center"/>
              <w:textAlignment w:val="center"/>
              <w:rPr>
                <w:rFonts w:hint="eastAsia" w:ascii="宋体" w:hAnsi="宋体" w:eastAsia="宋体" w:cs="宋体"/>
                <w:i w:val="0"/>
                <w:iCs w:val="0"/>
                <w:color w:val="FF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0" w:type="auto"/>
            <w:tcBorders>
              <w:top w:val="nil"/>
              <w:left w:val="nil"/>
              <w:bottom w:val="nil"/>
              <w:right w:val="nil"/>
            </w:tcBorders>
            <w:noWrap/>
            <w:vAlign w:val="center"/>
          </w:tcPr>
          <w:p w14:paraId="22B28A96">
            <w:pPr>
              <w:rPr>
                <w:rFonts w:hint="eastAsia" w:ascii="宋体" w:hAnsi="宋体" w:eastAsia="宋体" w:cs="宋体"/>
                <w:i w:val="0"/>
                <w:iCs w:val="0"/>
                <w:color w:val="000000"/>
                <w:sz w:val="22"/>
                <w:szCs w:val="22"/>
                <w:u w:val="none"/>
              </w:rPr>
            </w:pPr>
          </w:p>
        </w:tc>
      </w:tr>
      <w:tr w14:paraId="1171E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598" w:type="dxa"/>
            <w:tcBorders>
              <w:top w:val="single" w:color="auto" w:sz="4" w:space="0"/>
              <w:left w:val="single" w:color="auto" w:sz="4" w:space="0"/>
              <w:bottom w:val="single" w:color="auto" w:sz="4" w:space="0"/>
              <w:right w:val="single" w:color="auto" w:sz="4" w:space="0"/>
            </w:tcBorders>
            <w:noWrap w:val="0"/>
            <w:vAlign w:val="center"/>
          </w:tcPr>
          <w:p w14:paraId="16B27695">
            <w:pPr>
              <w:keepNext w:val="0"/>
              <w:keepLines w:val="0"/>
              <w:widowControl/>
              <w:suppressLineNumbers w:val="0"/>
              <w:shd w:val="clear" w:color="auto" w:fill="auto"/>
              <w:ind w:left="0" w:leftChars="0"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得分率</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056DBAD8">
            <w:pPr>
              <w:keepNext w:val="0"/>
              <w:keepLines w:val="0"/>
              <w:widowControl/>
              <w:suppressLineNumbers w:val="0"/>
              <w:shd w:val="clear" w:color="auto" w:fill="auto"/>
              <w:ind w:firstLine="480" w:firstLineChars="20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15B4BBBB">
            <w:pPr>
              <w:keepNext w:val="0"/>
              <w:keepLines w:val="0"/>
              <w:widowControl/>
              <w:suppressLineNumbers w:val="0"/>
              <w:shd w:val="clear" w:color="auto" w:fill="auto"/>
              <w:ind w:firstLine="480" w:firstLineChars="20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7DF0F2A2">
            <w:pPr>
              <w:keepNext w:val="0"/>
              <w:keepLines w:val="0"/>
              <w:widowControl/>
              <w:suppressLineNumbers w:val="0"/>
              <w:shd w:val="clear" w:color="auto" w:fill="auto"/>
              <w:ind w:firstLine="480" w:firstLineChars="20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78C5A561">
            <w:pPr>
              <w:keepNext w:val="0"/>
              <w:keepLines w:val="0"/>
              <w:widowControl/>
              <w:suppressLineNumbers w:val="0"/>
              <w:shd w:val="clear" w:color="auto" w:fill="auto"/>
              <w:ind w:firstLine="480" w:firstLineChars="20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2598" w:type="dxa"/>
            <w:tcBorders>
              <w:top w:val="single" w:color="auto" w:sz="4" w:space="0"/>
              <w:left w:val="single" w:color="auto" w:sz="4" w:space="0"/>
              <w:bottom w:val="single" w:color="auto" w:sz="4" w:space="0"/>
              <w:right w:val="single" w:color="auto" w:sz="4" w:space="0"/>
            </w:tcBorders>
            <w:noWrap w:val="0"/>
            <w:vAlign w:val="center"/>
          </w:tcPr>
          <w:p w14:paraId="37AD8D50">
            <w:pPr>
              <w:keepNext w:val="0"/>
              <w:keepLines w:val="0"/>
              <w:widowControl/>
              <w:suppressLineNumbers w:val="0"/>
              <w:shd w:val="clear" w:color="auto" w:fill="auto"/>
              <w:ind w:left="0" w:lef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0" w:type="auto"/>
            <w:tcBorders>
              <w:top w:val="nil"/>
              <w:left w:val="nil"/>
              <w:bottom w:val="nil"/>
              <w:right w:val="nil"/>
            </w:tcBorders>
            <w:noWrap/>
            <w:vAlign w:val="center"/>
          </w:tcPr>
          <w:p w14:paraId="1518F0C2">
            <w:pPr>
              <w:rPr>
                <w:rFonts w:hint="eastAsia" w:ascii="宋体" w:hAnsi="宋体" w:eastAsia="宋体" w:cs="宋体"/>
                <w:i w:val="0"/>
                <w:iCs w:val="0"/>
                <w:color w:val="000000"/>
                <w:sz w:val="22"/>
                <w:szCs w:val="22"/>
                <w:u w:val="none"/>
              </w:rPr>
            </w:pPr>
          </w:p>
        </w:tc>
      </w:tr>
      <w:tr w14:paraId="1B2E5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0" w:type="auto"/>
            <w:tcBorders>
              <w:top w:val="nil"/>
              <w:left w:val="nil"/>
              <w:bottom w:val="nil"/>
              <w:right w:val="nil"/>
            </w:tcBorders>
            <w:noWrap/>
            <w:vAlign w:val="center"/>
          </w:tcPr>
          <w:p w14:paraId="440D76E7">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098ED826">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4A36C2AE">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55A76A52">
            <w:pPr>
              <w:rPr>
                <w:rFonts w:hint="eastAsia" w:ascii="宋体" w:hAnsi="宋体" w:eastAsia="宋体" w:cs="宋体"/>
                <w:b/>
                <w:bCs/>
                <w:i w:val="0"/>
                <w:iCs w:val="0"/>
                <w:color w:val="FF0000"/>
                <w:sz w:val="36"/>
                <w:szCs w:val="36"/>
                <w:u w:val="none"/>
              </w:rPr>
            </w:pPr>
          </w:p>
        </w:tc>
        <w:tc>
          <w:tcPr>
            <w:tcW w:w="0" w:type="auto"/>
            <w:tcBorders>
              <w:top w:val="nil"/>
              <w:left w:val="nil"/>
              <w:bottom w:val="nil"/>
              <w:right w:val="nil"/>
            </w:tcBorders>
            <w:noWrap/>
            <w:vAlign w:val="center"/>
          </w:tcPr>
          <w:p w14:paraId="67EA4EFF">
            <w:pPr>
              <w:rPr>
                <w:rFonts w:hint="eastAsia" w:ascii="宋体" w:hAnsi="宋体" w:eastAsia="宋体" w:cs="宋体"/>
                <w:b/>
                <w:bCs/>
                <w:i w:val="0"/>
                <w:iCs w:val="0"/>
                <w:color w:val="FF0000"/>
                <w:sz w:val="36"/>
                <w:szCs w:val="36"/>
                <w:u w:val="none"/>
              </w:rPr>
            </w:pPr>
          </w:p>
        </w:tc>
        <w:tc>
          <w:tcPr>
            <w:tcW w:w="0" w:type="auto"/>
            <w:tcBorders>
              <w:top w:val="nil"/>
              <w:left w:val="nil"/>
              <w:bottom w:val="nil"/>
              <w:right w:val="nil"/>
            </w:tcBorders>
            <w:noWrap/>
            <w:vAlign w:val="center"/>
          </w:tcPr>
          <w:p w14:paraId="2541B8ED">
            <w:pPr>
              <w:rPr>
                <w:rFonts w:hint="eastAsia" w:ascii="宋体" w:hAnsi="宋体" w:eastAsia="宋体" w:cs="宋体"/>
                <w:b/>
                <w:bCs/>
                <w:i w:val="0"/>
                <w:iCs w:val="0"/>
                <w:color w:val="FF0000"/>
                <w:sz w:val="36"/>
                <w:szCs w:val="36"/>
                <w:u w:val="none"/>
              </w:rPr>
            </w:pPr>
          </w:p>
        </w:tc>
        <w:tc>
          <w:tcPr>
            <w:tcW w:w="0" w:type="auto"/>
            <w:tcBorders>
              <w:top w:val="nil"/>
              <w:left w:val="nil"/>
              <w:bottom w:val="nil"/>
              <w:right w:val="nil"/>
            </w:tcBorders>
            <w:noWrap/>
            <w:vAlign w:val="center"/>
          </w:tcPr>
          <w:p w14:paraId="01289256">
            <w:pPr>
              <w:rPr>
                <w:rFonts w:hint="eastAsia" w:ascii="宋体" w:hAnsi="宋体" w:eastAsia="宋体" w:cs="宋体"/>
                <w:b/>
                <w:bCs/>
                <w:i w:val="0"/>
                <w:iCs w:val="0"/>
                <w:color w:val="FF0000"/>
                <w:sz w:val="36"/>
                <w:szCs w:val="36"/>
                <w:u w:val="none"/>
              </w:rPr>
            </w:pPr>
          </w:p>
        </w:tc>
      </w:tr>
    </w:tbl>
    <w:p w14:paraId="4AFE3DB5">
      <w:pPr>
        <w:pStyle w:val="10"/>
        <w:ind w:left="0" w:leftChars="0" w:firstLine="0" w:firstLineChars="0"/>
        <w:jc w:val="both"/>
        <w:rPr>
          <w:rFonts w:hint="eastAsia" w:ascii="宋体" w:hAnsi="宋体" w:eastAsia="宋体" w:cs="宋体"/>
          <w:sz w:val="24"/>
          <w:szCs w:val="24"/>
          <w:lang w:val="en-US" w:eastAsia="zh-CN"/>
        </w:rPr>
      </w:pPr>
    </w:p>
    <w:p w14:paraId="413001BA">
      <w:pPr>
        <w:pStyle w:val="10"/>
        <w:ind w:left="0" w:leftChars="0" w:firstLine="0" w:firstLineChars="0"/>
        <w:jc w:val="both"/>
        <w:rPr>
          <w:rFonts w:hint="default" w:ascii="宋体" w:hAnsi="宋体" w:eastAsia="宋体" w:cs="宋体"/>
          <w:sz w:val="24"/>
          <w:szCs w:val="24"/>
          <w:lang w:val="en-US" w:eastAsia="zh-CN"/>
        </w:rPr>
      </w:pPr>
    </w:p>
    <w:p w14:paraId="10123E38">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fmt="decimal"/>
          <w:cols w:space="720" w:num="1"/>
          <w:docGrid w:type="linesAndChars" w:linePitch="386" w:charSpace="0"/>
        </w:sectPr>
      </w:pPr>
    </w:p>
    <w:p w14:paraId="17F6AFDC">
      <w:pPr>
        <w:pageBreakBefore w:val="0"/>
        <w:widowControl w:val="0"/>
        <w:kinsoku/>
        <w:wordWrap/>
        <w:topLinePunct w:val="0"/>
        <w:autoSpaceDE/>
        <w:autoSpaceDN/>
        <w:bidi w:val="0"/>
        <w:spacing w:line="560" w:lineRule="exact"/>
        <w:ind w:left="0" w:leftChars="0" w:firstLine="0" w:firstLineChars="0"/>
        <w:textAlignment w:val="auto"/>
        <w:rPr>
          <w:rFonts w:hint="default" w:ascii="Times New Roman" w:hAnsi="Times New Roman" w:eastAsia="方正仿宋_GBK" w:cs="方正仿宋_GBK"/>
          <w:b/>
          <w:kern w:val="0"/>
          <w:sz w:val="32"/>
          <w:szCs w:val="32"/>
          <w:lang w:val="en-US" w:eastAsia="zh-CN" w:bidi="en-US"/>
        </w:rPr>
      </w:pPr>
      <w:r>
        <w:rPr>
          <w:rFonts w:hint="eastAsia" w:ascii="Times New Roman" w:hAnsi="Times New Roman" w:eastAsia="方正仿宋_GBK" w:cs="方正仿宋_GBK"/>
          <w:b/>
          <w:kern w:val="0"/>
          <w:sz w:val="32"/>
          <w:szCs w:val="32"/>
          <w:lang w:val="en-US" w:eastAsia="zh-CN" w:bidi="en-US"/>
        </w:rPr>
        <w:t>附件3：</w:t>
      </w:r>
    </w:p>
    <w:p w14:paraId="29470BA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专项资金-和地财综【2023】21号：2024年中央专项彩票公益金（2024年“宫颈癌”检查项目）满意度调查问卷分析报告</w:t>
      </w:r>
    </w:p>
    <w:p w14:paraId="426E91D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sz w:val="28"/>
          <w:szCs w:val="28"/>
          <w:highlight w:val="none"/>
        </w:rPr>
      </w:pPr>
    </w:p>
    <w:p w14:paraId="33E05E9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41D70E31">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一、该问卷调查从从2025年2月20日开始至2025年3月20日结束，调查问卷共设置3道题目。</w:t>
      </w:r>
    </w:p>
    <w:p w14:paraId="6F472677">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1.调查对象</w:t>
      </w:r>
    </w:p>
    <w:p w14:paraId="7274CE3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本次调查的受益对象为广大妇女。</w:t>
      </w:r>
    </w:p>
    <w:p w14:paraId="7961DCA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2.调查内容</w:t>
      </w:r>
    </w:p>
    <w:p w14:paraId="5D36573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1.您专项资金-和地财综【2023】21号：2024年中央专项彩票公益金（2024年“宫颈癌”检查项目）满意吗？</w:t>
      </w:r>
    </w:p>
    <w:p w14:paraId="3A5324B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满意</w:t>
      </w:r>
    </w:p>
    <w:p w14:paraId="608F070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2.您对专项资金-和地财综【2023】21号：2024年中央专项彩票公益金（2024年“宫颈癌”检查项目）的社会效益是否满意？</w:t>
      </w:r>
    </w:p>
    <w:p w14:paraId="005C1A4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满意</w:t>
      </w:r>
    </w:p>
    <w:p w14:paraId="1EB9198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③总的来说专项资金-和地财综【2023】21号：2024年中央专项彩票公益金（2024年“宫颈癌”检查项目），您对目前实施后的整体满意程度如何？</w:t>
      </w:r>
    </w:p>
    <w:p w14:paraId="2715AEB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非常满意</w:t>
      </w:r>
    </w:p>
    <w:p w14:paraId="21B3F035">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3.调查方法</w:t>
      </w:r>
    </w:p>
    <w:p w14:paraId="7D4C6515">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firstLine="480" w:firstLineChars="20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问卷调查采取分层抽样和随机抽样相结合的方式进行。在全面调查开展之前会先进行论证，依据论证结果对问卷和抽样方案再进行一次修改和调整之后再付诸实施。</w:t>
      </w:r>
    </w:p>
    <w:p w14:paraId="5EAFEA9B">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抽样方式</w:t>
      </w:r>
    </w:p>
    <w:p w14:paraId="21CF282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为确保问卷调查的全面性和代表性，本次调查问卷调查采取随机抽样和分层抽样相结合方式进行。</w:t>
      </w:r>
    </w:p>
    <w:p w14:paraId="2F81369C">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5.问卷的发放和回收</w:t>
      </w:r>
    </w:p>
    <w:p w14:paraId="78E8521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0ADD3B63">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3E2A7935">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本次调查过程中，评价小组实际发放问卷30份，回收问卷30份，问卷回收率为100.00%，有效问卷30份，有效回收率100.00%，本次调查的整体情况如下：</w:t>
      </w:r>
    </w:p>
    <w:p w14:paraId="344175F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1045D96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301BDAE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第三个问题：该项统计有效问卷数量30份，选择非常满意的人数30人。选择比较满意的人数为0人，选择一般的人数0人，选择不满意的人数0人，选择非常不满意的人数0人。</w:t>
      </w:r>
    </w:p>
    <w:p w14:paraId="1A3E2C5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二、调查结果统计</w:t>
      </w:r>
    </w:p>
    <w:p w14:paraId="3F894E1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专项资金-和地财综【2023】21号：2024年中央专项彩票公益金（2024年“宫颈癌”检查项目）针对受益人员发放30份调查问卷，最终统计受益人群满意度为100%。</w:t>
      </w:r>
    </w:p>
    <w:p w14:paraId="77F07FF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p>
    <w:p w14:paraId="7127C27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洛浦县妇幼保健院</w:t>
      </w:r>
    </w:p>
    <w:p w14:paraId="1B851C0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default"/>
          <w:sz w:val="24"/>
          <w:szCs w:val="24"/>
          <w:highlight w:val="none"/>
          <w:lang w:val="en-US" w:eastAsia="zh-CN"/>
        </w:rPr>
      </w:pPr>
      <w:r>
        <w:rPr>
          <w:rFonts w:hint="eastAsia" w:ascii="宋体" w:hAnsi="宋体" w:eastAsia="宋体" w:cs="宋体"/>
          <w:sz w:val="24"/>
          <w:szCs w:val="24"/>
          <w:highlight w:val="none"/>
          <w:lang w:val="en-US" w:eastAsia="zh-CN"/>
        </w:rPr>
        <w:t>2025年</w:t>
      </w:r>
      <w:r>
        <w:rPr>
          <w:rFonts w:hint="eastAsia" w:cs="宋体"/>
          <w:sz w:val="24"/>
          <w:szCs w:val="24"/>
          <w:highlight w:val="none"/>
          <w:lang w:val="en-US" w:eastAsia="zh-CN"/>
        </w:rPr>
        <w:t>3</w:t>
      </w:r>
      <w:r>
        <w:rPr>
          <w:rFonts w:hint="eastAsia" w:ascii="宋体" w:hAnsi="宋体" w:eastAsia="宋体" w:cs="宋体"/>
          <w:sz w:val="24"/>
          <w:szCs w:val="24"/>
          <w:highlight w:val="none"/>
          <w:lang w:val="en-US" w:eastAsia="zh-CN"/>
        </w:rPr>
        <w:t>月</w:t>
      </w:r>
      <w:r>
        <w:rPr>
          <w:rFonts w:hint="eastAsia" w:cs="宋体"/>
          <w:sz w:val="24"/>
          <w:szCs w:val="24"/>
          <w:highlight w:val="none"/>
          <w:lang w:val="en-US" w:eastAsia="zh-CN"/>
        </w:rPr>
        <w:t>11</w:t>
      </w:r>
      <w:r>
        <w:rPr>
          <w:rFonts w:hint="eastAsia" w:ascii="宋体" w:hAnsi="宋体" w:eastAsia="宋体" w:cs="宋体"/>
          <w:sz w:val="24"/>
          <w:szCs w:val="24"/>
          <w:highlight w:val="none"/>
          <w:lang w:val="en-US" w:eastAsia="zh-CN"/>
        </w:rPr>
        <w:t>日</w:t>
      </w:r>
    </w:p>
    <w:p w14:paraId="392C8847">
      <w:pPr>
        <w:pStyle w:val="10"/>
        <w:ind w:left="0" w:leftChars="0" w:firstLine="0" w:firstLineChars="0"/>
        <w:jc w:val="both"/>
        <w:rPr>
          <w:rFonts w:hint="eastAsia" w:ascii="宋体" w:hAnsi="宋体" w:eastAsia="宋体" w:cs="宋体"/>
          <w:sz w:val="24"/>
          <w:szCs w:val="24"/>
          <w:lang w:eastAsia="zh-CN"/>
        </w:rPr>
      </w:pPr>
    </w:p>
    <w:sectPr>
      <w:pgSz w:w="11906" w:h="16838"/>
      <w:pgMar w:top="1985" w:right="1531" w:bottom="1701" w:left="1531" w:header="851" w:footer="992" w:gutter="0"/>
      <w:pgNumType w:fmt="decimal"/>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A074F">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A0196">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4BB5AD6B">
                <w:pPr>
                  <w:pStyle w:val="15"/>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30</w:t>
                </w:r>
                <w: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77117">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2"/>
      <w:numFmt w:val="decimal"/>
      <w:lvlText w:val="%1."/>
      <w:lvlJc w:val="left"/>
      <w:pPr>
        <w:tabs>
          <w:tab w:val="left" w:pos="312"/>
        </w:tabs>
      </w:pPr>
    </w:lvl>
  </w:abstractNum>
  <w:abstractNum w:abstractNumId="3">
    <w:nsid w:val="0053208E"/>
    <w:multiLevelType w:val="singleLevel"/>
    <w:tmpl w:val="0053208E"/>
    <w:lvl w:ilvl="0" w:tentative="0">
      <w:start w:val="4"/>
      <w:numFmt w:val="decimal"/>
      <w:suff w:val="space"/>
      <w:lvlText w:val="%1."/>
      <w:lvlJc w:val="left"/>
    </w:lvl>
  </w:abstractNum>
  <w:abstractNum w:abstractNumId="4">
    <w:nsid w:val="03D62ECE"/>
    <w:multiLevelType w:val="singleLevel"/>
    <w:tmpl w:val="03D62ECE"/>
    <w:lvl w:ilvl="0" w:tentative="0">
      <w:start w:val="1"/>
      <w:numFmt w:val="decimal"/>
      <w:suff w:val="nothing"/>
      <w:lvlText w:val="（%1）"/>
      <w:lvlJc w:val="left"/>
    </w:lvl>
  </w:abstractNum>
  <w:abstractNum w:abstractNumId="5">
    <w:nsid w:val="25B654F3"/>
    <w:multiLevelType w:val="singleLevel"/>
    <w:tmpl w:val="25B654F3"/>
    <w:lvl w:ilvl="0" w:tentative="0">
      <w:start w:val="7"/>
      <w:numFmt w:val="chineseCounting"/>
      <w:suff w:val="nothing"/>
      <w:lvlText w:val="%1、"/>
      <w:lvlJc w:val="left"/>
      <w:rPr>
        <w:rFonts w:hint="eastAsia"/>
      </w:rPr>
    </w:lvl>
  </w:abstractNum>
  <w:abstractNum w:abstractNumId="6">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0C6A4EE0"/>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uiPriority="39" w:semiHidden="0" w:name="toc 4"/>
    <w:lsdException w:qFormat="1" w:uiPriority="39" w:semiHidden="0" w:name="toc 5"/>
    <w:lsdException w:uiPriority="39" w:semiHidden="0" w:name="toc 6"/>
    <w:lsdException w:qFormat="1" w:uiPriority="39" w:semiHidden="0" w:name="toc 7"/>
    <w:lsdException w:qFormat="1"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2">
    <w:name w:val="heading 1"/>
    <w:basedOn w:val="1"/>
    <w:next w:val="3"/>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5"/>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6"/>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7"/>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qFormat/>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3">
    <w:name w:val="Body Text First Indent 2"/>
    <w:basedOn w:val="4"/>
    <w:link w:val="34"/>
    <w:unhideWhenUsed/>
    <w:qFormat/>
    <w:uiPriority w:val="0"/>
    <w:pPr>
      <w:ind w:firstLine="420"/>
    </w:pPr>
  </w:style>
  <w:style w:type="paragraph" w:styleId="4">
    <w:name w:val="Body Text Indent"/>
    <w:basedOn w:val="1"/>
    <w:link w:val="33"/>
    <w:unhideWhenUsed/>
    <w:qFormat/>
    <w:uiPriority w:val="99"/>
    <w:pPr>
      <w:spacing w:after="120"/>
      <w:ind w:left="420" w:leftChars="200"/>
    </w:pPr>
    <w:rPr>
      <w:rFonts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8"/>
    <w:unhideWhenUsed/>
    <w:qFormat/>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qFormat/>
    <w:uiPriority w:val="39"/>
    <w:pPr>
      <w:ind w:left="1120"/>
      <w:jc w:val="left"/>
    </w:pPr>
    <w:rPr>
      <w:rFonts w:ascii="Calibri" w:hAnsi="Calibri" w:cs="Calibri"/>
      <w:sz w:val="18"/>
      <w:szCs w:val="18"/>
    </w:rPr>
  </w:style>
  <w:style w:type="paragraph" w:styleId="12">
    <w:name w:val="toc 3"/>
    <w:basedOn w:val="1"/>
    <w:next w:val="1"/>
    <w:unhideWhenUsed/>
    <w:qFormat/>
    <w:uiPriority w:val="39"/>
    <w:pPr>
      <w:ind w:left="560"/>
      <w:jc w:val="left"/>
    </w:pPr>
    <w:rPr>
      <w:rFonts w:ascii="Calibri" w:hAnsi="Calibri" w:cs="Calibri"/>
      <w:i/>
      <w:iCs/>
      <w:sz w:val="20"/>
      <w:szCs w:val="20"/>
    </w:rPr>
  </w:style>
  <w:style w:type="paragraph" w:styleId="13">
    <w:name w:val="toc 8"/>
    <w:basedOn w:val="1"/>
    <w:next w:val="1"/>
    <w:unhideWhenUsed/>
    <w:qFormat/>
    <w:uiPriority w:val="39"/>
    <w:pPr>
      <w:ind w:left="1960"/>
      <w:jc w:val="left"/>
    </w:pPr>
    <w:rPr>
      <w:rFonts w:ascii="Calibri" w:hAnsi="Calibri" w:cs="Calibri"/>
      <w:sz w:val="18"/>
      <w:szCs w:val="18"/>
    </w:rPr>
  </w:style>
  <w:style w:type="paragraph" w:styleId="14">
    <w:name w:val="Balloon Text"/>
    <w:basedOn w:val="1"/>
    <w:link w:val="40"/>
    <w:unhideWhenUsed/>
    <w:qFormat/>
    <w:uiPriority w:val="99"/>
    <w:rPr>
      <w:rFonts w:cs="Times New Roman"/>
      <w:kern w:val="0"/>
      <w:sz w:val="18"/>
      <w:szCs w:val="18"/>
    </w:rPr>
  </w:style>
  <w:style w:type="paragraph" w:styleId="15">
    <w:name w:val="footer"/>
    <w:basedOn w:val="1"/>
    <w:link w:val="41"/>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2"/>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Normal (Web)"/>
    <w:basedOn w:val="1"/>
    <w:qFormat/>
    <w:uiPriority w:val="0"/>
    <w:pPr>
      <w:jc w:val="left"/>
    </w:pPr>
    <w:rPr>
      <w:rFonts w:cs="Times New Roman"/>
      <w:kern w:val="0"/>
      <w:sz w:val="24"/>
    </w:rPr>
  </w:style>
  <w:style w:type="paragraph" w:styleId="23">
    <w:name w:val="Title"/>
    <w:basedOn w:val="1"/>
    <w:next w:val="1"/>
    <w:link w:val="43"/>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0"/>
    <w:rPr>
      <w:b/>
      <w:bCs/>
    </w:rPr>
  </w:style>
  <w:style w:type="character" w:styleId="28">
    <w:name w:val="Hyperlink"/>
    <w:unhideWhenUsed/>
    <w:uiPriority w:val="99"/>
    <w:rPr>
      <w:color w:val="0000FF"/>
      <w:u w:val="single"/>
    </w:rPr>
  </w:style>
  <w:style w:type="paragraph" w:customStyle="1" w:styleId="29">
    <w:name w:val="Comment Text"/>
    <w:basedOn w:val="1"/>
    <w:link w:val="39"/>
    <w:unhideWhenUsed/>
    <w:qFormat/>
    <w:uiPriority w:val="99"/>
    <w:rPr>
      <w:rFonts w:cs="Times New Roman"/>
      <w:kern w:val="0"/>
      <w:sz w:val="20"/>
      <w:szCs w:val="20"/>
    </w:rPr>
  </w:style>
  <w:style w:type="paragraph" w:customStyle="1" w:styleId="30">
    <w:name w:val="Comment Subject"/>
    <w:basedOn w:val="29"/>
    <w:next w:val="29"/>
    <w:link w:val="44"/>
    <w:unhideWhenUsed/>
    <w:uiPriority w:val="99"/>
    <w:rPr>
      <w:b/>
      <w:bCs/>
    </w:rPr>
  </w:style>
  <w:style w:type="character" w:customStyle="1" w:styleId="31">
    <w:name w:val="Comment Reference"/>
    <w:unhideWhenUsed/>
    <w:uiPriority w:val="99"/>
    <w:rPr>
      <w:sz w:val="16"/>
      <w:szCs w:val="16"/>
    </w:rPr>
  </w:style>
  <w:style w:type="character" w:customStyle="1" w:styleId="32">
    <w:name w:val="标题 1 Char"/>
    <w:link w:val="2"/>
    <w:uiPriority w:val="9"/>
    <w:rPr>
      <w:rFonts w:ascii="Times New Roman" w:hAnsi="Times New Roman" w:eastAsia="仿宋_GB2312" w:cs="Times New Roman"/>
      <w:b/>
      <w:bCs/>
      <w:kern w:val="44"/>
      <w:sz w:val="32"/>
      <w:szCs w:val="44"/>
    </w:rPr>
  </w:style>
  <w:style w:type="character" w:customStyle="1" w:styleId="33">
    <w:name w:val="正文文本缩进 Char"/>
    <w:link w:val="4"/>
    <w:semiHidden/>
    <w:uiPriority w:val="99"/>
    <w:rPr>
      <w:rFonts w:ascii="Calibri" w:hAnsi="Calibri" w:eastAsia="仿宋_GB2312" w:cs="黑体"/>
      <w:sz w:val="28"/>
    </w:rPr>
  </w:style>
  <w:style w:type="character" w:customStyle="1" w:styleId="34">
    <w:name w:val="正文首行缩进 2 Char"/>
    <w:link w:val="3"/>
    <w:uiPriority w:val="0"/>
    <w:rPr>
      <w:rFonts w:ascii="Calibri" w:hAnsi="Calibri" w:eastAsia="仿宋_GB2312" w:cs="黑体"/>
      <w:sz w:val="28"/>
    </w:rPr>
  </w:style>
  <w:style w:type="character" w:customStyle="1" w:styleId="35">
    <w:name w:val="标题 2 Char"/>
    <w:link w:val="5"/>
    <w:uiPriority w:val="0"/>
    <w:rPr>
      <w:rFonts w:ascii="Cambria" w:hAnsi="Cambria" w:eastAsia="仿宋_GB2312" w:cs="Times New Roman"/>
      <w:b/>
      <w:bCs/>
      <w:kern w:val="0"/>
      <w:sz w:val="30"/>
      <w:szCs w:val="32"/>
    </w:rPr>
  </w:style>
  <w:style w:type="character" w:customStyle="1" w:styleId="36">
    <w:name w:val="标题 3 Char"/>
    <w:link w:val="6"/>
    <w:uiPriority w:val="9"/>
    <w:rPr>
      <w:rFonts w:ascii="Calibri" w:hAnsi="Calibri" w:eastAsia="仿宋_GB2312" w:cs="黑体"/>
      <w:bCs/>
      <w:sz w:val="28"/>
      <w:szCs w:val="32"/>
    </w:rPr>
  </w:style>
  <w:style w:type="character" w:customStyle="1" w:styleId="37">
    <w:name w:val="标题 4 Char"/>
    <w:link w:val="7"/>
    <w:semiHidden/>
    <w:uiPriority w:val="9"/>
    <w:rPr>
      <w:rFonts w:ascii="Cambria" w:hAnsi="Cambria" w:eastAsia="宋体" w:cs="Times New Roman"/>
      <w:b/>
      <w:bCs/>
      <w:sz w:val="28"/>
      <w:szCs w:val="28"/>
    </w:rPr>
  </w:style>
  <w:style w:type="character" w:customStyle="1" w:styleId="38">
    <w:name w:val="文档结构图 Char"/>
    <w:link w:val="9"/>
    <w:semiHidden/>
    <w:qFormat/>
    <w:uiPriority w:val="99"/>
    <w:rPr>
      <w:rFonts w:ascii="宋体" w:hAnsi="Calibri" w:eastAsia="宋体" w:cs="黑体"/>
      <w:sz w:val="18"/>
      <w:szCs w:val="18"/>
    </w:rPr>
  </w:style>
  <w:style w:type="character" w:customStyle="1" w:styleId="39">
    <w:name w:val="批注文字 Char"/>
    <w:link w:val="29"/>
    <w:semiHidden/>
    <w:qFormat/>
    <w:uiPriority w:val="99"/>
    <w:rPr>
      <w:rFonts w:ascii="Calibri" w:hAnsi="Calibri" w:eastAsia="仿宋_GB2312" w:cs="黑体"/>
      <w:sz w:val="20"/>
      <w:szCs w:val="20"/>
    </w:rPr>
  </w:style>
  <w:style w:type="character" w:customStyle="1" w:styleId="40">
    <w:name w:val="批注框文本 Char"/>
    <w:link w:val="14"/>
    <w:semiHidden/>
    <w:qFormat/>
    <w:uiPriority w:val="99"/>
    <w:rPr>
      <w:rFonts w:ascii="Calibri" w:hAnsi="Calibri" w:eastAsia="仿宋_GB2312" w:cs="黑体"/>
      <w:sz w:val="18"/>
      <w:szCs w:val="18"/>
    </w:rPr>
  </w:style>
  <w:style w:type="character" w:customStyle="1" w:styleId="41">
    <w:name w:val="页脚 Char"/>
    <w:link w:val="15"/>
    <w:qFormat/>
    <w:uiPriority w:val="99"/>
    <w:rPr>
      <w:rFonts w:ascii="Calibri" w:hAnsi="Calibri" w:eastAsia="仿宋_GB2312" w:cs="黑体"/>
      <w:sz w:val="18"/>
      <w:szCs w:val="18"/>
    </w:rPr>
  </w:style>
  <w:style w:type="character" w:customStyle="1" w:styleId="42">
    <w:name w:val="页眉 Char"/>
    <w:link w:val="16"/>
    <w:qFormat/>
    <w:uiPriority w:val="99"/>
    <w:rPr>
      <w:rFonts w:ascii="Calibri" w:hAnsi="Calibri" w:eastAsia="仿宋_GB2312" w:cs="黑体"/>
      <w:sz w:val="18"/>
      <w:szCs w:val="18"/>
    </w:rPr>
  </w:style>
  <w:style w:type="character" w:customStyle="1" w:styleId="43">
    <w:name w:val="标题 Char"/>
    <w:link w:val="23"/>
    <w:qFormat/>
    <w:uiPriority w:val="10"/>
    <w:rPr>
      <w:rFonts w:ascii="Cambria" w:hAnsi="Cambria"/>
      <w:b/>
      <w:bCs/>
      <w:kern w:val="2"/>
      <w:sz w:val="32"/>
      <w:szCs w:val="32"/>
    </w:rPr>
  </w:style>
  <w:style w:type="character" w:customStyle="1" w:styleId="44">
    <w:name w:val="批注主题 Char"/>
    <w:link w:val="30"/>
    <w:semiHidden/>
    <w:qFormat/>
    <w:uiPriority w:val="99"/>
    <w:rPr>
      <w:rFonts w:ascii="Calibri" w:hAnsi="Calibri" w:eastAsia="仿宋_GB2312" w:cs="黑体"/>
      <w:b/>
      <w:bCs/>
      <w:sz w:val="20"/>
      <w:szCs w:val="20"/>
    </w:rPr>
  </w:style>
  <w:style w:type="character" w:customStyle="1" w:styleId="45">
    <w:name w:val="闻政-正文一级标题 Char"/>
    <w:link w:val="46"/>
    <w:qFormat/>
    <w:uiPriority w:val="3"/>
    <w:rPr>
      <w:rFonts w:ascii="黑体" w:hAnsi="黑体" w:eastAsia="黑体"/>
      <w:bCs/>
      <w:sz w:val="32"/>
      <w:szCs w:val="32"/>
    </w:rPr>
  </w:style>
  <w:style w:type="paragraph" w:customStyle="1" w:styleId="46">
    <w:name w:val="闻政-正文一级标题"/>
    <w:basedOn w:val="6"/>
    <w:next w:val="47"/>
    <w:link w:val="45"/>
    <w:qFormat/>
    <w:uiPriority w:val="3"/>
    <w:pPr>
      <w:spacing w:before="120" w:after="60" w:line="500" w:lineRule="exact"/>
      <w:ind w:firstLine="0" w:firstLineChars="0"/>
      <w:outlineLvl w:val="0"/>
    </w:pPr>
    <w:rPr>
      <w:rFonts w:ascii="黑体" w:hAnsi="黑体" w:eastAsia="黑体"/>
      <w:sz w:val="32"/>
    </w:rPr>
  </w:style>
  <w:style w:type="paragraph" w:customStyle="1" w:styleId="47">
    <w:name w:val="闻政-正文段落文字"/>
    <w:basedOn w:val="1"/>
    <w:link w:val="48"/>
    <w:qFormat/>
    <w:uiPriority w:val="3"/>
    <w:pPr>
      <w:spacing w:line="500" w:lineRule="exact"/>
      <w:ind w:firstLine="200"/>
    </w:pPr>
    <w:rPr>
      <w:rFonts w:ascii="Times New Roman" w:hAnsi="Times New Roman" w:cs="Times New Roman"/>
      <w:kern w:val="0"/>
      <w:szCs w:val="28"/>
    </w:rPr>
  </w:style>
  <w:style w:type="character" w:customStyle="1" w:styleId="48">
    <w:name w:val="闻政-正文段落文字 Char"/>
    <w:link w:val="47"/>
    <w:qFormat/>
    <w:uiPriority w:val="3"/>
    <w:rPr>
      <w:rFonts w:ascii="Times New Roman" w:hAnsi="Times New Roman" w:eastAsia="仿宋_GB2312"/>
      <w:sz w:val="28"/>
      <w:szCs w:val="28"/>
    </w:rPr>
  </w:style>
  <w:style w:type="character" w:customStyle="1" w:styleId="49">
    <w:name w:val="闻政-正文二级标题 Char"/>
    <w:link w:val="50"/>
    <w:qFormat/>
    <w:uiPriority w:val="3"/>
    <w:rPr>
      <w:rFonts w:ascii="Times New Roman" w:hAnsi="Times New Roman" w:eastAsia="仿宋_GB2312"/>
      <w:b/>
      <w:bCs/>
      <w:sz w:val="28"/>
      <w:szCs w:val="32"/>
    </w:rPr>
  </w:style>
  <w:style w:type="paragraph" w:customStyle="1" w:styleId="50">
    <w:name w:val="闻政-正文二级标题"/>
    <w:basedOn w:val="5"/>
    <w:next w:val="47"/>
    <w:link w:val="49"/>
    <w:qFormat/>
    <w:uiPriority w:val="3"/>
    <w:pPr>
      <w:spacing w:before="120" w:after="60" w:line="500" w:lineRule="exact"/>
      <w:ind w:left="200" w:leftChars="200" w:firstLine="0" w:firstLineChars="0"/>
    </w:pPr>
    <w:rPr>
      <w:rFonts w:ascii="Times New Roman" w:hAnsi="Times New Roman"/>
      <w:sz w:val="28"/>
    </w:rPr>
  </w:style>
  <w:style w:type="character" w:customStyle="1" w:styleId="51">
    <w:name w:val="font11"/>
    <w:qFormat/>
    <w:uiPriority w:val="0"/>
    <w:rPr>
      <w:rFonts w:hint="eastAsia" w:ascii="方正仿宋_GBK" w:hAnsi="方正仿宋_GBK" w:eastAsia="方正仿宋_GBK" w:cs="方正仿宋_GBK"/>
      <w:color w:val="000000"/>
      <w:sz w:val="24"/>
      <w:szCs w:val="24"/>
      <w:u w:val="none"/>
    </w:rPr>
  </w:style>
  <w:style w:type="character" w:customStyle="1" w:styleId="52">
    <w:name w:val="52"/>
    <w:qFormat/>
    <w:uiPriority w:val="0"/>
    <w:rPr>
      <w:b/>
      <w:bCs/>
      <w:smallCaps/>
      <w:color w:val="C0504D"/>
      <w:spacing w:val="5"/>
      <w:u w:val="single"/>
    </w:rPr>
  </w:style>
  <w:style w:type="character" w:customStyle="1" w:styleId="53">
    <w:name w:val="闻政-正文三级标题 Char"/>
    <w:link w:val="54"/>
    <w:qFormat/>
    <w:uiPriority w:val="3"/>
    <w:rPr>
      <w:rFonts w:ascii="Times New Roman" w:hAnsi="Times New Roman" w:eastAsia="仿宋_GB2312"/>
      <w:b/>
      <w:snapToGrid w:val="0"/>
      <w:sz w:val="28"/>
      <w:szCs w:val="28"/>
    </w:rPr>
  </w:style>
  <w:style w:type="paragraph" w:customStyle="1" w:styleId="54">
    <w:name w:val="闻政-正文三级标题"/>
    <w:basedOn w:val="1"/>
    <w:next w:val="47"/>
    <w:link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5">
    <w:name w:val="font21"/>
    <w:qFormat/>
    <w:uiPriority w:val="0"/>
    <w:rPr>
      <w:rFonts w:hint="default" w:ascii="Times New Roman" w:hAnsi="Times New Roman" w:cs="Times New Roman"/>
      <w:color w:val="000000"/>
      <w:sz w:val="24"/>
      <w:szCs w:val="24"/>
      <w:u w:val="none"/>
    </w:rPr>
  </w:style>
  <w:style w:type="character" w:customStyle="1" w:styleId="56">
    <w:name w:val="无间隔 Char"/>
    <w:link w:val="57"/>
    <w:qFormat/>
    <w:uiPriority w:val="1"/>
    <w:rPr>
      <w:rFonts w:eastAsia="仿宋_GB2312" w:cs="黑体"/>
      <w:kern w:val="2"/>
      <w:sz w:val="28"/>
      <w:szCs w:val="22"/>
      <w:lang w:val="en-US" w:eastAsia="zh-CN" w:bidi="ar-SA"/>
    </w:rPr>
  </w:style>
  <w:style w:type="paragraph" w:styleId="57">
    <w:name w:val="No Spacing"/>
    <w:link w:val="56"/>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8">
    <w:name w:val="List Paragraph"/>
    <w:basedOn w:val="1"/>
    <w:qFormat/>
    <w:uiPriority w:val="34"/>
    <w:pPr>
      <w:ind w:firstLine="420"/>
    </w:pPr>
  </w:style>
  <w:style w:type="paragraph" w:customStyle="1" w:styleId="59">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60">
    <w:name w:val="font71"/>
    <w:basedOn w:val="26"/>
    <w:qFormat/>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5E091A96D07E452FBECFCF0810987CD3_13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350628-393d-4dae-990a-ab5ef5b458e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10787</Words>
  <Characters>11367</Characters>
  <Lines>44</Lines>
  <Paragraphs>12</Paragraphs>
  <TotalTime>1</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2025-10-10T08:42:36Z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5E091A96D07E452FBECFCF0810987CD3_13</vt:lpwstr>
  </property>
  <property fmtid="{D5CDD505-2E9C-101B-9397-08002B2CF9AE}" pid="4" name="KSOTemplateDocerSaveRecord">
    <vt:lpwstr>eyJoZGlkIjoiZDE5MGZhMTJhZDM2OTQwYzkzYWVjM2FhZDUxN2Q0M2IiLCJ1c2VySWQiOiI2NTE5NDIwMjYifQ_x003D__x003D_</vt:lpwstr>
  </property>
</Properties>
</file>