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7ECAB">
      <w:bookmarkStart w:id="20" w:name="_GoBack"/>
      <w:bookmarkEnd w:id="20"/>
    </w:p>
    <w:p w14:paraId="4A0D136B">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35BD33B8">
      <w:pPr>
        <w:pStyle w:val="11"/>
        <w:rPr>
          <w:rFonts w:hint="default" w:eastAsia="方正仿宋_GBK" w:cs="方正仿宋_GBK"/>
          <w:b/>
          <w:kern w:val="0"/>
          <w:sz w:val="32"/>
          <w:szCs w:val="32"/>
          <w:lang w:val="en-US" w:eastAsia="zh-CN" w:bidi="en-US"/>
        </w:rPr>
      </w:pPr>
    </w:p>
    <w:p w14:paraId="51ED05F7">
      <w:pPr>
        <w:pStyle w:val="11"/>
        <w:rPr>
          <w:rFonts w:hint="default" w:eastAsia="方正仿宋_GBK" w:cs="方正仿宋_GBK"/>
          <w:b/>
          <w:kern w:val="0"/>
          <w:sz w:val="32"/>
          <w:szCs w:val="32"/>
          <w:lang w:val="en-US" w:eastAsia="zh-CN" w:bidi="en-US"/>
        </w:rPr>
      </w:pPr>
    </w:p>
    <w:p w14:paraId="60B62AC8">
      <w:pPr>
        <w:pStyle w:val="11"/>
        <w:rPr>
          <w:rFonts w:hint="default" w:eastAsia="方正仿宋_GBK" w:cs="方正仿宋_GBK"/>
          <w:b/>
          <w:kern w:val="0"/>
          <w:sz w:val="32"/>
          <w:szCs w:val="32"/>
          <w:lang w:val="en-US" w:eastAsia="zh-CN" w:bidi="en-US"/>
        </w:rPr>
      </w:pPr>
    </w:p>
    <w:p w14:paraId="686157A6">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和田地区洛浦县困难群众救助补助资金项目</w:t>
      </w:r>
    </w:p>
    <w:p w14:paraId="56E3E4AB">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支出绩效评价报告</w:t>
      </w:r>
    </w:p>
    <w:p w14:paraId="586981B3">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0E21339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33E21C8E">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3C38152">
      <w:pPr>
        <w:pStyle w:val="6"/>
        <w:rPr>
          <w:rFonts w:hint="eastAsia" w:eastAsia="方正仿宋_GBK" w:cs="方正仿宋_GBK"/>
          <w:b/>
          <w:kern w:val="0"/>
          <w:sz w:val="32"/>
          <w:szCs w:val="32"/>
          <w:lang w:bidi="en-US"/>
        </w:rPr>
      </w:pPr>
    </w:p>
    <w:p w14:paraId="571628D5">
      <w:pPr>
        <w:rPr>
          <w:rFonts w:hint="eastAsia" w:eastAsia="方正仿宋_GBK" w:cs="方正仿宋_GBK"/>
          <w:b/>
          <w:kern w:val="0"/>
          <w:sz w:val="32"/>
          <w:szCs w:val="32"/>
          <w:lang w:bidi="en-US"/>
        </w:rPr>
      </w:pPr>
    </w:p>
    <w:p w14:paraId="2C4442E7">
      <w:pPr>
        <w:pStyle w:val="6"/>
        <w:rPr>
          <w:rFonts w:hint="eastAsia"/>
        </w:rPr>
      </w:pPr>
    </w:p>
    <w:p w14:paraId="57BC2AF0">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52FEF401">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69ECF26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w:t>
      </w:r>
      <w:r>
        <w:rPr>
          <w:rFonts w:hint="eastAsia" w:ascii="宋体" w:hAnsi="宋体" w:eastAsia="宋体" w:cs="宋体"/>
          <w:b/>
          <w:bCs/>
          <w:color w:val="000000"/>
          <w:kern w:val="0"/>
          <w:sz w:val="28"/>
          <w:szCs w:val="28"/>
          <w:highlight w:val="none"/>
          <w:lang w:val="en-US" w:eastAsia="zh-CN" w:bidi="en-US"/>
        </w:rPr>
        <w:t>洛浦县困难群众救助补助资金</w:t>
      </w:r>
      <w:r>
        <w:rPr>
          <w:rFonts w:hint="eastAsia" w:ascii="宋体" w:hAnsi="宋体" w:eastAsia="宋体" w:cs="宋体"/>
          <w:b/>
          <w:bCs/>
          <w:color w:val="000000"/>
          <w:kern w:val="0"/>
          <w:sz w:val="28"/>
          <w:szCs w:val="28"/>
          <w:highlight w:val="none"/>
          <w:lang w:bidi="en-US"/>
        </w:rPr>
        <w:t>项目</w:t>
      </w:r>
    </w:p>
    <w:p w14:paraId="49846C9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洛浦县民政</w:t>
      </w:r>
      <w:r>
        <w:rPr>
          <w:rFonts w:hint="eastAsia" w:ascii="宋体" w:hAnsi="宋体" w:eastAsia="宋体" w:cs="宋体"/>
          <w:b/>
          <w:bCs/>
          <w:color w:val="000000"/>
          <w:kern w:val="0"/>
          <w:sz w:val="28"/>
          <w:szCs w:val="28"/>
          <w:highlight w:val="none"/>
          <w:lang w:bidi="en-US"/>
        </w:rPr>
        <w:t>局</w:t>
      </w:r>
    </w:p>
    <w:p w14:paraId="0A4DACA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洛浦县民政</w:t>
      </w:r>
      <w:r>
        <w:rPr>
          <w:rFonts w:hint="eastAsia" w:ascii="宋体" w:hAnsi="宋体" w:eastAsia="宋体" w:cs="宋体"/>
          <w:b/>
          <w:bCs/>
          <w:color w:val="000000"/>
          <w:kern w:val="0"/>
          <w:sz w:val="28"/>
          <w:szCs w:val="28"/>
          <w:highlight w:val="none"/>
          <w:lang w:bidi="en-US"/>
        </w:rPr>
        <w:t>局（本级）</w:t>
      </w:r>
    </w:p>
    <w:p w14:paraId="6563A9E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努尔曼古丽</w:t>
      </w:r>
    </w:p>
    <w:p w14:paraId="4567092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31</w:t>
      </w:r>
      <w:r>
        <w:rPr>
          <w:rFonts w:hint="eastAsia" w:ascii="宋体" w:hAnsi="宋体" w:eastAsia="宋体" w:cs="宋体"/>
          <w:b/>
          <w:bCs/>
          <w:color w:val="000000"/>
          <w:kern w:val="0"/>
          <w:sz w:val="28"/>
          <w:szCs w:val="28"/>
          <w:highlight w:val="none"/>
          <w:lang w:bidi="en-US"/>
        </w:rPr>
        <w:t>日</w:t>
      </w:r>
    </w:p>
    <w:p w14:paraId="5E6E633A">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55377DD2">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60ACC0DB">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72089A1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b/>
          <w:bCs/>
          <w:color w:val="000000"/>
          <w:sz w:val="24"/>
          <w:szCs w:val="24"/>
          <w:highlight w:val="none"/>
        </w:rPr>
        <w:t>1.项目背景</w:t>
      </w:r>
    </w:p>
    <w:p w14:paraId="5C8CDBC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各种原因陷入生存困境的群体，如低保边缘人口、城乡低保对象、特困人员、临时救助、流浪乞讨（含农村留守儿童、困境儿童、流浪乞讨儿童的应急处置、救助帮扶、监护支持、精神关爱等未成年人社会保护支出）孤儿（艾滋病毒感染儿童生活困难家庭中的和纳入特困人员救助供养范围内的事实无人抚养儿童）基本生活保障支出。</w:t>
      </w:r>
    </w:p>
    <w:p w14:paraId="5167A8C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12D524B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597494A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根据《关于下达地区本级2024年中央财政困难群众救助补助资金预算的通知》（和地财社〔2023〕101号）、（洛财社〔2024〕31号）文件，和地财社〔2023〕102号，和地财社〔2024〕10号，文件用于我县低保边缘人口、城乡低保对象、特困人员、临时救助、街面上无照人员救助、促进社会和谐稳定发展、全面做好兜底保障工作。</w:t>
      </w:r>
    </w:p>
    <w:p w14:paraId="1D2C51C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6E95F52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1376967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本项目主管部门为洛浦县民政局局，实施单位为洛浦县民政局。</w:t>
      </w:r>
    </w:p>
    <w:p w14:paraId="254D04F6">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094ABC6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2024年1月-2024年12月</w:t>
      </w:r>
    </w:p>
    <w:p w14:paraId="174A766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4D7BA54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default" w:ascii="宋体" w:hAnsi="宋体" w:eastAsia="宋体" w:cs="宋体"/>
          <w:color w:val="000000"/>
          <w:sz w:val="24"/>
          <w:szCs w:val="24"/>
          <w:highlight w:val="none"/>
          <w:lang w:val="en-US" w:eastAsia="zh-CN"/>
        </w:rPr>
        <w:t>本</w:t>
      </w:r>
      <w:r>
        <w:rPr>
          <w:rFonts w:hint="eastAsia" w:ascii="宋体" w:hAnsi="宋体" w:eastAsia="宋体" w:cs="宋体"/>
          <w:color w:val="000000"/>
          <w:sz w:val="24"/>
          <w:szCs w:val="24"/>
          <w:highlight w:val="none"/>
          <w:lang w:val="en-US" w:eastAsia="zh-CN"/>
        </w:rPr>
        <w:t>项目</w:t>
      </w:r>
      <w:r>
        <w:rPr>
          <w:rFonts w:hint="default" w:ascii="宋体" w:hAnsi="宋体" w:eastAsia="宋体" w:cs="宋体"/>
          <w:color w:val="000000"/>
          <w:sz w:val="24"/>
          <w:szCs w:val="24"/>
          <w:highlight w:val="none"/>
          <w:lang w:val="en-US" w:eastAsia="zh-CN"/>
        </w:rPr>
        <w:t>于202</w:t>
      </w:r>
      <w:r>
        <w:rPr>
          <w:rFonts w:hint="eastAsia" w:ascii="宋体" w:hAnsi="宋体" w:eastAsia="宋体" w:cs="宋体"/>
          <w:color w:val="000000"/>
          <w:sz w:val="24"/>
          <w:szCs w:val="24"/>
          <w:highlight w:val="none"/>
          <w:lang w:val="en-US" w:eastAsia="zh-CN"/>
        </w:rPr>
        <w:t>4</w:t>
      </w:r>
      <w:r>
        <w:rPr>
          <w:rFonts w:hint="default" w:ascii="宋体" w:hAnsi="宋体" w:eastAsia="宋体" w:cs="宋体"/>
          <w:color w:val="000000"/>
          <w:sz w:val="24"/>
          <w:szCs w:val="24"/>
          <w:highlight w:val="none"/>
          <w:lang w:val="en-US" w:eastAsia="zh-CN"/>
        </w:rPr>
        <w:t>年12月</w:t>
      </w:r>
      <w:r>
        <w:rPr>
          <w:rFonts w:hint="eastAsia" w:ascii="宋体" w:hAnsi="宋体" w:eastAsia="宋体" w:cs="宋体"/>
          <w:color w:val="000000"/>
          <w:sz w:val="24"/>
          <w:szCs w:val="24"/>
          <w:highlight w:val="none"/>
          <w:lang w:val="en-US" w:eastAsia="zh-CN"/>
        </w:rPr>
        <w:t>31</w:t>
      </w:r>
      <w:r>
        <w:rPr>
          <w:rFonts w:hint="default" w:ascii="宋体" w:hAnsi="宋体" w:eastAsia="宋体" w:cs="宋体"/>
          <w:color w:val="000000"/>
          <w:sz w:val="24"/>
          <w:szCs w:val="24"/>
          <w:highlight w:val="none"/>
          <w:lang w:val="en-US" w:eastAsia="zh-CN"/>
        </w:rPr>
        <w:t>日前全部完工。</w:t>
      </w:r>
    </w:p>
    <w:p w14:paraId="576A1C9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根据《关于下达地区本级2024年中央财政困难群众救助补助资金预算的通知》（和地财社〔2023〕101号）、（洛财社〔2024〕31号）文件精神，为洛浦县低保边缘人口、城乡低保对象、特困人员、享受国家定期抚恤补助的优抚对象、孤儿、事实无人抚养儿童、艾滋病毒传染儿童发放生活补助。</w:t>
      </w:r>
    </w:p>
    <w:p w14:paraId="467E621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39281B9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6C4A98C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预算安排总额为20705.19万元，资金来源为部门预算中央直达资金，其中：财政资金20705.19万元，其他资金（含自有资金、社会资金及以前年度结转结余资金）0万元，2024年实际收到预算资金20705.19万元，预算资金到位率为100%。</w:t>
      </w:r>
    </w:p>
    <w:p w14:paraId="3AA4130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79C34B8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本项目实际支付资金20705.19万元，预算执行率100%。本项目资金主要用于支付临时救助费用182.72万元、流浪乞讨人员救助费用0.85万元等。</w:t>
      </w:r>
    </w:p>
    <w:p w14:paraId="57F7E53F">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9"/>
      <w:r>
        <w:rPr>
          <w:rFonts w:hint="eastAsia" w:ascii="宋体" w:hAnsi="宋体" w:eastAsia="宋体" w:cs="宋体"/>
          <w:sz w:val="24"/>
          <w:szCs w:val="24"/>
        </w:rPr>
        <w:t>（二）项目绩效目标</w:t>
      </w:r>
      <w:bookmarkEnd w:id="1"/>
    </w:p>
    <w:p w14:paraId="7907BF4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53559C33">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4F44928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根据《关于下达地区本级2024年中央财政困难群众救助补助资金预算的通知》（和地财社〔2023〕101号）、（洛财社〔2024〕31号）文件精神，为洛浦县低保边缘人口、城乡低保对象、特困人员、享受国家定期抚恤补助的优抚对象、孤儿、事实无人抚养儿童、艾滋病毒传染儿童发放生活补助。</w:t>
      </w:r>
    </w:p>
    <w:p w14:paraId="6B2B73A9">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4EE9EAF1">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2"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CEE3F3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019B31A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6CDEEAF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指标1：补助类别，预期指标值=7个；</w:t>
      </w:r>
    </w:p>
    <w:p w14:paraId="718979D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5571399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指标1：资金发放合规率，预期指标值=100%；</w:t>
      </w:r>
    </w:p>
    <w:p w14:paraId="12BBC03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3）时效指标：</w:t>
      </w:r>
    </w:p>
    <w:p w14:paraId="473CA99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指标1：项目开始时间，预期指标值2024年1月；</w:t>
      </w:r>
    </w:p>
    <w:p w14:paraId="47FC650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指标2：项目完成时间，预期指标值2024年12月31日；</w:t>
      </w:r>
    </w:p>
    <w:p w14:paraId="47F068E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指标3：资金支付及时率，预期指标值=100%；</w:t>
      </w:r>
    </w:p>
    <w:p w14:paraId="1F064F83">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6591B534">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25145B9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指标1：城市最低生活保障成本：预期指标值≤1092万元/年；</w:t>
      </w:r>
    </w:p>
    <w:p w14:paraId="77D31E3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指标2：农村最低生活保障成本：预期指标值≤13568.66万元/年；</w:t>
      </w:r>
    </w:p>
    <w:p w14:paraId="409BEDF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指标3：城市特困供养人员供养标准：预期指标值=1035元/月；</w:t>
      </w:r>
    </w:p>
    <w:p w14:paraId="79A8CCF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指标4：农村特困集中供养人员供养标准：预期指标值≤1035元/月；</w:t>
      </w:r>
    </w:p>
    <w:p w14:paraId="15A1396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指标5：农村特困分散供养人员供养标准：预期指标值≤690元/月；</w:t>
      </w:r>
    </w:p>
    <w:p w14:paraId="4E53458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指标6：街面上生活无招人员救助成本：预期指标值≤6万元/年；</w:t>
      </w:r>
    </w:p>
    <w:p w14:paraId="45FFA55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指标7：临时救助支出成本：预期指标值≤691万元/年；</w:t>
      </w:r>
    </w:p>
    <w:p w14:paraId="353A4E1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3EF089B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6E70E54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083DDAC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1FBF624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6F81CBD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3D06354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136A819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166BA3A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指标1：提升困难群众生活水平，预期指标值为有效提升；</w:t>
      </w:r>
    </w:p>
    <w:p w14:paraId="7B725D8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0192883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2550B96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49DBD39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指标1：享受救助人员满意度，预期指标值≥95%。</w:t>
      </w:r>
    </w:p>
    <w:p w14:paraId="3F607BFE">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2"/>
    </w:p>
    <w:p w14:paraId="1C6CFEF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3" w:name="_Toc68364661"/>
      <w:r>
        <w:rPr>
          <w:rFonts w:hint="eastAsia" w:ascii="宋体" w:hAnsi="宋体" w:eastAsia="宋体" w:cs="宋体"/>
          <w:sz w:val="24"/>
          <w:szCs w:val="24"/>
        </w:rPr>
        <w:t>（一）绩效评价目的、对象和范围</w:t>
      </w:r>
      <w:bookmarkEnd w:id="3"/>
    </w:p>
    <w:p w14:paraId="53B5726A">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13EBDF3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w:t>
      </w:r>
      <w:r>
        <w:rPr>
          <w:rFonts w:hint="eastAsia" w:ascii="宋体" w:hAnsi="宋体" w:eastAsia="宋体" w:cs="宋体"/>
          <w:color w:val="auto"/>
          <w:sz w:val="24"/>
          <w:szCs w:val="24"/>
        </w:rPr>
        <w:t>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定，对洛浦县困难群众救助补助资金项目开展本次部门项目支出绩效评价工作。全面了解</w:t>
      </w:r>
      <w:r>
        <w:rPr>
          <w:rFonts w:hint="eastAsia" w:ascii="宋体" w:hAnsi="宋体" w:eastAsia="宋体" w:cs="宋体"/>
          <w:color w:val="auto"/>
          <w:sz w:val="24"/>
          <w:szCs w:val="24"/>
          <w:lang w:val="en-US" w:eastAsia="zh-CN"/>
        </w:rPr>
        <w:t>洛浦县困难群众救助补助资金</w:t>
      </w:r>
      <w:r>
        <w:rPr>
          <w:rFonts w:hint="eastAsia" w:ascii="宋体" w:hAnsi="宋体" w:eastAsia="宋体" w:cs="宋体"/>
          <w:color w:val="auto"/>
          <w:sz w:val="24"/>
          <w:szCs w:val="24"/>
        </w:rPr>
        <w:t>项目预算编制合理性、资金使用合规性、项目管理的规范性、项目目标的</w:t>
      </w:r>
      <w:r>
        <w:rPr>
          <w:rFonts w:hint="eastAsia" w:ascii="宋体" w:hAnsi="宋体" w:eastAsia="宋体" w:cs="宋体"/>
          <w:sz w:val="24"/>
          <w:szCs w:val="24"/>
        </w:rPr>
        <w:t>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0662085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6F89BF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0461F35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62D394F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5AFC416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洛浦县困难群众救助补助资金项目</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0B6D9CA2">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03F102F4">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本次绩效评</w:t>
      </w:r>
      <w:r>
        <w:rPr>
          <w:rFonts w:hint="eastAsia" w:ascii="宋体" w:hAnsi="宋体" w:eastAsia="宋体" w:cs="宋体"/>
          <w:color w:val="auto"/>
          <w:sz w:val="24"/>
          <w:szCs w:val="24"/>
        </w:rPr>
        <w:t>价主要围绕洛浦县困难群众救助补助资金项目决策、项目</w:t>
      </w:r>
      <w:r>
        <w:rPr>
          <w:rFonts w:hint="eastAsia" w:ascii="宋体" w:hAnsi="宋体" w:eastAsia="宋体" w:cs="宋体"/>
          <w:sz w:val="24"/>
          <w:szCs w:val="24"/>
        </w:rPr>
        <w:t>资金管理、项目实施过程管理，以及项目实施所带来的产出和效果等内容，进行综合评价。范围涵盖项目总体绩效目标、各项绩效指标完成情况以及预算执行情况</w:t>
      </w:r>
      <w:bookmarkStart w:id="4"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68DCBD9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4"/>
    </w:p>
    <w:p w14:paraId="19FCA52D">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3E76E8CF">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F4AD8E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084A0A9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4280B8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0D576220">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6A00776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20C8A533">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7DB6B117">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5946B005">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A00E379">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132D0136">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2E983F7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50620A6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AF55C2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2C50EBE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6D880CB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0F1D88A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4DDD46D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0E2C600B">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1D76D38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23AC339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1F4BCEA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097A83B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76747E7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40F9DA8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740517B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ABE776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5AC6D09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310ADD62">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5" w:name="_Toc68364663"/>
      <w:r>
        <w:rPr>
          <w:rFonts w:hint="eastAsia" w:ascii="宋体" w:hAnsi="宋体" w:eastAsia="宋体" w:cs="宋体"/>
          <w:sz w:val="24"/>
          <w:szCs w:val="24"/>
        </w:rPr>
        <w:t>绩效评价标准通常包括计划标准、行业标准、历史标准等，用于对绩效指标完成情况进行比较、分析、评价。</w:t>
      </w:r>
      <w:r>
        <w:rPr>
          <w:rFonts w:hint="eastAsia" w:ascii="宋体" w:hAnsi="宋体" w:eastAsia="宋体" w:cs="宋体"/>
          <w:color w:val="auto"/>
          <w:sz w:val="24"/>
          <w:szCs w:val="24"/>
        </w:rPr>
        <w:t>本次评价主要采用了计划标准、行业标准。</w:t>
      </w:r>
    </w:p>
    <w:p w14:paraId="66CFAFE1">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6" w:name="_Toc31464"/>
      <w:bookmarkStart w:id="7"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6"/>
      <w:bookmarkEnd w:id="7"/>
    </w:p>
    <w:p w14:paraId="067B70BA">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8" w:name="_Toc2318"/>
      <w:bookmarkStart w:id="9" w:name="_Toc5633"/>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8"/>
      <w:bookmarkEnd w:id="9"/>
    </w:p>
    <w:p w14:paraId="04506132">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10" w:name="_Toc430"/>
      <w:bookmarkStart w:id="11" w:name="_Toc16028"/>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0"/>
      <w:bookmarkEnd w:id="11"/>
    </w:p>
    <w:p w14:paraId="20BECCCB">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5"/>
    </w:p>
    <w:p w14:paraId="48AA806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2" w:name="_Toc68364664"/>
      <w:r>
        <w:rPr>
          <w:rFonts w:hint="eastAsia" w:ascii="宋体" w:hAnsi="宋体" w:eastAsia="宋体" w:cs="宋体"/>
          <w:b/>
          <w:bCs/>
          <w:color w:val="000000"/>
          <w:sz w:val="24"/>
          <w:szCs w:val="24"/>
          <w:highlight w:val="none"/>
        </w:rPr>
        <w:t>1.前期准备</w:t>
      </w:r>
    </w:p>
    <w:p w14:paraId="1D59923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103FA79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张军</w:t>
      </w:r>
      <w:r>
        <w:rPr>
          <w:rFonts w:hint="eastAsia" w:ascii="宋体" w:hAnsi="宋体" w:eastAsia="宋体" w:cs="宋体"/>
          <w:color w:val="auto"/>
          <w:sz w:val="24"/>
          <w:szCs w:val="24"/>
        </w:rPr>
        <w:t>（评价小组组长）：主要负责</w:t>
      </w:r>
      <w:r>
        <w:rPr>
          <w:rFonts w:hint="eastAsia" w:ascii="宋体" w:hAnsi="宋体" w:eastAsia="宋体" w:cs="宋体"/>
          <w:color w:val="auto"/>
          <w:sz w:val="24"/>
          <w:szCs w:val="24"/>
          <w:lang w:eastAsia="zh-CN"/>
        </w:rPr>
        <w:t>全面负责绩效评价工作，协调与其他部门的关系，审核评价报告和结果</w:t>
      </w:r>
      <w:r>
        <w:rPr>
          <w:rFonts w:hint="eastAsia" w:ascii="宋体" w:hAnsi="宋体" w:eastAsia="宋体" w:cs="宋体"/>
          <w:color w:val="auto"/>
          <w:sz w:val="24"/>
          <w:szCs w:val="24"/>
        </w:rPr>
        <w:t>;</w:t>
      </w:r>
    </w:p>
    <w:p w14:paraId="3D21D07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胡显兰</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eastAsia="zh-CN"/>
        </w:rPr>
        <w:t>研究相关政策法规和单位实际情况，设计科学合理的绩效评价指标体系和评价方法</w:t>
      </w:r>
      <w:r>
        <w:rPr>
          <w:rFonts w:hint="eastAsia" w:ascii="宋体" w:hAnsi="宋体" w:eastAsia="宋体" w:cs="宋体"/>
          <w:color w:val="auto"/>
          <w:sz w:val="24"/>
          <w:szCs w:val="24"/>
        </w:rPr>
        <w:t>;</w:t>
      </w:r>
    </w:p>
    <w:p w14:paraId="268C84D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阿迪莱</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eastAsia="zh-CN"/>
        </w:rPr>
        <w:t>写评价报告的主题内容，包括评价结果、存在的问题及原因分析</w:t>
      </w:r>
      <w:r>
        <w:rPr>
          <w:rFonts w:hint="eastAsia" w:ascii="宋体" w:hAnsi="宋体" w:eastAsia="宋体" w:cs="宋体"/>
          <w:color w:val="auto"/>
          <w:sz w:val="24"/>
          <w:szCs w:val="24"/>
        </w:rPr>
        <w:t>。</w:t>
      </w:r>
    </w:p>
    <w:p w14:paraId="606F902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2E35B64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1F40717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4792FAC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595CE76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598DC0A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2650033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0A9AA12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6E3F3B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2A2F1A7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1743B7BE">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2"/>
    </w:p>
    <w:p w14:paraId="5EC4087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5"/>
      <w:r>
        <w:rPr>
          <w:rFonts w:hint="eastAsia" w:ascii="宋体" w:hAnsi="宋体" w:eastAsia="宋体" w:cs="宋体"/>
          <w:sz w:val="24"/>
          <w:szCs w:val="24"/>
        </w:rPr>
        <w:t>（一）综合评价情况</w:t>
      </w:r>
      <w:bookmarkEnd w:id="13"/>
    </w:p>
    <w:p w14:paraId="267DEE1E">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rPr>
      </w:pPr>
      <w:bookmarkStart w:id="14" w:name="_Toc68364666"/>
      <w:r>
        <w:rPr>
          <w:rFonts w:hint="eastAsia" w:ascii="宋体" w:hAnsi="宋体" w:eastAsia="宋体" w:cs="宋体"/>
          <w:color w:val="auto"/>
          <w:sz w:val="24"/>
          <w:szCs w:val="24"/>
        </w:rPr>
        <w:t>通过实施洛浦县困难群众救助补助资金项目产生提升困难群众生活水平效益。</w:t>
      </w:r>
      <w:r>
        <w:rPr>
          <w:rFonts w:hint="eastAsia" w:ascii="宋体" w:hAnsi="宋体" w:eastAsia="宋体" w:cs="宋体"/>
          <w:sz w:val="24"/>
          <w:szCs w:val="24"/>
        </w:rPr>
        <w:t>项目实施主要通过项目决策、项目过程、项目产出以及项目效益等方面进行评价，其中：</w:t>
      </w:r>
    </w:p>
    <w:p w14:paraId="4693DAD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lang w:eastAsia="zh-CN"/>
        </w:rPr>
      </w:pPr>
      <w:r>
        <w:rPr>
          <w:rFonts w:hint="eastAsia" w:ascii="宋体" w:hAnsi="宋体" w:eastAsia="宋体" w:cs="宋体"/>
          <w:sz w:val="24"/>
          <w:szCs w:val="24"/>
        </w:rPr>
        <w:t>项目决策：该项目主要通过根据《关于下达地区本级2024年中央财政困难群众救助补助资金预算的通知》（和地财社〔2023〕101号）、（洛财社〔2024〕31号）文件立项，项目实施符合要求，项目立项依据充分，立项程序规范。</w:t>
      </w:r>
    </w:p>
    <w:p w14:paraId="1FCE1391">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项目过程：洛浦县困难群众救助补助资金项目预算安排20705.19万元，实际支出20705.19万元，预算执行率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w:t>
      </w:r>
      <w:r>
        <w:rPr>
          <w:rFonts w:hint="eastAsia" w:ascii="宋体" w:hAnsi="宋体" w:eastAsia="宋体" w:cs="宋体"/>
          <w:sz w:val="24"/>
          <w:szCs w:val="24"/>
        </w:rPr>
        <w:t>金使用合规，项目财务管理制度健全，财务监控到位，所有资金支付均按照国库集中支付制度严格执行，现有项目管理制度执行情况良好。</w:t>
      </w:r>
    </w:p>
    <w:p w14:paraId="4B265AC8">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w:t>
      </w:r>
      <w:r>
        <w:rPr>
          <w:rFonts w:hint="eastAsia" w:ascii="宋体" w:hAnsi="宋体" w:eastAsia="宋体" w:cs="宋体"/>
          <w:color w:val="auto"/>
          <w:sz w:val="24"/>
          <w:szCs w:val="24"/>
          <w:lang w:eastAsia="zh-CN"/>
        </w:rPr>
        <w:t>通过项目实施完成了</w:t>
      </w:r>
      <w:r>
        <w:rPr>
          <w:rFonts w:hint="eastAsia" w:ascii="宋体" w:hAnsi="宋体" w:eastAsia="宋体" w:cs="宋体"/>
          <w:color w:val="auto"/>
          <w:sz w:val="24"/>
          <w:szCs w:val="24"/>
          <w:lang w:val="en-US" w:eastAsia="zh-CN"/>
        </w:rPr>
        <w:t>7种救助补助资金发放，我单位全面落实困难群众救助补助政策，保障了民生资金及时足额落实到位，体现出政策执行的高质，精准识别保障对象，通过严格的资金管理制度和监督机制，确保困难群众救助补助资金转款专用，安全运行，没出现资金被挪用，截流等问题，保障了资金使用的规范性和安全性。</w:t>
      </w:r>
    </w:p>
    <w:p w14:paraId="6D372DCC">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项目效益：通过实施此项目</w:t>
      </w:r>
      <w:r>
        <w:rPr>
          <w:rFonts w:hint="eastAsia" w:ascii="宋体" w:hAnsi="宋体" w:eastAsia="宋体" w:cs="宋体"/>
          <w:color w:val="auto"/>
          <w:sz w:val="24"/>
          <w:szCs w:val="24"/>
          <w:lang w:eastAsia="zh-CN"/>
        </w:rPr>
        <w:t>推动了社会公平的实现，缩小了贫富差距，为社会和谐稳定奠定基础</w:t>
      </w:r>
      <w:r>
        <w:rPr>
          <w:rFonts w:hint="eastAsia" w:ascii="宋体" w:hAnsi="宋体" w:eastAsia="宋体" w:cs="宋体"/>
          <w:color w:val="auto"/>
          <w:sz w:val="24"/>
          <w:szCs w:val="24"/>
          <w:lang w:val="en-US" w:eastAsia="zh-CN"/>
        </w:rPr>
        <w:t>。</w:t>
      </w:r>
    </w:p>
    <w:p w14:paraId="5FEFD9CF">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2C5F766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w:t>
      </w:r>
      <w:r>
        <w:rPr>
          <w:rFonts w:hint="eastAsia" w:ascii="宋体" w:hAnsi="宋体" w:eastAsia="宋体" w:cs="宋体"/>
          <w:color w:val="auto"/>
          <w:sz w:val="24"/>
          <w:szCs w:val="24"/>
        </w:rPr>
        <w:t>分以下为“差”。经对洛浦县困难群众救助补助资金项目进行客观评价，最终评分结果：评价总分</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分，绩效等级为“</w:t>
      </w:r>
      <w:r>
        <w:rPr>
          <w:rFonts w:hint="eastAsia" w:ascii="宋体" w:hAnsi="宋体" w:eastAsia="宋体" w:cs="宋体"/>
          <w:color w:val="333333"/>
          <w:sz w:val="24"/>
          <w:szCs w:val="24"/>
          <w:lang w:eastAsia="zh-CN"/>
        </w:rPr>
        <w:t>优</w:t>
      </w:r>
      <w:r>
        <w:rPr>
          <w:rFonts w:hint="eastAsia" w:ascii="宋体" w:hAnsi="宋体" w:eastAsia="宋体" w:cs="宋体"/>
          <w:color w:val="333333"/>
          <w:sz w:val="24"/>
          <w:szCs w:val="24"/>
        </w:rPr>
        <w:t>”。</w:t>
      </w:r>
      <w:bookmarkEnd w:id="14"/>
      <w:bookmarkStart w:id="15" w:name="_Toc68364667"/>
    </w:p>
    <w:p w14:paraId="4CA8CAF8">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5"/>
    </w:p>
    <w:p w14:paraId="2A15568A">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6" w:name="_Toc68364668"/>
      <w:r>
        <w:rPr>
          <w:rFonts w:hint="eastAsia" w:ascii="宋体" w:hAnsi="宋体" w:eastAsia="宋体" w:cs="宋体"/>
          <w:sz w:val="24"/>
          <w:szCs w:val="24"/>
        </w:rPr>
        <w:t>（一）项目决策情况</w:t>
      </w:r>
    </w:p>
    <w:p w14:paraId="2A1A4518">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sz w:val="24"/>
          <w:szCs w:val="24"/>
        </w:rPr>
        <w:t>项目决策类指标包括项目立项、绩效目标和资金投入三方面的内容，由6个三级指标构</w:t>
      </w:r>
      <w:r>
        <w:rPr>
          <w:rFonts w:hint="eastAsia" w:ascii="宋体" w:hAnsi="宋体" w:eastAsia="宋体" w:cs="宋体"/>
          <w:color w:val="auto"/>
          <w:sz w:val="24"/>
          <w:szCs w:val="24"/>
        </w:rPr>
        <w:t>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0153115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2D878616">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eastAsia="zh-CN"/>
        </w:rPr>
        <w:t>中央</w:t>
      </w:r>
      <w:r>
        <w:rPr>
          <w:rFonts w:hint="eastAsia" w:ascii="宋体" w:hAnsi="宋体" w:eastAsia="宋体" w:cs="宋体"/>
          <w:color w:val="auto"/>
          <w:sz w:val="24"/>
          <w:szCs w:val="24"/>
        </w:rPr>
        <w:t>颁发的根据《关于下达地区本级2024年中央财政困难群众救助补助资金预算的通知》（和地财社〔2023〕101号）、（洛财社〔2024〕31号）文件，和地财社〔2023〕102号，符合行业发展规划和政策要求；本项目立项符合《</w:t>
      </w:r>
      <w:r>
        <w:rPr>
          <w:rFonts w:hint="eastAsia" w:ascii="宋体" w:hAnsi="宋体" w:eastAsia="宋体" w:cs="宋体"/>
          <w:color w:val="auto"/>
          <w:sz w:val="24"/>
          <w:szCs w:val="24"/>
          <w:lang w:eastAsia="zh-CN"/>
        </w:rPr>
        <w:t>洛浦县民政局</w:t>
      </w:r>
      <w:r>
        <w:rPr>
          <w:rFonts w:hint="eastAsia" w:ascii="宋体" w:hAnsi="宋体" w:eastAsia="宋体" w:cs="宋体"/>
          <w:color w:val="auto"/>
          <w:sz w:val="24"/>
          <w:szCs w:val="24"/>
        </w:rPr>
        <w:t>单位配置内设机构和人员编制规定》中职责范围中的“</w:t>
      </w:r>
      <w:r>
        <w:rPr>
          <w:rFonts w:hint="eastAsia" w:ascii="宋体" w:hAnsi="宋体" w:eastAsia="宋体" w:cs="宋体"/>
          <w:color w:val="auto"/>
          <w:sz w:val="24"/>
          <w:szCs w:val="24"/>
          <w:lang w:eastAsia="zh-CN"/>
        </w:rPr>
        <w:t>拟订洛浦县社会救助政策、标准，统筹社会救助体系建设，负责城乡居民最低生活保障、特困人员救助供养、临时救助、生活无照流浪乞讨人员救助工作</w:t>
      </w:r>
      <w:r>
        <w:rPr>
          <w:rFonts w:hint="eastAsia" w:ascii="宋体" w:hAnsi="宋体" w:eastAsia="宋体" w:cs="宋体"/>
          <w:color w:val="auto"/>
          <w:sz w:val="24"/>
          <w:szCs w:val="24"/>
        </w:rPr>
        <w:t>”，属于我单位履职所需；根据《财政资金直接支付申请书》，本项目资金性质为“公共财政预算”功能分类为“[2082102]农村特困人员救助供养支出</w:t>
      </w:r>
      <w:r>
        <w:rPr>
          <w:rFonts w:hint="eastAsia" w:ascii="宋体" w:hAnsi="宋体" w:eastAsia="宋体" w:cs="宋体"/>
          <w:color w:val="auto"/>
          <w:sz w:val="24"/>
          <w:szCs w:val="24"/>
          <w:lang w:eastAsia="zh-CN"/>
        </w:rPr>
        <w:t>、[2082002]流浪乞讨人员救助支出、[2082002]流浪乞讨人员救助支出、[2081901]城市最低生活保障金支出、[2081902]农村最低生活保障金支出</w:t>
      </w:r>
      <w:r>
        <w:rPr>
          <w:rFonts w:hint="eastAsia" w:ascii="宋体" w:hAnsi="宋体" w:eastAsia="宋体" w:cs="宋体"/>
          <w:color w:val="auto"/>
          <w:sz w:val="24"/>
          <w:szCs w:val="24"/>
        </w:rPr>
        <w:t>”经济分类为“[30306]救济费</w:t>
      </w:r>
      <w:r>
        <w:rPr>
          <w:rFonts w:hint="eastAsia" w:ascii="宋体" w:hAnsi="宋体" w:eastAsia="宋体" w:cs="宋体"/>
          <w:color w:val="auto"/>
          <w:sz w:val="24"/>
          <w:szCs w:val="24"/>
          <w:lang w:eastAsia="zh-CN"/>
        </w:rPr>
        <w:t>、[30299]其他商品和服务支出</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w:t>
      </w:r>
      <w:r>
        <w:rPr>
          <w:rFonts w:hint="eastAsia" w:ascii="宋体" w:hAnsi="宋体" w:eastAsia="宋体" w:cs="宋体"/>
          <w:color w:val="000000"/>
          <w:sz w:val="24"/>
          <w:szCs w:val="24"/>
          <w:highlight w:val="none"/>
        </w:rPr>
        <w:t>不存在重复。</w:t>
      </w:r>
    </w:p>
    <w:p w14:paraId="26213D57">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sz w:val="24"/>
          <w:szCs w:val="24"/>
          <w:highlight w:val="none"/>
        </w:rPr>
        <w:t>综上所述，</w:t>
      </w:r>
      <w:r>
        <w:rPr>
          <w:rFonts w:hint="eastAsia" w:ascii="宋体" w:hAnsi="宋体" w:eastAsia="宋体" w:cs="宋体"/>
          <w:color w:val="000000"/>
          <w:sz w:val="24"/>
          <w:szCs w:val="24"/>
          <w:highlight w:val="none"/>
        </w:rPr>
        <w:t>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w:t>
      </w:r>
      <w:r>
        <w:rPr>
          <w:rFonts w:hint="eastAsia" w:ascii="宋体" w:hAnsi="宋体" w:eastAsia="宋体" w:cs="宋体"/>
          <w:color w:val="auto"/>
          <w:sz w:val="24"/>
          <w:szCs w:val="24"/>
          <w:highlight w:val="none"/>
        </w:rPr>
        <w:t>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6D82B5B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3F771F6A">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本项目按照规定的程序申请设立，项目立项过程中产生的文件均符合相关要求。</w:t>
      </w:r>
      <w:r>
        <w:rPr>
          <w:rFonts w:hint="eastAsia" w:ascii="宋体" w:hAnsi="宋体" w:eastAsia="宋体" w:cs="宋体"/>
          <w:color w:val="auto"/>
          <w:sz w:val="24"/>
          <w:szCs w:val="24"/>
          <w:highlight w:val="none"/>
        </w:rPr>
        <w:t>本项目为</w:t>
      </w:r>
      <w:r>
        <w:rPr>
          <w:rFonts w:hint="eastAsia" w:ascii="宋体" w:hAnsi="宋体" w:eastAsia="宋体" w:cs="宋体"/>
          <w:color w:val="auto"/>
          <w:sz w:val="24"/>
          <w:szCs w:val="24"/>
          <w:highlight w:val="none"/>
          <w:lang w:eastAsia="zh-CN"/>
        </w:rPr>
        <w:t>特定类</w:t>
      </w:r>
      <w:r>
        <w:rPr>
          <w:rFonts w:hint="eastAsia" w:ascii="宋体" w:hAnsi="宋体" w:eastAsia="宋体" w:cs="宋体"/>
          <w:color w:val="auto"/>
          <w:sz w:val="24"/>
          <w:szCs w:val="24"/>
          <w:highlight w:val="none"/>
        </w:rPr>
        <w:t>类项目，属于经常性项目，项目预算金额为20705.19万元，不涉及事前绩效评估和风险评估。</w:t>
      </w:r>
    </w:p>
    <w:p w14:paraId="5B1869B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781DE32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3.绩效目标合理性</w:t>
      </w:r>
    </w:p>
    <w:p w14:paraId="3CD63D36">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sz w:val="24"/>
          <w:szCs w:val="24"/>
        </w:rPr>
      </w:pPr>
    </w:p>
    <w:p w14:paraId="35AC2062">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根据《关于下达地区本级2024年中央财政困难群众救助补助资金预算的通知》（和地财社〔2023〕101号）、（洛财社〔2024〕31号）文件，和地财社〔2023〕102号，和地财社〔2024〕10号，文件用于我县低保边缘人口、城乡低保对象、特困人员、临时救助、街面上无照人员救助、促进社会和谐稳定发展、全面做好兜底保障工作</w:t>
      </w:r>
      <w:r>
        <w:rPr>
          <w:rFonts w:hint="eastAsia" w:ascii="宋体" w:hAnsi="宋体" w:eastAsia="宋体" w:cs="宋体"/>
          <w:color w:val="000000"/>
          <w:sz w:val="24"/>
          <w:szCs w:val="24"/>
          <w:highlight w:val="none"/>
        </w:rPr>
        <w:t>。</w:t>
      </w:r>
    </w:p>
    <w:p w14:paraId="2235483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772DA6A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4417CD2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经检查我单位年初设置的《洛浦县困难群众救助补助资金项目支出绩效目标表》，得出如下结论：本项目已将年度绩效目标进行细化为绩效指标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14</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13</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92.86</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0F83352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该《洛浦县困难群众救助补助资金项目绩效目标申报表》中，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“补助类别”</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项目完成时间，资金支付及时率，项目开始时间</w:t>
      </w:r>
      <w:r>
        <w:rPr>
          <w:rFonts w:hint="eastAsia" w:ascii="宋体" w:hAnsi="宋体" w:eastAsia="宋体" w:cs="宋体"/>
          <w:color w:val="000000"/>
          <w:sz w:val="24"/>
          <w:szCs w:val="24"/>
          <w:highlight w:val="none"/>
        </w:rPr>
        <w:t>”。已设置的绩效目标具备明确性、可衡量性、可实现性、相关性、时限性。</w:t>
      </w:r>
    </w:p>
    <w:p w14:paraId="0564575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2AB5809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586BEBB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该项目资金</w:t>
      </w:r>
      <w:r>
        <w:rPr>
          <w:rFonts w:hint="eastAsia" w:ascii="宋体" w:hAnsi="宋体" w:eastAsia="宋体" w:cs="宋体"/>
          <w:color w:val="000000"/>
          <w:sz w:val="24"/>
          <w:szCs w:val="24"/>
          <w:highlight w:val="none"/>
        </w:rPr>
        <w:t>用于我县低保边缘人口、城乡低保对象、特困人员、临时救助、街面上无照人员救助、促进社会和谐稳定发展、全面做好兜底保障工作</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预算申请与《洛浦县困难群众救助补助资金项目实施方案》中涉及的项目内容匹配；</w:t>
      </w:r>
    </w:p>
    <w:p w14:paraId="6457E8E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本项目预算申请资金20705.19万元，我单位在预算申请中严格按照项目实施内容及测算标准进行核算，其中：临时救助支出费用</w:t>
      </w:r>
      <w:r>
        <w:rPr>
          <w:rFonts w:hint="eastAsia" w:ascii="宋体" w:hAnsi="宋体" w:eastAsia="宋体" w:cs="宋体"/>
          <w:color w:val="000000"/>
          <w:sz w:val="24"/>
          <w:szCs w:val="24"/>
          <w:highlight w:val="none"/>
          <w:lang w:val="en-US" w:eastAsia="zh-CN"/>
        </w:rPr>
        <w:t>182.72</w:t>
      </w:r>
      <w:r>
        <w:rPr>
          <w:rFonts w:hint="eastAsia" w:ascii="宋体" w:hAnsi="宋体" w:eastAsia="宋体" w:cs="宋体"/>
          <w:color w:val="000000"/>
          <w:sz w:val="24"/>
          <w:szCs w:val="24"/>
          <w:highlight w:val="none"/>
        </w:rPr>
        <w:t>万元、街面上生活无招人员救助成本费用</w:t>
      </w:r>
      <w:r>
        <w:rPr>
          <w:rFonts w:hint="eastAsia" w:ascii="宋体" w:hAnsi="宋体" w:eastAsia="宋体" w:cs="宋体"/>
          <w:color w:val="000000"/>
          <w:sz w:val="24"/>
          <w:szCs w:val="24"/>
          <w:highlight w:val="none"/>
          <w:lang w:val="en-US" w:eastAsia="zh-CN"/>
        </w:rPr>
        <w:t>0.82</w:t>
      </w:r>
      <w:r>
        <w:rPr>
          <w:rFonts w:hint="eastAsia" w:ascii="宋体" w:hAnsi="宋体" w:eastAsia="宋体" w:cs="宋体"/>
          <w:color w:val="000000"/>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4B3BA38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116645E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10A5DDF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洛浦县困难群众救助补助资金项目资金的请示》和《洛浦县困难群众救助补助资金项目实施方案》为依据进行资金分配，预算资金分配依据充分。根据根据《关于下达地区本级2024年中央财政困难群众救助补助资金预算的通知》（和地财社〔2023〕101号）、（洛财社〔2024〕31号）文件，和地财社〔2023〕102号，本项目实际到位资金</w:t>
      </w:r>
      <w:r>
        <w:rPr>
          <w:rFonts w:hint="eastAsia" w:ascii="宋体" w:hAnsi="宋体" w:eastAsia="宋体" w:cs="宋体"/>
          <w:color w:val="000000"/>
          <w:sz w:val="24"/>
          <w:szCs w:val="24"/>
          <w:highlight w:val="none"/>
          <w:lang w:val="en-US" w:eastAsia="zh-CN"/>
        </w:rPr>
        <w:t>20705.19</w:t>
      </w:r>
      <w:r>
        <w:rPr>
          <w:rFonts w:hint="eastAsia" w:ascii="宋体" w:hAnsi="宋体" w:eastAsia="宋体" w:cs="宋体"/>
          <w:color w:val="000000"/>
          <w:sz w:val="24"/>
          <w:szCs w:val="24"/>
          <w:highlight w:val="none"/>
        </w:rPr>
        <w:t>万元，资金分配额度合理，与我单位实际需求相适应。资金分配与实际相适</w:t>
      </w:r>
      <w:r>
        <w:rPr>
          <w:rFonts w:hint="eastAsia" w:ascii="宋体" w:hAnsi="宋体" w:eastAsia="宋体" w:cs="宋体"/>
          <w:color w:val="000000"/>
          <w:sz w:val="24"/>
          <w:szCs w:val="24"/>
          <w:highlight w:val="none"/>
          <w:lang w:eastAsia="zh-CN"/>
        </w:rPr>
        <w:t>。</w:t>
      </w:r>
    </w:p>
    <w:p w14:paraId="4714C43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5AFC84C4">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51CA005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项目过程类指标包括资金管理和组织实施两方面的内容，由5个三级指标构成，权重分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9CCEB4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5E875B6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本项目预算资金为</w:t>
      </w:r>
      <w:r>
        <w:rPr>
          <w:rFonts w:hint="eastAsia" w:ascii="宋体" w:hAnsi="宋体" w:eastAsia="宋体" w:cs="宋体"/>
          <w:sz w:val="24"/>
          <w:szCs w:val="24"/>
          <w:highlight w:val="none"/>
          <w:lang w:val="en-US" w:eastAsia="zh-CN"/>
        </w:rPr>
        <w:t>20705.19</w:t>
      </w:r>
      <w:r>
        <w:rPr>
          <w:rFonts w:hint="eastAsia" w:ascii="宋体" w:hAnsi="宋体" w:eastAsia="宋体" w:cs="宋体"/>
          <w:sz w:val="24"/>
          <w:szCs w:val="24"/>
          <w:highlight w:val="none"/>
        </w:rPr>
        <w:t>万元，其中：财政安排资金</w:t>
      </w:r>
      <w:r>
        <w:rPr>
          <w:rFonts w:hint="eastAsia" w:ascii="宋体" w:hAnsi="宋体" w:eastAsia="宋体" w:cs="宋体"/>
          <w:sz w:val="24"/>
          <w:szCs w:val="24"/>
          <w:highlight w:val="none"/>
          <w:lang w:val="en-US" w:eastAsia="zh-CN"/>
        </w:rPr>
        <w:t>20705.19</w:t>
      </w:r>
      <w:r>
        <w:rPr>
          <w:rFonts w:hint="eastAsia" w:ascii="宋体" w:hAnsi="宋体" w:eastAsia="宋体" w:cs="宋体"/>
          <w:sz w:val="24"/>
          <w:szCs w:val="24"/>
          <w:highlight w:val="none"/>
        </w:rPr>
        <w:t>万元，其他资金</w:t>
      </w:r>
      <w:r>
        <w:rPr>
          <w:rFonts w:hint="eastAsia" w:ascii="宋体" w:hAnsi="宋体" w:eastAsia="宋体" w:cs="宋体"/>
          <w:sz w:val="24"/>
          <w:szCs w:val="24"/>
          <w:highlight w:val="none"/>
          <w:lang w:val="en-US" w:eastAsia="zh-CN"/>
        </w:rPr>
        <w:t>0.00</w:t>
      </w:r>
      <w:r>
        <w:rPr>
          <w:rFonts w:hint="eastAsia" w:ascii="宋体" w:hAnsi="宋体" w:eastAsia="宋体" w:cs="宋体"/>
          <w:sz w:val="24"/>
          <w:szCs w:val="24"/>
          <w:highlight w:val="none"/>
        </w:rPr>
        <w:t>万元，实际到位资金</w:t>
      </w:r>
      <w:r>
        <w:rPr>
          <w:rFonts w:hint="eastAsia" w:ascii="宋体" w:hAnsi="宋体" w:eastAsia="宋体" w:cs="宋体"/>
          <w:sz w:val="24"/>
          <w:szCs w:val="24"/>
          <w:highlight w:val="none"/>
          <w:lang w:val="en-US" w:eastAsia="zh-CN"/>
        </w:rPr>
        <w:t>20705.19</w:t>
      </w:r>
      <w:r>
        <w:rPr>
          <w:rFonts w:hint="eastAsia" w:ascii="宋体" w:hAnsi="宋体" w:eastAsia="宋体" w:cs="宋体"/>
          <w:sz w:val="24"/>
          <w:szCs w:val="24"/>
          <w:highlight w:val="none"/>
        </w:rPr>
        <w:t>万元，资金到位率</w:t>
      </w:r>
      <w:r>
        <w:rPr>
          <w:rFonts w:hint="eastAsia" w:ascii="宋体" w:hAnsi="宋体" w:eastAsia="宋体" w:cs="宋体"/>
          <w:sz w:val="24"/>
          <w:szCs w:val="24"/>
          <w:highlight w:val="none"/>
          <w:lang w:val="en-US" w:eastAsia="zh-CN"/>
        </w:rPr>
        <w:t>100%；通过分析可知，该项目</w:t>
      </w:r>
      <w:r>
        <w:rPr>
          <w:rFonts w:hint="eastAsia" w:ascii="宋体" w:hAnsi="宋体" w:eastAsia="宋体" w:cs="宋体"/>
          <w:sz w:val="24"/>
          <w:szCs w:val="24"/>
          <w:highlight w:val="none"/>
        </w:rPr>
        <w:t>财政资金足额拨付到位，能够及时足额</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给</w:t>
      </w:r>
      <w:r>
        <w:rPr>
          <w:rFonts w:hint="eastAsia" w:ascii="宋体" w:hAnsi="宋体" w:eastAsia="宋体" w:cs="宋体"/>
          <w:sz w:val="24"/>
          <w:szCs w:val="24"/>
          <w:highlight w:val="none"/>
          <w:lang w:val="en-US" w:eastAsia="zh-CN"/>
        </w:rPr>
        <w:t>实施</w:t>
      </w:r>
      <w:r>
        <w:rPr>
          <w:rFonts w:hint="eastAsia" w:ascii="宋体" w:hAnsi="宋体" w:eastAsia="宋体" w:cs="宋体"/>
          <w:sz w:val="24"/>
          <w:szCs w:val="24"/>
          <w:highlight w:val="none"/>
        </w:rPr>
        <w:t>单位</w:t>
      </w:r>
      <w:r>
        <w:rPr>
          <w:rFonts w:hint="eastAsia" w:ascii="宋体" w:hAnsi="宋体" w:eastAsia="宋体" w:cs="宋体"/>
          <w:sz w:val="24"/>
          <w:szCs w:val="24"/>
          <w:highlight w:val="none"/>
          <w:lang w:eastAsia="zh-CN"/>
        </w:rPr>
        <w:t>。</w:t>
      </w:r>
    </w:p>
    <w:p w14:paraId="14304EB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w:t>
      </w:r>
    </w:p>
    <w:p w14:paraId="1F5CE94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48523CA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本项目实际支出资金</w:t>
      </w:r>
      <w:r>
        <w:rPr>
          <w:rFonts w:hint="eastAsia" w:ascii="宋体" w:hAnsi="宋体" w:eastAsia="宋体" w:cs="宋体"/>
          <w:sz w:val="24"/>
          <w:szCs w:val="24"/>
          <w:highlight w:val="none"/>
          <w:lang w:val="en-US" w:eastAsia="zh-CN"/>
        </w:rPr>
        <w:t>20705.19</w:t>
      </w:r>
      <w:r>
        <w:rPr>
          <w:rFonts w:hint="eastAsia" w:ascii="宋体" w:hAnsi="宋体" w:eastAsia="宋体" w:cs="宋体"/>
          <w:sz w:val="24"/>
          <w:szCs w:val="24"/>
          <w:highlight w:val="none"/>
        </w:rPr>
        <w:t>万元，预算执行率=（实际支出资金/实际到位资金）×100.0%=</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通过分析可知，该项目</w:t>
      </w:r>
      <w:r>
        <w:rPr>
          <w:rFonts w:hint="eastAsia" w:ascii="宋体" w:hAnsi="宋体" w:eastAsia="宋体" w:cs="宋体"/>
          <w:sz w:val="24"/>
          <w:szCs w:val="24"/>
          <w:highlight w:val="none"/>
        </w:rPr>
        <w:t>预算编制较为详细，项目资金支出总体能够按照预算执行</w:t>
      </w:r>
      <w:r>
        <w:rPr>
          <w:rFonts w:hint="eastAsia" w:ascii="宋体" w:hAnsi="宋体" w:eastAsia="宋体" w:cs="宋体"/>
          <w:sz w:val="24"/>
          <w:szCs w:val="24"/>
          <w:highlight w:val="none"/>
          <w:lang w:eastAsia="zh-CN"/>
        </w:rPr>
        <w:t>。</w:t>
      </w:r>
    </w:p>
    <w:p w14:paraId="257681B0">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w:t>
      </w:r>
    </w:p>
    <w:p w14:paraId="2561305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7F250A3F">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通过检查项目资金申请文件、</w:t>
      </w:r>
      <w:r>
        <w:rPr>
          <w:rFonts w:hint="eastAsia" w:ascii="宋体" w:hAnsi="宋体" w:eastAsia="宋体" w:cs="宋体"/>
          <w:sz w:val="24"/>
          <w:szCs w:val="24"/>
          <w:highlight w:val="none"/>
          <w:lang w:val="en-US" w:eastAsia="zh-CN"/>
        </w:rPr>
        <w:t>国库支付凭证</w:t>
      </w:r>
      <w:r>
        <w:rPr>
          <w:rFonts w:hint="eastAsia" w:ascii="宋体" w:hAnsi="宋体" w:eastAsia="宋体" w:cs="宋体"/>
          <w:sz w:val="24"/>
          <w:szCs w:val="24"/>
          <w:highlight w:val="none"/>
        </w:rPr>
        <w:t>等财务</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，得出本项目资金支出符合国家财经法规、《政府会计制度》《</w:t>
      </w:r>
      <w:r>
        <w:rPr>
          <w:rFonts w:hint="eastAsia" w:ascii="宋体" w:hAnsi="宋体" w:eastAsia="宋体" w:cs="宋体"/>
          <w:sz w:val="24"/>
          <w:szCs w:val="24"/>
          <w:highlight w:val="none"/>
          <w:lang w:eastAsia="zh-CN"/>
        </w:rPr>
        <w:t>洛浦县民政局</w:t>
      </w:r>
      <w:r>
        <w:rPr>
          <w:rFonts w:hint="eastAsia" w:ascii="宋体" w:hAnsi="宋体" w:eastAsia="宋体" w:cs="宋体"/>
          <w:sz w:val="24"/>
          <w:szCs w:val="24"/>
          <w:highlight w:val="none"/>
        </w:rPr>
        <w:t>单位资金管理办法》《</w:t>
      </w:r>
      <w:r>
        <w:rPr>
          <w:rFonts w:hint="eastAsia" w:ascii="宋体" w:hAnsi="宋体" w:eastAsia="宋体" w:cs="宋体"/>
          <w:sz w:val="24"/>
          <w:szCs w:val="24"/>
          <w:highlight w:val="none"/>
          <w:lang w:eastAsia="zh-CN"/>
        </w:rPr>
        <w:t>洛浦县民政局</w:t>
      </w:r>
      <w:r>
        <w:rPr>
          <w:rFonts w:hint="eastAsia" w:ascii="宋体" w:hAnsi="宋体" w:eastAsia="宋体" w:cs="宋体"/>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rPr>
        <w:t>制定了相关的制度和管理规定对经费使用进行规范管理，财务制度健全、执行严</w:t>
      </w:r>
      <w:r>
        <w:rPr>
          <w:rFonts w:hint="eastAsia" w:ascii="宋体" w:hAnsi="宋体" w:eastAsia="宋体" w:cs="宋体"/>
          <w:sz w:val="24"/>
          <w:szCs w:val="24"/>
          <w:highlight w:val="none"/>
          <w:lang w:val="en-US" w:eastAsia="zh-CN"/>
        </w:rPr>
        <w:t>格。</w:t>
      </w:r>
    </w:p>
    <w:p w14:paraId="39EC7237">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45C1B61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55D4114C">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我单位已制定《</w:t>
      </w:r>
      <w:r>
        <w:rPr>
          <w:rFonts w:hint="eastAsia" w:ascii="宋体" w:hAnsi="宋体" w:eastAsia="宋体" w:cs="宋体"/>
          <w:sz w:val="24"/>
          <w:szCs w:val="24"/>
          <w:highlight w:val="none"/>
          <w:lang w:eastAsia="zh-CN"/>
        </w:rPr>
        <w:t>洛浦县民政局</w:t>
      </w:r>
      <w:r>
        <w:rPr>
          <w:rFonts w:hint="eastAsia" w:ascii="宋体" w:hAnsi="宋体" w:eastAsia="宋体" w:cs="宋体"/>
          <w:sz w:val="24"/>
          <w:szCs w:val="24"/>
          <w:highlight w:val="none"/>
        </w:rPr>
        <w:t>资金管理办法》《</w:t>
      </w:r>
      <w:r>
        <w:rPr>
          <w:rFonts w:hint="eastAsia" w:ascii="宋体" w:hAnsi="宋体" w:eastAsia="宋体" w:cs="宋体"/>
          <w:sz w:val="24"/>
          <w:szCs w:val="24"/>
          <w:highlight w:val="none"/>
          <w:lang w:eastAsia="zh-CN"/>
        </w:rPr>
        <w:t>洛浦县民政局</w:t>
      </w:r>
      <w:r>
        <w:rPr>
          <w:rFonts w:hint="eastAsia" w:ascii="宋体" w:hAnsi="宋体" w:eastAsia="宋体" w:cs="宋体"/>
          <w:sz w:val="24"/>
          <w:szCs w:val="24"/>
          <w:highlight w:val="none"/>
        </w:rPr>
        <w:t>收支业务管理制度》《</w:t>
      </w:r>
      <w:r>
        <w:rPr>
          <w:rFonts w:hint="eastAsia" w:ascii="宋体" w:hAnsi="宋体" w:eastAsia="宋体" w:cs="宋体"/>
          <w:sz w:val="24"/>
          <w:szCs w:val="24"/>
          <w:highlight w:val="none"/>
          <w:lang w:eastAsia="zh-CN"/>
        </w:rPr>
        <w:t>洛浦县民政局</w:t>
      </w:r>
      <w:r>
        <w:rPr>
          <w:rFonts w:hint="eastAsia" w:ascii="宋体" w:hAnsi="宋体" w:eastAsia="宋体" w:cs="宋体"/>
          <w:sz w:val="24"/>
          <w:szCs w:val="24"/>
          <w:highlight w:val="none"/>
        </w:rPr>
        <w:t>政府采购业务管理制度》《</w:t>
      </w:r>
      <w:r>
        <w:rPr>
          <w:rFonts w:hint="eastAsia" w:ascii="宋体" w:hAnsi="宋体" w:eastAsia="宋体" w:cs="宋体"/>
          <w:sz w:val="24"/>
          <w:szCs w:val="24"/>
          <w:highlight w:val="none"/>
          <w:lang w:eastAsia="zh-CN"/>
        </w:rPr>
        <w:t>洛浦县民政局</w:t>
      </w:r>
      <w:r>
        <w:rPr>
          <w:rFonts w:hint="eastAsia" w:ascii="宋体" w:hAnsi="宋体" w:eastAsia="宋体" w:cs="宋体"/>
          <w:sz w:val="24"/>
          <w:szCs w:val="24"/>
          <w:highlight w:val="none"/>
        </w:rPr>
        <w:t>合同管理制度》，</w:t>
      </w:r>
      <w:r>
        <w:rPr>
          <w:rFonts w:hint="eastAsia" w:ascii="宋体" w:hAnsi="宋体" w:eastAsia="宋体" w:cs="宋体"/>
          <w:sz w:val="24"/>
          <w:szCs w:val="24"/>
          <w:highlight w:val="none"/>
          <w:lang w:val="en-US" w:eastAsia="zh-CN"/>
        </w:rPr>
        <w:t>相关</w:t>
      </w:r>
      <w:r>
        <w:rPr>
          <w:rFonts w:hint="eastAsia" w:ascii="宋体" w:hAnsi="宋体" w:eastAsia="宋体" w:cs="宋体"/>
          <w:sz w:val="24"/>
          <w:szCs w:val="24"/>
          <w:highlight w:val="none"/>
        </w:rPr>
        <w:t>制度均符合行政事业单位内控管理要求，财务和业务管理制度合法、合规、完整，本项目执行符合上述制度规定。</w:t>
      </w:r>
    </w:p>
    <w:p w14:paraId="6360694A">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2FCB17B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28237A03">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①该项目的实施符合《</w:t>
      </w:r>
      <w:r>
        <w:rPr>
          <w:rFonts w:hint="eastAsia" w:ascii="宋体" w:hAnsi="宋体" w:eastAsia="宋体" w:cs="宋体"/>
          <w:sz w:val="24"/>
          <w:szCs w:val="24"/>
          <w:highlight w:val="none"/>
          <w:lang w:eastAsia="zh-CN"/>
        </w:rPr>
        <w:t>洛浦县民政局资金管理</w:t>
      </w:r>
      <w:r>
        <w:rPr>
          <w:rFonts w:hint="eastAsia" w:ascii="宋体" w:hAnsi="宋体" w:eastAsia="宋体" w:cs="宋体"/>
          <w:sz w:val="24"/>
          <w:szCs w:val="24"/>
          <w:highlight w:val="none"/>
        </w:rPr>
        <w:t>办法》《</w:t>
      </w:r>
      <w:r>
        <w:rPr>
          <w:rFonts w:hint="eastAsia" w:ascii="宋体" w:hAnsi="宋体" w:eastAsia="宋体" w:cs="宋体"/>
          <w:sz w:val="24"/>
          <w:szCs w:val="24"/>
          <w:highlight w:val="none"/>
          <w:lang w:eastAsia="zh-CN"/>
        </w:rPr>
        <w:t>洛浦县民政局</w:t>
      </w:r>
      <w:r>
        <w:rPr>
          <w:rFonts w:hint="eastAsia" w:ascii="宋体" w:hAnsi="宋体" w:eastAsia="宋体" w:cs="宋体"/>
          <w:sz w:val="24"/>
          <w:szCs w:val="24"/>
          <w:highlight w:val="none"/>
        </w:rPr>
        <w:t>管理制度》《</w:t>
      </w:r>
      <w:r>
        <w:rPr>
          <w:rFonts w:hint="eastAsia" w:ascii="宋体" w:hAnsi="宋体" w:eastAsia="宋体" w:cs="宋体"/>
          <w:sz w:val="24"/>
          <w:szCs w:val="24"/>
          <w:highlight w:val="none"/>
          <w:lang w:eastAsia="zh-CN"/>
        </w:rPr>
        <w:t>洛浦县民政局</w:t>
      </w:r>
      <w:r>
        <w:rPr>
          <w:rFonts w:hint="eastAsia" w:ascii="宋体" w:hAnsi="宋体" w:eastAsia="宋体" w:cs="宋体"/>
          <w:sz w:val="24"/>
          <w:szCs w:val="24"/>
          <w:highlight w:val="none"/>
        </w:rPr>
        <w:t>采购业务管理制度》《</w:t>
      </w:r>
      <w:r>
        <w:rPr>
          <w:rFonts w:hint="eastAsia" w:ascii="宋体" w:hAnsi="宋体" w:eastAsia="宋体" w:cs="宋体"/>
          <w:sz w:val="24"/>
          <w:szCs w:val="24"/>
          <w:highlight w:val="none"/>
          <w:lang w:eastAsia="zh-CN"/>
        </w:rPr>
        <w:t>洛浦县民政局</w:t>
      </w:r>
      <w:r>
        <w:rPr>
          <w:rFonts w:hint="eastAsia" w:ascii="宋体" w:hAnsi="宋体" w:eastAsia="宋体" w:cs="宋体"/>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B85C560">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②经现场查证项目合同书、验收评审表、财务支付凭证等资料齐全并及时归档。</w:t>
      </w:r>
    </w:p>
    <w:p w14:paraId="1540B88B">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③该项目是否存在调整，调整手续是否齐全，如未调整，则填“该项目实施过程中不存在调整事项”。</w:t>
      </w:r>
    </w:p>
    <w:p w14:paraId="75A6036E">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洛浦县困难群众救助补助资金项目项目工作领导小组，由</w:t>
      </w:r>
      <w:r>
        <w:rPr>
          <w:rFonts w:hint="eastAsia" w:ascii="宋体" w:hAnsi="宋体" w:eastAsia="宋体" w:cs="宋体"/>
          <w:sz w:val="24"/>
          <w:szCs w:val="24"/>
          <w:highlight w:val="none"/>
          <w:lang w:eastAsia="zh-CN"/>
        </w:rPr>
        <w:t>张军</w:t>
      </w:r>
      <w:r>
        <w:rPr>
          <w:rFonts w:hint="eastAsia" w:ascii="宋体" w:hAnsi="宋体" w:eastAsia="宋体" w:cs="宋体"/>
          <w:sz w:val="24"/>
          <w:szCs w:val="24"/>
          <w:highlight w:val="none"/>
        </w:rPr>
        <w:t>任组长，负责项目的组织工作；</w:t>
      </w:r>
      <w:r>
        <w:rPr>
          <w:rFonts w:hint="eastAsia" w:ascii="宋体" w:hAnsi="宋体" w:eastAsia="宋体" w:cs="宋体"/>
          <w:sz w:val="24"/>
          <w:szCs w:val="24"/>
          <w:highlight w:val="none"/>
          <w:lang w:eastAsia="zh-CN"/>
        </w:rPr>
        <w:t>努尔曼古丽</w:t>
      </w:r>
      <w:r>
        <w:rPr>
          <w:rFonts w:hint="eastAsia" w:ascii="宋体" w:hAnsi="宋体" w:eastAsia="宋体" w:cs="宋体"/>
          <w:sz w:val="24"/>
          <w:szCs w:val="24"/>
          <w:highlight w:val="none"/>
        </w:rPr>
        <w:t>任副组长，负责项目的实施工作；组员包括：</w:t>
      </w:r>
      <w:r>
        <w:rPr>
          <w:rFonts w:hint="eastAsia" w:ascii="宋体" w:hAnsi="宋体" w:eastAsia="宋体" w:cs="宋体"/>
          <w:sz w:val="24"/>
          <w:szCs w:val="24"/>
          <w:highlight w:val="none"/>
          <w:lang w:eastAsia="zh-CN"/>
        </w:rPr>
        <w:t>阿迪莱</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eastAsia="zh-CN"/>
        </w:rPr>
        <w:t>阿米乃</w:t>
      </w:r>
      <w:r>
        <w:rPr>
          <w:rFonts w:hint="eastAsia" w:ascii="宋体" w:hAnsi="宋体" w:eastAsia="宋体" w:cs="宋体"/>
          <w:sz w:val="24"/>
          <w:szCs w:val="24"/>
          <w:highlight w:val="none"/>
        </w:rPr>
        <w:t>，主要负责项目监督管理、验收以及资金核拨等工作。</w:t>
      </w:r>
    </w:p>
    <w:p w14:paraId="0E6BA42F">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1A3D8C44">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D0E297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C4541F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0E54BE1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补助类别，预期指标值</w:t>
      </w:r>
      <w:r>
        <w:rPr>
          <w:rFonts w:hint="eastAsia" w:ascii="宋体" w:hAnsi="宋体" w:eastAsia="宋体" w:cs="宋体"/>
          <w:color w:val="000000"/>
          <w:sz w:val="24"/>
          <w:szCs w:val="24"/>
          <w:highlight w:val="none"/>
          <w:lang w:val="en-US" w:eastAsia="zh-CN"/>
        </w:rPr>
        <w:t>等于7个</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7个</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46CC3B5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59B781A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28FDBB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资金发放合规率，预期指标值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6B5669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59DCE41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0694F49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项目开始时间，预期指标值202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1</w:t>
      </w:r>
      <w:r>
        <w:rPr>
          <w:rFonts w:hint="eastAsia" w:ascii="宋体" w:hAnsi="宋体" w:eastAsia="宋体" w:cs="宋体"/>
          <w:b w:val="0"/>
          <w:color w:val="000000"/>
          <w:sz w:val="24"/>
          <w:szCs w:val="24"/>
          <w:highlight w:val="none"/>
        </w:rPr>
        <w:t>月，实际完成值202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1</w:t>
      </w:r>
      <w:r>
        <w:rPr>
          <w:rFonts w:hint="eastAsia" w:ascii="宋体" w:hAnsi="宋体" w:eastAsia="宋体" w:cs="宋体"/>
          <w:b w:val="0"/>
          <w:color w:val="000000"/>
          <w:sz w:val="24"/>
          <w:szCs w:val="24"/>
          <w:highlight w:val="none"/>
        </w:rPr>
        <w:t>月，指标完成率为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199C24E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w:t>
      </w:r>
      <w:r>
        <w:rPr>
          <w:rFonts w:hint="eastAsia" w:ascii="宋体" w:hAnsi="宋体" w:eastAsia="宋体" w:cs="宋体"/>
          <w:b w:val="0"/>
          <w:color w:val="000000"/>
          <w:sz w:val="24"/>
          <w:szCs w:val="24"/>
          <w:highlight w:val="none"/>
          <w:lang w:val="en-US" w:eastAsia="zh-CN"/>
        </w:rPr>
        <w:t>完成</w:t>
      </w:r>
      <w:r>
        <w:rPr>
          <w:rFonts w:hint="eastAsia" w:ascii="宋体" w:hAnsi="宋体" w:eastAsia="宋体" w:cs="宋体"/>
          <w:b w:val="0"/>
          <w:color w:val="000000"/>
          <w:sz w:val="24"/>
          <w:szCs w:val="24"/>
          <w:highlight w:val="none"/>
        </w:rPr>
        <w:t>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w:t>
      </w:r>
      <w:r>
        <w:rPr>
          <w:rFonts w:hint="eastAsia" w:ascii="宋体" w:hAnsi="宋体" w:eastAsia="宋体" w:cs="宋体"/>
          <w:b w:val="0"/>
          <w:color w:val="000000"/>
          <w:sz w:val="24"/>
          <w:szCs w:val="24"/>
          <w:highlight w:val="none"/>
          <w:lang w:val="en-US" w:eastAsia="zh-CN"/>
        </w:rPr>
        <w:t>31日</w:t>
      </w:r>
      <w:r>
        <w:rPr>
          <w:rFonts w:hint="eastAsia" w:ascii="宋体" w:hAnsi="宋体" w:eastAsia="宋体" w:cs="宋体"/>
          <w:b w:val="0"/>
          <w:color w:val="000000"/>
          <w:sz w:val="24"/>
          <w:szCs w:val="24"/>
          <w:highlight w:val="none"/>
        </w:rPr>
        <w:t>，实际完成值2024年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w:t>
      </w:r>
      <w:r>
        <w:rPr>
          <w:rFonts w:hint="eastAsia" w:ascii="宋体" w:hAnsi="宋体" w:eastAsia="宋体" w:cs="宋体"/>
          <w:b w:val="0"/>
          <w:color w:val="000000"/>
          <w:sz w:val="24"/>
          <w:szCs w:val="24"/>
          <w:highlight w:val="none"/>
          <w:lang w:val="en-US" w:eastAsia="zh-CN"/>
        </w:rPr>
        <w:t>31日</w:t>
      </w:r>
      <w:r>
        <w:rPr>
          <w:rFonts w:hint="eastAsia" w:ascii="宋体" w:hAnsi="宋体" w:eastAsia="宋体" w:cs="宋体"/>
          <w:b w:val="0"/>
          <w:color w:val="000000"/>
          <w:sz w:val="24"/>
          <w:szCs w:val="24"/>
          <w:highlight w:val="none"/>
        </w:rPr>
        <w:t>，指标完成率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766E9C3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资金支付及时率，预期指标值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4</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446F5B4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7F2A7B9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293CF57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城市最低生活保障成本，预期指标值为</w:t>
      </w:r>
      <w:r>
        <w:rPr>
          <w:rFonts w:hint="eastAsia" w:ascii="宋体" w:hAnsi="宋体" w:eastAsia="宋体" w:cs="宋体"/>
          <w:color w:val="auto"/>
          <w:sz w:val="24"/>
          <w:szCs w:val="24"/>
          <w:highlight w:val="none"/>
          <w:lang w:eastAsia="zh-CN"/>
        </w:rPr>
        <w:t>小于</w:t>
      </w:r>
      <w:r>
        <w:rPr>
          <w:rFonts w:hint="eastAsia" w:ascii="宋体" w:hAnsi="宋体" w:eastAsia="宋体" w:cs="宋体"/>
          <w:color w:val="auto"/>
          <w:sz w:val="24"/>
          <w:szCs w:val="24"/>
          <w:highlight w:val="none"/>
          <w:lang w:val="en-US" w:eastAsia="zh-CN"/>
        </w:rPr>
        <w:t>等于1092万元/年</w:t>
      </w:r>
      <w:r>
        <w:rPr>
          <w:rFonts w:hint="eastAsia" w:ascii="宋体" w:hAnsi="宋体" w:eastAsia="宋体" w:cs="宋体"/>
          <w:color w:val="auto"/>
          <w:sz w:val="24"/>
          <w:szCs w:val="24"/>
          <w:highlight w:val="none"/>
        </w:rPr>
        <w:t>，实际完成值为1498.97</w:t>
      </w:r>
      <w:r>
        <w:rPr>
          <w:rFonts w:hint="eastAsia" w:ascii="宋体" w:hAnsi="宋体" w:eastAsia="宋体" w:cs="宋体"/>
          <w:color w:val="auto"/>
          <w:sz w:val="24"/>
          <w:szCs w:val="24"/>
          <w:highlight w:val="none"/>
          <w:lang w:eastAsia="zh-CN"/>
        </w:rPr>
        <w:t>万元</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3587470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农村最低生活保障成本，预期指标值为</w:t>
      </w:r>
      <w:r>
        <w:rPr>
          <w:rFonts w:hint="eastAsia" w:ascii="宋体" w:hAnsi="宋体" w:eastAsia="宋体" w:cs="宋体"/>
          <w:color w:val="auto"/>
          <w:sz w:val="24"/>
          <w:szCs w:val="24"/>
          <w:highlight w:val="none"/>
          <w:lang w:eastAsia="zh-CN"/>
        </w:rPr>
        <w:t>小于</w:t>
      </w:r>
      <w:r>
        <w:rPr>
          <w:rFonts w:hint="eastAsia" w:ascii="宋体" w:hAnsi="宋体" w:eastAsia="宋体" w:cs="宋体"/>
          <w:color w:val="auto"/>
          <w:sz w:val="24"/>
          <w:szCs w:val="24"/>
          <w:highlight w:val="none"/>
          <w:lang w:val="en-US" w:eastAsia="zh-CN"/>
        </w:rPr>
        <w:t>等于13568.66万元/年</w:t>
      </w:r>
      <w:r>
        <w:rPr>
          <w:rFonts w:hint="eastAsia" w:ascii="宋体" w:hAnsi="宋体" w:eastAsia="宋体" w:cs="宋体"/>
          <w:color w:val="auto"/>
          <w:sz w:val="24"/>
          <w:szCs w:val="24"/>
          <w:highlight w:val="none"/>
        </w:rPr>
        <w:t>，实际完成值为17535.57</w:t>
      </w:r>
      <w:r>
        <w:rPr>
          <w:rFonts w:hint="eastAsia" w:ascii="宋体" w:hAnsi="宋体" w:eastAsia="宋体" w:cs="宋体"/>
          <w:color w:val="auto"/>
          <w:sz w:val="24"/>
          <w:szCs w:val="24"/>
          <w:highlight w:val="none"/>
          <w:lang w:eastAsia="zh-CN"/>
        </w:rPr>
        <w:t>万元</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6174D54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color w:val="auto"/>
        </w:rPr>
      </w:pPr>
      <w:r>
        <w:rPr>
          <w:rFonts w:hint="eastAsia" w:ascii="宋体" w:hAnsi="宋体" w:eastAsia="宋体" w:cs="宋体"/>
          <w:color w:val="auto"/>
          <w:sz w:val="24"/>
          <w:szCs w:val="24"/>
          <w:highlight w:val="none"/>
        </w:rPr>
        <w:t>城市特困供养人员供养指标，预期指标值为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1035元/月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1035元/月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2B0CF3B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lang w:eastAsia="zh-CN"/>
        </w:rPr>
        <w:t>农村特困集中供养人员供养标准</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eastAsia="zh-CN"/>
        </w:rPr>
        <w:t>小于</w:t>
      </w:r>
      <w:r>
        <w:rPr>
          <w:rFonts w:hint="eastAsia" w:ascii="宋体" w:hAnsi="宋体" w:eastAsia="宋体" w:cs="宋体"/>
          <w:color w:val="auto"/>
          <w:sz w:val="24"/>
          <w:szCs w:val="24"/>
          <w:highlight w:val="none"/>
          <w:lang w:val="en-US" w:eastAsia="zh-CN"/>
        </w:rPr>
        <w:t>等于1035元/月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1035元/月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4A746A7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lang w:eastAsia="zh-CN"/>
        </w:rPr>
        <w:t>农村特困分散供养人员供养标准</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eastAsia="zh-CN"/>
        </w:rPr>
        <w:t>小于</w:t>
      </w:r>
      <w:r>
        <w:rPr>
          <w:rFonts w:hint="eastAsia" w:ascii="宋体" w:hAnsi="宋体" w:eastAsia="宋体" w:cs="宋体"/>
          <w:color w:val="auto"/>
          <w:sz w:val="24"/>
          <w:szCs w:val="24"/>
          <w:highlight w:val="none"/>
          <w:lang w:val="en-US" w:eastAsia="zh-CN"/>
        </w:rPr>
        <w:t>等于690元/月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820元/月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6B92ECC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街面上生活无招人员救助成本指标，预期指标值为</w:t>
      </w:r>
      <w:r>
        <w:rPr>
          <w:rFonts w:hint="eastAsia" w:ascii="宋体" w:hAnsi="宋体" w:eastAsia="宋体" w:cs="宋体"/>
          <w:color w:val="auto"/>
          <w:sz w:val="24"/>
          <w:szCs w:val="24"/>
          <w:highlight w:val="none"/>
          <w:lang w:eastAsia="zh-CN"/>
        </w:rPr>
        <w:t>小于</w:t>
      </w:r>
      <w:r>
        <w:rPr>
          <w:rFonts w:hint="eastAsia" w:ascii="宋体" w:hAnsi="宋体" w:eastAsia="宋体" w:cs="宋体"/>
          <w:color w:val="auto"/>
          <w:sz w:val="24"/>
          <w:szCs w:val="24"/>
          <w:highlight w:val="none"/>
          <w:lang w:val="en-US" w:eastAsia="zh-CN"/>
        </w:rPr>
        <w:t>等于6万元/年</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0.82</w:t>
      </w:r>
      <w:r>
        <w:rPr>
          <w:rFonts w:hint="eastAsia" w:ascii="宋体" w:hAnsi="宋体" w:eastAsia="宋体" w:cs="宋体"/>
          <w:color w:val="auto"/>
          <w:sz w:val="24"/>
          <w:szCs w:val="24"/>
          <w:highlight w:val="none"/>
          <w:lang w:eastAsia="zh-CN"/>
        </w:rPr>
        <w:t>万元</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4A44F2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临时救助支出成本指标，预期指标值为</w:t>
      </w:r>
      <w:r>
        <w:rPr>
          <w:rFonts w:hint="eastAsia" w:ascii="宋体" w:hAnsi="宋体" w:eastAsia="宋体" w:cs="宋体"/>
          <w:color w:val="auto"/>
          <w:sz w:val="24"/>
          <w:szCs w:val="24"/>
          <w:highlight w:val="none"/>
          <w:lang w:eastAsia="zh-CN"/>
        </w:rPr>
        <w:t>小于</w:t>
      </w:r>
      <w:r>
        <w:rPr>
          <w:rFonts w:hint="eastAsia" w:ascii="宋体" w:hAnsi="宋体" w:eastAsia="宋体" w:cs="宋体"/>
          <w:color w:val="auto"/>
          <w:sz w:val="24"/>
          <w:szCs w:val="24"/>
          <w:highlight w:val="none"/>
          <w:lang w:val="en-US" w:eastAsia="zh-CN"/>
        </w:rPr>
        <w:t>等于691万元/年</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182.72</w:t>
      </w:r>
      <w:r>
        <w:rPr>
          <w:rFonts w:hint="eastAsia" w:ascii="宋体" w:hAnsi="宋体" w:eastAsia="宋体" w:cs="宋体"/>
          <w:color w:val="auto"/>
          <w:sz w:val="24"/>
          <w:szCs w:val="24"/>
          <w:highlight w:val="none"/>
          <w:lang w:eastAsia="zh-CN"/>
        </w:rPr>
        <w:t>万元</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0EA7E21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rPr>
      </w:pPr>
      <w:r>
        <w:rPr>
          <w:rFonts w:hint="eastAsia" w:ascii="宋体" w:hAnsi="宋体" w:eastAsia="宋体" w:cs="宋体"/>
          <w:b w:val="0"/>
          <w:bCs/>
          <w:color w:val="000000"/>
          <w:sz w:val="24"/>
          <w:szCs w:val="24"/>
          <w:highlight w:val="none"/>
        </w:rPr>
        <w:t>合计得10分。</w:t>
      </w:r>
    </w:p>
    <w:p w14:paraId="385109A7">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64E814C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bookmarkEnd w:id="16"/>
    </w:p>
    <w:p w14:paraId="71D9C9B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5362E32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提升困难群众生活水平，预期指标值为</w:t>
      </w:r>
      <w:r>
        <w:rPr>
          <w:rFonts w:hint="eastAsia" w:ascii="宋体" w:hAnsi="宋体" w:eastAsia="宋体" w:cs="宋体"/>
          <w:b w:val="0"/>
          <w:bCs w:val="0"/>
          <w:color w:val="000000"/>
          <w:sz w:val="24"/>
          <w:szCs w:val="24"/>
          <w:highlight w:val="none"/>
          <w:lang w:val="en-US" w:eastAsia="zh-CN"/>
        </w:rPr>
        <w:t>有所提升</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有所提升</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02759BC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7804DD3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10E1887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5D2A288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704A927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28CAB961">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享受救助人员满意度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6ED6A4A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5EDFDB21">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2EAAFB2D">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sz w:val="24"/>
          <w:szCs w:val="24"/>
        </w:rPr>
        <w:t>本项目年初预算资金</w:t>
      </w:r>
      <w:r>
        <w:rPr>
          <w:rFonts w:hint="eastAsia" w:ascii="宋体" w:hAnsi="宋体" w:eastAsia="宋体" w:cs="宋体"/>
          <w:color w:val="auto"/>
          <w:sz w:val="24"/>
          <w:szCs w:val="24"/>
        </w:rPr>
        <w:t>总额为20705.19万元，全年预算数为20705.19万元，全年执行数为20705.19万元，预算执行率为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1ACABB5E">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sz w:val="24"/>
          <w:szCs w:val="24"/>
        </w:rPr>
        <w:t>本项目共设置三级指</w:t>
      </w:r>
      <w:r>
        <w:rPr>
          <w:rFonts w:hint="eastAsia" w:ascii="宋体" w:hAnsi="宋体" w:eastAsia="宋体" w:cs="宋体"/>
          <w:color w:val="auto"/>
          <w:sz w:val="24"/>
          <w:szCs w:val="24"/>
        </w:rPr>
        <w:t>标数量</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A4B18E3">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w:t>
      </w:r>
      <w:r>
        <w:rPr>
          <w:rFonts w:hint="eastAsia" w:ascii="宋体" w:hAnsi="宋体" w:eastAsia="宋体" w:cs="宋体"/>
          <w:color w:val="auto"/>
          <w:sz w:val="24"/>
          <w:szCs w:val="24"/>
        </w:rPr>
        <w:t>完成率之间</w:t>
      </w:r>
      <w:r>
        <w:rPr>
          <w:rFonts w:hint="eastAsia" w:ascii="宋体" w:hAnsi="宋体" w:eastAsia="宋体" w:cs="宋体"/>
          <w:color w:val="auto"/>
          <w:sz w:val="24"/>
          <w:szCs w:val="24"/>
          <w:lang w:val="en-US" w:eastAsia="zh-CN"/>
        </w:rPr>
        <w:t>无偏差</w:t>
      </w:r>
      <w:r>
        <w:rPr>
          <w:rFonts w:hint="eastAsia" w:ascii="宋体" w:hAnsi="宋体" w:eastAsia="宋体" w:cs="宋体"/>
          <w:color w:val="auto"/>
          <w:sz w:val="24"/>
          <w:szCs w:val="24"/>
        </w:rPr>
        <w:t>。</w:t>
      </w:r>
    </w:p>
    <w:p w14:paraId="04BA930A">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bookmarkStart w:id="17" w:name="_Toc68364673"/>
      <w:r>
        <w:rPr>
          <w:rFonts w:hint="eastAsia" w:ascii="黑体" w:hAnsi="黑体" w:eastAsia="黑体" w:cs="黑体"/>
          <w:sz w:val="24"/>
          <w:szCs w:val="24"/>
        </w:rPr>
        <w:t>六、主要经验及做法、存在的问题及原因分析</w:t>
      </w:r>
      <w:bookmarkEnd w:id="17"/>
    </w:p>
    <w:p w14:paraId="3EF70100">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（一）主要经验及做法</w:t>
      </w:r>
    </w:p>
    <w:p w14:paraId="71726C5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一是本项目能够严格按照《项目实施方案》执行，项目执行情况较好。</w:t>
      </w:r>
    </w:p>
    <w:p w14:paraId="4C52CD2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二是加强组织领导，本项目绩效评价工作，有主要领导亲自挂帅，分管领导具体负责，从项目到资金，均能够很好的执行。</w:t>
      </w:r>
    </w:p>
    <w:p w14:paraId="1D819EF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三是加强沟通协调，我单位及时向领导汇报项目建设进度，加强与施工单位的沟通，确保项目按期完工。</w:t>
      </w:r>
    </w:p>
    <w:p w14:paraId="53A53C2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default" w:ascii="黑体" w:hAnsi="黑体" w:eastAsia="黑体" w:cs="黑体"/>
          <w:b/>
          <w:bCs/>
          <w:sz w:val="24"/>
          <w:szCs w:val="24"/>
          <w:lang w:val="en-US" w:eastAsia="zh-CN"/>
        </w:rPr>
      </w:pPr>
      <w:bookmarkStart w:id="18" w:name="_Toc68364675"/>
      <w:r>
        <w:rPr>
          <w:rFonts w:hint="eastAsia" w:ascii="黑体" w:hAnsi="黑体" w:eastAsia="黑体" w:cs="黑体"/>
          <w:b/>
          <w:bCs/>
          <w:sz w:val="24"/>
          <w:szCs w:val="24"/>
        </w:rPr>
        <w:t>七、有关建议</w:t>
      </w:r>
      <w:bookmarkEnd w:id="18"/>
    </w:p>
    <w:p w14:paraId="1C7B9EE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7FB1DEF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2.项目评价资料有待进一步完善。项目启动时同步做好档案的归纳与整理，及时整理、收集、汇总，健全档案资料。项目后续管理有待进一步加强和跟踪。</w:t>
      </w:r>
    </w:p>
    <w:p w14:paraId="48DA234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3.通过绩效管理，发现实施中存在漏洞，以后加强管理，及时掌握与之相关的各类信息，减少成本，使资金效益最大化。</w:t>
      </w:r>
    </w:p>
    <w:p w14:paraId="5DEFEE4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4．评价工作应从项目实施方案源头抓起，评价工作和意识应贯穿项目整个过程。</w:t>
      </w:r>
      <w:bookmarkStart w:id="19" w:name="_Toc68364676"/>
    </w:p>
    <w:p w14:paraId="6B6386C4">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八、其他需要说明的问题</w:t>
      </w:r>
      <w:bookmarkEnd w:id="19"/>
    </w:p>
    <w:p w14:paraId="5BBA7DA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5165304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附件1：洛浦县困难群众救助补助资金项目绩效评价指标体系</w:t>
      </w:r>
    </w:p>
    <w:p w14:paraId="17E3560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附件2：洛浦县困难群众救助补助资金项目综合得分表</w:t>
      </w:r>
    </w:p>
    <w:p w14:paraId="7DB562B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附件3：满意度调查问分析情况</w:t>
      </w:r>
    </w:p>
    <w:p w14:paraId="3569457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131EE759">
      <w:pPr>
        <w:pStyle w:val="10"/>
        <w:ind w:left="0" w:leftChars="0" w:firstLine="0" w:firstLineChars="0"/>
        <w:jc w:val="both"/>
        <w:rPr>
          <w:rFonts w:hint="eastAsia" w:ascii="宋体" w:hAnsi="宋体" w:eastAsia="宋体" w:cs="宋体"/>
          <w:sz w:val="24"/>
          <w:szCs w:val="24"/>
        </w:rPr>
      </w:pPr>
    </w:p>
    <w:p w14:paraId="5E6FC921">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708"/>
        <w:gridCol w:w="470"/>
        <w:gridCol w:w="717"/>
        <w:gridCol w:w="527"/>
        <w:gridCol w:w="2928"/>
        <w:gridCol w:w="1118"/>
        <w:gridCol w:w="4270"/>
        <w:gridCol w:w="952"/>
        <w:gridCol w:w="540"/>
      </w:tblGrid>
      <w:tr w14:paraId="09BCD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7A5B93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61BD5107">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5" w:type="pct"/>
            <w:tcBorders>
              <w:top w:val="nil"/>
              <w:left w:val="nil"/>
              <w:bottom w:val="nil"/>
              <w:right w:val="nil"/>
            </w:tcBorders>
            <w:noWrap/>
            <w:vAlign w:val="center"/>
          </w:tcPr>
          <w:p w14:paraId="0F8FA1C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76" w:type="pct"/>
            <w:tcBorders>
              <w:top w:val="nil"/>
              <w:left w:val="nil"/>
              <w:bottom w:val="nil"/>
              <w:right w:val="nil"/>
            </w:tcBorders>
            <w:noWrap/>
            <w:vAlign w:val="center"/>
          </w:tcPr>
          <w:p w14:paraId="0B068DD4">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8" w:type="pct"/>
            <w:tcBorders>
              <w:top w:val="nil"/>
              <w:left w:val="nil"/>
              <w:bottom w:val="nil"/>
              <w:right w:val="nil"/>
            </w:tcBorders>
            <w:noWrap/>
            <w:vAlign w:val="center"/>
          </w:tcPr>
          <w:p w14:paraId="3D94742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4FE8EF9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095" w:type="pct"/>
            <w:tcBorders>
              <w:top w:val="nil"/>
              <w:left w:val="nil"/>
              <w:bottom w:val="nil"/>
              <w:right w:val="nil"/>
            </w:tcBorders>
            <w:noWrap/>
            <w:vAlign w:val="center"/>
          </w:tcPr>
          <w:p w14:paraId="222986C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418" w:type="pct"/>
            <w:tcBorders>
              <w:top w:val="nil"/>
              <w:left w:val="nil"/>
              <w:bottom w:val="nil"/>
              <w:right w:val="nil"/>
            </w:tcBorders>
            <w:noWrap/>
            <w:vAlign w:val="center"/>
          </w:tcPr>
          <w:p w14:paraId="5BA3EAE2">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597" w:type="pct"/>
            <w:tcBorders>
              <w:top w:val="nil"/>
              <w:left w:val="nil"/>
              <w:bottom w:val="nil"/>
              <w:right w:val="nil"/>
            </w:tcBorders>
            <w:noWrap/>
            <w:vAlign w:val="center"/>
          </w:tcPr>
          <w:p w14:paraId="15F2CED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356" w:type="pct"/>
            <w:tcBorders>
              <w:top w:val="nil"/>
              <w:left w:val="nil"/>
              <w:bottom w:val="nil"/>
              <w:right w:val="nil"/>
            </w:tcBorders>
            <w:noWrap/>
            <w:vAlign w:val="center"/>
          </w:tcPr>
          <w:p w14:paraId="12C4A98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408F8F7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r>
      <w:tr w14:paraId="0FD35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62112A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洛浦县困难群众救助补助资金项目</w:t>
            </w:r>
            <w:r>
              <w:rPr>
                <w:rStyle w:val="59"/>
                <w:rFonts w:hint="eastAsia" w:ascii="宋体" w:hAnsi="宋体" w:eastAsia="宋体" w:cs="宋体"/>
                <w:color w:val="000000"/>
                <w:sz w:val="24"/>
                <w:szCs w:val="24"/>
                <w:highlight w:val="none"/>
                <w:lang w:val="en-US" w:eastAsia="zh-CN"/>
              </w:rPr>
              <w:t>绩效评价指标体系综合评分表</w:t>
            </w:r>
          </w:p>
        </w:tc>
      </w:tr>
      <w:tr w14:paraId="516F1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23A82E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538B73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4120E4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76" w:type="pct"/>
            <w:tcBorders>
              <w:top w:val="single" w:color="auto" w:sz="4" w:space="0"/>
              <w:left w:val="single" w:color="auto" w:sz="4" w:space="0"/>
              <w:bottom w:val="single" w:color="auto" w:sz="4" w:space="0"/>
              <w:right w:val="single" w:color="auto" w:sz="4" w:space="0"/>
            </w:tcBorders>
            <w:noWrap w:val="0"/>
            <w:vAlign w:val="center"/>
          </w:tcPr>
          <w:p w14:paraId="7CD600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520278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F9F13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99428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C7593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FD7A5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0797F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F8378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36988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5B7DA8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36371F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7003AE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043D60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70C3D4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AB9E5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CBB98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3D059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F32344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03A7134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55A384F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02D8850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720A081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199569D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AEB43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F5658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0B60D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C5E10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10F294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421618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4F237B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15C6B4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F6A3D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D7AA9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9D506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6F07F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5E8B95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2F6457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48E5E0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8C43B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E28E6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42B79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64A79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B388D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37D3D1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08539D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734391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451A9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9E684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25EB8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50A59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1C8EAE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74396E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58EA81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2A0F59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93FF0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95AFF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12CA6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1FB3E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05FC3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4850D3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2DCE64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CBC67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A409C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B465E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35E15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B5394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48EF23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399C7C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2E4EAB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A0407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6CC12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3909F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54DC6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233C9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7942AF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6A9B6E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FE575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0A210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AE951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4E378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EDAAF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184E5E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238571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24A1C7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2D1096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6D907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9D5B1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1FACE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F0D10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58A2C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4E693D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0A1DA9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4F1F13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3B813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8F33C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3F69A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FC115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7E0372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51436C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04098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DB7BB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07175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3A8316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48D427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076D53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4BC983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45F00E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778AD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A2B9A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2124A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F3534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13CFAB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77232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7CAED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7A0B0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8DF50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D316E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3E7BF4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09C99B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96515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3B902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076D9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44DEA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68EE4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72D466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93A61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C3339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5B888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E325B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9EED2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0857AE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6E1519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0674A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BDD5D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F94E0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02ADC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E0369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61CBAA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1754DA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6208E8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695728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6677E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52D01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3E8AF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43E4C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F2AA1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304985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2A5F99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05FF83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A7100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79300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80F94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D17ED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54E20D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45773F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8CE2D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204DE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4C715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1C9036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8C41E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020785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536157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0A77B6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6F8DF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3B668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1F0D1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54980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12C33B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215519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4A88DA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06587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E2DAE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bl>
    <w:tbl>
      <w:tblPr>
        <w:tblStyle w:val="24"/>
        <w:tblpPr w:leftFromText="180" w:rightFromText="180" w:vertAnchor="text" w:horzAnchor="page" w:tblpX="1701" w:tblpY="35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5"/>
        <w:gridCol w:w="527"/>
        <w:gridCol w:w="524"/>
        <w:gridCol w:w="533"/>
        <w:gridCol w:w="648"/>
        <w:gridCol w:w="533"/>
        <w:gridCol w:w="2228"/>
        <w:gridCol w:w="1513"/>
        <w:gridCol w:w="3930"/>
        <w:gridCol w:w="1280"/>
        <w:gridCol w:w="667"/>
      </w:tblGrid>
      <w:tr w14:paraId="4FAE4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restart"/>
            <w:tcBorders>
              <w:top w:val="single" w:color="auto" w:sz="4" w:space="0"/>
              <w:left w:val="single" w:color="auto" w:sz="4" w:space="0"/>
              <w:right w:val="single" w:color="auto" w:sz="4" w:space="0"/>
            </w:tcBorders>
            <w:noWrap w:val="0"/>
            <w:vAlign w:val="center"/>
          </w:tcPr>
          <w:p w14:paraId="5AB7E7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197" w:type="pct"/>
            <w:vMerge w:val="restart"/>
            <w:tcBorders>
              <w:top w:val="single" w:color="auto" w:sz="4" w:space="0"/>
              <w:left w:val="single" w:color="auto" w:sz="4" w:space="0"/>
              <w:right w:val="single" w:color="auto" w:sz="4" w:space="0"/>
            </w:tcBorders>
            <w:noWrap w:val="0"/>
            <w:vAlign w:val="center"/>
          </w:tcPr>
          <w:p w14:paraId="5EC71F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196" w:type="pct"/>
            <w:tcBorders>
              <w:top w:val="single" w:color="auto" w:sz="4" w:space="0"/>
              <w:left w:val="single" w:color="auto" w:sz="4" w:space="0"/>
              <w:right w:val="single" w:color="auto" w:sz="4" w:space="0"/>
            </w:tcBorders>
            <w:noWrap w:val="0"/>
            <w:vAlign w:val="center"/>
          </w:tcPr>
          <w:p w14:paraId="7E22E4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199" w:type="pct"/>
            <w:tcBorders>
              <w:top w:val="single" w:color="auto" w:sz="4" w:space="0"/>
              <w:left w:val="single" w:color="auto" w:sz="4" w:space="0"/>
              <w:right w:val="single" w:color="auto" w:sz="4" w:space="0"/>
            </w:tcBorders>
            <w:noWrap w:val="0"/>
            <w:vAlign w:val="center"/>
          </w:tcPr>
          <w:p w14:paraId="438C2E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right w:val="single" w:color="auto" w:sz="4" w:space="0"/>
            </w:tcBorders>
            <w:noWrap w:val="0"/>
            <w:vAlign w:val="center"/>
          </w:tcPr>
          <w:p w14:paraId="306B73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34443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lang w:val="en-US" w:eastAsia="zh-CN"/>
              </w:rPr>
              <w:t>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10B57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补助类别</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E369C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=7个</w:t>
            </w:r>
          </w:p>
        </w:tc>
        <w:tc>
          <w:tcPr>
            <w:tcW w:w="1468" w:type="pct"/>
            <w:tcBorders>
              <w:top w:val="single" w:color="auto" w:sz="4" w:space="0"/>
              <w:left w:val="single" w:color="auto" w:sz="4" w:space="0"/>
              <w:right w:val="single" w:color="auto" w:sz="4" w:space="0"/>
            </w:tcBorders>
            <w:noWrap w:val="0"/>
            <w:vAlign w:val="center"/>
          </w:tcPr>
          <w:p w14:paraId="641E8B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74BAC1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7个</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92622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38D83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5C0C03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CFA89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tcBorders>
              <w:top w:val="single" w:color="auto" w:sz="4" w:space="0"/>
              <w:left w:val="single" w:color="auto" w:sz="4" w:space="0"/>
              <w:bottom w:val="single" w:color="auto" w:sz="4" w:space="0"/>
              <w:right w:val="single" w:color="auto" w:sz="4" w:space="0"/>
            </w:tcBorders>
            <w:noWrap w:val="0"/>
            <w:vAlign w:val="center"/>
          </w:tcPr>
          <w:p w14:paraId="755D17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433021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2DBAF4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2BCCFF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A2359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资金发放合规率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74A98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tcBorders>
              <w:top w:val="single" w:color="auto" w:sz="4" w:space="0"/>
              <w:left w:val="single" w:color="auto" w:sz="4" w:space="0"/>
              <w:right w:val="single" w:color="auto" w:sz="4" w:space="0"/>
            </w:tcBorders>
            <w:noWrap w:val="0"/>
            <w:vAlign w:val="center"/>
          </w:tcPr>
          <w:p w14:paraId="3FF7D2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0574D4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63B004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B8EB3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6C0E7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294997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0D3CC7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13F3EB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199" w:type="pct"/>
            <w:vMerge w:val="restart"/>
            <w:tcBorders>
              <w:top w:val="single" w:color="auto" w:sz="4" w:space="0"/>
              <w:left w:val="single" w:color="auto" w:sz="4" w:space="0"/>
              <w:right w:val="single" w:color="auto" w:sz="4" w:space="0"/>
            </w:tcBorders>
            <w:noWrap w:val="0"/>
            <w:vAlign w:val="center"/>
          </w:tcPr>
          <w:p w14:paraId="70F665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30B57A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2BC63B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431A66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项目开始时间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23CDEB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月</w:t>
            </w:r>
          </w:p>
        </w:tc>
        <w:tc>
          <w:tcPr>
            <w:tcW w:w="1468" w:type="pct"/>
            <w:vMerge w:val="restart"/>
            <w:tcBorders>
              <w:top w:val="single" w:color="auto" w:sz="4" w:space="0"/>
              <w:left w:val="single" w:color="auto" w:sz="4" w:space="0"/>
              <w:right w:val="single" w:color="auto" w:sz="4" w:space="0"/>
            </w:tcBorders>
            <w:noWrap w:val="0"/>
            <w:vAlign w:val="center"/>
          </w:tcPr>
          <w:p w14:paraId="152088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42E13D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0132F8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8122E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r>
      <w:tr w14:paraId="58C9A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0A8221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4F3F5A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6" w:type="pct"/>
            <w:vMerge w:val="continue"/>
            <w:tcBorders>
              <w:left w:val="single" w:color="auto" w:sz="4" w:space="0"/>
              <w:right w:val="single" w:color="auto" w:sz="4" w:space="0"/>
            </w:tcBorders>
            <w:noWrap w:val="0"/>
            <w:vAlign w:val="center"/>
          </w:tcPr>
          <w:p w14:paraId="6F9218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vMerge w:val="continue"/>
            <w:tcBorders>
              <w:left w:val="single" w:color="auto" w:sz="4" w:space="0"/>
              <w:right w:val="single" w:color="auto" w:sz="4" w:space="0"/>
            </w:tcBorders>
            <w:noWrap w:val="0"/>
            <w:vAlign w:val="center"/>
          </w:tcPr>
          <w:p w14:paraId="505E91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42" w:type="pct"/>
            <w:vMerge w:val="continue"/>
            <w:tcBorders>
              <w:left w:val="single" w:color="auto" w:sz="4" w:space="0"/>
              <w:right w:val="single" w:color="auto" w:sz="4" w:space="0"/>
            </w:tcBorders>
            <w:noWrap w:val="0"/>
            <w:vAlign w:val="center"/>
          </w:tcPr>
          <w:p w14:paraId="4509D1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541D66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690CB4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项目完工时间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618E3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r>
              <w:rPr>
                <w:rFonts w:hint="eastAsia" w:ascii="宋体" w:hAnsi="宋体" w:eastAsia="宋体" w:cs="宋体"/>
                <w:i w:val="0"/>
                <w:iCs w:val="0"/>
                <w:color w:val="000000"/>
                <w:sz w:val="18"/>
                <w:szCs w:val="18"/>
                <w:highlight w:val="none"/>
                <w:u w:val="none"/>
                <w:lang w:val="en-US" w:eastAsia="zh-CN"/>
              </w:rPr>
              <w:t>31日</w:t>
            </w:r>
          </w:p>
        </w:tc>
        <w:tc>
          <w:tcPr>
            <w:tcW w:w="1468" w:type="pct"/>
            <w:vMerge w:val="continue"/>
            <w:tcBorders>
              <w:left w:val="single" w:color="auto" w:sz="4" w:space="0"/>
              <w:right w:val="single" w:color="auto" w:sz="4" w:space="0"/>
            </w:tcBorders>
            <w:noWrap w:val="0"/>
            <w:vAlign w:val="center"/>
          </w:tcPr>
          <w:p w14:paraId="7C9678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178B93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r>
              <w:rPr>
                <w:rFonts w:hint="eastAsia" w:ascii="宋体" w:hAnsi="宋体" w:eastAsia="宋体" w:cs="宋体"/>
                <w:i w:val="0"/>
                <w:iCs w:val="0"/>
                <w:color w:val="000000"/>
                <w:sz w:val="18"/>
                <w:szCs w:val="18"/>
                <w:highlight w:val="none"/>
                <w:u w:val="none"/>
                <w:lang w:val="en-US" w:eastAsia="zh-CN"/>
              </w:rPr>
              <w:t>31日</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09471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r>
      <w:tr w14:paraId="2B308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7CAF58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0CE3AA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2C9955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6C18AA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303B44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59E953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72060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66F31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23B945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72B2C0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81586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r>
      <w:tr w14:paraId="48C53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726324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4EBF2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0AC09A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199" w:type="pct"/>
            <w:vMerge w:val="restart"/>
            <w:tcBorders>
              <w:top w:val="single" w:color="auto" w:sz="4" w:space="0"/>
              <w:left w:val="single" w:color="auto" w:sz="4" w:space="0"/>
              <w:right w:val="single" w:color="auto" w:sz="4" w:space="0"/>
            </w:tcBorders>
            <w:noWrap w:val="0"/>
            <w:vAlign w:val="center"/>
          </w:tcPr>
          <w:p w14:paraId="12E9A3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142E1B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70DBB6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240A08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城市最低生活保障成本</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5BE280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≤1092万元/年</w:t>
            </w:r>
          </w:p>
        </w:tc>
        <w:tc>
          <w:tcPr>
            <w:tcW w:w="1468" w:type="pct"/>
            <w:vMerge w:val="restart"/>
            <w:tcBorders>
              <w:top w:val="single" w:color="auto" w:sz="4" w:space="0"/>
              <w:left w:val="single" w:color="auto" w:sz="4" w:space="0"/>
              <w:right w:val="single" w:color="auto" w:sz="4" w:space="0"/>
            </w:tcBorders>
            <w:noWrap w:val="0"/>
            <w:vAlign w:val="center"/>
          </w:tcPr>
          <w:p w14:paraId="6A47EF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03602F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1498.97万元/年</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56A1C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w:t>
            </w:r>
          </w:p>
        </w:tc>
      </w:tr>
      <w:tr w14:paraId="2B76E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3750A0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246567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6" w:type="pct"/>
            <w:vMerge w:val="continue"/>
            <w:tcBorders>
              <w:left w:val="single" w:color="auto" w:sz="4" w:space="0"/>
              <w:right w:val="single" w:color="auto" w:sz="4" w:space="0"/>
            </w:tcBorders>
            <w:noWrap w:val="0"/>
            <w:vAlign w:val="center"/>
          </w:tcPr>
          <w:p w14:paraId="7FA1FD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vMerge w:val="continue"/>
            <w:tcBorders>
              <w:left w:val="single" w:color="auto" w:sz="4" w:space="0"/>
              <w:right w:val="single" w:color="auto" w:sz="4" w:space="0"/>
            </w:tcBorders>
            <w:noWrap w:val="0"/>
            <w:vAlign w:val="center"/>
          </w:tcPr>
          <w:p w14:paraId="295921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42" w:type="pct"/>
            <w:vMerge w:val="continue"/>
            <w:tcBorders>
              <w:left w:val="single" w:color="auto" w:sz="4" w:space="0"/>
              <w:right w:val="single" w:color="auto" w:sz="4" w:space="0"/>
            </w:tcBorders>
            <w:noWrap w:val="0"/>
            <w:vAlign w:val="center"/>
          </w:tcPr>
          <w:p w14:paraId="53B311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7D5FC8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9BF2C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农村最低生活保障成本</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7CDD4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≤13568.66万元/年</w:t>
            </w:r>
          </w:p>
        </w:tc>
        <w:tc>
          <w:tcPr>
            <w:tcW w:w="1468" w:type="pct"/>
            <w:vMerge w:val="continue"/>
            <w:tcBorders>
              <w:left w:val="single" w:color="auto" w:sz="4" w:space="0"/>
              <w:right w:val="single" w:color="auto" w:sz="4" w:space="0"/>
            </w:tcBorders>
            <w:noWrap w:val="0"/>
            <w:vAlign w:val="center"/>
          </w:tcPr>
          <w:p w14:paraId="229C8F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335220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17535.57万元/年</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36E08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w:t>
            </w:r>
          </w:p>
        </w:tc>
      </w:tr>
      <w:tr w14:paraId="3DB18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left w:val="single" w:color="auto" w:sz="4" w:space="0"/>
              <w:bottom w:val="single" w:color="auto" w:sz="4" w:space="0"/>
              <w:right w:val="single" w:color="auto" w:sz="4" w:space="0"/>
            </w:tcBorders>
            <w:noWrap w:val="0"/>
            <w:vAlign w:val="center"/>
          </w:tcPr>
          <w:p w14:paraId="4F83F5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4723BE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6099CC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2D04EC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662557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51B9BF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796BF3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城市特困供养人员供养标准</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FC214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1035元/月</w:t>
            </w:r>
          </w:p>
        </w:tc>
        <w:tc>
          <w:tcPr>
            <w:tcW w:w="1468" w:type="pct"/>
            <w:vMerge w:val="continue"/>
            <w:tcBorders>
              <w:left w:val="single" w:color="auto" w:sz="4" w:space="0"/>
              <w:bottom w:val="single" w:color="auto" w:sz="4" w:space="0"/>
              <w:right w:val="single" w:color="auto" w:sz="4" w:space="0"/>
            </w:tcBorders>
            <w:noWrap w:val="0"/>
            <w:vAlign w:val="center"/>
          </w:tcPr>
          <w:p w14:paraId="5C7A8D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5CA566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1035元/月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1EBFD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17A5E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left w:val="single" w:color="auto" w:sz="4" w:space="0"/>
              <w:bottom w:val="single" w:color="auto" w:sz="4" w:space="0"/>
              <w:right w:val="single" w:color="auto" w:sz="4" w:space="0"/>
            </w:tcBorders>
            <w:noWrap w:val="0"/>
            <w:vAlign w:val="center"/>
          </w:tcPr>
          <w:p w14:paraId="5DBAC1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05D5FD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6FD422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5CD738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100694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14C681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09598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农村特困集中供养人员供养标准</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8085C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≤1035元/月</w:t>
            </w:r>
          </w:p>
        </w:tc>
        <w:tc>
          <w:tcPr>
            <w:tcW w:w="1468" w:type="pct"/>
            <w:vMerge w:val="continue"/>
            <w:tcBorders>
              <w:left w:val="single" w:color="auto" w:sz="4" w:space="0"/>
              <w:bottom w:val="single" w:color="auto" w:sz="4" w:space="0"/>
              <w:right w:val="single" w:color="auto" w:sz="4" w:space="0"/>
            </w:tcBorders>
            <w:noWrap w:val="0"/>
            <w:vAlign w:val="center"/>
          </w:tcPr>
          <w:p w14:paraId="5E1A40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617AAA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1035元/月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7B1CA1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0BA39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left w:val="single" w:color="auto" w:sz="4" w:space="0"/>
              <w:bottom w:val="single" w:color="auto" w:sz="4" w:space="0"/>
              <w:right w:val="single" w:color="auto" w:sz="4" w:space="0"/>
            </w:tcBorders>
            <w:noWrap w:val="0"/>
            <w:vAlign w:val="center"/>
          </w:tcPr>
          <w:p w14:paraId="1721DE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25CAE3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146582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5B2FE0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516AE4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392DE4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BFAFE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农村特困分散供养人员供养标准</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1B344F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≤690元/月</w:t>
            </w:r>
          </w:p>
        </w:tc>
        <w:tc>
          <w:tcPr>
            <w:tcW w:w="1468" w:type="pct"/>
            <w:vMerge w:val="continue"/>
            <w:tcBorders>
              <w:left w:val="single" w:color="auto" w:sz="4" w:space="0"/>
              <w:bottom w:val="single" w:color="auto" w:sz="4" w:space="0"/>
              <w:right w:val="single" w:color="auto" w:sz="4" w:space="0"/>
            </w:tcBorders>
            <w:noWrap w:val="0"/>
            <w:vAlign w:val="center"/>
          </w:tcPr>
          <w:p w14:paraId="0BB3C6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72766C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820元/月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DFCCD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559C0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left w:val="single" w:color="auto" w:sz="4" w:space="0"/>
              <w:bottom w:val="single" w:color="auto" w:sz="4" w:space="0"/>
              <w:right w:val="single" w:color="auto" w:sz="4" w:space="0"/>
            </w:tcBorders>
            <w:noWrap w:val="0"/>
            <w:vAlign w:val="center"/>
          </w:tcPr>
          <w:p w14:paraId="14EFA2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21D418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59AE60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41F2B2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113DF2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31D2AE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E4ACA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街面上生活无招人员救助成本</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97245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≤6万元/年</w:t>
            </w:r>
          </w:p>
        </w:tc>
        <w:tc>
          <w:tcPr>
            <w:tcW w:w="1468" w:type="pct"/>
            <w:vMerge w:val="continue"/>
            <w:tcBorders>
              <w:left w:val="single" w:color="auto" w:sz="4" w:space="0"/>
              <w:bottom w:val="single" w:color="auto" w:sz="4" w:space="0"/>
              <w:right w:val="single" w:color="auto" w:sz="4" w:space="0"/>
            </w:tcBorders>
            <w:noWrap w:val="0"/>
            <w:vAlign w:val="center"/>
          </w:tcPr>
          <w:p w14:paraId="1C8095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210E62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0.82万元/年</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F7AF7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5A1F0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left w:val="single" w:color="auto" w:sz="4" w:space="0"/>
              <w:bottom w:val="single" w:color="auto" w:sz="4" w:space="0"/>
              <w:right w:val="single" w:color="auto" w:sz="4" w:space="0"/>
            </w:tcBorders>
            <w:noWrap w:val="0"/>
            <w:vAlign w:val="center"/>
          </w:tcPr>
          <w:p w14:paraId="5F0702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01889F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0F7B9B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31F440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5D3761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7BC491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2D7EE9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临时救助支出成本</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1C918E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≤691万元/年</w:t>
            </w:r>
          </w:p>
        </w:tc>
        <w:tc>
          <w:tcPr>
            <w:tcW w:w="1468" w:type="pct"/>
            <w:vMerge w:val="continue"/>
            <w:tcBorders>
              <w:left w:val="single" w:color="auto" w:sz="4" w:space="0"/>
              <w:bottom w:val="single" w:color="auto" w:sz="4" w:space="0"/>
              <w:right w:val="single" w:color="auto" w:sz="4" w:space="0"/>
            </w:tcBorders>
            <w:noWrap w:val="0"/>
            <w:vAlign w:val="center"/>
          </w:tcPr>
          <w:p w14:paraId="6A6C00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738678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182.72万元/年</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46D87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r>
      <w:tr w14:paraId="0C871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368" w:type="pct"/>
            <w:vMerge w:val="restart"/>
            <w:tcBorders>
              <w:top w:val="single" w:color="auto" w:sz="4" w:space="0"/>
              <w:left w:val="single" w:color="auto" w:sz="4" w:space="0"/>
              <w:bottom w:val="single" w:color="auto" w:sz="4" w:space="0"/>
              <w:right w:val="single" w:color="auto" w:sz="4" w:space="0"/>
            </w:tcBorders>
            <w:noWrap w:val="0"/>
            <w:vAlign w:val="center"/>
          </w:tcPr>
          <w:p w14:paraId="70019D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74F325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17D810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3C5FF6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5BBCBC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386897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F23DA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提升困难群众生活水平</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E0860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有效</w:t>
            </w:r>
            <w:r>
              <w:rPr>
                <w:rFonts w:hint="eastAsia" w:ascii="宋体" w:hAnsi="宋体" w:eastAsia="宋体" w:cs="宋体"/>
                <w:i w:val="0"/>
                <w:iCs w:val="0"/>
                <w:color w:val="000000"/>
                <w:sz w:val="18"/>
                <w:szCs w:val="18"/>
                <w:highlight w:val="none"/>
                <w:u w:val="none"/>
                <w:lang w:val="en-US" w:eastAsia="zh-CN"/>
              </w:rPr>
              <w:t>提升</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590CE1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672B3B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有效</w:t>
            </w:r>
            <w:r>
              <w:rPr>
                <w:rFonts w:hint="eastAsia" w:ascii="宋体" w:hAnsi="宋体" w:eastAsia="宋体" w:cs="宋体"/>
                <w:i w:val="0"/>
                <w:iCs w:val="0"/>
                <w:color w:val="000000"/>
                <w:sz w:val="18"/>
                <w:szCs w:val="18"/>
                <w:highlight w:val="none"/>
                <w:u w:val="none"/>
                <w:lang w:val="en-US" w:eastAsia="zh-CN"/>
              </w:rPr>
              <w:t>提升</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6362A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r>
      <w:tr w14:paraId="18706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325F78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3B726E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3802AA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7415C8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tcBorders>
              <w:top w:val="single" w:color="auto" w:sz="4" w:space="0"/>
              <w:left w:val="single" w:color="auto" w:sz="4" w:space="0"/>
              <w:bottom w:val="single" w:color="auto" w:sz="4" w:space="0"/>
              <w:right w:val="single" w:color="auto" w:sz="4" w:space="0"/>
            </w:tcBorders>
            <w:noWrap w:val="0"/>
            <w:vAlign w:val="center"/>
          </w:tcPr>
          <w:p w14:paraId="754C79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3A6D1E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FDD89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享受救助人员满意度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17CE6F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0176CF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9F584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r>
              <w:rPr>
                <w:rFonts w:hint="eastAsia" w:ascii="宋体" w:hAnsi="宋体" w:eastAsia="宋体" w:cs="宋体"/>
                <w:i w:val="0"/>
                <w:iCs w:val="0"/>
                <w:color w:val="000000"/>
                <w:sz w:val="18"/>
                <w:szCs w:val="18"/>
                <w:highlight w:val="none"/>
                <w:u w:val="none"/>
              </w:rPr>
              <w:t>%</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8198F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21978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368" w:type="pct"/>
            <w:tcBorders>
              <w:top w:val="single" w:color="auto" w:sz="4" w:space="0"/>
              <w:left w:val="single" w:color="auto" w:sz="4" w:space="0"/>
              <w:bottom w:val="single" w:color="auto" w:sz="4" w:space="0"/>
              <w:right w:val="single" w:color="auto" w:sz="4" w:space="0"/>
            </w:tcBorders>
            <w:noWrap w:val="0"/>
            <w:vAlign w:val="center"/>
          </w:tcPr>
          <w:p w14:paraId="570ED6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56269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5522B7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1085CD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5E7982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2D94F5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45C4D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65" w:type="pct"/>
            <w:tcBorders>
              <w:top w:val="single" w:color="auto" w:sz="4" w:space="0"/>
              <w:left w:val="single" w:color="auto" w:sz="4" w:space="0"/>
              <w:bottom w:val="single" w:color="auto" w:sz="4" w:space="0"/>
              <w:right w:val="single" w:color="auto" w:sz="4" w:space="0"/>
            </w:tcBorders>
            <w:noWrap w:val="0"/>
            <w:vAlign w:val="center"/>
          </w:tcPr>
          <w:p w14:paraId="4941F0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07B1485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19ECA4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0E3085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r>
    </w:tbl>
    <w:p w14:paraId="4B7A6485">
      <w:pPr>
        <w:pStyle w:val="10"/>
        <w:ind w:left="0" w:leftChars="0" w:firstLine="0" w:firstLineChars="0"/>
        <w:jc w:val="both"/>
        <w:rPr>
          <w:rFonts w:hint="eastAsia" w:ascii="宋体" w:hAnsi="宋体" w:eastAsia="宋体" w:cs="宋体"/>
          <w:sz w:val="24"/>
          <w:szCs w:val="24"/>
          <w:lang w:eastAsia="zh-CN"/>
        </w:rPr>
      </w:pPr>
    </w:p>
    <w:p w14:paraId="689E3326">
      <w:pPr>
        <w:pStyle w:val="10"/>
        <w:ind w:left="0" w:leftChars="0" w:firstLine="0" w:firstLineChars="0"/>
        <w:jc w:val="both"/>
        <w:rPr>
          <w:rFonts w:hint="eastAsia" w:ascii="宋体" w:hAnsi="宋体" w:eastAsia="宋体" w:cs="宋体"/>
          <w:sz w:val="24"/>
          <w:szCs w:val="24"/>
          <w:lang w:eastAsia="zh-CN"/>
        </w:rPr>
      </w:pPr>
    </w:p>
    <w:p w14:paraId="7CB8BB5D">
      <w:pPr>
        <w:pStyle w:val="10"/>
        <w:ind w:left="0" w:leftChars="0" w:firstLine="0" w:firstLineChars="0"/>
        <w:jc w:val="both"/>
        <w:rPr>
          <w:rFonts w:hint="eastAsia" w:ascii="宋体" w:hAnsi="宋体" w:eastAsia="宋体" w:cs="宋体"/>
          <w:sz w:val="24"/>
          <w:szCs w:val="24"/>
          <w:lang w:eastAsia="zh-CN"/>
        </w:rPr>
      </w:pPr>
    </w:p>
    <w:p w14:paraId="75C7CE24">
      <w:pPr>
        <w:pStyle w:val="10"/>
        <w:ind w:left="0" w:leftChars="0" w:firstLine="0" w:firstLineChars="0"/>
        <w:jc w:val="both"/>
        <w:rPr>
          <w:rFonts w:hint="eastAsia" w:ascii="宋体" w:hAnsi="宋体" w:eastAsia="宋体" w:cs="宋体"/>
          <w:sz w:val="24"/>
          <w:szCs w:val="24"/>
          <w:lang w:eastAsia="zh-CN"/>
        </w:rPr>
      </w:pPr>
    </w:p>
    <w:p w14:paraId="5AADBD4F">
      <w:pPr>
        <w:pStyle w:val="10"/>
        <w:ind w:left="0" w:leftChars="0" w:firstLine="0" w:firstLineChars="0"/>
        <w:jc w:val="both"/>
        <w:rPr>
          <w:rFonts w:hint="eastAsia" w:ascii="宋体" w:hAnsi="宋体" w:eastAsia="宋体" w:cs="宋体"/>
          <w:sz w:val="24"/>
          <w:szCs w:val="24"/>
          <w:lang w:eastAsia="zh-CN"/>
        </w:rPr>
      </w:pPr>
    </w:p>
    <w:p w14:paraId="1B7D770E">
      <w:pPr>
        <w:pStyle w:val="10"/>
        <w:ind w:left="0" w:leftChars="0" w:firstLine="0" w:firstLineChars="0"/>
        <w:jc w:val="both"/>
        <w:rPr>
          <w:rFonts w:hint="eastAsia" w:ascii="宋体" w:hAnsi="宋体" w:eastAsia="宋体" w:cs="宋体"/>
          <w:sz w:val="24"/>
          <w:szCs w:val="24"/>
          <w:lang w:eastAsia="zh-CN"/>
        </w:rPr>
      </w:pPr>
    </w:p>
    <w:p w14:paraId="0B1DA84D">
      <w:pPr>
        <w:pStyle w:val="10"/>
        <w:ind w:left="0" w:leftChars="0" w:firstLine="0" w:firstLineChars="0"/>
        <w:jc w:val="both"/>
        <w:rPr>
          <w:rFonts w:hint="eastAsia" w:ascii="宋体" w:hAnsi="宋体" w:eastAsia="宋体" w:cs="宋体"/>
          <w:sz w:val="24"/>
          <w:szCs w:val="24"/>
          <w:lang w:eastAsia="zh-CN"/>
        </w:rPr>
      </w:pPr>
    </w:p>
    <w:p w14:paraId="5247AA76">
      <w:pPr>
        <w:pStyle w:val="10"/>
        <w:ind w:left="0" w:leftChars="0" w:firstLine="0" w:firstLineChars="0"/>
        <w:jc w:val="both"/>
        <w:rPr>
          <w:rFonts w:hint="eastAsia" w:ascii="宋体" w:hAnsi="宋体" w:eastAsia="宋体" w:cs="宋体"/>
          <w:sz w:val="24"/>
          <w:szCs w:val="24"/>
          <w:lang w:eastAsia="zh-CN"/>
        </w:rPr>
      </w:pPr>
    </w:p>
    <w:p w14:paraId="68A28CBB">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2606E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599CB94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211CFBB1">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74CE184C">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1928FA68">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7FEC1E5E">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085F1FF8">
            <w:pPr>
              <w:rPr>
                <w:rFonts w:hint="eastAsia" w:ascii="宋体" w:hAnsi="宋体" w:eastAsia="宋体" w:cs="宋体"/>
                <w:i w:val="0"/>
                <w:iCs w:val="0"/>
                <w:color w:val="000000"/>
                <w:sz w:val="22"/>
                <w:szCs w:val="22"/>
                <w:u w:val="none"/>
              </w:rPr>
            </w:pPr>
          </w:p>
        </w:tc>
      </w:tr>
      <w:tr w14:paraId="20F58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58362524">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洛浦县困难群众救助补助资金项目综合得分表</w:t>
            </w:r>
          </w:p>
        </w:tc>
      </w:tr>
      <w:tr w14:paraId="5749F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43BE4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C334A4">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7CE52A">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17DFF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42D27D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609CB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62C7E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4F4F5F">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4124A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640C8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851EA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C01A6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FE94F5B">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5EF6A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67E29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ADE6D3">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FF03B0">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531701A">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D28F81">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3F9B9D5">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7E83E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3FEC5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7008B1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C79AC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FD626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04399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5DEDD59">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bl>
    <w:p w14:paraId="6406129D">
      <w:pPr>
        <w:pStyle w:val="10"/>
        <w:ind w:left="0" w:leftChars="0" w:firstLine="0" w:firstLineChars="0"/>
        <w:jc w:val="both"/>
        <w:rPr>
          <w:rFonts w:hint="default" w:ascii="宋体" w:hAnsi="宋体" w:eastAsia="宋体" w:cs="宋体"/>
          <w:sz w:val="24"/>
          <w:szCs w:val="24"/>
          <w:lang w:val="en-US" w:eastAsia="zh-CN"/>
        </w:rPr>
      </w:pPr>
    </w:p>
    <w:p w14:paraId="0096605A">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6E157A8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4B9D686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洛浦县困难群众救助补助资金项目</w:t>
      </w:r>
    </w:p>
    <w:p w14:paraId="3BFE001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11C7745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sz w:val="28"/>
          <w:szCs w:val="28"/>
          <w:highlight w:val="none"/>
        </w:rPr>
      </w:pPr>
    </w:p>
    <w:p w14:paraId="4651A18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3C3B18E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一、该问卷调查从2025年3月15日开始至2025年3月20日结束，调查问卷共设置3道题目。</w:t>
      </w:r>
    </w:p>
    <w:p w14:paraId="0F4EAEE1">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2A0B70B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val="en-US" w:eastAsia="zh-CN"/>
        </w:rPr>
        <w:t>洛浦县各乡镇居民</w:t>
      </w:r>
      <w:r>
        <w:rPr>
          <w:rFonts w:hint="eastAsia" w:ascii="宋体" w:hAnsi="宋体" w:eastAsia="宋体" w:cs="宋体"/>
          <w:color w:val="000000"/>
          <w:sz w:val="24"/>
          <w:szCs w:val="24"/>
          <w:highlight w:val="none"/>
        </w:rPr>
        <w:t>。</w:t>
      </w:r>
    </w:p>
    <w:p w14:paraId="1FAA01FE">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20B5AD9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①您对困难群众救助补助资金项目的救助对象精准率是否满意?</w:t>
      </w:r>
    </w:p>
    <w:p w14:paraId="600EC87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②您对困难群众救助补助资金项目的资金发放及时率是否满意？</w:t>
      </w:r>
    </w:p>
    <w:p w14:paraId="3C8E569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③总的来说，您对目前困难群众救助补助资金项目实施后的整体满意程度如何？</w:t>
      </w:r>
    </w:p>
    <w:p w14:paraId="71C08B12">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171E393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6D776C2B">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1080816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4532041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03291BC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为了给调查对象营造良好的作答环境，保证调查的科学性和严谨性，由我单位工作人员在线下发放问卷，邀请相应的调查对象填写问卷。到目前为止共回收问卷50份，其中有效问卷50份，有效问卷回收率为100%。</w:t>
      </w:r>
    </w:p>
    <w:p w14:paraId="0D8BD2D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4EFDCAC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本次调查过程中，评价小组实际发放问卷50份，回收问卷50份，问卷回收率为100.00%，有效问卷50份，有效回收率100.00%，本次调查的整体情况如下：</w:t>
      </w:r>
    </w:p>
    <w:p w14:paraId="40BFBFD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第一个问题：该项统计有效问卷数量50份，选择非常满意的人数为x人。选择比较满意的人数为0人，选择一般的人数0人，选择不满意的人数0人，选择非常不满意的人数0人。</w:t>
      </w:r>
    </w:p>
    <w:p w14:paraId="328B8FD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第二个问题：该项统计有效问卷数量50份，选择非常满意的人数为30人。选择比较满意的人数为15人，选择一般的人数5人，选择不满意的人数0人，选择非常不满意的人数0人。</w:t>
      </w:r>
    </w:p>
    <w:p w14:paraId="60D9F52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第三个问题：该项统计有效问卷数量50份，选择非常满意的人数为30人。选择比较满意的人数为15人，选择一般的人数5人，选择不满意的人数0人，选择非常不满意的人数0人。</w:t>
      </w:r>
    </w:p>
    <w:p w14:paraId="5D8F355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382145F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困难群众救助补助资金项目针对受益人员发放30份调查问卷，最终统计受益人群满意度为100%。</w:t>
      </w:r>
    </w:p>
    <w:p w14:paraId="32B2B75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6A62F22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洛浦县民政局</w:t>
      </w:r>
    </w:p>
    <w:p w14:paraId="26E8D81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2025年3月15日</w:t>
      </w:r>
    </w:p>
    <w:p w14:paraId="79410931">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4B114">
    <w:pPr>
      <w:pStyle w:val="16"/>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6473D701">
                <w:pPr>
                  <w:pStyle w:val="16"/>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5240E">
    <w:pPr>
      <w:pStyle w:val="17"/>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3D1405C5"/>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qFormat/>
    <w:uiPriority w:val="0"/>
    <w:pPr>
      <w:ind w:firstLine="420"/>
    </w:pPr>
  </w:style>
  <w:style w:type="paragraph" w:styleId="3">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HTML Address"/>
    <w:basedOn w:val="1"/>
    <w:qFormat/>
    <w:uiPriority w:val="0"/>
    <w:rPr>
      <w:rFonts w:ascii="Times New Roman" w:hAnsi="Times New Roman" w:eastAsia="宋体" w:cs="Times New Roman"/>
    </w:rPr>
  </w:style>
  <w:style w:type="paragraph" w:styleId="12">
    <w:name w:val="toc 5"/>
    <w:basedOn w:val="1"/>
    <w:next w:val="1"/>
    <w:unhideWhenUsed/>
    <w:uiPriority w:val="39"/>
    <w:pPr>
      <w:ind w:left="1120"/>
      <w:jc w:val="left"/>
    </w:pPr>
    <w:rPr>
      <w:rFonts w:ascii="Calibri" w:hAnsi="Calibri" w:cs="Calibri"/>
      <w:sz w:val="18"/>
      <w:szCs w:val="18"/>
    </w:rPr>
  </w:style>
  <w:style w:type="paragraph" w:styleId="13">
    <w:name w:val="toc 3"/>
    <w:basedOn w:val="1"/>
    <w:next w:val="1"/>
    <w:unhideWhenUsed/>
    <w:uiPriority w:val="39"/>
    <w:pPr>
      <w:ind w:left="560"/>
      <w:jc w:val="left"/>
    </w:pPr>
    <w:rPr>
      <w:rFonts w:ascii="Calibri" w:hAnsi="Calibri" w:cs="Calibri"/>
      <w:i/>
      <w:iCs/>
      <w:sz w:val="20"/>
      <w:szCs w:val="20"/>
    </w:rPr>
  </w:style>
  <w:style w:type="paragraph" w:styleId="14">
    <w:name w:val="toc 8"/>
    <w:basedOn w:val="1"/>
    <w:next w:val="1"/>
    <w:unhideWhenUsed/>
    <w:uiPriority w:val="39"/>
    <w:pPr>
      <w:ind w:left="1960"/>
      <w:jc w:val="left"/>
    </w:pPr>
    <w:rPr>
      <w:rFonts w:ascii="Calibri" w:hAnsi="Calibri" w:cs="Calibri"/>
      <w:sz w:val="18"/>
      <w:szCs w:val="18"/>
    </w:rPr>
  </w:style>
  <w:style w:type="paragraph" w:styleId="15">
    <w:name w:val="Balloon Text"/>
    <w:basedOn w:val="1"/>
    <w:link w:val="39"/>
    <w:unhideWhenUsed/>
    <w:uiPriority w:val="99"/>
    <w:rPr>
      <w:rFonts w:cs="Times New Roman"/>
      <w:kern w:val="0"/>
      <w:sz w:val="18"/>
      <w:szCs w:val="18"/>
    </w:rPr>
  </w:style>
  <w:style w:type="paragraph" w:styleId="16">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8">
    <w:name w:val="toc 1"/>
    <w:basedOn w:val="1"/>
    <w:next w:val="1"/>
    <w:unhideWhenUsed/>
    <w:uiPriority w:val="39"/>
    <w:pPr>
      <w:spacing w:before="120" w:after="120"/>
      <w:jc w:val="left"/>
    </w:pPr>
    <w:rPr>
      <w:rFonts w:ascii="Calibri" w:hAnsi="Calibri" w:cs="Calibri"/>
      <w:b/>
      <w:bCs/>
      <w:caps/>
      <w:sz w:val="20"/>
      <w:szCs w:val="20"/>
    </w:rPr>
  </w:style>
  <w:style w:type="paragraph" w:styleId="19">
    <w:name w:val="toc 4"/>
    <w:basedOn w:val="1"/>
    <w:next w:val="1"/>
    <w:unhideWhenUsed/>
    <w:uiPriority w:val="39"/>
    <w:pPr>
      <w:ind w:left="840"/>
      <w:jc w:val="left"/>
    </w:pPr>
    <w:rPr>
      <w:rFonts w:ascii="Calibri" w:hAnsi="Calibri" w:cs="Calibri"/>
      <w:sz w:val="18"/>
      <w:szCs w:val="18"/>
    </w:r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正文文本缩进 Char"/>
    <w:link w:val="3"/>
    <w:semiHidden/>
    <w:uiPriority w:val="99"/>
    <w:rPr>
      <w:rFonts w:ascii="Calibri" w:hAnsi="Calibri" w:eastAsia="仿宋_GB2312" w:cs="黑体"/>
      <w:sz w:val="28"/>
    </w:rPr>
  </w:style>
  <w:style w:type="character" w:customStyle="1" w:styleId="32">
    <w:name w:val="正文首行缩进 2 Char"/>
    <w:link w:val="2"/>
    <w:uiPriority w:val="0"/>
    <w:rPr>
      <w:rFonts w:ascii="Calibri" w:hAnsi="Calibri" w:eastAsia="仿宋_GB2312" w:cs="黑体"/>
      <w:sz w:val="28"/>
    </w:rPr>
  </w:style>
  <w:style w:type="character" w:customStyle="1" w:styleId="33">
    <w:name w:val="标题 1 Char"/>
    <w:link w:val="4"/>
    <w:uiPriority w:val="9"/>
    <w:rPr>
      <w:rFonts w:ascii="Times New Roman" w:hAnsi="Times New Roman" w:eastAsia="仿宋_GB2312" w:cs="Times New Roman"/>
      <w:b/>
      <w:bCs/>
      <w:kern w:val="44"/>
      <w:sz w:val="32"/>
      <w:szCs w:val="44"/>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5"/>
    <w:semiHidden/>
    <w:uiPriority w:val="99"/>
    <w:rPr>
      <w:rFonts w:ascii="Calibri" w:hAnsi="Calibri" w:eastAsia="仿宋_GB2312" w:cs="黑体"/>
      <w:sz w:val="18"/>
      <w:szCs w:val="18"/>
    </w:rPr>
  </w:style>
  <w:style w:type="character" w:customStyle="1" w:styleId="40">
    <w:name w:val="页脚 Char"/>
    <w:link w:val="16"/>
    <w:uiPriority w:val="99"/>
    <w:rPr>
      <w:rFonts w:ascii="Calibri" w:hAnsi="Calibri" w:eastAsia="仿宋_GB2312" w:cs="黑体"/>
      <w:sz w:val="18"/>
      <w:szCs w:val="18"/>
    </w:rPr>
  </w:style>
  <w:style w:type="character" w:customStyle="1" w:styleId="41">
    <w:name w:val="页眉 Char"/>
    <w:link w:val="17"/>
    <w:uiPriority w:val="99"/>
    <w:rPr>
      <w:rFonts w:ascii="Calibri" w:hAnsi="Calibri" w:eastAsia="仿宋_GB2312" w:cs="黑体"/>
      <w:sz w:val="18"/>
      <w:szCs w:val="18"/>
    </w:rPr>
  </w:style>
  <w:style w:type="character" w:customStyle="1" w:styleId="42">
    <w:name w:val="标题 Char"/>
    <w:link w:val="23"/>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qFormat/>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6"/>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0BE7D5D4218C45E892E9B0593EC1ACAA_13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52a244-d89d-49b4-bae3-e780d8a1912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10787</Words>
  <Characters>11367</Characters>
  <Lines>44</Lines>
  <Paragraphs>12</Paragraphs>
  <TotalTime>0</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2025-10-10T08:18:06Z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0BE7D5D4218C45E892E9B0593EC1ACAA_13</vt:lpwstr>
  </property>
  <property fmtid="{D5CDD505-2E9C-101B-9397-08002B2CF9AE}" pid="4" name="KSOTemplateDocerSaveRecord">
    <vt:lpwstr>eyJoZGlkIjoiZDE5MGZhMTJhZDM2OTQwYzkzYWVjM2FhZDUxN2Q0M2IiLCJ1c2VySWQiOiI2NTE5NDIwMjYifQ_x003D__x003D_</vt:lpwstr>
  </property>
</Properties>
</file>