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1A4D6">
      <w:bookmarkStart w:id="25" w:name="_GoBack"/>
      <w:bookmarkEnd w:id="25"/>
    </w:p>
    <w:p w14:paraId="5C23B1B7">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228C89BD">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pPr>
      <w:r>
        <w:rPr>
          <w:rFonts w:hint="eastAsia" w:ascii="黑体" w:hAnsi="黑体" w:eastAsia="黑体" w:cs="黑体"/>
          <w:b/>
          <w:sz w:val="36"/>
          <w:szCs w:val="36"/>
          <w:lang w:val="en-US" w:eastAsia="zh-CN"/>
        </w:rPr>
        <w:t>和田地区洛浦县</w:t>
      </w:r>
      <w:r>
        <w:rPr>
          <w:rFonts w:hint="eastAsia" w:ascii="黑体" w:hAnsi="黑体" w:eastAsia="黑体" w:cs="黑体"/>
          <w:b/>
          <w:bCs/>
          <w:color w:val="000000"/>
          <w:sz w:val="36"/>
          <w:szCs w:val="36"/>
          <w:highlight w:val="none"/>
          <w:lang w:val="en-US" w:eastAsia="zh-CN"/>
        </w:rPr>
        <w:t>2024年林业草原改革发展资金-良种苗木培育</w:t>
      </w:r>
      <w:r>
        <w:rPr>
          <w:rFonts w:hint="eastAsia" w:ascii="黑体" w:hAnsi="黑体" w:eastAsia="黑体" w:cs="黑体"/>
          <w:b/>
          <w:sz w:val="36"/>
          <w:szCs w:val="36"/>
        </w:rPr>
        <w:t>项目支出绩效评价报告</w:t>
      </w:r>
    </w:p>
    <w:p w14:paraId="3E2CE5A3">
      <w:pPr>
        <w:pStyle w:val="6"/>
        <w:jc w:val="center"/>
        <w:rPr>
          <w:rFonts w:hint="eastAsia" w:ascii="黑体" w:hAnsi="黑体" w:eastAsia="黑体" w:cs="黑体"/>
          <w:b/>
          <w:bCs w:val="0"/>
          <w:kern w:val="2"/>
          <w:sz w:val="36"/>
          <w:szCs w:val="36"/>
          <w:lang w:val="en-US" w:eastAsia="zh-CN" w:bidi="ar-SA"/>
        </w:rPr>
      </w:pPr>
      <w:r>
        <w:rPr>
          <w:rFonts w:hint="eastAsia" w:ascii="黑体" w:hAnsi="黑体" w:eastAsia="黑体" w:cs="黑体"/>
          <w:b/>
          <w:bCs w:val="0"/>
          <w:kern w:val="2"/>
          <w:sz w:val="36"/>
          <w:szCs w:val="36"/>
          <w:lang w:val="en-US" w:eastAsia="zh-CN" w:bidi="ar-SA"/>
        </w:rPr>
        <w:t>（2024年度）</w:t>
      </w:r>
    </w:p>
    <w:p w14:paraId="475949A8">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7A3AEFBD">
      <w:pPr>
        <w:pStyle w:val="6"/>
        <w:pageBreakBefore w:val="0"/>
        <w:widowControl w:val="0"/>
        <w:kinsoku/>
        <w:wordWrap/>
        <w:topLinePunct w:val="0"/>
        <w:autoSpaceDE/>
        <w:autoSpaceDN/>
        <w:bidi w:val="0"/>
        <w:spacing w:before="0" w:after="0" w:line="560" w:lineRule="exact"/>
        <w:ind w:left="0" w:leftChars="0" w:firstLine="0" w:firstLineChars="0"/>
        <w:textAlignment w:val="auto"/>
        <w:rPr>
          <w:rFonts w:hint="eastAsia" w:eastAsia="方正仿宋_GBK" w:cs="方正仿宋_GBK"/>
          <w:b/>
          <w:sz w:val="32"/>
          <w:lang w:bidi="en-US"/>
        </w:rPr>
      </w:pPr>
    </w:p>
    <w:p w14:paraId="5E11E615">
      <w:pPr>
        <w:rPr>
          <w:rFonts w:hint="eastAsia" w:eastAsia="方正仿宋_GBK" w:cs="方正仿宋_GBK"/>
          <w:b/>
          <w:sz w:val="32"/>
          <w:lang w:bidi="en-US"/>
        </w:rPr>
      </w:pPr>
    </w:p>
    <w:p w14:paraId="6EBC326D">
      <w:pPr>
        <w:pStyle w:val="2"/>
        <w:rPr>
          <w:rFonts w:hint="eastAsia" w:eastAsia="方正仿宋_GBK" w:cs="方正仿宋_GBK"/>
          <w:b/>
          <w:sz w:val="32"/>
          <w:lang w:bidi="en-US"/>
        </w:rPr>
      </w:pPr>
    </w:p>
    <w:p w14:paraId="0BE0E217">
      <w:pPr>
        <w:pStyle w:val="2"/>
        <w:rPr>
          <w:rFonts w:hint="eastAsia" w:eastAsia="方正仿宋_GBK" w:cs="方正仿宋_GBK"/>
          <w:b/>
          <w:sz w:val="32"/>
          <w:lang w:bidi="en-US"/>
        </w:rPr>
      </w:pPr>
    </w:p>
    <w:p w14:paraId="5AB082C5">
      <w:pPr>
        <w:pStyle w:val="2"/>
        <w:rPr>
          <w:rFonts w:hint="eastAsia" w:eastAsia="方正仿宋_GBK" w:cs="方正仿宋_GBK"/>
          <w:b/>
          <w:sz w:val="32"/>
          <w:lang w:bidi="en-US"/>
        </w:rPr>
      </w:pPr>
    </w:p>
    <w:p w14:paraId="59DBCF4A">
      <w:pPr>
        <w:pageBreakBefore w:val="0"/>
        <w:widowControl w:val="0"/>
        <w:kinsoku/>
        <w:wordWrap/>
        <w:topLinePunct w:val="0"/>
        <w:autoSpaceDE/>
        <w:autoSpaceDN/>
        <w:bidi w:val="0"/>
        <w:spacing w:line="560" w:lineRule="exact"/>
        <w:ind w:left="0" w:leftChars="0" w:firstLine="560"/>
        <w:textAlignment w:val="auto"/>
        <w:rPr>
          <w:rFonts w:hint="eastAsia"/>
        </w:rPr>
      </w:pPr>
    </w:p>
    <w:p w14:paraId="7F6B7022">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52B9B2FE">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kern w:val="0"/>
          <w:sz w:val="28"/>
          <w:szCs w:val="28"/>
          <w:lang w:bidi="en-US"/>
        </w:rPr>
        <w:t>项目名称：</w:t>
      </w:r>
      <w:r>
        <w:rPr>
          <w:rFonts w:hint="eastAsia" w:ascii="宋体" w:hAnsi="宋体" w:eastAsia="宋体" w:cs="宋体"/>
          <w:b/>
          <w:bCs/>
          <w:color w:val="000000"/>
          <w:kern w:val="0"/>
          <w:sz w:val="28"/>
          <w:szCs w:val="28"/>
          <w:highlight w:val="none"/>
          <w:lang w:val="en-US" w:eastAsia="zh-CN" w:bidi="en-US"/>
        </w:rPr>
        <w:t>洛浦县2024年林业草原改革发展资金</w:t>
      </w:r>
    </w:p>
    <w:p w14:paraId="0754478D">
      <w:pPr>
        <w:pageBreakBefore w:val="0"/>
        <w:widowControl w:val="0"/>
        <w:kinsoku/>
        <w:wordWrap/>
        <w:topLinePunct w:val="0"/>
        <w:autoSpaceDE/>
        <w:autoSpaceDN/>
        <w:bidi w:val="0"/>
        <w:spacing w:line="560" w:lineRule="exact"/>
        <w:ind w:left="0" w:leftChars="0" w:firstLine="3189" w:firstLineChars="1139"/>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val="en-US" w:eastAsia="zh-CN" w:bidi="en-US"/>
        </w:rPr>
        <w:t>-良种苗木培育项目</w:t>
      </w:r>
    </w:p>
    <w:p w14:paraId="0364985F">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val="en-US" w:eastAsia="zh-CN" w:bidi="en-US"/>
        </w:rPr>
        <w:t>项目单位：洛浦县国营苗圃</w:t>
      </w:r>
    </w:p>
    <w:p w14:paraId="7179BCD5">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val="en-US" w:eastAsia="zh-CN" w:bidi="en-US"/>
        </w:rPr>
        <w:t>主管部门：洛浦县林业和草原局</w:t>
      </w:r>
    </w:p>
    <w:p w14:paraId="43EDC354">
      <w:pPr>
        <w:pageBreakBefore w:val="0"/>
        <w:widowControl w:val="0"/>
        <w:kinsoku/>
        <w:wordWrap/>
        <w:topLinePunct w:val="0"/>
        <w:autoSpaceDE/>
        <w:autoSpaceDN/>
        <w:bidi w:val="0"/>
        <w:spacing w:line="560" w:lineRule="exact"/>
        <w:ind w:left="0" w:leftChars="0" w:firstLine="1234" w:firstLineChars="441"/>
        <w:jc w:val="left"/>
        <w:textAlignment w:val="auto"/>
        <w:rPr>
          <w:rFonts w:hint="default"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val="en-US" w:eastAsia="zh-CN" w:bidi="en-US"/>
        </w:rPr>
        <w:t>项目负责人：吾吉白地拉·阿布都艾力</w:t>
      </w:r>
    </w:p>
    <w:p w14:paraId="5D090CD5">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val="en-US" w:eastAsia="zh-CN" w:bidi="en-US"/>
        </w:rPr>
        <w:t>填报时间：   2025 年  3月 10 日</w:t>
      </w:r>
    </w:p>
    <w:p w14:paraId="3F368E38">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p>
    <w:p w14:paraId="7169243B">
      <w:pPr>
        <w:pStyle w:val="2"/>
        <w:pageBreakBefore w:val="0"/>
        <w:widowControl w:val="0"/>
        <w:kinsoku/>
        <w:wordWrap/>
        <w:topLinePunct w:val="0"/>
        <w:autoSpaceDE/>
        <w:autoSpaceDN/>
        <w:bidi w:val="0"/>
        <w:adjustRightInd/>
        <w:snapToGrid/>
        <w:spacing w:after="0" w:line="360" w:lineRule="auto"/>
        <w:ind w:left="0" w:leftChars="0" w:firstLine="480" w:firstLineChars="200"/>
        <w:textAlignment w:val="auto"/>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p w14:paraId="78F75534">
      <w:pPr>
        <w:pStyle w:val="2"/>
        <w:pageBreakBefore w:val="0"/>
        <w:widowControl w:val="0"/>
        <w:kinsoku/>
        <w:wordWrap/>
        <w:topLinePunct w:val="0"/>
        <w:autoSpaceDE/>
        <w:autoSpaceDN/>
        <w:bidi w:val="0"/>
        <w:adjustRightInd/>
        <w:snapToGrid/>
        <w:spacing w:after="0" w:line="360" w:lineRule="auto"/>
        <w:ind w:left="0" w:leftChars="0" w:firstLine="480" w:firstLineChars="200"/>
        <w:textAlignment w:val="auto"/>
        <w:rPr>
          <w:rFonts w:hint="eastAsia" w:ascii="宋体" w:hAnsi="宋体" w:eastAsia="宋体" w:cs="宋体"/>
          <w:sz w:val="24"/>
          <w:szCs w:val="24"/>
        </w:rPr>
      </w:pPr>
    </w:p>
    <w:p w14:paraId="6A23A22B">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bookmarkStart w:id="0" w:name="_Toc68364657"/>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2A0CE4A2">
      <w:pPr>
        <w:pStyle w:val="5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1909619F">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FF0000"/>
          <w:sz w:val="24"/>
          <w:szCs w:val="24"/>
          <w:lang w:val="en-US" w:eastAsia="zh-CN"/>
        </w:rPr>
      </w:pPr>
      <w:r>
        <w:rPr>
          <w:rFonts w:hint="eastAsia" w:ascii="宋体" w:hAnsi="宋体" w:eastAsia="宋体" w:cs="宋体"/>
          <w:b/>
          <w:bCs/>
          <w:sz w:val="24"/>
          <w:szCs w:val="24"/>
        </w:rPr>
        <w:t>1. 项目背景</w:t>
      </w:r>
    </w:p>
    <w:p w14:paraId="6E673E3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highlight w:val="none"/>
          <w:lang w:val="en-US" w:eastAsia="zh-CN"/>
        </w:rPr>
        <w:t>近年来，随着生态环境保护意识的增强，人民对绿化环境的需求日益增加。苗木种苗作为绿化工程的重要组成部分，对城市和乡村的美化起着至关重要的作用。苗木种苗的生产和销售需要大量资金支持，为了促进苗木种苗产业的发展，我们制定了苗木种苗资金补贴实施方案。</w:t>
      </w:r>
      <w:r>
        <w:rPr>
          <w:rFonts w:hint="eastAsia" w:ascii="宋体" w:hAnsi="宋体" w:eastAsia="宋体" w:cs="宋体"/>
          <w:color w:val="auto"/>
          <w:sz w:val="24"/>
          <w:szCs w:val="24"/>
          <w:lang w:val="en-US" w:eastAsia="zh-CN"/>
        </w:rPr>
        <w:t xml:space="preserve">   </w:t>
      </w:r>
      <w:r>
        <w:rPr>
          <w:rFonts w:hint="eastAsia" w:ascii="宋体" w:hAnsi="宋体" w:eastAsia="宋体" w:cs="宋体"/>
          <w:sz w:val="24"/>
          <w:szCs w:val="24"/>
          <w:lang w:val="en-US" w:eastAsia="zh-CN"/>
        </w:rPr>
        <w:t xml:space="preserve"> </w:t>
      </w:r>
    </w:p>
    <w:p w14:paraId="1B34B6A6">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sz w:val="24"/>
          <w:szCs w:val="24"/>
          <w:lang w:val="en-US" w:eastAsia="zh-CN"/>
        </w:rPr>
        <w:t>2.</w:t>
      </w:r>
      <w:r>
        <w:rPr>
          <w:rFonts w:hint="eastAsia" w:ascii="宋体" w:hAnsi="宋体" w:eastAsia="宋体" w:cs="宋体"/>
          <w:b/>
          <w:bCs/>
          <w:sz w:val="24"/>
          <w:szCs w:val="24"/>
        </w:rPr>
        <w:t>主要内容及实施情况</w:t>
      </w:r>
    </w:p>
    <w:p w14:paraId="56B7330C">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FF0000"/>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4C2FCFEF">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项目实施内容：补助林木良种培育面积51亩，生产二级以上良种苗木数量75万株。通过项目实施，为洛浦内提供质量优良，品种对路的优质苗木，为生产建设的健康发展提供保障。同时通过本地育苗，规避苗木引进病虫害的风险，确保品种纯度和质量，降低苗木成本，减轻农民负担。</w:t>
      </w:r>
    </w:p>
    <w:p w14:paraId="6A55AFF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2.实施情况</w:t>
      </w:r>
    </w:p>
    <w:p w14:paraId="1B0F5641">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1）项目实施主体</w:t>
      </w:r>
    </w:p>
    <w:p w14:paraId="5BD403B4">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sz w:val="24"/>
          <w:szCs w:val="24"/>
          <w:lang w:val="en-US" w:eastAsia="zh-CN"/>
        </w:rPr>
        <w:t>本项目主管部门为洛浦县</w:t>
      </w:r>
      <w:r>
        <w:rPr>
          <w:rFonts w:hint="eastAsia" w:ascii="宋体" w:hAnsi="宋体" w:eastAsia="宋体" w:cs="宋体"/>
          <w:sz w:val="24"/>
          <w:szCs w:val="24"/>
          <w:highlight w:val="none"/>
          <w:lang w:val="en-US" w:eastAsia="zh-CN"/>
        </w:rPr>
        <w:t>林业和草原</w:t>
      </w:r>
      <w:r>
        <w:rPr>
          <w:rFonts w:hint="eastAsia" w:ascii="宋体" w:hAnsi="宋体" w:eastAsia="宋体" w:cs="宋体"/>
          <w:b w:val="0"/>
          <w:bCs w:val="0"/>
          <w:sz w:val="24"/>
          <w:szCs w:val="24"/>
          <w:lang w:val="en-US" w:eastAsia="zh-CN"/>
        </w:rPr>
        <w:t>局，实施单位为洛浦县</w:t>
      </w:r>
      <w:r>
        <w:rPr>
          <w:rFonts w:hint="eastAsia" w:ascii="宋体" w:hAnsi="宋体" w:eastAsia="宋体" w:cs="宋体"/>
          <w:sz w:val="24"/>
          <w:szCs w:val="24"/>
          <w:highlight w:val="none"/>
          <w:lang w:val="en-US" w:eastAsia="zh-CN"/>
        </w:rPr>
        <w:t>国营苗圃</w:t>
      </w:r>
      <w:r>
        <w:rPr>
          <w:rFonts w:hint="eastAsia" w:ascii="宋体" w:hAnsi="宋体" w:eastAsia="宋体" w:cs="宋体"/>
          <w:b w:val="0"/>
          <w:bCs w:val="0"/>
          <w:color w:val="FF0000"/>
          <w:sz w:val="24"/>
          <w:szCs w:val="24"/>
          <w:lang w:val="en-US" w:eastAsia="zh-CN"/>
        </w:rPr>
        <w:t>。</w:t>
      </w:r>
    </w:p>
    <w:p w14:paraId="57A3296C">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（2）项目实施时间：</w:t>
      </w:r>
      <w:r>
        <w:rPr>
          <w:rFonts w:hint="eastAsia" w:ascii="宋体" w:hAnsi="宋体" w:eastAsia="宋体" w:cs="宋体"/>
          <w:b w:val="0"/>
          <w:bCs w:val="0"/>
          <w:sz w:val="24"/>
          <w:szCs w:val="24"/>
          <w:lang w:val="en-US" w:eastAsia="zh-CN"/>
        </w:rPr>
        <w:t>2024年1月-2024年12月</w:t>
      </w:r>
    </w:p>
    <w:p w14:paraId="0559AE77">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bCs/>
          <w:sz w:val="24"/>
          <w:szCs w:val="24"/>
          <w:lang w:val="en-US" w:eastAsia="zh-CN"/>
        </w:rPr>
        <w:t>（3）项目实施情况</w:t>
      </w:r>
    </w:p>
    <w:p w14:paraId="258A819D">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color w:val="000000"/>
          <w:kern w:val="0"/>
          <w:sz w:val="24"/>
          <w:szCs w:val="24"/>
          <w:highlight w:val="none"/>
          <w:lang w:val="en-US" w:eastAsia="zh-CN" w:bidi="ar-SA"/>
        </w:rPr>
        <w:t>本项目于2024年12月31日前全部完工</w:t>
      </w:r>
      <w:r>
        <w:rPr>
          <w:rFonts w:hint="eastAsia" w:ascii="宋体" w:hAnsi="宋体" w:eastAsia="宋体" w:cs="宋体"/>
          <w:b w:val="0"/>
          <w:bCs w:val="0"/>
          <w:color w:val="auto"/>
          <w:sz w:val="24"/>
          <w:szCs w:val="24"/>
          <w:lang w:val="en-US" w:eastAsia="zh-CN"/>
        </w:rPr>
        <w:t>。</w:t>
      </w:r>
    </w:p>
    <w:p w14:paraId="24684F7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已经完成林木良种培育面积51亩，生产二级以上良种苗木数量75万株。通过项目实施，为洛浦内提供了质量优良，品种对路的优质苗木，为生产建设的健康发展提供保障。同时通过本地育苗，规避苗木引进病虫害的风险，确保品种纯度和质量，降低苗木成本，减轻了农民负担。</w:t>
      </w:r>
    </w:p>
    <w:p w14:paraId="44D8FA49">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资金投入和使用情况</w:t>
      </w:r>
    </w:p>
    <w:p w14:paraId="4185A79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6BAF20F6">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万元，资金来源为部门预算</w:t>
      </w:r>
      <w:r>
        <w:rPr>
          <w:rFonts w:hint="eastAsia" w:ascii="宋体" w:hAnsi="宋体" w:eastAsia="宋体" w:cs="宋体"/>
          <w:color w:val="auto"/>
          <w:sz w:val="24"/>
          <w:szCs w:val="24"/>
          <w:shd w:val="clear" w:color="FFFFFF" w:fill="D9D9D9"/>
        </w:rPr>
        <w:t>（</w:t>
      </w:r>
      <w:r>
        <w:rPr>
          <w:rFonts w:hint="eastAsia" w:ascii="宋体" w:hAnsi="宋体" w:eastAsia="宋体" w:cs="宋体"/>
          <w:color w:val="auto"/>
          <w:sz w:val="24"/>
          <w:szCs w:val="24"/>
          <w:shd w:val="clear" w:color="FFFFFF" w:fill="D9D9D9"/>
          <w:lang w:eastAsia="zh-CN"/>
        </w:rPr>
        <w:t>中央</w:t>
      </w:r>
      <w:r>
        <w:rPr>
          <w:rFonts w:hint="eastAsia" w:ascii="宋体" w:hAnsi="宋体" w:eastAsia="宋体" w:cs="宋体"/>
          <w:color w:val="auto"/>
          <w:sz w:val="24"/>
          <w:szCs w:val="24"/>
          <w:shd w:val="clear" w:color="FFFFFF" w:fill="D9D9D9"/>
        </w:rPr>
        <w:t>专项资金</w:t>
      </w:r>
      <w:r>
        <w:rPr>
          <w:rFonts w:hint="eastAsia" w:ascii="宋体" w:hAnsi="宋体" w:eastAsia="宋体" w:cs="宋体"/>
          <w:color w:val="auto"/>
          <w:sz w:val="24"/>
          <w:szCs w:val="24"/>
          <w:shd w:val="clear" w:color="FFFFFF" w:fill="D9D9D9"/>
          <w:lang w:val="en-US" w:eastAsia="zh-CN"/>
        </w:rPr>
        <w:t>)</w:t>
      </w:r>
      <w:r>
        <w:rPr>
          <w:rFonts w:hint="eastAsia" w:ascii="宋体" w:hAnsi="宋体" w:eastAsia="宋体" w:cs="宋体"/>
          <w:color w:val="auto"/>
          <w:sz w:val="24"/>
          <w:szCs w:val="24"/>
          <w:shd w:val="clear" w:color="FFFFFF" w:fill="D9D9D9"/>
        </w:rPr>
        <w:t>，</w:t>
      </w:r>
      <w:r>
        <w:rPr>
          <w:rFonts w:hint="eastAsia" w:ascii="宋体" w:hAnsi="宋体" w:eastAsia="宋体" w:cs="宋体"/>
          <w:color w:val="auto"/>
          <w:sz w:val="24"/>
          <w:szCs w:val="24"/>
        </w:rPr>
        <w:t>其中：财政资金</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万元，其他资金</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 xml:space="preserve"> %。</w:t>
      </w:r>
    </w:p>
    <w:p w14:paraId="3D4E4ADE">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635401AF">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24.96</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99.04</w:t>
      </w:r>
      <w:r>
        <w:rPr>
          <w:rFonts w:hint="eastAsia" w:ascii="宋体" w:hAnsi="宋体" w:eastAsia="宋体" w:cs="宋体"/>
          <w:color w:val="auto"/>
          <w:sz w:val="24"/>
          <w:szCs w:val="24"/>
        </w:rPr>
        <w:t>%（预算执行率=（实际支出资金额/预算资金额）*100%，如项目预算执行率不是100%，则需说明结转资金额度和结余资金额度情况）。本项目资金主要用于支付</w:t>
      </w:r>
      <w:r>
        <w:rPr>
          <w:rFonts w:hint="eastAsia" w:ascii="宋体" w:hAnsi="宋体" w:eastAsia="宋体" w:cs="宋体"/>
          <w:color w:val="auto"/>
          <w:sz w:val="24"/>
          <w:szCs w:val="24"/>
          <w:highlight w:val="none"/>
          <w:lang w:eastAsia="zh-CN"/>
        </w:rPr>
        <w:t>育苗</w:t>
      </w:r>
      <w:r>
        <w:rPr>
          <w:rFonts w:hint="eastAsia" w:ascii="宋体" w:hAnsi="宋体" w:eastAsia="宋体" w:cs="宋体"/>
          <w:color w:val="auto"/>
          <w:sz w:val="24"/>
          <w:szCs w:val="24"/>
        </w:rPr>
        <w:t>费用</w:t>
      </w:r>
      <w:r>
        <w:rPr>
          <w:rFonts w:hint="eastAsia" w:ascii="宋体" w:hAnsi="宋体" w:eastAsia="宋体" w:cs="宋体"/>
          <w:color w:val="auto"/>
          <w:sz w:val="24"/>
          <w:szCs w:val="24"/>
          <w:highlight w:val="none"/>
          <w:lang w:val="en-US" w:eastAsia="zh-CN"/>
        </w:rPr>
        <w:t>6.34</w:t>
      </w:r>
      <w:r>
        <w:rPr>
          <w:rFonts w:hint="eastAsia" w:ascii="宋体" w:hAnsi="宋体" w:eastAsia="宋体" w:cs="宋体"/>
          <w:color w:val="auto"/>
          <w:sz w:val="24"/>
          <w:szCs w:val="24"/>
        </w:rPr>
        <w:t>万元、</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育苗物资</w:t>
      </w:r>
      <w:r>
        <w:rPr>
          <w:rFonts w:hint="eastAsia" w:ascii="宋体" w:hAnsi="宋体" w:eastAsia="宋体" w:cs="宋体"/>
          <w:color w:val="auto"/>
          <w:sz w:val="24"/>
          <w:szCs w:val="24"/>
        </w:rPr>
        <w:t>费用</w:t>
      </w:r>
      <w:r>
        <w:rPr>
          <w:rFonts w:hint="eastAsia" w:ascii="宋体" w:hAnsi="宋体" w:eastAsia="宋体" w:cs="宋体"/>
          <w:color w:val="auto"/>
          <w:sz w:val="24"/>
          <w:szCs w:val="24"/>
          <w:highlight w:val="none"/>
          <w:lang w:val="en-US" w:eastAsia="zh-CN"/>
        </w:rPr>
        <w:t>18.42</w:t>
      </w:r>
      <w:r>
        <w:rPr>
          <w:rFonts w:hint="eastAsia" w:ascii="宋体" w:hAnsi="宋体" w:eastAsia="宋体" w:cs="宋体"/>
          <w:color w:val="auto"/>
          <w:sz w:val="24"/>
          <w:szCs w:val="24"/>
        </w:rPr>
        <w:t>万元</w:t>
      </w:r>
      <w:r>
        <w:rPr>
          <w:rFonts w:hint="eastAsia" w:ascii="宋体" w:hAnsi="宋体" w:eastAsia="宋体" w:cs="宋体"/>
          <w:color w:val="auto"/>
          <w:sz w:val="24"/>
          <w:szCs w:val="24"/>
          <w:lang w:val="en-US" w:eastAsia="zh-CN"/>
        </w:rPr>
        <w:t>等</w:t>
      </w:r>
      <w:r>
        <w:rPr>
          <w:rFonts w:hint="eastAsia" w:ascii="宋体" w:hAnsi="宋体" w:eastAsia="宋体" w:cs="宋体"/>
          <w:color w:val="auto"/>
          <w:sz w:val="24"/>
          <w:szCs w:val="24"/>
        </w:rPr>
        <w:t>。</w:t>
      </w:r>
    </w:p>
    <w:p w14:paraId="000A65E9">
      <w:pPr>
        <w:pStyle w:val="5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1F6A293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615C1FCF">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70A66B9F">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FF0000"/>
          <w:sz w:val="24"/>
          <w:szCs w:val="24"/>
        </w:rPr>
      </w:pPr>
      <w:r>
        <w:rPr>
          <w:rFonts w:hint="eastAsia" w:ascii="宋体" w:hAnsi="宋体" w:eastAsia="宋体" w:cs="宋体"/>
          <w:color w:val="000000"/>
          <w:sz w:val="24"/>
          <w:szCs w:val="24"/>
          <w:highlight w:val="none"/>
        </w:rPr>
        <w:t>年度总体目标为：根据《关于提前下达 专项资金-和地财建[2023】96号：2024年林业草原改革发展资金-良种苗木培育）文件实施此项目，项目主要内容为：补助林木良种培育面积51亩，生产二级以上良种苗木数量</w:t>
      </w:r>
      <w:r>
        <w:rPr>
          <w:rFonts w:hint="eastAsia" w:ascii="宋体" w:hAnsi="宋体" w:eastAsia="宋体" w:cs="宋体"/>
          <w:color w:val="000000"/>
          <w:sz w:val="24"/>
          <w:szCs w:val="24"/>
          <w:highlight w:val="none"/>
          <w:lang w:val="en-US" w:eastAsia="zh-CN"/>
        </w:rPr>
        <w:t>75</w:t>
      </w:r>
      <w:r>
        <w:rPr>
          <w:rFonts w:hint="eastAsia" w:ascii="宋体" w:hAnsi="宋体" w:eastAsia="宋体" w:cs="宋体"/>
          <w:color w:val="000000"/>
          <w:sz w:val="24"/>
          <w:szCs w:val="24"/>
          <w:highlight w:val="none"/>
        </w:rPr>
        <w:t>万株。通过项目实施，为洛浦内提供质量优良，品种对路的优质苗木，为生产建设的健康发展提供保障。同时通过本地育苗，规避苗木引进病虫害的风险</w:t>
      </w:r>
      <w:r>
        <w:rPr>
          <w:rFonts w:hint="eastAsia" w:ascii="宋体" w:hAnsi="宋体" w:eastAsia="宋体" w:cs="宋体"/>
          <w:color w:val="auto"/>
          <w:sz w:val="24"/>
          <w:szCs w:val="24"/>
        </w:rPr>
        <w:t>，</w:t>
      </w:r>
      <w:r>
        <w:rPr>
          <w:rFonts w:hint="eastAsia" w:ascii="宋体" w:hAnsi="宋体" w:eastAsia="宋体" w:cs="宋体"/>
          <w:color w:val="000000"/>
          <w:sz w:val="24"/>
          <w:szCs w:val="24"/>
          <w:highlight w:val="none"/>
        </w:rPr>
        <w:t>确保品种纯度和质量，降低苗木成本，减轻农民负担。</w:t>
      </w:r>
    </w:p>
    <w:p w14:paraId="29C4CDBA">
      <w:pPr>
        <w:pStyle w:val="45"/>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49F1E454">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2F4260A3">
      <w:pPr>
        <w:pStyle w:val="45"/>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4AEEAA23">
      <w:pPr>
        <w:pStyle w:val="45"/>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4AA61BE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指标1：</w:t>
      </w:r>
      <w:bookmarkStart w:id="4" w:name="_Hlk506190"/>
      <w:r>
        <w:rPr>
          <w:rFonts w:hint="eastAsia" w:ascii="宋体" w:hAnsi="宋体" w:eastAsia="宋体" w:cs="宋体"/>
          <w:color w:val="auto"/>
          <w:sz w:val="24"/>
          <w:szCs w:val="24"/>
          <w:highlight w:val="none"/>
          <w:lang w:val="en-US" w:eastAsia="zh-CN"/>
        </w:rPr>
        <w:t>林木良</w:t>
      </w:r>
      <w:r>
        <w:rPr>
          <w:rFonts w:hint="eastAsia" w:ascii="宋体" w:hAnsi="宋体" w:eastAsia="宋体" w:cs="宋体"/>
          <w:color w:val="000000"/>
          <w:sz w:val="24"/>
          <w:szCs w:val="24"/>
          <w:highlight w:val="none"/>
          <w:lang w:val="en-US" w:eastAsia="zh-CN"/>
        </w:rPr>
        <w:t>种培育数量，预期指标值=75万株；</w:t>
      </w:r>
      <w:bookmarkEnd w:id="4"/>
    </w:p>
    <w:p w14:paraId="3F0437F8">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4038DF04">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000000"/>
          <w:sz w:val="24"/>
          <w:szCs w:val="24"/>
          <w:highlight w:val="none"/>
          <w:lang w:val="en-US" w:eastAsia="zh-CN"/>
        </w:rPr>
        <w:t>指标1：林木良种培育完成率，预期指标值=100%；</w:t>
      </w:r>
    </w:p>
    <w:p w14:paraId="346D8AF1">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6F3193B1">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指标1：项目开始时间，预期指标值2024年1月；</w:t>
      </w:r>
    </w:p>
    <w:p w14:paraId="42CA3A0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指标2：项目完工时间，预期指标值2024年12月；</w:t>
      </w:r>
    </w:p>
    <w:p w14:paraId="1F3117A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指标3：资金支付及时率，预期指标值=100%；</w:t>
      </w:r>
    </w:p>
    <w:p w14:paraId="74091A40">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784CB6C1">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77764011">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指标1：林木良种培育中央财政补助标准，预期指标值=1.5元/株；</w:t>
      </w:r>
    </w:p>
    <w:p w14:paraId="694E4B60">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14678D7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该项目无社会成本指标；</w:t>
      </w:r>
    </w:p>
    <w:p w14:paraId="610C112C">
      <w:pPr>
        <w:pStyle w:val="45"/>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生态成本指标;</w:t>
      </w:r>
    </w:p>
    <w:p w14:paraId="1964AB81">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该项目无生态成本指标；</w:t>
      </w:r>
    </w:p>
    <w:p w14:paraId="7262F1B7">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66567BF3">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1）经济效益指标：</w:t>
      </w:r>
    </w:p>
    <w:p w14:paraId="2F34032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该项目无经济效益指标；</w:t>
      </w:r>
    </w:p>
    <w:p w14:paraId="1B216F19">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0EF0A824">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指标1：提高造林绿化苗木质量，预期指标值为有效提高；</w:t>
      </w:r>
    </w:p>
    <w:p w14:paraId="2EFE3C28">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3）生态效益指标：</w:t>
      </w:r>
    </w:p>
    <w:p w14:paraId="200A53CC">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该项目无生态效益指标；</w:t>
      </w:r>
    </w:p>
    <w:p w14:paraId="59F2FA43">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54AA7C6E">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指标1：项目区群众满意度，预期指标值≥95%。</w:t>
      </w:r>
    </w:p>
    <w:p w14:paraId="318B7E1F">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p>
    <w:p w14:paraId="5FF0D164">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2B450B64">
      <w:pPr>
        <w:pStyle w:val="5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5" w:name="_Toc68364661"/>
      <w:r>
        <w:rPr>
          <w:rFonts w:hint="eastAsia" w:ascii="宋体" w:hAnsi="宋体" w:eastAsia="宋体" w:cs="宋体"/>
          <w:sz w:val="24"/>
          <w:szCs w:val="24"/>
        </w:rPr>
        <w:t>（一）绩效评价目的、对象和范围</w:t>
      </w:r>
      <w:bookmarkEnd w:id="5"/>
    </w:p>
    <w:p w14:paraId="455EAFC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73EFFA42">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w:t>
      </w:r>
      <w:r>
        <w:rPr>
          <w:rFonts w:hint="eastAsia" w:ascii="宋体" w:hAnsi="宋体" w:eastAsia="宋体" w:cs="宋体"/>
          <w:sz w:val="24"/>
          <w:szCs w:val="24"/>
          <w:highlight w:val="none"/>
        </w:rPr>
        <w:t>等相关政策文件与规</w:t>
      </w:r>
      <w:r>
        <w:rPr>
          <w:rFonts w:hint="eastAsia" w:ascii="宋体" w:hAnsi="宋体" w:eastAsia="宋体" w:cs="宋体"/>
          <w:sz w:val="24"/>
          <w:szCs w:val="24"/>
        </w:rPr>
        <w:t>定，对</w:t>
      </w:r>
      <w:r>
        <w:rPr>
          <w:rFonts w:hint="eastAsia" w:ascii="宋体" w:hAnsi="宋体" w:eastAsia="宋体" w:cs="宋体"/>
          <w:color w:val="000000"/>
          <w:sz w:val="24"/>
          <w:szCs w:val="24"/>
          <w:highlight w:val="none"/>
        </w:rPr>
        <w:t>专项资金-和地财建[2023】96号：2024年林业草原改革发展资金-良种苗木培育</w:t>
      </w:r>
      <w:r>
        <w:rPr>
          <w:rFonts w:hint="eastAsia" w:ascii="宋体" w:hAnsi="宋体" w:eastAsia="宋体" w:cs="宋体"/>
          <w:color w:val="auto"/>
          <w:sz w:val="24"/>
          <w:szCs w:val="24"/>
        </w:rPr>
        <w:t>项目</w:t>
      </w:r>
      <w:r>
        <w:rPr>
          <w:rFonts w:hint="eastAsia" w:ascii="宋体" w:hAnsi="宋体" w:eastAsia="宋体" w:cs="宋体"/>
          <w:sz w:val="24"/>
          <w:szCs w:val="24"/>
        </w:rPr>
        <w:t>开展本次部门项目支出绩效评价工作。全面了解</w:t>
      </w:r>
      <w:r>
        <w:rPr>
          <w:rFonts w:hint="eastAsia" w:ascii="宋体" w:hAnsi="宋体" w:eastAsia="宋体" w:cs="宋体"/>
          <w:color w:val="000000"/>
          <w:sz w:val="24"/>
          <w:szCs w:val="24"/>
          <w:highlight w:val="none"/>
        </w:rPr>
        <w:t>专项资金-和地财建[2023】96号：2024年林业草原改革发展资金-良种苗木培育</w:t>
      </w:r>
      <w:r>
        <w:rPr>
          <w:rFonts w:hint="eastAsia" w:ascii="宋体" w:hAnsi="宋体" w:eastAsia="宋体" w:cs="宋体"/>
          <w:sz w:val="24"/>
          <w:szCs w:val="24"/>
        </w:rPr>
        <w:t>项目预算编制合理性、资金使用合规性、项目管理的规范性、项目目标的实现情况、服务对象的满意度等项目实施前期、过程及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67A3156D">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0B885CF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4691D34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74C2FD8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0315D72E">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000000"/>
          <w:sz w:val="24"/>
          <w:szCs w:val="24"/>
          <w:highlight w:val="none"/>
        </w:rPr>
        <w:t>专项资金-和地财建[2023】96号：2024年林业草原改革发展资金-良种苗木培育</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2087196D">
      <w:pPr>
        <w:pStyle w:val="45"/>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4A6B57ED">
      <w:pPr>
        <w:pStyle w:val="45"/>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本次绩效评价主要围绕</w:t>
      </w:r>
      <w:r>
        <w:rPr>
          <w:rFonts w:hint="eastAsia" w:ascii="宋体" w:hAnsi="宋体" w:eastAsia="宋体" w:cs="宋体"/>
          <w:color w:val="000000"/>
          <w:sz w:val="24"/>
          <w:szCs w:val="24"/>
          <w:highlight w:val="none"/>
        </w:rPr>
        <w:t>专项资金-和地财建[2023】96号：2024年林业草原改革发展资金-良种苗</w:t>
      </w:r>
      <w:r>
        <w:rPr>
          <w:rFonts w:hint="eastAsia" w:ascii="宋体" w:hAnsi="宋体" w:eastAsia="宋体" w:cs="宋体"/>
          <w:color w:val="auto"/>
          <w:sz w:val="24"/>
          <w:szCs w:val="24"/>
          <w:highlight w:val="none"/>
        </w:rPr>
        <w:t>木培育</w:t>
      </w:r>
      <w:r>
        <w:rPr>
          <w:rFonts w:hint="eastAsia" w:ascii="宋体" w:hAnsi="宋体" w:eastAsia="宋体" w:cs="宋体"/>
          <w:color w:val="auto"/>
          <w:sz w:val="24"/>
          <w:szCs w:val="24"/>
        </w:rPr>
        <w:t>项目决策、项目资</w:t>
      </w:r>
      <w:r>
        <w:rPr>
          <w:rFonts w:hint="eastAsia" w:ascii="宋体" w:hAnsi="宋体" w:eastAsia="宋体" w:cs="宋体"/>
          <w:sz w:val="24"/>
          <w:szCs w:val="24"/>
        </w:rPr>
        <w:t>金管理、项目实施过程管理，以及项目实施所带来的产出和效果等内容，进行综合评价。范围涵盖项目总体绩效目标、各项绩效指标完成情况以及预算执行情况</w:t>
      </w:r>
      <w:bookmarkStart w:id="6" w:name="_Toc68364662"/>
      <w:r>
        <w:rPr>
          <w:rFonts w:hint="eastAsia" w:ascii="宋体" w:hAnsi="宋体" w:eastAsia="宋体" w:cs="宋体"/>
          <w:sz w:val="24"/>
          <w:szCs w:val="24"/>
          <w:lang w:eastAsia="zh-CN"/>
        </w:rPr>
        <w:t>，</w:t>
      </w:r>
      <w:r>
        <w:rPr>
          <w:rFonts w:hint="eastAsia" w:ascii="宋体" w:hAnsi="宋体" w:eastAsia="宋体" w:cs="宋体"/>
          <w:sz w:val="24"/>
          <w:szCs w:val="24"/>
        </w:rPr>
        <w:t>覆盖预算资金支出项目的所有内容进行评价。</w:t>
      </w:r>
    </w:p>
    <w:p w14:paraId="58EDE7B9">
      <w:pPr>
        <w:pStyle w:val="52"/>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6"/>
    </w:p>
    <w:p w14:paraId="1293426A">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7BBACF8D">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01A1C926">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13E9674F">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3C48579C">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537091B5">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4BE6432D">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14DCF46E">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6AD6792D">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1FE2D2F6">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0D3E03A3">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0A0ED5D8">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07C7BEE6">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52368EA3">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F63234E">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597ABE88">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21F9E0D9">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23BFA71C">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3B245ECE">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090C23D6">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746EFF44">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4F6D5ED8">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7A614EE0">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5B85CB1F">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1E22065C">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475BCA18">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2FC7ED53">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83ED081">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060FB2A0">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35566338">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shd w:val="clear" w:color="FFFFFF" w:fill="D9D9D9"/>
        </w:rPr>
      </w:pPr>
      <w:bookmarkStart w:id="7" w:name="_Toc68364663"/>
      <w:r>
        <w:rPr>
          <w:rFonts w:hint="eastAsia" w:ascii="宋体" w:hAnsi="宋体" w:eastAsia="宋体" w:cs="宋体"/>
          <w:sz w:val="24"/>
          <w:szCs w:val="24"/>
        </w:rPr>
        <w:t>绩效评价标准通常包括计划标准、行业标</w:t>
      </w:r>
      <w:r>
        <w:rPr>
          <w:rFonts w:hint="eastAsia" w:ascii="宋体" w:hAnsi="宋体" w:eastAsia="宋体" w:cs="宋体"/>
          <w:sz w:val="24"/>
          <w:szCs w:val="24"/>
          <w:shd w:val="clear" w:color="auto" w:fill="auto"/>
        </w:rPr>
        <w:t>准、历史标准等，用于对绩效指标完成情况进行比较、分析、评价。</w:t>
      </w:r>
      <w:r>
        <w:rPr>
          <w:rFonts w:hint="eastAsia" w:ascii="宋体" w:hAnsi="宋体" w:eastAsia="宋体" w:cs="宋体"/>
          <w:color w:val="auto"/>
          <w:sz w:val="24"/>
          <w:szCs w:val="24"/>
          <w:shd w:val="clear" w:color="auto" w:fill="auto"/>
        </w:rPr>
        <w:t>本次</w:t>
      </w:r>
      <w:r>
        <w:rPr>
          <w:rFonts w:hint="eastAsia" w:ascii="宋体" w:hAnsi="宋体" w:eastAsia="宋体" w:cs="宋体"/>
          <w:color w:val="auto"/>
          <w:sz w:val="24"/>
          <w:szCs w:val="24"/>
          <w:shd w:val="clear" w:color="FFFFFF" w:fill="auto"/>
        </w:rPr>
        <w:t>评价主要采用了</w:t>
      </w:r>
      <w:r>
        <w:rPr>
          <w:rFonts w:hint="eastAsia" w:ascii="宋体" w:hAnsi="宋体" w:eastAsia="宋体" w:cs="宋体"/>
          <w:color w:val="auto"/>
          <w:sz w:val="24"/>
          <w:szCs w:val="24"/>
          <w:shd w:val="clear" w:color="FFFFFF" w:fill="auto"/>
          <w:lang w:eastAsia="zh-CN"/>
        </w:rPr>
        <w:t>计划</w:t>
      </w:r>
      <w:r>
        <w:rPr>
          <w:rFonts w:hint="eastAsia" w:ascii="宋体" w:hAnsi="宋体" w:eastAsia="宋体" w:cs="宋体"/>
          <w:color w:val="auto"/>
          <w:sz w:val="24"/>
          <w:szCs w:val="24"/>
          <w:shd w:val="clear" w:color="FFFFFF" w:fill="auto"/>
        </w:rPr>
        <w:t>标准。</w:t>
      </w:r>
    </w:p>
    <w:p w14:paraId="6913C2AC">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8" w:name="_Toc31464"/>
      <w:bookmarkStart w:id="9" w:name="_Toc17882"/>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8"/>
      <w:bookmarkEnd w:id="9"/>
    </w:p>
    <w:p w14:paraId="4326E8C5">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10" w:name="_Toc5633"/>
      <w:bookmarkStart w:id="11" w:name="_Toc2318"/>
      <w:r>
        <w:rPr>
          <w:rFonts w:hint="eastAsia" w:ascii="宋体" w:hAnsi="宋体" w:eastAsia="宋体" w:cs="宋体"/>
          <w:b/>
          <w:bCs/>
          <w:sz w:val="24"/>
          <w:szCs w:val="24"/>
        </w:rPr>
        <w:t>行业标准：</w:t>
      </w:r>
      <w:r>
        <w:rPr>
          <w:rFonts w:hint="eastAsia" w:ascii="宋体" w:hAnsi="宋体" w:eastAsia="宋体" w:cs="宋体"/>
          <w:sz w:val="24"/>
          <w:szCs w:val="24"/>
        </w:rPr>
        <w:t>指参照国家公布的行业指标数据制定的评价标准。</w:t>
      </w:r>
      <w:bookmarkEnd w:id="10"/>
      <w:bookmarkEnd w:id="11"/>
    </w:p>
    <w:p w14:paraId="4F800DEE">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12" w:name="_Toc430"/>
      <w:bookmarkStart w:id="13" w:name="_Toc16028"/>
      <w:r>
        <w:rPr>
          <w:rFonts w:hint="eastAsia" w:ascii="宋体" w:hAnsi="宋体" w:eastAsia="宋体" w:cs="宋体"/>
          <w:b/>
          <w:bCs/>
          <w:sz w:val="24"/>
          <w:szCs w:val="24"/>
        </w:rPr>
        <w:t>历史标准：</w:t>
      </w:r>
      <w:r>
        <w:rPr>
          <w:rFonts w:hint="eastAsia" w:ascii="宋体" w:hAnsi="宋体" w:eastAsia="宋体" w:cs="宋体"/>
          <w:sz w:val="24"/>
          <w:szCs w:val="24"/>
        </w:rPr>
        <w:t>指参照历史数据制定的评价标准，为体现绩效改进的原则，在可实现的条件下应当确定相对较高的评价标准。</w:t>
      </w:r>
      <w:bookmarkEnd w:id="12"/>
      <w:bookmarkEnd w:id="13"/>
    </w:p>
    <w:p w14:paraId="4FCD4964">
      <w:pPr>
        <w:pStyle w:val="5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7"/>
    </w:p>
    <w:p w14:paraId="28D21A33">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4" w:name="_Toc68364664"/>
      <w:r>
        <w:rPr>
          <w:rFonts w:hint="eastAsia" w:ascii="宋体" w:hAnsi="宋体" w:eastAsia="宋体" w:cs="宋体"/>
          <w:sz w:val="24"/>
          <w:szCs w:val="24"/>
        </w:rPr>
        <w:t>1.前期准备</w:t>
      </w:r>
    </w:p>
    <w:p w14:paraId="4F4E4E7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30FEE54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吾吉白地拉·阿布都力</w:t>
      </w:r>
      <w:r>
        <w:rPr>
          <w:rFonts w:hint="eastAsia" w:ascii="宋体" w:hAnsi="宋体" w:eastAsia="宋体" w:cs="宋体"/>
          <w:sz w:val="24"/>
          <w:szCs w:val="24"/>
        </w:rPr>
        <w:t>（评价小组组长）：主要负责</w:t>
      </w:r>
      <w:r>
        <w:rPr>
          <w:rFonts w:hint="eastAsia" w:ascii="宋体" w:hAnsi="宋体" w:eastAsia="宋体" w:cs="宋体"/>
          <w:color w:val="auto"/>
          <w:sz w:val="24"/>
          <w:szCs w:val="24"/>
        </w:rPr>
        <w:t>整体统筹绩效评价工作，制定评价方案与计划，把控评价进度与方向，协调内外部资源，审核评价报告，对评价结果的准确性和有效性负责，确保评价工作符合相关政策法规与项目目标要求</w:t>
      </w:r>
      <w:r>
        <w:rPr>
          <w:rFonts w:hint="eastAsia" w:ascii="宋体" w:hAnsi="宋体" w:eastAsia="宋体" w:cs="宋体"/>
          <w:color w:val="FF0000"/>
          <w:sz w:val="24"/>
          <w:szCs w:val="24"/>
        </w:rPr>
        <w:t>;</w:t>
      </w:r>
    </w:p>
    <w:p w14:paraId="56D1522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sz w:val="24"/>
          <w:szCs w:val="24"/>
          <w:lang w:val="en-US" w:eastAsia="zh-CN"/>
        </w:rPr>
        <w:t>凯丽比古丽</w:t>
      </w:r>
      <w:r>
        <w:rPr>
          <w:rFonts w:hint="eastAsia" w:ascii="宋体" w:hAnsi="宋体" w:eastAsia="宋体" w:cs="宋体"/>
          <w:sz w:val="24"/>
          <w:szCs w:val="24"/>
        </w:rPr>
        <w:t>（评价小组组员）：主要负责</w:t>
      </w:r>
      <w:r>
        <w:rPr>
          <w:rFonts w:hint="eastAsia" w:ascii="宋体" w:hAnsi="宋体" w:eastAsia="宋体" w:cs="宋体"/>
          <w:color w:val="auto"/>
          <w:sz w:val="24"/>
          <w:szCs w:val="24"/>
        </w:rPr>
        <w:t>收集项目相关的基础资料，包括财务报表等。对数据进行初步整理与分析，协助组长开展实地调研，访谈相关工作人员，了解项目执行过程中的实际情况，为评价工作提供数据支撑与一线信息;</w:t>
      </w:r>
    </w:p>
    <w:p w14:paraId="722329F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周袁明</w:t>
      </w:r>
      <w:r>
        <w:rPr>
          <w:rFonts w:hint="eastAsia" w:ascii="宋体" w:hAnsi="宋体" w:eastAsia="宋体" w:cs="宋体"/>
          <w:sz w:val="24"/>
          <w:szCs w:val="24"/>
        </w:rPr>
        <w:t>（评价小组组员）：主要负责</w:t>
      </w:r>
      <w:r>
        <w:rPr>
          <w:rFonts w:hint="eastAsia" w:ascii="宋体" w:hAnsi="宋体" w:eastAsia="宋体" w:cs="宋体"/>
          <w:color w:val="auto"/>
          <w:sz w:val="24"/>
          <w:szCs w:val="24"/>
        </w:rPr>
        <w:t>运用专业评价方法，对收集的数据进行深入分析，构建评价指标体系并打</w:t>
      </w:r>
      <w:r>
        <w:rPr>
          <w:rFonts w:hint="eastAsia" w:ascii="宋体" w:hAnsi="宋体" w:eastAsia="宋体" w:cs="宋体"/>
          <w:sz w:val="24"/>
          <w:szCs w:val="24"/>
        </w:rPr>
        <w:t>分，撰写绩效评价报告初稿。同时，关注政策变动对项目的影响，从专业角度提出改进建议，为完善项目执行及后续决策提供参考</w:t>
      </w:r>
      <w:r>
        <w:rPr>
          <w:rFonts w:hint="eastAsia" w:ascii="宋体" w:hAnsi="宋体" w:eastAsia="宋体" w:cs="宋体"/>
          <w:color w:val="FF0000"/>
          <w:sz w:val="24"/>
          <w:szCs w:val="24"/>
        </w:rPr>
        <w:t>。</w:t>
      </w:r>
    </w:p>
    <w:p w14:paraId="658B5C46">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2.组织实施</w:t>
      </w:r>
    </w:p>
    <w:p w14:paraId="0943006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05</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06C3221D">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3.分析评价</w:t>
      </w:r>
    </w:p>
    <w:p w14:paraId="797B7B7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06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5ED18E09">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4.撰写与提交评价报告</w:t>
      </w:r>
    </w:p>
    <w:p w14:paraId="38DD9DE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6D478F49">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5.问题整改</w:t>
      </w:r>
    </w:p>
    <w:p w14:paraId="13F2E1E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3B0C4997">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6.档案整理</w:t>
      </w:r>
    </w:p>
    <w:p w14:paraId="13DECA3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273DCEBE">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5EA5CF38">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14"/>
    </w:p>
    <w:p w14:paraId="024B9C46">
      <w:pPr>
        <w:pStyle w:val="5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5" w:name="_Toc68364665"/>
      <w:r>
        <w:rPr>
          <w:rFonts w:hint="eastAsia" w:ascii="宋体" w:hAnsi="宋体" w:eastAsia="宋体" w:cs="宋体"/>
          <w:sz w:val="24"/>
          <w:szCs w:val="24"/>
        </w:rPr>
        <w:t>（一）综合评价情况</w:t>
      </w:r>
      <w:bookmarkEnd w:id="15"/>
    </w:p>
    <w:p w14:paraId="161801E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FF0000"/>
          <w:sz w:val="24"/>
          <w:szCs w:val="24"/>
        </w:rPr>
      </w:pPr>
      <w:bookmarkStart w:id="16" w:name="_Toc68364666"/>
      <w:r>
        <w:rPr>
          <w:rFonts w:hint="eastAsia" w:ascii="宋体" w:hAnsi="宋体" w:eastAsia="宋体" w:cs="宋体"/>
          <w:color w:val="auto"/>
          <w:sz w:val="24"/>
          <w:szCs w:val="24"/>
        </w:rPr>
        <w:t>通过实施</w:t>
      </w:r>
      <w:r>
        <w:rPr>
          <w:rFonts w:hint="eastAsia" w:ascii="宋体" w:hAnsi="宋体" w:eastAsia="宋体" w:cs="宋体"/>
          <w:color w:val="auto"/>
          <w:sz w:val="24"/>
          <w:szCs w:val="24"/>
          <w:lang w:val="en-US" w:eastAsia="zh-CN"/>
        </w:rPr>
        <w:t>2024年林业草原改革发展资金-良种苗木培育</w:t>
      </w:r>
      <w:r>
        <w:rPr>
          <w:rFonts w:hint="eastAsia" w:ascii="宋体" w:hAnsi="宋体" w:eastAsia="宋体" w:cs="宋体"/>
          <w:color w:val="auto"/>
          <w:sz w:val="24"/>
          <w:szCs w:val="24"/>
        </w:rPr>
        <w:t>项目产生</w:t>
      </w:r>
      <w:r>
        <w:rPr>
          <w:rFonts w:hint="eastAsia" w:ascii="宋体" w:hAnsi="宋体" w:eastAsia="宋体" w:cs="宋体"/>
          <w:color w:val="auto"/>
          <w:sz w:val="24"/>
          <w:szCs w:val="24"/>
          <w:highlight w:val="none"/>
          <w:lang w:val="en-US" w:eastAsia="zh-CN"/>
        </w:rPr>
        <w:t>提高造林绿化苗木质量，</w:t>
      </w:r>
      <w:r>
        <w:rPr>
          <w:rFonts w:hint="eastAsia" w:ascii="宋体" w:hAnsi="宋体" w:eastAsia="宋体" w:cs="宋体"/>
          <w:color w:val="auto"/>
          <w:sz w:val="24"/>
          <w:szCs w:val="24"/>
        </w:rPr>
        <w:t>效益</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描述）</w:t>
      </w:r>
      <w:r>
        <w:rPr>
          <w:rFonts w:hint="eastAsia" w:ascii="宋体" w:hAnsi="宋体" w:eastAsia="宋体" w:cs="宋体"/>
          <w:color w:val="auto"/>
          <w:sz w:val="24"/>
          <w:szCs w:val="24"/>
        </w:rPr>
        <w:t>。项目实施主要通过</w:t>
      </w:r>
      <w:r>
        <w:rPr>
          <w:rFonts w:hint="eastAsia" w:ascii="宋体" w:hAnsi="宋体" w:eastAsia="宋体" w:cs="宋体"/>
          <w:sz w:val="24"/>
          <w:szCs w:val="24"/>
        </w:rPr>
        <w:t>项目决策、项目过程、项目产出以及项目效益等方面进行评价，其中：</w:t>
      </w:r>
    </w:p>
    <w:p w14:paraId="4DCB4B1B">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项目决策：该项目主要通过</w:t>
      </w:r>
      <w:r>
        <w:rPr>
          <w:rFonts w:hint="eastAsia" w:ascii="宋体" w:hAnsi="宋体" w:eastAsia="宋体" w:cs="宋体"/>
          <w:color w:val="auto"/>
          <w:sz w:val="24"/>
          <w:szCs w:val="24"/>
          <w:highlight w:val="none"/>
        </w:rPr>
        <w:t>和地财建[2023】96号</w:t>
      </w:r>
      <w:r>
        <w:rPr>
          <w:rFonts w:hint="eastAsia" w:ascii="宋体" w:hAnsi="宋体" w:eastAsia="宋体" w:cs="宋体"/>
          <w:color w:val="auto"/>
          <w:sz w:val="24"/>
          <w:szCs w:val="24"/>
        </w:rPr>
        <w:t>文件立项，项目实施符合</w:t>
      </w:r>
      <w:r>
        <w:rPr>
          <w:rFonts w:hint="eastAsia" w:ascii="宋体" w:hAnsi="宋体" w:eastAsia="宋体" w:cs="宋体"/>
          <w:color w:val="auto"/>
          <w:kern w:val="2"/>
          <w:sz w:val="24"/>
          <w:szCs w:val="24"/>
          <w:lang w:val="en-US" w:eastAsia="zh-CN" w:bidi="ar-SA"/>
        </w:rPr>
        <w:t>国有关政策</w:t>
      </w:r>
      <w:r>
        <w:rPr>
          <w:rFonts w:hint="eastAsia" w:ascii="宋体" w:hAnsi="宋体" w:eastAsia="宋体" w:cs="宋体"/>
          <w:color w:val="auto"/>
          <w:sz w:val="24"/>
          <w:szCs w:val="24"/>
        </w:rPr>
        <w:t xml:space="preserve">要求，项目立项依据充分，立项程序规范。 </w:t>
      </w:r>
    </w:p>
    <w:p w14:paraId="0585795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w:t>
      </w:r>
      <w:r>
        <w:rPr>
          <w:rFonts w:hint="eastAsia" w:ascii="宋体" w:hAnsi="宋体" w:eastAsia="宋体" w:cs="宋体"/>
          <w:color w:val="auto"/>
          <w:sz w:val="24"/>
          <w:szCs w:val="24"/>
          <w:highlight w:val="none"/>
        </w:rPr>
        <w:t>专项资金-和地财建[2023】96号：2024年林业草原改革发展资金-良种苗木培育</w:t>
      </w:r>
      <w:r>
        <w:rPr>
          <w:rFonts w:hint="eastAsia" w:ascii="宋体" w:hAnsi="宋体" w:eastAsia="宋体" w:cs="宋体"/>
          <w:color w:val="auto"/>
          <w:sz w:val="24"/>
          <w:szCs w:val="24"/>
        </w:rPr>
        <w:t xml:space="preserve">项目预算安排 </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24.96</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99.04</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34BA3C1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项目产出：</w:t>
      </w:r>
      <w:r>
        <w:rPr>
          <w:rFonts w:hint="eastAsia" w:ascii="宋体" w:hAnsi="宋体" w:eastAsia="宋体" w:cs="宋体"/>
          <w:color w:val="auto"/>
          <w:sz w:val="24"/>
          <w:szCs w:val="24"/>
          <w:lang w:eastAsia="zh-CN"/>
        </w:rPr>
        <w:t>通过实施此项目产生的</w:t>
      </w:r>
      <w:r>
        <w:rPr>
          <w:rFonts w:hint="eastAsia" w:ascii="宋体" w:hAnsi="宋体" w:eastAsia="宋体" w:cs="宋体"/>
          <w:color w:val="auto"/>
          <w:sz w:val="24"/>
          <w:szCs w:val="24"/>
          <w:highlight w:val="none"/>
          <w:lang w:val="en-US" w:eastAsia="zh-CN"/>
        </w:rPr>
        <w:t>林木良种培育数量75万</w:t>
      </w:r>
      <w:r>
        <w:rPr>
          <w:rFonts w:hint="eastAsia" w:ascii="宋体" w:hAnsi="宋体" w:eastAsia="宋体" w:cs="宋体"/>
          <w:color w:val="auto"/>
          <w:sz w:val="24"/>
          <w:szCs w:val="24"/>
          <w:lang w:val="en-US" w:eastAsia="zh-CN"/>
        </w:rPr>
        <w:t>株，资金使用合规率100%，项目完成时间2024年8月，资金支付及时率100%。</w:t>
      </w:r>
    </w:p>
    <w:p w14:paraId="5BB5135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FF0000"/>
          <w:sz w:val="24"/>
          <w:szCs w:val="24"/>
          <w:lang w:val="en-US" w:eastAsia="zh-CN"/>
        </w:rPr>
      </w:pPr>
      <w:r>
        <w:rPr>
          <w:rFonts w:hint="eastAsia" w:ascii="宋体" w:hAnsi="宋体" w:eastAsia="宋体" w:cs="宋体"/>
          <w:color w:val="auto"/>
          <w:sz w:val="24"/>
          <w:szCs w:val="24"/>
        </w:rPr>
        <w:t>项目效益：</w:t>
      </w:r>
      <w:r>
        <w:rPr>
          <w:rFonts w:hint="eastAsia" w:ascii="宋体" w:hAnsi="宋体" w:eastAsia="宋体" w:cs="宋体"/>
          <w:color w:val="000000"/>
          <w:kern w:val="0"/>
          <w:sz w:val="24"/>
          <w:szCs w:val="24"/>
          <w:highlight w:val="none"/>
          <w:lang w:val="en-US" w:eastAsia="zh-CN" w:bidi="ar-SA"/>
        </w:rPr>
        <w:t>项目实施产生的社会效益指标为减轻农民负担，预期指标值为效果显著，实际完成值为效果显著，达到了预期目标，社会效益指标指标完成</w:t>
      </w:r>
      <w:r>
        <w:rPr>
          <w:rFonts w:hint="eastAsia" w:ascii="宋体" w:hAnsi="宋体" w:eastAsia="宋体" w:cs="宋体"/>
          <w:color w:val="FF0000"/>
          <w:sz w:val="24"/>
          <w:szCs w:val="24"/>
          <w:lang w:val="en-US" w:eastAsia="zh-CN"/>
        </w:rPr>
        <w:t>。</w:t>
      </w:r>
    </w:p>
    <w:p w14:paraId="1B08E967">
      <w:pPr>
        <w:pStyle w:val="5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1478C9C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333333"/>
          <w:sz w:val="24"/>
          <w:szCs w:val="24"/>
        </w:rPr>
      </w:pPr>
      <w:r>
        <w:rPr>
          <w:rFonts w:hint="eastAsia" w:ascii="宋体" w:hAnsi="宋体" w:eastAsia="宋体" w:cs="宋体"/>
          <w:color w:val="333333"/>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000000"/>
          <w:sz w:val="24"/>
          <w:szCs w:val="24"/>
          <w:highlight w:val="none"/>
        </w:rPr>
        <w:t>专项资金-和地财建[2023】96号：2024年林业草原改革发展资金-良种苗木培育</w:t>
      </w:r>
      <w:r>
        <w:rPr>
          <w:rFonts w:hint="eastAsia" w:ascii="宋体" w:hAnsi="宋体" w:eastAsia="宋体" w:cs="宋体"/>
          <w:color w:val="auto"/>
          <w:sz w:val="24"/>
          <w:szCs w:val="24"/>
        </w:rPr>
        <w:t>项目</w:t>
      </w:r>
      <w:r>
        <w:rPr>
          <w:rFonts w:hint="eastAsia" w:ascii="宋体" w:hAnsi="宋体" w:eastAsia="宋体" w:cs="宋体"/>
          <w:color w:val="333333"/>
          <w:sz w:val="24"/>
          <w:szCs w:val="24"/>
        </w:rPr>
        <w:t>进行客观评价，最终评分结果：评价总分</w:t>
      </w:r>
      <w:r>
        <w:rPr>
          <w:rFonts w:hint="eastAsia" w:ascii="宋体" w:hAnsi="宋体" w:eastAsia="宋体" w:cs="宋体"/>
          <w:color w:val="auto"/>
          <w:sz w:val="24"/>
          <w:szCs w:val="24"/>
          <w:lang w:val="en-US" w:eastAsia="zh-CN"/>
        </w:rPr>
        <w:t>100</w:t>
      </w:r>
      <w:r>
        <w:rPr>
          <w:rFonts w:hint="eastAsia" w:ascii="宋体" w:hAnsi="宋体" w:eastAsia="宋体" w:cs="宋体"/>
          <w:color w:val="333333"/>
          <w:sz w:val="24"/>
          <w:szCs w:val="24"/>
        </w:rPr>
        <w:t>分，绩效等级为“</w:t>
      </w:r>
      <w:r>
        <w:rPr>
          <w:rFonts w:hint="eastAsia" w:ascii="宋体" w:hAnsi="宋体" w:eastAsia="宋体" w:cs="宋体"/>
          <w:color w:val="auto"/>
          <w:sz w:val="24"/>
          <w:szCs w:val="24"/>
          <w:lang w:eastAsia="zh-CN"/>
        </w:rPr>
        <w:t>优</w:t>
      </w:r>
      <w:r>
        <w:rPr>
          <w:rFonts w:hint="eastAsia" w:ascii="宋体" w:hAnsi="宋体" w:eastAsia="宋体" w:cs="宋体"/>
          <w:color w:val="333333"/>
          <w:sz w:val="24"/>
          <w:szCs w:val="24"/>
        </w:rPr>
        <w:t>”。</w:t>
      </w:r>
      <w:bookmarkEnd w:id="16"/>
      <w:bookmarkStart w:id="17" w:name="_Toc68364667"/>
    </w:p>
    <w:p w14:paraId="454EF73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333333"/>
          <w:sz w:val="24"/>
          <w:szCs w:val="24"/>
        </w:rPr>
      </w:pPr>
    </w:p>
    <w:p w14:paraId="3FB8F5C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四、绩效评价指标分析</w:t>
      </w:r>
      <w:bookmarkEnd w:id="17"/>
    </w:p>
    <w:p w14:paraId="3F6A55B1">
      <w:pPr>
        <w:pStyle w:val="5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8" w:name="_Toc68364668"/>
      <w:r>
        <w:rPr>
          <w:rFonts w:hint="eastAsia" w:ascii="宋体" w:hAnsi="宋体" w:eastAsia="宋体" w:cs="宋体"/>
          <w:sz w:val="24"/>
          <w:szCs w:val="24"/>
        </w:rPr>
        <w:t>（一）项目决策情况</w:t>
      </w:r>
    </w:p>
    <w:p w14:paraId="7E42A4F0">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FF0000"/>
          <w:sz w:val="24"/>
          <w:szCs w:val="24"/>
        </w:rPr>
      </w:pPr>
      <w:r>
        <w:rPr>
          <w:rFonts w:hint="eastAsia" w:ascii="宋体" w:hAnsi="宋体" w:eastAsia="宋体" w:cs="宋体"/>
          <w:sz w:val="24"/>
          <w:szCs w:val="24"/>
        </w:rPr>
        <w:t>项目决策类指标包括项目立项、绩效目标和资金投入三方面的内容，由6个三</w:t>
      </w:r>
      <w:r>
        <w:rPr>
          <w:rFonts w:hint="eastAsia" w:ascii="宋体" w:hAnsi="宋体" w:eastAsia="宋体" w:cs="宋体"/>
          <w:color w:val="auto"/>
          <w:sz w:val="24"/>
          <w:szCs w:val="24"/>
        </w:rPr>
        <w:t>级指标构成，权重分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rPr>
        <w:t>，实际得分</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3071D9D7">
      <w:pPr>
        <w:keepNext w:val="0"/>
        <w:keepLines w:val="0"/>
        <w:pageBreakBefore w:val="0"/>
        <w:widowControl w:val="0"/>
        <w:numPr>
          <w:ilvl w:val="0"/>
          <w:numId w:val="4"/>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立项依据充分性：</w:t>
      </w:r>
    </w:p>
    <w:p w14:paraId="18DA0FF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rPr>
        <w:t>本项目立项符合</w:t>
      </w:r>
      <w:r>
        <w:rPr>
          <w:rFonts w:hint="eastAsia" w:ascii="宋体" w:hAnsi="宋体" w:eastAsia="宋体" w:cs="宋体"/>
          <w:color w:val="000000"/>
          <w:sz w:val="24"/>
          <w:szCs w:val="24"/>
          <w:lang w:val="en-US" w:eastAsia="zh-CN"/>
        </w:rPr>
        <w:t>《关于做好 2024 年中央财政林业草原项目储备入库工作的通知》（新林规字〔2022〕177 号）；《林业固定资产投资建设项目管理办法》国家林业局令第 36号；《基本建设财务管理规定》(财建〔2002〕394 号)；《林业建设项目可行性研究报告编制规定（试行）》、《林业建设项目初步设计编制规定》；《新疆主要造林树种苗木质量分级（DB65/T2201-2014）》；《主要造林树种苗木质量分级》GB6000- 1999；《关于印发中央财政林业草原项目入库指南的通知》</w:t>
      </w:r>
      <w:r>
        <w:rPr>
          <w:rFonts w:hint="eastAsia" w:ascii="宋体" w:hAnsi="宋体" w:eastAsia="宋体" w:cs="宋体"/>
          <w:color w:val="000000"/>
          <w:sz w:val="24"/>
          <w:szCs w:val="24"/>
        </w:rPr>
        <w:t>中：“</w:t>
      </w:r>
      <w:r>
        <w:rPr>
          <w:rFonts w:hint="eastAsia" w:ascii="宋体" w:hAnsi="宋体" w:eastAsia="宋体" w:cs="宋体"/>
          <w:color w:val="000000"/>
          <w:sz w:val="24"/>
          <w:szCs w:val="24"/>
          <w:lang w:val="en-US" w:eastAsia="zh-CN"/>
        </w:rPr>
        <w:t>林木良种苗木培育</w:t>
      </w:r>
      <w:r>
        <w:rPr>
          <w:rFonts w:hint="eastAsia" w:ascii="宋体" w:hAnsi="宋体" w:eastAsia="宋体" w:cs="宋体"/>
          <w:color w:val="000000"/>
          <w:sz w:val="24"/>
          <w:szCs w:val="24"/>
        </w:rPr>
        <w:t>”；本项目立项符合《</w:t>
      </w:r>
      <w:r>
        <w:rPr>
          <w:rFonts w:hint="eastAsia" w:ascii="宋体" w:hAnsi="宋体" w:eastAsia="宋体" w:cs="宋体"/>
          <w:color w:val="000000"/>
          <w:sz w:val="24"/>
          <w:szCs w:val="24"/>
          <w:lang w:val="en-US" w:eastAsia="zh-CN"/>
        </w:rPr>
        <w:t>中华人民共和国林业法实施条例</w:t>
      </w:r>
      <w:r>
        <w:rPr>
          <w:rFonts w:hint="eastAsia" w:ascii="宋体" w:hAnsi="宋体" w:eastAsia="宋体" w:cs="宋体"/>
          <w:color w:val="000000"/>
          <w:sz w:val="24"/>
          <w:szCs w:val="24"/>
        </w:rPr>
        <w:t>》中：“</w:t>
      </w:r>
      <w:r>
        <w:rPr>
          <w:rFonts w:hint="eastAsia" w:ascii="宋体" w:hAnsi="宋体" w:eastAsia="宋体" w:cs="宋体"/>
          <w:color w:val="000000"/>
          <w:sz w:val="24"/>
          <w:szCs w:val="24"/>
          <w:lang w:eastAsia="zh-CN"/>
        </w:rPr>
        <w:t>培育生产苗木</w:t>
      </w:r>
      <w:r>
        <w:rPr>
          <w:rFonts w:hint="eastAsia" w:ascii="宋体" w:hAnsi="宋体" w:eastAsia="宋体" w:cs="宋体"/>
          <w:color w:val="000000"/>
          <w:sz w:val="24"/>
          <w:szCs w:val="24"/>
        </w:rPr>
        <w:t>”内容，符合行业发展规划和政策要求；本项目立项符</w:t>
      </w:r>
      <w:r>
        <w:rPr>
          <w:rFonts w:hint="eastAsia" w:ascii="宋体" w:hAnsi="宋体" w:eastAsia="宋体" w:cs="宋体"/>
          <w:color w:val="000000"/>
          <w:sz w:val="24"/>
          <w:szCs w:val="24"/>
          <w:lang w:eastAsia="zh-CN"/>
        </w:rPr>
        <w:t>洛浦县国营苗圃</w:t>
      </w:r>
      <w:r>
        <w:rPr>
          <w:rFonts w:hint="eastAsia" w:ascii="宋体" w:hAnsi="宋体" w:eastAsia="宋体" w:cs="宋体"/>
          <w:color w:val="auto"/>
          <w:sz w:val="24"/>
          <w:szCs w:val="24"/>
        </w:rPr>
        <w:t>配置</w:t>
      </w:r>
      <w:r>
        <w:rPr>
          <w:rFonts w:hint="eastAsia" w:ascii="宋体" w:hAnsi="宋体" w:eastAsia="宋体" w:cs="宋体"/>
          <w:color w:val="000000"/>
          <w:sz w:val="24"/>
          <w:szCs w:val="24"/>
        </w:rPr>
        <w:t>内设机构和人员编制规定》中职责范围中的“</w:t>
      </w:r>
      <w:r>
        <w:rPr>
          <w:rFonts w:hint="eastAsia" w:ascii="宋体" w:hAnsi="宋体" w:eastAsia="宋体" w:cs="宋体"/>
          <w:sz w:val="24"/>
          <w:szCs w:val="24"/>
          <w:highlight w:val="none"/>
          <w:lang w:val="en-US" w:eastAsia="zh-CN"/>
        </w:rPr>
        <w:t>苗木种苗的生产和销售需要大量资金支持，为了促进苗木种苗产业的发展</w:t>
      </w:r>
      <w:r>
        <w:rPr>
          <w:rFonts w:hint="eastAsia" w:ascii="宋体" w:hAnsi="宋体" w:eastAsia="宋体" w:cs="宋体"/>
          <w:color w:val="000000"/>
          <w:sz w:val="24"/>
          <w:szCs w:val="24"/>
        </w:rPr>
        <w:t>”</w:t>
      </w:r>
      <w:r>
        <w:rPr>
          <w:rFonts w:hint="eastAsia" w:ascii="宋体" w:hAnsi="宋体" w:eastAsia="宋体" w:cs="宋体"/>
          <w:color w:val="FF0000"/>
          <w:sz w:val="24"/>
          <w:szCs w:val="24"/>
        </w:rPr>
        <w:t>，</w:t>
      </w:r>
      <w:r>
        <w:rPr>
          <w:rFonts w:hint="eastAsia" w:ascii="宋体" w:hAnsi="宋体" w:eastAsia="宋体" w:cs="宋体"/>
          <w:color w:val="000000"/>
          <w:sz w:val="24"/>
          <w:szCs w:val="24"/>
        </w:rPr>
        <w:t>属于我单位履职所需</w:t>
      </w:r>
      <w:r>
        <w:rPr>
          <w:rFonts w:hint="eastAsia" w:ascii="宋体" w:hAnsi="宋体" w:eastAsia="宋体" w:cs="宋体"/>
          <w:color w:val="auto"/>
          <w:sz w:val="24"/>
          <w:szCs w:val="24"/>
        </w:rPr>
        <w:t>；根据《财政资金直接支付申请书》，本项目资金性质为“公共财政预算”功能分类为“</w:t>
      </w:r>
      <w:r>
        <w:rPr>
          <w:rFonts w:hint="eastAsia" w:ascii="宋体" w:hAnsi="宋体" w:eastAsia="宋体" w:cs="宋体"/>
          <w:color w:val="auto"/>
          <w:sz w:val="24"/>
          <w:szCs w:val="24"/>
          <w:lang w:eastAsia="zh-CN"/>
        </w:rPr>
        <w:t>森林资源培育</w:t>
      </w:r>
      <w:r>
        <w:rPr>
          <w:rFonts w:hint="eastAsia" w:ascii="宋体" w:hAnsi="宋体" w:eastAsia="宋体" w:cs="宋体"/>
          <w:color w:val="auto"/>
          <w:sz w:val="24"/>
          <w:szCs w:val="24"/>
        </w:rPr>
        <w:t>”经济分类为“</w:t>
      </w:r>
      <w:r>
        <w:rPr>
          <w:rFonts w:hint="eastAsia" w:ascii="宋体" w:hAnsi="宋体" w:eastAsia="宋体" w:cs="宋体"/>
          <w:color w:val="auto"/>
          <w:sz w:val="24"/>
          <w:szCs w:val="24"/>
          <w:lang w:eastAsia="zh-CN"/>
        </w:rPr>
        <w:t>专用材料费及劳务费</w:t>
      </w:r>
      <w:r>
        <w:rPr>
          <w:rFonts w:hint="eastAsia" w:ascii="宋体" w:hAnsi="宋体" w:eastAsia="宋体" w:cs="宋体"/>
          <w:color w:val="auto"/>
          <w:sz w:val="24"/>
          <w:szCs w:val="24"/>
        </w:rPr>
        <w:t>”属</w:t>
      </w:r>
      <w:r>
        <w:rPr>
          <w:rFonts w:hint="eastAsia" w:ascii="宋体" w:hAnsi="宋体" w:eastAsia="宋体" w:cs="宋体"/>
          <w:color w:val="auto"/>
          <w:sz w:val="24"/>
          <w:szCs w:val="24"/>
          <w:highlight w:val="none"/>
        </w:rPr>
        <w:t>于公共财政支持范围，符合中央、地方事权支出责任划分原则；经检查我单位财政应用平台指标，本项目不存在重复。</w:t>
      </w:r>
    </w:p>
    <w:p w14:paraId="6DFA05BD">
      <w:pPr>
        <w:keepNext w:val="0"/>
        <w:keepLines w:val="0"/>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r>
        <w:rPr>
          <w:rFonts w:hint="eastAsia" w:ascii="宋体" w:hAnsi="宋体" w:eastAsia="宋体" w:cs="宋体"/>
          <w:sz w:val="24"/>
          <w:szCs w:val="24"/>
          <w:highlight w:val="none"/>
        </w:rPr>
        <w:t>。</w:t>
      </w:r>
    </w:p>
    <w:p w14:paraId="5B805B2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（2）立项程序规范性：</w:t>
      </w:r>
    </w:p>
    <w:p w14:paraId="5157434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本项目</w:t>
      </w:r>
      <w:r>
        <w:rPr>
          <w:rFonts w:hint="eastAsia" w:ascii="宋体" w:hAnsi="宋体" w:eastAsia="宋体" w:cs="宋体"/>
          <w:color w:val="auto"/>
          <w:sz w:val="24"/>
          <w:szCs w:val="24"/>
          <w:lang w:eastAsia="zh-CN"/>
        </w:rPr>
        <w:t>洛浦县国营苗圃</w:t>
      </w:r>
      <w:r>
        <w:rPr>
          <w:rFonts w:hint="eastAsia" w:ascii="宋体" w:hAnsi="宋体" w:eastAsia="宋体" w:cs="宋体"/>
          <w:color w:val="auto"/>
          <w:sz w:val="24"/>
          <w:szCs w:val="24"/>
        </w:rPr>
        <w:t>良种苗木培育项目，项目立项过程中产生的文件均符合相关要求。本项目为特定目标类项目，属于经常性项目，项目预算金额为</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万元，不涉及事前绩效评估和风险评估</w:t>
      </w:r>
      <w:r>
        <w:rPr>
          <w:rFonts w:hint="eastAsia" w:ascii="宋体" w:hAnsi="宋体" w:eastAsia="宋体" w:cs="宋体"/>
          <w:color w:val="auto"/>
          <w:sz w:val="24"/>
          <w:szCs w:val="24"/>
          <w:lang w:eastAsia="zh-CN"/>
        </w:rPr>
        <w:t>。</w:t>
      </w:r>
    </w:p>
    <w:p w14:paraId="3114F8D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r>
        <w:rPr>
          <w:rFonts w:hint="eastAsia" w:ascii="宋体" w:hAnsi="宋体" w:eastAsia="宋体" w:cs="宋体"/>
          <w:b/>
          <w:bCs/>
          <w:sz w:val="24"/>
          <w:szCs w:val="24"/>
        </w:rPr>
        <w:t>（3）绩效目标合理性</w:t>
      </w:r>
      <w:r>
        <w:rPr>
          <w:rFonts w:hint="eastAsia" w:ascii="宋体" w:hAnsi="宋体" w:eastAsia="宋体" w:cs="宋体"/>
          <w:sz w:val="24"/>
          <w:szCs w:val="24"/>
        </w:rPr>
        <w:t>：</w:t>
      </w:r>
    </w:p>
    <w:p w14:paraId="7A688EB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①该项目已设置年度绩效目标，具体内容为</w:t>
      </w:r>
      <w:r>
        <w:rPr>
          <w:rFonts w:hint="eastAsia" w:ascii="宋体" w:hAnsi="宋体" w:eastAsia="宋体" w:cs="宋体"/>
          <w:color w:val="auto"/>
          <w:sz w:val="24"/>
          <w:szCs w:val="24"/>
          <w:lang w:val="en-US" w:eastAsia="zh-CN"/>
        </w:rPr>
        <w:t>培育良种榆树 5万株、大果沙枣6.5 万株、葡萄17万株。为洛浦乃至和田地区提供质量优良、品种对路的优质苗木，为浦县生产建设的健康发展提供保障；同时通过本地育苗，规避苗木引 进病虫害的风险，确保品种纯度和质量，降低苗木成本，减轻农民负担。</w:t>
      </w:r>
    </w:p>
    <w:p w14:paraId="6D1E7D8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w:t>
      </w:r>
      <w:r>
        <w:rPr>
          <w:rFonts w:hint="eastAsia" w:ascii="宋体" w:hAnsi="宋体" w:eastAsia="宋体" w:cs="宋体"/>
          <w:color w:val="FF0000"/>
          <w:sz w:val="24"/>
          <w:szCs w:val="24"/>
          <w:highlight w:val="none"/>
          <w:lang w:eastAsia="zh-CN"/>
        </w:rPr>
        <w:t>：</w:t>
      </w:r>
      <w:r>
        <w:rPr>
          <w:rFonts w:hint="eastAsia" w:ascii="宋体" w:hAnsi="宋体" w:eastAsia="宋体" w:cs="宋体"/>
          <w:sz w:val="24"/>
          <w:szCs w:val="24"/>
          <w:highlight w:val="none"/>
          <w:lang w:val="en-US" w:eastAsia="zh-CN"/>
        </w:rPr>
        <w:t>项目实施内容：补助林木良种培育面积51亩，生产二级以上良种苗木数量75万株。通过项目实施，为洛浦内提供质量优良，品种对路的优质苗木，为生产建设的健康发展提供保障。同时通过本地育苗，规避苗木引进病虫害的风险，确保品种纯度和质量，降低苗木成本，减轻农民负担</w:t>
      </w:r>
      <w:r>
        <w:rPr>
          <w:rFonts w:hint="eastAsia" w:ascii="宋体" w:hAnsi="宋体" w:eastAsia="宋体" w:cs="宋体"/>
          <w:color w:val="auto"/>
          <w:sz w:val="24"/>
          <w:szCs w:val="24"/>
          <w:highlight w:val="none"/>
        </w:rPr>
        <w:t>。绩效目标与实际工作内容一致，两者具有相关性。</w:t>
      </w:r>
    </w:p>
    <w:p w14:paraId="40A5339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eastAsia="zh-CN"/>
        </w:rPr>
        <w:t>社会效益指标</w:t>
      </w:r>
      <w:r>
        <w:rPr>
          <w:rFonts w:hint="eastAsia" w:ascii="宋体" w:hAnsi="宋体" w:eastAsia="宋体" w:cs="宋体"/>
          <w:color w:val="auto"/>
          <w:sz w:val="24"/>
          <w:szCs w:val="24"/>
          <w:highlight w:val="none"/>
        </w:rPr>
        <w:t>，达到</w:t>
      </w:r>
      <w:r>
        <w:rPr>
          <w:rFonts w:hint="eastAsia" w:ascii="宋体" w:hAnsi="宋体" w:eastAsia="宋体" w:cs="宋体"/>
          <w:color w:val="000000"/>
          <w:kern w:val="0"/>
          <w:sz w:val="24"/>
          <w:szCs w:val="24"/>
          <w:highlight w:val="none"/>
          <w:lang w:val="en-US" w:eastAsia="zh-CN" w:bidi="ar-SA"/>
        </w:rPr>
        <w:t>洛浦内提供了质量优良，品种对路的优质苗木，为生产建设的健康发展提供保障。同时通过本地育苗，规避苗木引进病虫害的风险，确保品种纯度和质量，降低苗木成本，减轻了农民负担的</w:t>
      </w:r>
      <w:r>
        <w:rPr>
          <w:rFonts w:hint="eastAsia" w:ascii="宋体" w:hAnsi="宋体" w:eastAsia="宋体" w:cs="宋体"/>
          <w:color w:val="auto"/>
          <w:sz w:val="24"/>
          <w:szCs w:val="24"/>
          <w:highlight w:val="none"/>
        </w:rPr>
        <w:t>效益，预期产出效益和效果是符合正常的业绩水平。</w:t>
      </w:r>
    </w:p>
    <w:p w14:paraId="3EF1909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万元，预算确定的项目资金与预算确定的项目投资额相匹配。</w:t>
      </w:r>
    </w:p>
    <w:p w14:paraId="074BD62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23B789E5">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w:t>
      </w:r>
      <w:r>
        <w:rPr>
          <w:rFonts w:hint="eastAsia" w:ascii="宋体" w:hAnsi="宋体" w:eastAsia="宋体" w:cs="宋体"/>
          <w:color w:val="000000"/>
          <w:sz w:val="24"/>
          <w:szCs w:val="24"/>
          <w:highlight w:val="none"/>
        </w:rPr>
        <w:t>2024年林业草原改革发展资金-良种苗木培育</w:t>
      </w:r>
      <w:r>
        <w:rPr>
          <w:rFonts w:hint="eastAsia" w:ascii="宋体" w:hAnsi="宋体" w:eastAsia="宋体" w:cs="宋体"/>
          <w:color w:val="auto"/>
          <w:sz w:val="24"/>
          <w:szCs w:val="24"/>
          <w:highlight w:val="none"/>
        </w:rPr>
        <w:t>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，共设置一级指标3个，二级指标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85</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170025D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w:t>
      </w:r>
      <w:r>
        <w:rPr>
          <w:rFonts w:hint="eastAsia" w:ascii="宋体" w:hAnsi="宋体" w:eastAsia="宋体" w:cs="宋体"/>
          <w:color w:val="auto"/>
          <w:sz w:val="24"/>
          <w:szCs w:val="24"/>
          <w:highlight w:val="none"/>
          <w:lang w:val="en-US" w:eastAsia="zh-CN"/>
        </w:rPr>
        <w:t>=1个</w:t>
      </w:r>
      <w:r>
        <w:rPr>
          <w:rFonts w:hint="eastAsia" w:ascii="宋体" w:hAnsi="宋体" w:eastAsia="宋体" w:cs="宋体"/>
          <w:color w:val="auto"/>
          <w:sz w:val="24"/>
          <w:szCs w:val="24"/>
          <w:highlight w:val="none"/>
        </w:rPr>
        <w:t>，三级指标的年度指标值与年度绩效目标中任务数一致，已设置</w:t>
      </w:r>
      <w:r>
        <w:rPr>
          <w:rFonts w:hint="eastAsia" w:ascii="宋体" w:hAnsi="宋体" w:eastAsia="宋体" w:cs="宋体"/>
          <w:color w:val="000000"/>
          <w:sz w:val="24"/>
          <w:szCs w:val="24"/>
          <w:highlight w:val="none"/>
        </w:rPr>
        <w:t>时效指标“</w:t>
      </w:r>
      <w:r>
        <w:rPr>
          <w:rFonts w:hint="eastAsia" w:ascii="宋体" w:hAnsi="宋体" w:eastAsia="宋体" w:cs="宋体"/>
          <w:color w:val="000000"/>
          <w:sz w:val="24"/>
          <w:szCs w:val="24"/>
          <w:highlight w:val="none"/>
          <w:lang w:val="en-US" w:eastAsia="zh-CN"/>
        </w:rPr>
        <w:t>项目完成时间，资金支付及时率</w:t>
      </w:r>
      <w:r>
        <w:rPr>
          <w:rFonts w:hint="eastAsia" w:ascii="宋体" w:hAnsi="宋体" w:eastAsia="宋体" w:cs="宋体"/>
          <w:color w:val="000000"/>
          <w:sz w:val="24"/>
          <w:szCs w:val="24"/>
          <w:highlight w:val="none"/>
        </w:rPr>
        <w:t>”</w:t>
      </w:r>
      <w:r>
        <w:rPr>
          <w:rFonts w:hint="eastAsia" w:ascii="宋体" w:hAnsi="宋体" w:eastAsia="宋体" w:cs="宋体"/>
          <w:color w:val="auto"/>
          <w:sz w:val="24"/>
          <w:szCs w:val="24"/>
          <w:highlight w:val="none"/>
        </w:rPr>
        <w:t>。已设置的绩效目标具备明确性、可衡量性、可实现性、相关性、时限性。</w:t>
      </w:r>
    </w:p>
    <w:p w14:paraId="543D86B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01F5AC9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eastAsia="zh-CN"/>
        </w:rPr>
        <w:t>运用科学的方法</w:t>
      </w:r>
      <w:r>
        <w:rPr>
          <w:rFonts w:hint="eastAsia" w:ascii="宋体" w:hAnsi="宋体" w:eastAsia="宋体" w:cs="宋体"/>
          <w:color w:val="auto"/>
          <w:sz w:val="24"/>
          <w:szCs w:val="24"/>
          <w:highlight w:val="none"/>
        </w:rPr>
        <w:t>，即预算编制较科学且经过论证；</w:t>
      </w:r>
    </w:p>
    <w:p w14:paraId="15FAA5C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预算申请内容为</w:t>
      </w:r>
      <w:r>
        <w:rPr>
          <w:rFonts w:hint="eastAsia" w:ascii="宋体" w:hAnsi="宋体" w:eastAsia="宋体" w:cs="宋体"/>
          <w:color w:val="auto"/>
          <w:sz w:val="24"/>
          <w:szCs w:val="24"/>
          <w:highlight w:val="none"/>
          <w:lang w:val="en-US" w:eastAsia="zh-CN"/>
        </w:rPr>
        <w:t>苗木培育、抚育管理、苗木出圃管理</w:t>
      </w:r>
      <w:r>
        <w:rPr>
          <w:rFonts w:hint="eastAsia" w:ascii="宋体" w:hAnsi="宋体" w:eastAsia="宋体" w:cs="宋体"/>
          <w:color w:val="auto"/>
          <w:sz w:val="24"/>
          <w:szCs w:val="24"/>
          <w:highlight w:val="none"/>
        </w:rPr>
        <w:t>，项目实际内容为</w:t>
      </w:r>
      <w:r>
        <w:rPr>
          <w:rFonts w:hint="eastAsia" w:ascii="宋体" w:hAnsi="宋体" w:eastAsia="宋体" w:cs="宋体"/>
          <w:color w:val="auto"/>
          <w:sz w:val="24"/>
          <w:szCs w:val="24"/>
          <w:highlight w:val="none"/>
          <w:lang w:val="en-US" w:eastAsia="zh-CN"/>
        </w:rPr>
        <w:t>苗木培育、抚育管理、苗木出圃管理</w:t>
      </w:r>
      <w:r>
        <w:rPr>
          <w:rFonts w:hint="eastAsia" w:ascii="宋体" w:hAnsi="宋体" w:eastAsia="宋体" w:cs="宋体"/>
          <w:color w:val="auto"/>
          <w:sz w:val="24"/>
          <w:szCs w:val="24"/>
          <w:highlight w:val="none"/>
        </w:rPr>
        <w:t>，预算申请与《</w:t>
      </w:r>
      <w:r>
        <w:rPr>
          <w:rFonts w:hint="eastAsia" w:ascii="宋体" w:hAnsi="宋体" w:eastAsia="宋体" w:cs="宋体"/>
          <w:color w:val="000000"/>
          <w:sz w:val="24"/>
          <w:szCs w:val="24"/>
          <w:highlight w:val="none"/>
        </w:rPr>
        <w:t>2024年林业草原改革发展资金-良种苗木培育</w:t>
      </w:r>
      <w:r>
        <w:rPr>
          <w:rFonts w:hint="eastAsia" w:ascii="宋体" w:hAnsi="宋体" w:eastAsia="宋体" w:cs="宋体"/>
          <w:color w:val="auto"/>
          <w:sz w:val="24"/>
          <w:szCs w:val="24"/>
          <w:highlight w:val="none"/>
        </w:rPr>
        <w:t>项目实施方案》中涉及的项目内容匹配；</w:t>
      </w:r>
    </w:p>
    <w:p w14:paraId="3678FE4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000000"/>
          <w:sz w:val="24"/>
          <w:szCs w:val="24"/>
          <w:highlight w:val="none"/>
          <w:lang w:eastAsia="zh-CN"/>
        </w:rPr>
        <w:t>育苗</w:t>
      </w:r>
      <w:r>
        <w:rPr>
          <w:rFonts w:hint="eastAsia" w:ascii="宋体" w:hAnsi="宋体" w:eastAsia="宋体" w:cs="宋体"/>
          <w:color w:val="auto"/>
          <w:sz w:val="24"/>
          <w:szCs w:val="24"/>
          <w:highlight w:val="none"/>
        </w:rPr>
        <w:t>费用</w:t>
      </w:r>
      <w:r>
        <w:rPr>
          <w:rFonts w:hint="eastAsia" w:ascii="宋体" w:hAnsi="宋体" w:eastAsia="宋体" w:cs="宋体"/>
          <w:color w:val="000000"/>
          <w:sz w:val="24"/>
          <w:szCs w:val="24"/>
          <w:highlight w:val="none"/>
          <w:lang w:val="en-US" w:eastAsia="zh-CN"/>
        </w:rPr>
        <w:t>6.34</w:t>
      </w:r>
      <w:r>
        <w:rPr>
          <w:rFonts w:hint="eastAsia" w:ascii="宋体" w:hAnsi="宋体" w:eastAsia="宋体" w:cs="宋体"/>
          <w:color w:val="auto"/>
          <w:sz w:val="24"/>
          <w:szCs w:val="24"/>
          <w:highlight w:val="none"/>
        </w:rPr>
        <w:t>万元、</w:t>
      </w:r>
      <w:r>
        <w:rPr>
          <w:rFonts w:hint="eastAsia" w:ascii="宋体" w:hAnsi="宋体" w:eastAsia="宋体" w:cs="宋体"/>
          <w:color w:val="000000"/>
          <w:sz w:val="24"/>
          <w:szCs w:val="24"/>
          <w:highlight w:val="none"/>
          <w:lang w:eastAsia="zh-CN"/>
        </w:rPr>
        <w:t>采购</w:t>
      </w:r>
      <w:r>
        <w:rPr>
          <w:rFonts w:hint="eastAsia" w:ascii="宋体" w:hAnsi="宋体" w:eastAsia="宋体" w:cs="宋体"/>
          <w:color w:val="000000"/>
          <w:sz w:val="24"/>
          <w:szCs w:val="24"/>
          <w:highlight w:val="none"/>
        </w:rPr>
        <w:t>育苗物资</w:t>
      </w:r>
      <w:r>
        <w:rPr>
          <w:rFonts w:hint="eastAsia" w:ascii="宋体" w:hAnsi="宋体" w:eastAsia="宋体" w:cs="宋体"/>
          <w:color w:val="auto"/>
          <w:sz w:val="24"/>
          <w:szCs w:val="24"/>
          <w:highlight w:val="none"/>
        </w:rPr>
        <w:t>费用</w:t>
      </w:r>
      <w:r>
        <w:rPr>
          <w:rFonts w:hint="eastAsia" w:ascii="宋体" w:hAnsi="宋体" w:eastAsia="宋体" w:cs="宋体"/>
          <w:color w:val="000000"/>
          <w:sz w:val="24"/>
          <w:szCs w:val="24"/>
          <w:highlight w:val="none"/>
          <w:lang w:val="en-US" w:eastAsia="zh-CN"/>
        </w:rPr>
        <w:t>18.42</w:t>
      </w:r>
      <w:r>
        <w:rPr>
          <w:rFonts w:hint="eastAsia" w:ascii="宋体" w:hAnsi="宋体" w:eastAsia="宋体" w:cs="宋体"/>
          <w:color w:val="auto"/>
          <w:sz w:val="24"/>
          <w:szCs w:val="24"/>
          <w:highlight w:val="none"/>
        </w:rPr>
        <w:t>万元。预算确定资金量与实际工作任务相匹配。本项目预算额度测算依据充分，严格按照标准编制，预算确定资金量与实际工作任务相匹配；</w:t>
      </w:r>
    </w:p>
    <w:p w14:paraId="1A225F0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p>
    <w:p w14:paraId="11A4FEC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本项目实际分配资金以《关于申请</w:t>
      </w:r>
      <w:r>
        <w:rPr>
          <w:rFonts w:hint="eastAsia" w:ascii="宋体" w:hAnsi="宋体" w:eastAsia="宋体" w:cs="宋体"/>
          <w:color w:val="000000"/>
          <w:sz w:val="24"/>
          <w:szCs w:val="24"/>
          <w:highlight w:val="none"/>
        </w:rPr>
        <w:t>2024年林业草原改革发展资金-良种苗木培育</w:t>
      </w:r>
      <w:r>
        <w:rPr>
          <w:rFonts w:hint="eastAsia" w:ascii="宋体" w:hAnsi="宋体" w:eastAsia="宋体" w:cs="宋体"/>
          <w:color w:val="auto"/>
          <w:sz w:val="24"/>
          <w:szCs w:val="24"/>
          <w:highlight w:val="none"/>
        </w:rPr>
        <w:t>项目资金的请示》和《</w:t>
      </w:r>
      <w:r>
        <w:rPr>
          <w:rFonts w:hint="eastAsia" w:ascii="宋体" w:hAnsi="宋体" w:eastAsia="宋体" w:cs="宋体"/>
          <w:color w:val="000000"/>
          <w:sz w:val="24"/>
          <w:szCs w:val="24"/>
          <w:highlight w:val="none"/>
        </w:rPr>
        <w:t>2024年林业草原改革发展资金-良种苗木培育</w:t>
      </w:r>
      <w:r>
        <w:rPr>
          <w:rFonts w:hint="eastAsia" w:ascii="宋体" w:hAnsi="宋体" w:eastAsia="宋体" w:cs="宋体"/>
          <w:color w:val="auto"/>
          <w:sz w:val="24"/>
          <w:szCs w:val="24"/>
          <w:highlight w:val="none"/>
        </w:rPr>
        <w:t>项目实施方案》为依据进行资金分配，预算资金分配依据充分。根据</w:t>
      </w:r>
      <w:r>
        <w:rPr>
          <w:rFonts w:hint="eastAsia" w:ascii="宋体" w:hAnsi="宋体" w:eastAsia="宋体" w:cs="宋体"/>
          <w:color w:val="auto"/>
          <w:sz w:val="24"/>
          <w:szCs w:val="24"/>
          <w:highlight w:val="none"/>
          <w:lang w:eastAsia="zh-CN"/>
        </w:rPr>
        <w:t>《</w:t>
      </w:r>
      <w:r>
        <w:rPr>
          <w:rFonts w:hint="eastAsia" w:ascii="宋体" w:hAnsi="宋体" w:eastAsia="宋体" w:cs="宋体"/>
          <w:color w:val="000000"/>
          <w:sz w:val="24"/>
          <w:szCs w:val="24"/>
          <w:highlight w:val="none"/>
        </w:rPr>
        <w:t>和地财建[2023】96号</w:t>
      </w:r>
      <w:r>
        <w:rPr>
          <w:rFonts w:hint="eastAsia" w:ascii="宋体" w:hAnsi="宋体" w:eastAsia="宋体" w:cs="宋体"/>
          <w:color w:val="auto"/>
          <w:sz w:val="24"/>
          <w:szCs w:val="24"/>
          <w:highlight w:val="none"/>
        </w:rPr>
        <w:t>文件》，本项目实际到位资金</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1B8DC6DC">
      <w:pPr>
        <w:pStyle w:val="5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67B58F9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项目过程类指标包括资金管理和组织实施两方面的内容，由 5个三级指标构成，权重分为</w:t>
      </w:r>
      <w:r>
        <w:rPr>
          <w:rFonts w:hint="eastAsia" w:ascii="宋体" w:hAnsi="宋体" w:eastAsia="宋体" w:cs="宋体"/>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3256F8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25</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25</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25</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 xml:space="preserve">分。   </w:t>
      </w:r>
    </w:p>
    <w:p w14:paraId="5CDE5A2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24.76</w:t>
      </w:r>
      <w:r>
        <w:rPr>
          <w:rFonts w:hint="eastAsia" w:ascii="宋体" w:hAnsi="宋体" w:eastAsia="宋体" w:cs="宋体"/>
          <w:color w:val="auto"/>
          <w:sz w:val="24"/>
          <w:szCs w:val="24"/>
          <w:highlight w:val="none"/>
        </w:rPr>
        <w:t>万元，预算执行率=（实际支出资金/实际到位资金）×100.0%=</w:t>
      </w:r>
      <w:r>
        <w:rPr>
          <w:rFonts w:hint="eastAsia" w:ascii="宋体" w:hAnsi="宋体" w:eastAsia="宋体" w:cs="宋体"/>
          <w:color w:val="auto"/>
          <w:sz w:val="24"/>
          <w:szCs w:val="24"/>
          <w:highlight w:val="none"/>
          <w:lang w:val="en-US" w:eastAsia="zh-CN"/>
        </w:rPr>
        <w:t>99.04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7ACD9C7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eastAsia="zh-CN"/>
        </w:rPr>
        <w:t>洛浦县国营苗圃</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洛浦县国营苗圃</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901B0A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color w:val="auto"/>
          <w:sz w:val="24"/>
          <w:szCs w:val="24"/>
          <w:highlight w:val="none"/>
          <w:lang w:eastAsia="zh-CN"/>
        </w:rPr>
        <w:t>洛浦县国营苗圃</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eastAsia="zh-CN"/>
        </w:rPr>
        <w:t>洛浦县国营苗圃</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eastAsia="zh-CN"/>
        </w:rPr>
        <w:t>洛浦县国营苗圃</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洛浦县国营苗圃</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35E6828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val="en-US" w:eastAsia="zh-CN"/>
        </w:rPr>
        <w:t>资金管理</w:t>
      </w:r>
      <w:r>
        <w:rPr>
          <w:rFonts w:hint="eastAsia" w:ascii="宋体" w:hAnsi="宋体" w:eastAsia="宋体" w:cs="宋体"/>
          <w:color w:val="auto"/>
          <w:sz w:val="24"/>
          <w:szCs w:val="24"/>
          <w:highlight w:val="none"/>
        </w:rPr>
        <w:t>办法》《</w:t>
      </w:r>
      <w:r>
        <w:rPr>
          <w:rFonts w:hint="eastAsia" w:ascii="宋体" w:hAnsi="宋体" w:eastAsia="宋体" w:cs="宋体"/>
          <w:b w:val="0"/>
          <w:bCs w:val="0"/>
          <w:color w:val="auto"/>
          <w:sz w:val="24"/>
          <w:szCs w:val="24"/>
          <w:highlight w:val="none"/>
        </w:rPr>
        <w:t>收支业务</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val="en-US" w:eastAsia="zh-CN"/>
        </w:rPr>
        <w:t>政府</w:t>
      </w:r>
      <w:r>
        <w:rPr>
          <w:rFonts w:hint="eastAsia" w:ascii="宋体" w:hAnsi="宋体" w:eastAsia="宋体" w:cs="宋体"/>
          <w:color w:val="auto"/>
          <w:sz w:val="24"/>
          <w:szCs w:val="24"/>
          <w:highlight w:val="none"/>
        </w:rPr>
        <w:t>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3FA4C4A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411EBA0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12E44C3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000000"/>
          <w:sz w:val="24"/>
          <w:szCs w:val="24"/>
          <w:highlight w:val="none"/>
        </w:rPr>
        <w:t>2024年林业草原改革发展资金-良种苗木培育</w:t>
      </w:r>
      <w:r>
        <w:rPr>
          <w:rFonts w:hint="eastAsia" w:ascii="宋体" w:hAnsi="宋体" w:eastAsia="宋体" w:cs="宋体"/>
          <w:color w:val="auto"/>
          <w:sz w:val="24"/>
          <w:szCs w:val="24"/>
          <w:highlight w:val="none"/>
        </w:rPr>
        <w:t>项目工作领导小组，由</w:t>
      </w:r>
      <w:r>
        <w:rPr>
          <w:rFonts w:hint="eastAsia" w:ascii="宋体" w:hAnsi="宋体" w:eastAsia="宋体" w:cs="宋体"/>
          <w:color w:val="auto"/>
          <w:sz w:val="24"/>
          <w:szCs w:val="24"/>
          <w:highlight w:val="none"/>
          <w:lang w:val="en-US" w:eastAsia="zh-CN"/>
        </w:rPr>
        <w:t>吾吉白地拉·阿布都力</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000000"/>
          <w:sz w:val="24"/>
          <w:szCs w:val="24"/>
          <w:highlight w:val="none"/>
          <w:lang w:val="en-US" w:eastAsia="zh-CN"/>
        </w:rPr>
        <w:t>周袁明</w:t>
      </w:r>
      <w:r>
        <w:rPr>
          <w:rFonts w:hint="eastAsia" w:ascii="宋体" w:hAnsi="宋体" w:eastAsia="宋体" w:cs="宋体"/>
          <w:color w:val="000000"/>
          <w:sz w:val="24"/>
          <w:szCs w:val="24"/>
          <w:highlight w:val="none"/>
        </w:rPr>
        <w:t>任副组长，负责项目的实施工作；组员包括：</w:t>
      </w:r>
      <w:r>
        <w:rPr>
          <w:rFonts w:hint="eastAsia" w:ascii="宋体" w:hAnsi="宋体" w:eastAsia="宋体" w:cs="宋体"/>
          <w:color w:val="000000"/>
          <w:sz w:val="24"/>
          <w:szCs w:val="24"/>
          <w:highlight w:val="none"/>
          <w:lang w:val="en-US" w:eastAsia="zh-CN"/>
        </w:rPr>
        <w:t>周袁明</w:t>
      </w:r>
      <w:r>
        <w:rPr>
          <w:rFonts w:hint="eastAsia" w:ascii="宋体" w:hAnsi="宋体" w:eastAsia="宋体" w:cs="宋体"/>
          <w:color w:val="000000"/>
          <w:sz w:val="24"/>
          <w:szCs w:val="24"/>
          <w:highlight w:val="none"/>
        </w:rPr>
        <w:t>和</w:t>
      </w:r>
      <w:r>
        <w:rPr>
          <w:rFonts w:hint="eastAsia" w:ascii="宋体" w:hAnsi="宋体" w:eastAsia="宋体" w:cs="宋体"/>
          <w:color w:val="000000"/>
          <w:sz w:val="24"/>
          <w:szCs w:val="24"/>
          <w:highlight w:val="none"/>
          <w:lang w:val="en-US" w:eastAsia="zh-CN"/>
        </w:rPr>
        <w:t>凯丽比古丽</w:t>
      </w:r>
      <w:r>
        <w:rPr>
          <w:rFonts w:hint="eastAsia" w:ascii="宋体" w:hAnsi="宋体" w:eastAsia="宋体" w:cs="宋体"/>
          <w:color w:val="000000"/>
          <w:sz w:val="24"/>
          <w:szCs w:val="24"/>
          <w:highlight w:val="none"/>
        </w:rPr>
        <w:t>，主要负责</w:t>
      </w:r>
      <w:r>
        <w:rPr>
          <w:rFonts w:hint="eastAsia" w:ascii="宋体" w:hAnsi="宋体" w:eastAsia="宋体" w:cs="宋体"/>
          <w:color w:val="auto"/>
          <w:sz w:val="24"/>
          <w:szCs w:val="24"/>
          <w:highlight w:val="none"/>
        </w:rPr>
        <w:t>项目监督管理、验收以及资金核拨等工作。根据评分标准，该指标不扣分，得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6AFEF65">
      <w:pPr>
        <w:pStyle w:val="5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46E2E2C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CBDE651">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3371EA2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数量指标为林木良种培育补助面积</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kern w:val="0"/>
          <w:sz w:val="24"/>
          <w:szCs w:val="24"/>
          <w:highlight w:val="none"/>
          <w:lang w:val="en-US" w:eastAsia="zh-CN" w:bidi="ar-SA"/>
        </w:rPr>
        <w:t>大于等于值为48亩</w:t>
      </w:r>
      <w:r>
        <w:rPr>
          <w:rFonts w:hint="eastAsia" w:ascii="宋体" w:hAnsi="宋体" w:eastAsia="宋体" w:cs="宋体"/>
          <w:color w:val="auto"/>
          <w:sz w:val="24"/>
          <w:szCs w:val="24"/>
          <w:highlight w:val="none"/>
        </w:rPr>
        <w:t>，实际完成值为</w:t>
      </w:r>
      <w:r>
        <w:rPr>
          <w:rFonts w:hint="eastAsia" w:ascii="宋体" w:hAnsi="宋体" w:eastAsia="宋体" w:cs="宋体"/>
          <w:color w:val="auto"/>
          <w:kern w:val="0"/>
          <w:sz w:val="24"/>
          <w:szCs w:val="24"/>
          <w:highlight w:val="none"/>
          <w:lang w:val="en-US" w:eastAsia="zh-CN" w:bidi="ar-SA"/>
        </w:rPr>
        <w:t>48亩</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46C20EB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数量指标为生产二级以上良种苗木数量</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kern w:val="0"/>
          <w:sz w:val="24"/>
          <w:szCs w:val="24"/>
          <w:highlight w:val="none"/>
          <w:lang w:val="en-US" w:eastAsia="zh-CN" w:bidi="ar-SA"/>
        </w:rPr>
        <w:t>大于等于值为75万株</w:t>
      </w:r>
      <w:r>
        <w:rPr>
          <w:rFonts w:hint="eastAsia" w:ascii="宋体" w:hAnsi="宋体" w:eastAsia="宋体" w:cs="宋体"/>
          <w:color w:val="auto"/>
          <w:sz w:val="24"/>
          <w:szCs w:val="24"/>
          <w:highlight w:val="none"/>
        </w:rPr>
        <w:t>，实际完成值为</w:t>
      </w:r>
      <w:r>
        <w:rPr>
          <w:rFonts w:hint="eastAsia" w:ascii="宋体" w:hAnsi="宋体" w:eastAsia="宋体" w:cs="宋体"/>
          <w:color w:val="auto"/>
          <w:kern w:val="0"/>
          <w:sz w:val="24"/>
          <w:szCs w:val="24"/>
          <w:highlight w:val="none"/>
          <w:lang w:val="en-US" w:eastAsia="zh-CN" w:bidi="ar-SA"/>
        </w:rPr>
        <w:t>75万株</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53A79D5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78BF566A">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对于“产出质量”：</w:t>
      </w:r>
    </w:p>
    <w:p w14:paraId="417D273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补助覆盖率</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058799B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62C48C07">
      <w:pPr>
        <w:pStyle w:val="10"/>
        <w:pageBreakBefore w:val="0"/>
        <w:widowControl w:val="0"/>
        <w:numPr>
          <w:ilvl w:val="0"/>
          <w:numId w:val="5"/>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对于“产出时效”：</w:t>
      </w:r>
    </w:p>
    <w:p w14:paraId="1AAEB1A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bCs/>
          <w:color w:val="auto"/>
          <w:sz w:val="24"/>
          <w:szCs w:val="24"/>
          <w:highlight w:val="none"/>
          <w:lang w:val="en-US" w:eastAsia="zh-CN"/>
        </w:rPr>
        <w:t>项目完成时间</w:t>
      </w:r>
      <w:r>
        <w:rPr>
          <w:rFonts w:hint="eastAsia" w:ascii="宋体" w:hAnsi="宋体" w:eastAsia="宋体" w:cs="宋体"/>
          <w:b w:val="0"/>
          <w:bCs/>
          <w:color w:val="auto"/>
          <w:sz w:val="24"/>
          <w:szCs w:val="24"/>
          <w:highlight w:val="none"/>
        </w:rPr>
        <w:t>指标，预期指标值为</w:t>
      </w:r>
      <w:r>
        <w:rPr>
          <w:rFonts w:hint="eastAsia" w:ascii="宋体" w:hAnsi="宋体" w:eastAsia="宋体" w:cs="宋体"/>
          <w:b w:val="0"/>
          <w:bCs/>
          <w:color w:val="auto"/>
          <w:sz w:val="24"/>
          <w:szCs w:val="24"/>
          <w:highlight w:val="none"/>
          <w:lang w:val="en-US" w:eastAsia="zh-CN"/>
        </w:rPr>
        <w:t>2024年12月</w:t>
      </w:r>
      <w:r>
        <w:rPr>
          <w:rFonts w:hint="eastAsia" w:ascii="宋体" w:hAnsi="宋体" w:eastAsia="宋体" w:cs="宋体"/>
          <w:b w:val="0"/>
          <w:bCs/>
          <w:color w:val="auto"/>
          <w:sz w:val="24"/>
          <w:szCs w:val="24"/>
          <w:highlight w:val="none"/>
        </w:rPr>
        <w:t>，实际完成值为</w:t>
      </w:r>
      <w:r>
        <w:rPr>
          <w:rFonts w:hint="eastAsia" w:ascii="宋体" w:hAnsi="宋体" w:eastAsia="宋体" w:cs="宋体"/>
          <w:b w:val="0"/>
          <w:bCs/>
          <w:color w:val="auto"/>
          <w:sz w:val="24"/>
          <w:szCs w:val="24"/>
          <w:highlight w:val="none"/>
          <w:lang w:val="en-US" w:eastAsia="zh-CN"/>
        </w:rPr>
        <w:t>2024年12月</w:t>
      </w:r>
      <w:r>
        <w:rPr>
          <w:rFonts w:hint="eastAsia" w:ascii="宋体" w:hAnsi="宋体" w:eastAsia="宋体" w:cs="宋体"/>
          <w:b w:val="0"/>
          <w:bCs/>
          <w:color w:val="auto"/>
          <w:sz w:val="24"/>
          <w:szCs w:val="24"/>
          <w:highlight w:val="none"/>
        </w:rPr>
        <w:t>，</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得10分</w:t>
      </w:r>
      <w:r>
        <w:rPr>
          <w:rFonts w:hint="eastAsia" w:ascii="宋体" w:hAnsi="宋体" w:eastAsia="宋体" w:cs="宋体"/>
          <w:b w:val="0"/>
          <w:color w:val="auto"/>
          <w:sz w:val="24"/>
          <w:szCs w:val="24"/>
          <w:highlight w:val="none"/>
        </w:rPr>
        <w:t>。</w:t>
      </w:r>
    </w:p>
    <w:p w14:paraId="6D50EBDB">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689135A4">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（4）对于“产出成本”：</w:t>
      </w:r>
    </w:p>
    <w:p w14:paraId="7CF50CB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育苗经费，采购育苗物资经费</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sz w:val="24"/>
          <w:szCs w:val="24"/>
          <w:highlight w:val="none"/>
          <w:lang w:val="en-US" w:eastAsia="zh-CN"/>
        </w:rPr>
        <w:t>25万元</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24.76万元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99.04%，</w:t>
      </w:r>
      <w:r>
        <w:rPr>
          <w:rFonts w:hint="eastAsia" w:ascii="宋体" w:hAnsi="宋体" w:eastAsia="宋体" w:cs="宋体"/>
          <w:color w:val="auto"/>
          <w:sz w:val="24"/>
          <w:szCs w:val="24"/>
          <w:highlight w:val="none"/>
        </w:rPr>
        <w:t>本年支付</w:t>
      </w:r>
      <w:r>
        <w:rPr>
          <w:rFonts w:hint="eastAsia" w:ascii="宋体" w:hAnsi="宋体" w:eastAsia="宋体" w:cs="宋体"/>
          <w:color w:val="auto"/>
          <w:kern w:val="0"/>
          <w:sz w:val="24"/>
          <w:szCs w:val="24"/>
          <w:highlight w:val="none"/>
          <w:lang w:val="en-US" w:eastAsia="zh-CN" w:bidi="ar-SA"/>
        </w:rPr>
        <w:t>育苗经费</w:t>
      </w:r>
      <w:r>
        <w:rPr>
          <w:rFonts w:hint="eastAsia" w:ascii="宋体" w:hAnsi="宋体" w:eastAsia="宋体" w:cs="宋体"/>
          <w:color w:val="auto"/>
          <w:sz w:val="24"/>
          <w:szCs w:val="24"/>
          <w:highlight w:val="none"/>
        </w:rPr>
        <w:t>金额</w:t>
      </w:r>
      <w:r>
        <w:rPr>
          <w:rFonts w:hint="eastAsia" w:ascii="宋体" w:hAnsi="宋体" w:eastAsia="宋体" w:cs="宋体"/>
          <w:color w:val="auto"/>
          <w:sz w:val="24"/>
          <w:szCs w:val="24"/>
          <w:highlight w:val="none"/>
          <w:lang w:val="en-US" w:eastAsia="zh-CN"/>
        </w:rPr>
        <w:t>24.76</w:t>
      </w:r>
      <w:r>
        <w:rPr>
          <w:rFonts w:hint="eastAsia" w:ascii="宋体" w:hAnsi="宋体" w:eastAsia="宋体" w:cs="宋体"/>
          <w:color w:val="auto"/>
          <w:sz w:val="24"/>
          <w:szCs w:val="24"/>
          <w:highlight w:val="none"/>
        </w:rPr>
        <w:t>万元，项目经费都能控制绩效目标范围内，根据评分标准，该指标不扣分，得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42EA7708">
      <w:pPr>
        <w:pStyle w:val="5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5D7BE2D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个三级指标构成，权重分为</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分，实际得分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分，得分率为100%。</w:t>
      </w:r>
    </w:p>
    <w:p w14:paraId="1B78259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FF0000"/>
          <w:sz w:val="24"/>
          <w:szCs w:val="24"/>
          <w:lang w:val="en-US" w:eastAsia="zh-CN"/>
        </w:rPr>
      </w:pPr>
      <w:r>
        <w:rPr>
          <w:rFonts w:hint="eastAsia" w:ascii="宋体" w:hAnsi="宋体" w:eastAsia="宋体" w:cs="宋体"/>
          <w:b/>
          <w:bCs/>
          <w:sz w:val="24"/>
          <w:szCs w:val="24"/>
          <w:highlight w:val="none"/>
        </w:rPr>
        <w:t>（1）对于“社会效益指标”：</w:t>
      </w:r>
    </w:p>
    <w:p w14:paraId="5CB19CE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rPr>
      </w:pPr>
      <w:r>
        <w:rPr>
          <w:rFonts w:hint="eastAsia" w:ascii="宋体" w:hAnsi="宋体" w:eastAsia="宋体" w:cs="宋体"/>
          <w:b w:val="0"/>
          <w:bCs/>
          <w:color w:val="auto"/>
          <w:sz w:val="24"/>
          <w:szCs w:val="24"/>
        </w:rPr>
        <w:t>有效</w:t>
      </w:r>
      <w:r>
        <w:rPr>
          <w:rFonts w:hint="eastAsia" w:ascii="宋体" w:hAnsi="宋体" w:eastAsia="宋体" w:cs="宋体"/>
          <w:b w:val="0"/>
          <w:bCs/>
          <w:color w:val="auto"/>
          <w:sz w:val="24"/>
          <w:szCs w:val="24"/>
          <w:lang w:val="en-US" w:eastAsia="zh-CN"/>
        </w:rPr>
        <w:t>减轻农民负担</w:t>
      </w:r>
      <w:r>
        <w:rPr>
          <w:rFonts w:hint="eastAsia" w:ascii="宋体" w:hAnsi="宋体" w:eastAsia="宋体" w:cs="宋体"/>
          <w:b w:val="0"/>
          <w:bCs/>
          <w:color w:val="auto"/>
          <w:sz w:val="24"/>
          <w:szCs w:val="24"/>
        </w:rPr>
        <w:t>，该指标预期指标值为有效</w:t>
      </w:r>
      <w:r>
        <w:rPr>
          <w:rFonts w:hint="eastAsia" w:ascii="宋体" w:hAnsi="宋体" w:eastAsia="宋体" w:cs="宋体"/>
          <w:b w:val="0"/>
          <w:bCs/>
          <w:color w:val="auto"/>
          <w:sz w:val="24"/>
          <w:szCs w:val="24"/>
          <w:lang w:val="en-US" w:eastAsia="zh-CN"/>
        </w:rPr>
        <w:t>减轻农民负担</w:t>
      </w:r>
      <w:r>
        <w:rPr>
          <w:rFonts w:hint="eastAsia" w:ascii="宋体" w:hAnsi="宋体" w:eastAsia="宋体" w:cs="宋体"/>
          <w:b w:val="0"/>
          <w:bCs/>
          <w:color w:val="auto"/>
          <w:sz w:val="24"/>
          <w:szCs w:val="24"/>
        </w:rPr>
        <w:t>，实际完成值为有效</w:t>
      </w:r>
      <w:r>
        <w:rPr>
          <w:rFonts w:hint="eastAsia" w:ascii="宋体" w:hAnsi="宋体" w:eastAsia="宋体" w:cs="宋体"/>
          <w:b w:val="0"/>
          <w:bCs/>
          <w:color w:val="auto"/>
          <w:sz w:val="24"/>
          <w:szCs w:val="24"/>
          <w:lang w:val="en-US" w:eastAsia="zh-CN"/>
        </w:rPr>
        <w:t>减轻农民负担</w:t>
      </w:r>
      <w:r>
        <w:rPr>
          <w:rFonts w:hint="eastAsia" w:ascii="宋体" w:hAnsi="宋体" w:eastAsia="宋体" w:cs="宋体"/>
          <w:b w:val="0"/>
          <w:bCs/>
          <w:color w:val="auto"/>
          <w:sz w:val="24"/>
          <w:szCs w:val="24"/>
        </w:rPr>
        <w:t>，指</w:t>
      </w:r>
      <w:r>
        <w:rPr>
          <w:rFonts w:hint="eastAsia" w:ascii="宋体" w:hAnsi="宋体" w:eastAsia="宋体" w:cs="宋体"/>
          <w:b w:val="0"/>
          <w:color w:val="auto"/>
          <w:sz w:val="24"/>
          <w:szCs w:val="24"/>
        </w:rPr>
        <w:t>标完成率为</w:t>
      </w:r>
      <w:r>
        <w:rPr>
          <w:rFonts w:hint="eastAsia" w:ascii="宋体" w:hAnsi="宋体" w:eastAsia="宋体" w:cs="宋体"/>
          <w:b w:val="0"/>
          <w:color w:val="auto"/>
          <w:sz w:val="24"/>
          <w:szCs w:val="24"/>
          <w:lang w:val="en-US" w:eastAsia="zh-CN"/>
        </w:rPr>
        <w:t>100%</w:t>
      </w:r>
      <w:r>
        <w:rPr>
          <w:rFonts w:hint="eastAsia" w:ascii="宋体" w:hAnsi="宋体" w:eastAsia="宋体" w:cs="宋体"/>
          <w:b w:val="0"/>
          <w:color w:val="auto"/>
          <w:sz w:val="24"/>
          <w:szCs w:val="24"/>
        </w:rPr>
        <w:t>，与预期指标一致，根据评分标准，该指标不扣分，得</w:t>
      </w:r>
      <w:r>
        <w:rPr>
          <w:rFonts w:hint="eastAsia" w:ascii="宋体" w:hAnsi="宋体" w:eastAsia="宋体" w:cs="宋体"/>
          <w:b w:val="0"/>
          <w:color w:val="auto"/>
          <w:sz w:val="24"/>
          <w:szCs w:val="24"/>
          <w:lang w:val="en-US" w:eastAsia="zh-CN"/>
        </w:rPr>
        <w:t>15</w:t>
      </w:r>
      <w:r>
        <w:rPr>
          <w:rFonts w:hint="eastAsia" w:ascii="宋体" w:hAnsi="宋体" w:eastAsia="宋体" w:cs="宋体"/>
          <w:b w:val="0"/>
          <w:color w:val="auto"/>
          <w:sz w:val="24"/>
          <w:szCs w:val="24"/>
        </w:rPr>
        <w:t>分。</w:t>
      </w:r>
    </w:p>
    <w:p w14:paraId="06139CB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（2）对于“经济效益指标”：</w:t>
      </w:r>
    </w:p>
    <w:p w14:paraId="49C98F9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p>
    <w:p w14:paraId="368044F7">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Cs/>
          <w:sz w:val="24"/>
          <w:szCs w:val="24"/>
        </w:rPr>
        <w:t>（3）对于“生态效益指标”：</w:t>
      </w:r>
    </w:p>
    <w:p w14:paraId="579DEA2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p>
    <w:p w14:paraId="4933ECCB">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 w:val="0"/>
          <w:color w:val="auto"/>
          <w:sz w:val="24"/>
          <w:szCs w:val="24"/>
        </w:rPr>
        <w:t>实施效益指标合计得10分。</w:t>
      </w:r>
    </w:p>
    <w:p w14:paraId="05628EB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rPr>
      </w:pPr>
      <w:r>
        <w:rPr>
          <w:rFonts w:hint="eastAsia" w:ascii="宋体" w:hAnsi="宋体" w:eastAsia="宋体" w:cs="宋体"/>
          <w:bCs/>
          <w:sz w:val="24"/>
          <w:szCs w:val="24"/>
        </w:rPr>
        <w:t>（4）满意度指标分析</w:t>
      </w:r>
    </w:p>
    <w:p w14:paraId="5D89F553">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对于“满意度指标：</w:t>
      </w:r>
      <w:r>
        <w:rPr>
          <w:rFonts w:hint="eastAsia" w:ascii="宋体" w:hAnsi="宋体" w:eastAsia="宋体" w:cs="宋体"/>
          <w:sz w:val="24"/>
          <w:szCs w:val="24"/>
          <w:lang w:val="en-US" w:eastAsia="zh-CN"/>
        </w:rPr>
        <w:t>群众</w:t>
      </w:r>
      <w:r>
        <w:rPr>
          <w:rFonts w:hint="eastAsia" w:ascii="宋体" w:hAnsi="宋体" w:eastAsia="宋体" w:cs="宋体"/>
          <w:sz w:val="24"/>
          <w:szCs w:val="24"/>
        </w:rPr>
        <w:t>满意度，该指标预期指标值为</w:t>
      </w:r>
      <w:r>
        <w:rPr>
          <w:rFonts w:hint="eastAsia" w:ascii="宋体" w:hAnsi="宋体" w:eastAsia="宋体" w:cs="宋体"/>
          <w:sz w:val="24"/>
          <w:szCs w:val="24"/>
          <w:lang w:val="en-US" w:eastAsia="zh-CN"/>
        </w:rPr>
        <w:t>95%</w:t>
      </w:r>
      <w:r>
        <w:rPr>
          <w:rFonts w:hint="eastAsia" w:ascii="宋体" w:hAnsi="宋体" w:eastAsia="宋体" w:cs="宋体"/>
          <w:sz w:val="24"/>
          <w:szCs w:val="24"/>
        </w:rPr>
        <w:t>，实际完成值为</w:t>
      </w:r>
      <w:r>
        <w:rPr>
          <w:rFonts w:hint="eastAsia" w:ascii="宋体" w:hAnsi="宋体" w:eastAsia="宋体" w:cs="宋体"/>
          <w:sz w:val="24"/>
          <w:szCs w:val="24"/>
          <w:lang w:val="en-US" w:eastAsia="zh-CN"/>
        </w:rPr>
        <w:t>95%</w:t>
      </w:r>
      <w:r>
        <w:rPr>
          <w:rFonts w:hint="eastAsia" w:ascii="宋体" w:hAnsi="宋体" w:eastAsia="宋体" w:cs="宋体"/>
          <w:sz w:val="24"/>
          <w:szCs w:val="24"/>
        </w:rPr>
        <w:t>，指标完成率为</w:t>
      </w:r>
      <w:r>
        <w:rPr>
          <w:rFonts w:hint="eastAsia" w:ascii="宋体" w:hAnsi="宋体" w:eastAsia="宋体" w:cs="宋体"/>
          <w:sz w:val="24"/>
          <w:szCs w:val="24"/>
          <w:lang w:val="en-US" w:eastAsia="zh-CN"/>
        </w:rPr>
        <w:t>95%</w:t>
      </w:r>
      <w:r>
        <w:rPr>
          <w:rFonts w:hint="eastAsia" w:ascii="宋体" w:hAnsi="宋体" w:eastAsia="宋体" w:cs="宋体"/>
          <w:sz w:val="24"/>
          <w:szCs w:val="24"/>
        </w:rPr>
        <w:t>，与预期目标一致，根据评分标准，该指标不扣分,得10分。</w:t>
      </w:r>
      <w:bookmarkEnd w:id="18"/>
    </w:p>
    <w:p w14:paraId="2E752A63">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7B06E156">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110C8655">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24.76</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99.04</w:t>
      </w:r>
      <w:r>
        <w:rPr>
          <w:rFonts w:hint="eastAsia" w:ascii="宋体" w:hAnsi="宋体" w:eastAsia="宋体" w:cs="宋体"/>
          <w:color w:val="auto"/>
          <w:sz w:val="24"/>
          <w:szCs w:val="24"/>
        </w:rPr>
        <w:t>%。</w:t>
      </w:r>
    </w:p>
    <w:p w14:paraId="241F2882">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669F772A">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综上所述本项目预算执行率与总体完成率之间的偏差为</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w:t>
      </w:r>
    </w:p>
    <w:p w14:paraId="5A20EE9B">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9" w:name="_Toc68364673"/>
    </w:p>
    <w:p w14:paraId="728393D0">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六、主要经验及做法、存在的问题及原因分析</w:t>
      </w:r>
    </w:p>
    <w:p w14:paraId="524A534B">
      <w:pPr>
        <w:pStyle w:val="5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rPr>
      </w:pPr>
      <w:r>
        <w:rPr>
          <w:rFonts w:hint="eastAsia" w:ascii="宋体" w:hAnsi="宋体" w:eastAsia="宋体" w:cs="宋体"/>
          <w:sz w:val="24"/>
          <w:szCs w:val="24"/>
        </w:rPr>
        <w:t>（一）主要经验及做法</w:t>
      </w:r>
      <w:bookmarkEnd w:id="19"/>
    </w:p>
    <w:p w14:paraId="177E58A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000000"/>
          <w:kern w:val="0"/>
          <w:sz w:val="24"/>
          <w:szCs w:val="24"/>
          <w:highlight w:val="none"/>
          <w:lang w:val="en-US" w:eastAsia="zh-CN" w:bidi="ar-SA"/>
        </w:rPr>
        <w:t>我单位以本次绩效评价为契机，建立健全预算项目管理制度，合理设置内部管理机构和岗位，明确职责权限，明确业务个环节流程、时间要求、审批权限等，领导分工明确，事事有人管，件件有人抓，明确单位内部各个业务归口管理责任，加强对政府采购业务预算与计划管理，建立预算编制，提升编制预算的计划性、科学性和规范性，强化预算绩效意识。</w:t>
      </w:r>
      <w:r>
        <w:rPr>
          <w:rFonts w:hint="eastAsia" w:ascii="宋体" w:hAnsi="宋体" w:eastAsia="宋体" w:cs="宋体"/>
          <w:color w:val="auto"/>
          <w:sz w:val="24"/>
          <w:szCs w:val="24"/>
        </w:rPr>
        <w:t>位及时向领导汇报项目建设进度，加强与施工单位的沟通，确保项目按期完工。</w:t>
      </w:r>
    </w:p>
    <w:p w14:paraId="734D2C65">
      <w:pPr>
        <w:pStyle w:val="10"/>
        <w:pageBreakBefore w:val="0"/>
        <w:widowControl w:val="0"/>
        <w:numPr>
          <w:ilvl w:val="0"/>
          <w:numId w:val="6"/>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0" w:name="_Toc68364674"/>
      <w:r>
        <w:rPr>
          <w:rFonts w:hint="eastAsia" w:ascii="宋体" w:hAnsi="宋体" w:eastAsia="宋体" w:cs="宋体"/>
          <w:sz w:val="24"/>
          <w:szCs w:val="24"/>
        </w:rPr>
        <w:t>存在问题及原因分析</w:t>
      </w:r>
      <w:bookmarkEnd w:id="20"/>
    </w:p>
    <w:p w14:paraId="03C3715A">
      <w:pPr>
        <w:pStyle w:val="10"/>
        <w:pageBreakBefore w:val="0"/>
        <w:widowControl w:val="0"/>
        <w:numPr>
          <w:ilvl w:val="0"/>
          <w:numId w:val="0"/>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一是对各项指标和指标值要进一步优化、完善，主要在细化、量化上改进；</w:t>
      </w:r>
    </w:p>
    <w:p w14:paraId="617E4D4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二是部门评价工作还存在自我审定的局限性，会影响评价质量，容易造成问题的疏漏，在客观性和公正性上说服力不强；</w:t>
      </w:r>
    </w:p>
    <w:p w14:paraId="5DD9D38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三是缺少带着问题去评价的意识；</w:t>
      </w:r>
    </w:p>
    <w:p w14:paraId="33ECABBB">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FF0000"/>
          <w:sz w:val="24"/>
          <w:szCs w:val="24"/>
          <w:lang w:val="en-US" w:eastAsia="zh-CN"/>
        </w:rPr>
      </w:pPr>
      <w:r>
        <w:rPr>
          <w:rFonts w:hint="eastAsia" w:ascii="宋体" w:hAnsi="宋体" w:eastAsia="宋体" w:cs="宋体"/>
          <w:b w:val="0"/>
          <w:bCs w:val="0"/>
          <w:color w:val="000000"/>
          <w:sz w:val="24"/>
          <w:szCs w:val="24"/>
          <w:highlight w:val="none"/>
          <w:lang w:val="en-US" w:eastAsia="zh-CN"/>
        </w:rPr>
        <w:t>四是现场评价的工作量少，后续效益评价具体措施和方法较少。</w:t>
      </w:r>
      <w:bookmarkStart w:id="21" w:name="_Toc68364675"/>
    </w:p>
    <w:p w14:paraId="3989F165">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部门沟通协调不足，监督责任不明确。</w:t>
      </w:r>
    </w:p>
    <w:p w14:paraId="3A7E8345">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项目资金监督和管理需进一步完善。</w:t>
      </w:r>
    </w:p>
    <w:p w14:paraId="66CC8115">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现场评价的工作量少，后续效益评价具体措施和方法较少。</w:t>
      </w:r>
      <w:bookmarkEnd w:id="21"/>
    </w:p>
    <w:p w14:paraId="33EBC348">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sz w:val="24"/>
          <w:szCs w:val="24"/>
        </w:rPr>
      </w:pPr>
    </w:p>
    <w:p w14:paraId="5A333814">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七、有关建议</w:t>
      </w:r>
    </w:p>
    <w:p w14:paraId="6BE57C5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bookmarkStart w:id="22" w:name="_Toc68364676"/>
      <w:r>
        <w:rPr>
          <w:rFonts w:hint="eastAsia" w:ascii="宋体" w:hAnsi="宋体" w:eastAsia="宋体" w:cs="宋体"/>
          <w:b w:val="0"/>
          <w:bCs w:val="0"/>
          <w:color w:val="000000"/>
          <w:sz w:val="24"/>
          <w:szCs w:val="24"/>
          <w:highlight w:val="none"/>
          <w:lang w:val="en-US" w:eastAsia="zh-CN"/>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760A4D0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2.项目评价资料有待进一步完善。项目启动时同步做好档案的归纳与整理，及时整理、收集、汇总，健全档案资料。项目后续管理有待进一步加强和跟踪。</w:t>
      </w:r>
    </w:p>
    <w:p w14:paraId="06E421E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3.通过绩效管理，发现实施中存在漏洞，以后加强管理，及时掌握与之相关的各类信息，减少成本，使资金效益最大化。</w:t>
      </w:r>
    </w:p>
    <w:p w14:paraId="7C7D550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4．评价工作应从项目实施方案源头抓起，评价工作和意识应贯穿项目整个过程。</w:t>
      </w:r>
    </w:p>
    <w:p w14:paraId="05451E5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p>
    <w:p w14:paraId="1FABB677">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八、其他需要说明的问题</w:t>
      </w:r>
      <w:bookmarkEnd w:id="22"/>
    </w:p>
    <w:p w14:paraId="520C9C84">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33C9A213">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附件1：</w:t>
      </w:r>
      <w:r>
        <w:rPr>
          <w:rFonts w:hint="eastAsia" w:ascii="宋体" w:hAnsi="宋体" w:eastAsia="宋体" w:cs="宋体"/>
          <w:color w:val="000000"/>
          <w:sz w:val="24"/>
          <w:szCs w:val="24"/>
          <w:highlight w:val="none"/>
        </w:rPr>
        <w:t>2024年林业草原改革发展资金-良种苗木培育</w:t>
      </w:r>
      <w:r>
        <w:rPr>
          <w:rFonts w:hint="eastAsia" w:ascii="宋体" w:hAnsi="宋体" w:eastAsia="宋体" w:cs="宋体"/>
          <w:kern w:val="0"/>
          <w:sz w:val="24"/>
          <w:szCs w:val="24"/>
          <w:lang w:val="en-US" w:eastAsia="zh-CN" w:bidi="ar-SA"/>
        </w:rPr>
        <w:t>项目绩效评价指标体系</w:t>
      </w:r>
    </w:p>
    <w:p w14:paraId="55E6F8EB">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附件2：</w:t>
      </w:r>
      <w:r>
        <w:rPr>
          <w:rFonts w:hint="eastAsia" w:ascii="宋体" w:hAnsi="宋体" w:eastAsia="宋体" w:cs="宋体"/>
          <w:color w:val="000000"/>
          <w:sz w:val="24"/>
          <w:szCs w:val="24"/>
          <w:highlight w:val="none"/>
        </w:rPr>
        <w:t>2024年林业草原改革发展资金-良种苗木培育</w:t>
      </w:r>
      <w:r>
        <w:rPr>
          <w:rFonts w:hint="eastAsia" w:ascii="宋体" w:hAnsi="宋体" w:eastAsia="宋体" w:cs="宋体"/>
          <w:kern w:val="0"/>
          <w:sz w:val="24"/>
          <w:szCs w:val="24"/>
          <w:lang w:val="en-US" w:eastAsia="zh-CN" w:bidi="ar-SA"/>
        </w:rPr>
        <w:t>项目综合得分表</w:t>
      </w:r>
    </w:p>
    <w:p w14:paraId="39A8AE8D">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kern w:val="0"/>
          <w:sz w:val="24"/>
          <w:szCs w:val="24"/>
          <w:lang w:val="en-US" w:eastAsia="zh-CN" w:bidi="ar-SA"/>
        </w:rPr>
        <w:t>附件3：满意度调查问分析情况</w:t>
      </w:r>
    </w:p>
    <w:p w14:paraId="02DA573D">
      <w:pPr>
        <w:pStyle w:val="10"/>
        <w:ind w:left="0" w:leftChars="0" w:firstLine="0" w:firstLineChars="0"/>
        <w:jc w:val="both"/>
        <w:rPr>
          <w:rFonts w:hint="eastAsia" w:ascii="宋体" w:hAnsi="宋体" w:eastAsia="宋体" w:cs="宋体"/>
          <w:sz w:val="24"/>
          <w:szCs w:val="24"/>
        </w:rPr>
      </w:pPr>
    </w:p>
    <w:p w14:paraId="1DBE922C">
      <w:pPr>
        <w:pStyle w:val="10"/>
        <w:ind w:left="0" w:leftChars="0" w:firstLine="0" w:firstLineChars="0"/>
        <w:jc w:val="both"/>
        <w:rPr>
          <w:rFonts w:hint="eastAsia" w:ascii="宋体" w:hAnsi="宋体" w:eastAsia="宋体" w:cs="宋体"/>
          <w:sz w:val="24"/>
          <w:szCs w:val="24"/>
        </w:rPr>
        <w:sectPr>
          <w:footerReference r:id="rId7" w:type="default"/>
          <w:pgSz w:w="11906" w:h="16838"/>
          <w:pgMar w:top="1985" w:right="1531" w:bottom="1701" w:left="1531" w:header="851" w:footer="992" w:gutter="0"/>
          <w:pgNumType w:fmt="decimal" w:start="1"/>
          <w:cols w:space="720" w:num="1"/>
          <w:docGrid w:type="linesAndChars" w:linePitch="386" w:charSpace="0"/>
        </w:sectPr>
      </w:pPr>
    </w:p>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7"/>
        <w:gridCol w:w="550"/>
        <w:gridCol w:w="755"/>
        <w:gridCol w:w="655"/>
        <w:gridCol w:w="840"/>
        <w:gridCol w:w="739"/>
        <w:gridCol w:w="1840"/>
        <w:gridCol w:w="1160"/>
        <w:gridCol w:w="4362"/>
        <w:gridCol w:w="745"/>
        <w:gridCol w:w="715"/>
      </w:tblGrid>
      <w:tr w14:paraId="29349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3368" w:type="dxa"/>
            <w:gridSpan w:val="11"/>
            <w:tcBorders>
              <w:top w:val="nil"/>
              <w:left w:val="nil"/>
              <w:bottom w:val="nil"/>
              <w:right w:val="nil"/>
            </w:tcBorders>
            <w:noWrap/>
            <w:vAlign w:val="center"/>
          </w:tcPr>
          <w:p w14:paraId="0C9ACAB6">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附件1：</w:t>
            </w:r>
          </w:p>
        </w:tc>
      </w:tr>
      <w:tr w14:paraId="2895C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3368" w:type="dxa"/>
            <w:gridSpan w:val="11"/>
            <w:tcBorders>
              <w:top w:val="nil"/>
              <w:left w:val="nil"/>
              <w:bottom w:val="nil"/>
              <w:right w:val="nil"/>
            </w:tcBorders>
            <w:noWrap w:val="0"/>
            <w:vAlign w:val="center"/>
          </w:tcPr>
          <w:p w14:paraId="6B4AC7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FF0000"/>
                <w:sz w:val="24"/>
                <w:szCs w:val="24"/>
                <w:highlight w:val="none"/>
                <w:u w:val="none"/>
              </w:rPr>
            </w:pPr>
            <w:r>
              <w:rPr>
                <w:rFonts w:hint="eastAsia" w:ascii="宋体" w:hAnsi="宋体" w:eastAsia="宋体" w:cs="宋体"/>
                <w:color w:val="000000"/>
                <w:sz w:val="24"/>
                <w:szCs w:val="24"/>
                <w:highlight w:val="none"/>
              </w:rPr>
              <w:t>2024年林业草原改革发展资金-良种苗木培育</w:t>
            </w:r>
            <w:r>
              <w:rPr>
                <w:rFonts w:hint="eastAsia" w:ascii="宋体" w:hAnsi="宋体" w:eastAsia="宋体" w:cs="宋体"/>
                <w:color w:val="auto"/>
                <w:sz w:val="24"/>
                <w:szCs w:val="24"/>
                <w:highlight w:val="none"/>
              </w:rPr>
              <w:t>项目</w:t>
            </w:r>
            <w:r>
              <w:rPr>
                <w:rStyle w:val="53"/>
                <w:rFonts w:hint="eastAsia" w:ascii="宋体" w:hAnsi="宋体" w:eastAsia="宋体" w:cs="宋体"/>
                <w:sz w:val="24"/>
                <w:szCs w:val="24"/>
                <w:highlight w:val="none"/>
                <w:lang w:val="en-US" w:eastAsia="zh-CN"/>
              </w:rPr>
              <w:t>绩效评价指标体系综合评分表</w:t>
            </w:r>
          </w:p>
        </w:tc>
      </w:tr>
      <w:tr w14:paraId="1F5CF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07" w:type="dxa"/>
            <w:tcBorders>
              <w:top w:val="single" w:color="auto" w:sz="4" w:space="0"/>
              <w:left w:val="single" w:color="auto" w:sz="4" w:space="0"/>
              <w:bottom w:val="single" w:color="auto" w:sz="4" w:space="0"/>
              <w:right w:val="single" w:color="auto" w:sz="4" w:space="0"/>
            </w:tcBorders>
            <w:noWrap w:val="0"/>
            <w:vAlign w:val="center"/>
          </w:tcPr>
          <w:p w14:paraId="59721A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一级指标</w:t>
            </w:r>
          </w:p>
        </w:tc>
        <w:tc>
          <w:tcPr>
            <w:tcW w:w="550" w:type="dxa"/>
            <w:tcBorders>
              <w:top w:val="single" w:color="auto" w:sz="4" w:space="0"/>
              <w:left w:val="single" w:color="auto" w:sz="4" w:space="0"/>
              <w:bottom w:val="single" w:color="auto" w:sz="4" w:space="0"/>
              <w:right w:val="single" w:color="auto" w:sz="4" w:space="0"/>
            </w:tcBorders>
            <w:noWrap w:val="0"/>
            <w:vAlign w:val="center"/>
          </w:tcPr>
          <w:p w14:paraId="37248F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分值</w:t>
            </w:r>
          </w:p>
        </w:tc>
        <w:tc>
          <w:tcPr>
            <w:tcW w:w="755" w:type="dxa"/>
            <w:tcBorders>
              <w:top w:val="single" w:color="auto" w:sz="4" w:space="0"/>
              <w:left w:val="single" w:color="auto" w:sz="4" w:space="0"/>
              <w:bottom w:val="single" w:color="auto" w:sz="4" w:space="0"/>
              <w:right w:val="single" w:color="auto" w:sz="4" w:space="0"/>
            </w:tcBorders>
            <w:noWrap w:val="0"/>
            <w:vAlign w:val="center"/>
          </w:tcPr>
          <w:p w14:paraId="75561A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二级指标</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0070AE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分值</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4DC373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三级指标</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3BDE95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分值</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1F21F9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指标解释</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6CD597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标杆值</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0D52CA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评分标准</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4278D4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完成值</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6E2215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得分</w:t>
            </w:r>
          </w:p>
        </w:tc>
      </w:tr>
      <w:tr w14:paraId="19867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07" w:type="dxa"/>
            <w:vMerge w:val="restart"/>
            <w:tcBorders>
              <w:top w:val="single" w:color="auto" w:sz="4" w:space="0"/>
              <w:left w:val="single" w:color="auto" w:sz="4" w:space="0"/>
              <w:bottom w:val="single" w:color="auto" w:sz="4" w:space="0"/>
              <w:right w:val="single" w:color="auto" w:sz="4" w:space="0"/>
            </w:tcBorders>
            <w:noWrap w:val="0"/>
            <w:vAlign w:val="center"/>
          </w:tcPr>
          <w:p w14:paraId="46352F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项目决策</w:t>
            </w:r>
          </w:p>
        </w:tc>
        <w:tc>
          <w:tcPr>
            <w:tcW w:w="550" w:type="dxa"/>
            <w:vMerge w:val="restart"/>
            <w:tcBorders>
              <w:top w:val="single" w:color="auto" w:sz="4" w:space="0"/>
              <w:left w:val="single" w:color="auto" w:sz="4" w:space="0"/>
              <w:bottom w:val="single" w:color="auto" w:sz="4" w:space="0"/>
              <w:right w:val="single" w:color="auto" w:sz="4" w:space="0"/>
            </w:tcBorders>
            <w:noWrap w:val="0"/>
            <w:vAlign w:val="center"/>
          </w:tcPr>
          <w:p w14:paraId="4E6339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23</w:t>
            </w:r>
          </w:p>
        </w:tc>
        <w:tc>
          <w:tcPr>
            <w:tcW w:w="755" w:type="dxa"/>
            <w:vMerge w:val="restart"/>
            <w:tcBorders>
              <w:top w:val="single" w:color="auto" w:sz="4" w:space="0"/>
              <w:left w:val="single" w:color="auto" w:sz="4" w:space="0"/>
              <w:bottom w:val="single" w:color="auto" w:sz="4" w:space="0"/>
              <w:right w:val="single" w:color="auto" w:sz="4" w:space="0"/>
            </w:tcBorders>
            <w:noWrap w:val="0"/>
            <w:vAlign w:val="center"/>
          </w:tcPr>
          <w:p w14:paraId="7188C3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项目立项</w:t>
            </w:r>
          </w:p>
        </w:tc>
        <w:tc>
          <w:tcPr>
            <w:tcW w:w="655" w:type="dxa"/>
            <w:vMerge w:val="restart"/>
            <w:tcBorders>
              <w:top w:val="single" w:color="auto" w:sz="4" w:space="0"/>
              <w:left w:val="single" w:color="auto" w:sz="4" w:space="0"/>
              <w:bottom w:val="single" w:color="auto" w:sz="4" w:space="0"/>
              <w:right w:val="single" w:color="auto" w:sz="4" w:space="0"/>
            </w:tcBorders>
            <w:noWrap w:val="0"/>
            <w:vAlign w:val="center"/>
          </w:tcPr>
          <w:p w14:paraId="69D6A0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5</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75B26F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立项依据充分性</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176176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3F91E6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项目立项是否符合法律法规、相关政策、发展规划以及部门职责，用以反映和考核项目立项依据情况。</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321F45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充分</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2DA1D61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w:t>
            </w:r>
          </w:p>
          <w:p w14:paraId="208D3CD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⑤项目是否与相关部门同类项目或部门内部相关项目重复。以上每条要素占权重分的20%，每有一条不符合，扣除对应权重分，扣完为止。</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606328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充分</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6FA0A5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w:t>
            </w:r>
          </w:p>
        </w:tc>
      </w:tr>
      <w:tr w14:paraId="429D5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14730A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02990A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755" w:type="dxa"/>
            <w:vMerge w:val="continue"/>
            <w:tcBorders>
              <w:top w:val="single" w:color="auto" w:sz="4" w:space="0"/>
              <w:left w:val="single" w:color="auto" w:sz="4" w:space="0"/>
              <w:bottom w:val="single" w:color="auto" w:sz="4" w:space="0"/>
              <w:right w:val="single" w:color="auto" w:sz="4" w:space="0"/>
            </w:tcBorders>
            <w:noWrap w:val="0"/>
            <w:vAlign w:val="center"/>
          </w:tcPr>
          <w:p w14:paraId="688A9E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655" w:type="dxa"/>
            <w:vMerge w:val="continue"/>
            <w:tcBorders>
              <w:top w:val="single" w:color="auto" w:sz="4" w:space="0"/>
              <w:left w:val="single" w:color="auto" w:sz="4" w:space="0"/>
              <w:bottom w:val="single" w:color="auto" w:sz="4" w:space="0"/>
              <w:right w:val="single" w:color="auto" w:sz="4" w:space="0"/>
            </w:tcBorders>
            <w:noWrap w:val="0"/>
            <w:vAlign w:val="center"/>
          </w:tcPr>
          <w:p w14:paraId="06B9FF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026B7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立项程序规范性</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2F7504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3</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6CB1C4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项目申请、设立过程是否符合相关要求，用以反映和考核项目立项的规范情况。</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1ED686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规范</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3DEEEF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①项目是否按照规定的程序申请设立；</w:t>
            </w:r>
          </w:p>
          <w:p w14:paraId="5D12B0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②审批文件、材料是否符合相关要求；</w:t>
            </w:r>
          </w:p>
          <w:p w14:paraId="377AFE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③事前是否已经过必要的可行性研究、专家论证、风险评估、绩效评估、集体决策。</w:t>
            </w:r>
          </w:p>
          <w:p w14:paraId="59C610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①②③齐全得权重分的100%，缺①扣权重分的40%，缺②扣权重分的30%，缺③扣权重分的30%。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223424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规范</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64C0C8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3</w:t>
            </w:r>
          </w:p>
        </w:tc>
      </w:tr>
      <w:tr w14:paraId="7E9FE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8"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689889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57CA73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755" w:type="dxa"/>
            <w:vMerge w:val="restart"/>
            <w:tcBorders>
              <w:top w:val="single" w:color="auto" w:sz="4" w:space="0"/>
              <w:left w:val="single" w:color="auto" w:sz="4" w:space="0"/>
              <w:bottom w:val="single" w:color="auto" w:sz="4" w:space="0"/>
              <w:right w:val="single" w:color="auto" w:sz="4" w:space="0"/>
            </w:tcBorders>
            <w:noWrap w:val="0"/>
            <w:vAlign w:val="center"/>
          </w:tcPr>
          <w:p w14:paraId="644E46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绩效目标</w:t>
            </w:r>
          </w:p>
        </w:tc>
        <w:tc>
          <w:tcPr>
            <w:tcW w:w="655" w:type="dxa"/>
            <w:vMerge w:val="restart"/>
            <w:tcBorders>
              <w:top w:val="single" w:color="auto" w:sz="4" w:space="0"/>
              <w:left w:val="single" w:color="auto" w:sz="4" w:space="0"/>
              <w:bottom w:val="single" w:color="auto" w:sz="4" w:space="0"/>
              <w:right w:val="single" w:color="auto" w:sz="4" w:space="0"/>
            </w:tcBorders>
            <w:noWrap w:val="0"/>
            <w:vAlign w:val="center"/>
          </w:tcPr>
          <w:p w14:paraId="2ABF3C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05CAF4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绩效目标合理性</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4F80AD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5</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18141F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项目所设定的绩效目标是否依据充分，是否符合客观实际，用以反映和考核项目绩效目标与项目实施的相符情况。</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2DE205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合理</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69AEE8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①项目是否有绩效目标；②项目绩效目标与实际工作内容是否具有相关性；③项目预期产出效益和效果是否符合正常的业绩水平；④是否与预算确定的项目投资额或资金量相匹配。</w:t>
            </w:r>
          </w:p>
          <w:p w14:paraId="3FC724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以上每条要素各占权重的25%，每有一条不符合，扣除对应的权重分，扣完为止。</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1ED77A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合理</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39A163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5</w:t>
            </w:r>
          </w:p>
        </w:tc>
      </w:tr>
      <w:tr w14:paraId="4009F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0"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1EED25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552711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755" w:type="dxa"/>
            <w:vMerge w:val="continue"/>
            <w:tcBorders>
              <w:top w:val="single" w:color="auto" w:sz="4" w:space="0"/>
              <w:left w:val="single" w:color="auto" w:sz="4" w:space="0"/>
              <w:bottom w:val="single" w:color="auto" w:sz="4" w:space="0"/>
              <w:right w:val="single" w:color="auto" w:sz="4" w:space="0"/>
            </w:tcBorders>
            <w:noWrap w:val="0"/>
            <w:vAlign w:val="center"/>
          </w:tcPr>
          <w:p w14:paraId="1964BA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655" w:type="dxa"/>
            <w:vMerge w:val="continue"/>
            <w:tcBorders>
              <w:top w:val="single" w:color="auto" w:sz="4" w:space="0"/>
              <w:left w:val="single" w:color="auto" w:sz="4" w:space="0"/>
              <w:bottom w:val="single" w:color="auto" w:sz="4" w:space="0"/>
              <w:right w:val="single" w:color="auto" w:sz="4" w:space="0"/>
            </w:tcBorders>
            <w:noWrap w:val="0"/>
            <w:vAlign w:val="center"/>
          </w:tcPr>
          <w:p w14:paraId="4A6435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6D1D78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绩效指标明确性</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00E29C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5</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240A82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依据绩效目标设定的绩效指标是否清晰、细化、可衡量等，用以反映和考核项目绩效目标的明细化情况。</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15A45D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明确</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4B955E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①是否将项目绩效目标细化分解为具体的绩效指标；</w:t>
            </w:r>
          </w:p>
          <w:p w14:paraId="4F0C97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②是否通过清晰、可衡量的指标值予以体现；</w:t>
            </w:r>
          </w:p>
          <w:p w14:paraId="32B20E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③是否与项目目标任务数或计划数相对应。</w:t>
            </w:r>
          </w:p>
          <w:p w14:paraId="3645A2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①②③齐全得权重分的100%，缺①扣权重分的20%，缺②扣权重分的50%，缺③扣权重分的30%。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304873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明确</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1FDBC1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5</w:t>
            </w:r>
          </w:p>
        </w:tc>
      </w:tr>
      <w:tr w14:paraId="1D879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9"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7BC088C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5A573F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755" w:type="dxa"/>
            <w:vMerge w:val="restart"/>
            <w:tcBorders>
              <w:top w:val="single" w:color="auto" w:sz="4" w:space="0"/>
              <w:left w:val="single" w:color="auto" w:sz="4" w:space="0"/>
              <w:bottom w:val="single" w:color="auto" w:sz="4" w:space="0"/>
              <w:right w:val="single" w:color="auto" w:sz="4" w:space="0"/>
            </w:tcBorders>
            <w:noWrap w:val="0"/>
            <w:vAlign w:val="center"/>
          </w:tcPr>
          <w:p w14:paraId="638C34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资金投入</w:t>
            </w:r>
          </w:p>
        </w:tc>
        <w:tc>
          <w:tcPr>
            <w:tcW w:w="655" w:type="dxa"/>
            <w:vMerge w:val="restart"/>
            <w:tcBorders>
              <w:top w:val="single" w:color="auto" w:sz="4" w:space="0"/>
              <w:left w:val="single" w:color="auto" w:sz="4" w:space="0"/>
              <w:bottom w:val="single" w:color="auto" w:sz="4" w:space="0"/>
              <w:right w:val="single" w:color="auto" w:sz="4" w:space="0"/>
            </w:tcBorders>
            <w:noWrap w:val="0"/>
            <w:vAlign w:val="center"/>
          </w:tcPr>
          <w:p w14:paraId="00002B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8</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2D326D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预算编制科学性</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40CE74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4</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1EC856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项目预算编制是否经过科学论证、有明确标准，资金额度与年度目标是否相适应，用以反映和考核项目预算编制的科学性、合理性情况。</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20B267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科学</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7121D1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①预算编制是否经过科学论证；</w:t>
            </w:r>
          </w:p>
          <w:p w14:paraId="5B615E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②预算内容与项目内容是否匹配；</w:t>
            </w:r>
          </w:p>
          <w:p w14:paraId="5BD5C6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③预算额度测算依据是否充分，是否按照标准编制；</w:t>
            </w:r>
          </w:p>
          <w:p w14:paraId="38C499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④预算确定的项目投资额或资金量是否与工作任务相匹配。</w:t>
            </w:r>
          </w:p>
          <w:p w14:paraId="4066E0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以上每条要素各占权重的25%，每有一条不符合，扣除对应的权重分，扣完为止。</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2EF738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科学</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4AA2F3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4</w:t>
            </w:r>
          </w:p>
        </w:tc>
      </w:tr>
      <w:tr w14:paraId="2F54D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2"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626164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27E918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755" w:type="dxa"/>
            <w:vMerge w:val="continue"/>
            <w:tcBorders>
              <w:top w:val="single" w:color="auto" w:sz="4" w:space="0"/>
              <w:left w:val="single" w:color="auto" w:sz="4" w:space="0"/>
              <w:bottom w:val="single" w:color="auto" w:sz="4" w:space="0"/>
              <w:right w:val="single" w:color="auto" w:sz="4" w:space="0"/>
            </w:tcBorders>
            <w:noWrap w:val="0"/>
            <w:vAlign w:val="center"/>
          </w:tcPr>
          <w:p w14:paraId="640CBD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655" w:type="dxa"/>
            <w:vMerge w:val="continue"/>
            <w:tcBorders>
              <w:top w:val="single" w:color="auto" w:sz="4" w:space="0"/>
              <w:left w:val="single" w:color="auto" w:sz="4" w:space="0"/>
              <w:bottom w:val="single" w:color="auto" w:sz="4" w:space="0"/>
              <w:right w:val="single" w:color="auto" w:sz="4" w:space="0"/>
            </w:tcBorders>
            <w:noWrap w:val="0"/>
            <w:vAlign w:val="center"/>
          </w:tcPr>
          <w:p w14:paraId="2E917E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2494E4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资金分配合理性</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2F5C7B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4</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08CFFE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项目预算资金分配是否有测算依据，与补助单位或地方实际是否相适应，用以反映和考核项目预算资金分配的科学性、合理性情况。</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6AA152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合理</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6E22D0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①预算资金分配依据是否充分；</w:t>
            </w:r>
          </w:p>
          <w:p w14:paraId="6C12AF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②资金分配额度是否合理，与项目单位或地方实际是否相适应。</w:t>
            </w:r>
          </w:p>
          <w:p w14:paraId="45A2DF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以上每条要素各占权重的50%，每有一条不符合，扣除对应的权重分，扣完为止。</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721BDF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合理</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7A4F09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4</w:t>
            </w:r>
          </w:p>
        </w:tc>
      </w:tr>
      <w:tr w14:paraId="20693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2" w:hRule="atLeast"/>
        </w:trPr>
        <w:tc>
          <w:tcPr>
            <w:tcW w:w="1007" w:type="dxa"/>
            <w:vMerge w:val="restart"/>
            <w:tcBorders>
              <w:top w:val="single" w:color="auto" w:sz="4" w:space="0"/>
              <w:left w:val="single" w:color="auto" w:sz="4" w:space="0"/>
              <w:bottom w:val="single" w:color="auto" w:sz="4" w:space="0"/>
              <w:right w:val="single" w:color="auto" w:sz="4" w:space="0"/>
            </w:tcBorders>
            <w:noWrap w:val="0"/>
            <w:vAlign w:val="center"/>
          </w:tcPr>
          <w:p w14:paraId="7A5F26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项目过程</w:t>
            </w:r>
          </w:p>
        </w:tc>
        <w:tc>
          <w:tcPr>
            <w:tcW w:w="550" w:type="dxa"/>
            <w:vMerge w:val="restart"/>
            <w:tcBorders>
              <w:top w:val="single" w:color="auto" w:sz="4" w:space="0"/>
              <w:left w:val="single" w:color="auto" w:sz="4" w:space="0"/>
              <w:bottom w:val="single" w:color="auto" w:sz="4" w:space="0"/>
              <w:right w:val="single" w:color="auto" w:sz="4" w:space="0"/>
            </w:tcBorders>
            <w:noWrap w:val="0"/>
            <w:vAlign w:val="center"/>
          </w:tcPr>
          <w:p w14:paraId="0EFFD2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12</w:t>
            </w:r>
          </w:p>
        </w:tc>
        <w:tc>
          <w:tcPr>
            <w:tcW w:w="755" w:type="dxa"/>
            <w:vMerge w:val="restart"/>
            <w:tcBorders>
              <w:top w:val="single" w:color="auto" w:sz="4" w:space="0"/>
              <w:left w:val="single" w:color="auto" w:sz="4" w:space="0"/>
              <w:bottom w:val="single" w:color="auto" w:sz="4" w:space="0"/>
              <w:right w:val="single" w:color="auto" w:sz="4" w:space="0"/>
            </w:tcBorders>
            <w:noWrap w:val="0"/>
            <w:vAlign w:val="center"/>
          </w:tcPr>
          <w:p w14:paraId="70A72F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资金管理</w:t>
            </w:r>
          </w:p>
        </w:tc>
        <w:tc>
          <w:tcPr>
            <w:tcW w:w="655" w:type="dxa"/>
            <w:vMerge w:val="restart"/>
            <w:tcBorders>
              <w:top w:val="single" w:color="auto" w:sz="4" w:space="0"/>
              <w:left w:val="single" w:color="auto" w:sz="4" w:space="0"/>
              <w:bottom w:val="single" w:color="auto" w:sz="4" w:space="0"/>
              <w:right w:val="single" w:color="auto" w:sz="4" w:space="0"/>
            </w:tcBorders>
            <w:noWrap w:val="0"/>
            <w:vAlign w:val="center"/>
          </w:tcPr>
          <w:p w14:paraId="778B04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6</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097A57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资金到位率</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00B3C4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505232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实际到位资金与预算资金的比率，用以反映和考核资金落实情况对项目实施的总体保障程度。</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0B9556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643713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资金到位率=（实际到位资金/预算资金）×100%。</w:t>
            </w:r>
          </w:p>
          <w:p w14:paraId="117F77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资金到位率=100%，得权重分满分，每降低1%，扣除5%权重分，扣完为止。</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753C3B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44C907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w:t>
            </w:r>
          </w:p>
        </w:tc>
      </w:tr>
      <w:tr w14:paraId="377D5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509FB2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742BDC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755" w:type="dxa"/>
            <w:vMerge w:val="continue"/>
            <w:tcBorders>
              <w:top w:val="single" w:color="auto" w:sz="4" w:space="0"/>
              <w:left w:val="single" w:color="auto" w:sz="4" w:space="0"/>
              <w:bottom w:val="single" w:color="auto" w:sz="4" w:space="0"/>
              <w:right w:val="single" w:color="auto" w:sz="4" w:space="0"/>
            </w:tcBorders>
            <w:noWrap w:val="0"/>
            <w:vAlign w:val="center"/>
          </w:tcPr>
          <w:p w14:paraId="4C9816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655" w:type="dxa"/>
            <w:vMerge w:val="continue"/>
            <w:tcBorders>
              <w:top w:val="single" w:color="auto" w:sz="4" w:space="0"/>
              <w:left w:val="single" w:color="auto" w:sz="4" w:space="0"/>
              <w:bottom w:val="single" w:color="auto" w:sz="4" w:space="0"/>
              <w:right w:val="single" w:color="auto" w:sz="4" w:space="0"/>
            </w:tcBorders>
            <w:noWrap w:val="0"/>
            <w:vAlign w:val="center"/>
          </w:tcPr>
          <w:p w14:paraId="0F731C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70602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预算执行率</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5DD062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3C0EF0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项目预算资金是否按照计划执行，用以反映或考核项目预算执行情况。</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13A909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063CE2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预算执行率=（实际支出资金/实际到位资金）×100%。</w:t>
            </w:r>
          </w:p>
          <w:p w14:paraId="71805B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预算执行率=100%，得权重分满分；若预算执行率＜100%，得分=预算执行率*分值；若执行率≤60%，则不得分。</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6EA54F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和预算执行率保持一致</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6DDE7D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w:t>
            </w:r>
          </w:p>
        </w:tc>
      </w:tr>
      <w:tr w14:paraId="447BD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3B1D5B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7514CF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755" w:type="dxa"/>
            <w:vMerge w:val="continue"/>
            <w:tcBorders>
              <w:top w:val="single" w:color="auto" w:sz="4" w:space="0"/>
              <w:left w:val="single" w:color="auto" w:sz="4" w:space="0"/>
              <w:bottom w:val="single" w:color="auto" w:sz="4" w:space="0"/>
              <w:right w:val="single" w:color="auto" w:sz="4" w:space="0"/>
            </w:tcBorders>
            <w:noWrap w:val="0"/>
            <w:vAlign w:val="center"/>
          </w:tcPr>
          <w:p w14:paraId="60B55A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655" w:type="dxa"/>
            <w:vMerge w:val="continue"/>
            <w:tcBorders>
              <w:top w:val="single" w:color="auto" w:sz="4" w:space="0"/>
              <w:left w:val="single" w:color="auto" w:sz="4" w:space="0"/>
              <w:bottom w:val="single" w:color="auto" w:sz="4" w:space="0"/>
              <w:right w:val="single" w:color="auto" w:sz="4" w:space="0"/>
            </w:tcBorders>
            <w:noWrap w:val="0"/>
            <w:vAlign w:val="center"/>
          </w:tcPr>
          <w:p w14:paraId="4249B8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4D7BAB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资金使用合规性</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33183D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3</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316C54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项目资金使用是否符合相关的财务管理制度规定，用以反映和考核项目资金的规范运行情况。</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45C20E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合规</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472C60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①否符合国家财经法规和财务管理制度以及有关专项资金管理办法的规定；</w:t>
            </w:r>
          </w:p>
          <w:p w14:paraId="5CA78C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②资金的拨付是否有完整的审批程序和手续；</w:t>
            </w:r>
          </w:p>
          <w:p w14:paraId="1BB624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③是否符合项目预算批复或合同规定的用途；</w:t>
            </w:r>
          </w:p>
          <w:p w14:paraId="393079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④是否存在截留、挤占、挪用、虚列支出等情况。</w:t>
            </w:r>
          </w:p>
          <w:p w14:paraId="446C96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以上每条指标各占权重分的25%，要素①②不符合，扣除对应权重分；要素③④不符合属于重大违纪，该指标不得分。</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6B370C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合规</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649EDD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3</w:t>
            </w:r>
          </w:p>
        </w:tc>
      </w:tr>
      <w:tr w14:paraId="796D5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2"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170940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33062D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755" w:type="dxa"/>
            <w:vMerge w:val="restart"/>
            <w:tcBorders>
              <w:top w:val="single" w:color="auto" w:sz="4" w:space="0"/>
              <w:left w:val="single" w:color="auto" w:sz="4" w:space="0"/>
              <w:bottom w:val="single" w:color="auto" w:sz="4" w:space="0"/>
              <w:right w:val="single" w:color="auto" w:sz="4" w:space="0"/>
            </w:tcBorders>
            <w:noWrap w:val="0"/>
            <w:vAlign w:val="center"/>
          </w:tcPr>
          <w:p w14:paraId="623899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组织实施</w:t>
            </w:r>
          </w:p>
        </w:tc>
        <w:tc>
          <w:tcPr>
            <w:tcW w:w="655" w:type="dxa"/>
            <w:vMerge w:val="restart"/>
            <w:tcBorders>
              <w:top w:val="single" w:color="auto" w:sz="4" w:space="0"/>
              <w:left w:val="single" w:color="auto" w:sz="4" w:space="0"/>
              <w:bottom w:val="single" w:color="auto" w:sz="4" w:space="0"/>
              <w:right w:val="single" w:color="auto" w:sz="4" w:space="0"/>
            </w:tcBorders>
            <w:noWrap w:val="0"/>
            <w:vAlign w:val="center"/>
          </w:tcPr>
          <w:p w14:paraId="51665A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6</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38AE4A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管理制度健全性</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18849E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3</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30E5CC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项目实施单位的财务和业务管理制度是否健全，用以反映和考核财务和业务管理制度对项目顺利实施的保障情况。</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3DE2DC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健全</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61D665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①是否已制定或具有相应的财务和业务管理制度；</w:t>
            </w:r>
          </w:p>
          <w:p w14:paraId="05781C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②财务和业务管理制度是否合法、合规、完整。</w:t>
            </w:r>
          </w:p>
          <w:p w14:paraId="39B23E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以上每条要素各占权重的50%，每有一条不符合，扣除对应的权重分，扣完为止。</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40D182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健全</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03699A9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3</w:t>
            </w:r>
          </w:p>
        </w:tc>
      </w:tr>
      <w:tr w14:paraId="206B4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590F0D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13A33E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755" w:type="dxa"/>
            <w:vMerge w:val="continue"/>
            <w:tcBorders>
              <w:top w:val="single" w:color="auto" w:sz="4" w:space="0"/>
              <w:left w:val="single" w:color="auto" w:sz="4" w:space="0"/>
              <w:bottom w:val="single" w:color="auto" w:sz="4" w:space="0"/>
              <w:right w:val="single" w:color="auto" w:sz="4" w:space="0"/>
            </w:tcBorders>
            <w:noWrap w:val="0"/>
            <w:vAlign w:val="center"/>
          </w:tcPr>
          <w:p w14:paraId="74A232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655" w:type="dxa"/>
            <w:vMerge w:val="continue"/>
            <w:tcBorders>
              <w:top w:val="single" w:color="auto" w:sz="4" w:space="0"/>
              <w:left w:val="single" w:color="auto" w:sz="4" w:space="0"/>
              <w:bottom w:val="single" w:color="auto" w:sz="4" w:space="0"/>
              <w:right w:val="single" w:color="auto" w:sz="4" w:space="0"/>
            </w:tcBorders>
            <w:noWrap w:val="0"/>
            <w:vAlign w:val="center"/>
          </w:tcPr>
          <w:p w14:paraId="2A9715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D885F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制度执行有效性</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7D548C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3</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35CBA9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项目实施是否符合相关管理规定，用以反映和考核相关管理制度的有效执行情况。</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1D0B3D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有效</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608D2D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①否遵守相关法律法规和相关管理规定；</w:t>
            </w:r>
          </w:p>
          <w:p w14:paraId="45244A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②项目调整及支出调整手续是否完备；</w:t>
            </w:r>
          </w:p>
          <w:p w14:paraId="6C0CF4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③项目资料是否齐全并及时归档。</w:t>
            </w:r>
          </w:p>
          <w:p w14:paraId="577B27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①②③齐全得权重分的100%，缺①扣权重分的30%，缺②扣权重分的40%，缺③扣权重分的30%。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16704B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有效</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6EC5B2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3</w:t>
            </w:r>
          </w:p>
        </w:tc>
      </w:tr>
      <w:tr w14:paraId="2A071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0" w:hRule="atLeast"/>
        </w:trPr>
        <w:tc>
          <w:tcPr>
            <w:tcW w:w="1007" w:type="dxa"/>
            <w:vMerge w:val="restart"/>
            <w:tcBorders>
              <w:top w:val="single" w:color="auto" w:sz="4" w:space="0"/>
              <w:left w:val="single" w:color="auto" w:sz="4" w:space="0"/>
              <w:bottom w:val="single" w:color="auto" w:sz="4" w:space="0"/>
              <w:right w:val="single" w:color="auto" w:sz="4" w:space="0"/>
            </w:tcBorders>
            <w:noWrap w:val="0"/>
            <w:vAlign w:val="center"/>
          </w:tcPr>
          <w:p w14:paraId="039329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项目产出</w:t>
            </w:r>
          </w:p>
        </w:tc>
        <w:tc>
          <w:tcPr>
            <w:tcW w:w="550" w:type="dxa"/>
            <w:vMerge w:val="restart"/>
            <w:tcBorders>
              <w:top w:val="single" w:color="auto" w:sz="4" w:space="0"/>
              <w:left w:val="single" w:color="auto" w:sz="4" w:space="0"/>
              <w:bottom w:val="single" w:color="auto" w:sz="4" w:space="0"/>
              <w:right w:val="single" w:color="auto" w:sz="4" w:space="0"/>
            </w:tcBorders>
            <w:noWrap w:val="0"/>
            <w:vAlign w:val="center"/>
          </w:tcPr>
          <w:p w14:paraId="793109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40</w:t>
            </w:r>
          </w:p>
        </w:tc>
        <w:tc>
          <w:tcPr>
            <w:tcW w:w="755" w:type="dxa"/>
            <w:tcBorders>
              <w:top w:val="single" w:color="auto" w:sz="4" w:space="0"/>
              <w:left w:val="single" w:color="auto" w:sz="4" w:space="0"/>
              <w:bottom w:val="single" w:color="auto" w:sz="4" w:space="0"/>
              <w:right w:val="single" w:color="auto" w:sz="4" w:space="0"/>
            </w:tcBorders>
            <w:noWrap w:val="0"/>
            <w:vAlign w:val="center"/>
          </w:tcPr>
          <w:p w14:paraId="39CFC4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产出数量</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0A27E0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441B48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实际完成率</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2173D9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1840" w:type="dxa"/>
            <w:tcBorders>
              <w:top w:val="single" w:color="auto" w:sz="4" w:space="0"/>
              <w:left w:val="single" w:color="auto" w:sz="4" w:space="0"/>
              <w:bottom w:val="single" w:color="auto" w:sz="4" w:space="0"/>
              <w:right w:val="single" w:color="auto" w:sz="4" w:space="0"/>
            </w:tcBorders>
            <w:noWrap w:val="0"/>
            <w:vAlign w:val="center"/>
          </w:tcPr>
          <w:p w14:paraId="5306EC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林木良种培育数量</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77080D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=75万株</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181EAF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实际完成率=（实际完成/预期完成）×100%。</w:t>
            </w:r>
            <w:r>
              <w:rPr>
                <w:rFonts w:hint="eastAsia" w:ascii="宋体" w:hAnsi="宋体" w:eastAsia="宋体" w:cs="宋体"/>
                <w:i w:val="0"/>
                <w:iCs w:val="0"/>
                <w:color w:val="000000"/>
                <w:kern w:val="0"/>
                <w:sz w:val="24"/>
                <w:szCs w:val="24"/>
                <w:highlight w:val="none"/>
                <w:u w:val="none"/>
                <w:lang w:val="en-US" w:eastAsia="zh-CN"/>
              </w:rPr>
              <w:br w:type="textWrapping"/>
            </w:r>
            <w:r>
              <w:rPr>
                <w:rFonts w:hint="eastAsia" w:ascii="宋体" w:hAnsi="宋体" w:eastAsia="宋体" w:cs="宋体"/>
                <w:i w:val="0"/>
                <w:iCs w:val="0"/>
                <w:color w:val="000000"/>
                <w:kern w:val="0"/>
                <w:sz w:val="24"/>
                <w:szCs w:val="24"/>
                <w:highlight w:val="none"/>
                <w:u w:val="none"/>
                <w:lang w:val="en-US" w:eastAsia="zh-CN"/>
              </w:rPr>
              <w:t>①实际完成率≥100%，且偏离程度＜20%，得满分；</w:t>
            </w:r>
            <w:r>
              <w:rPr>
                <w:rFonts w:hint="eastAsia" w:ascii="宋体" w:hAnsi="宋体" w:eastAsia="宋体" w:cs="宋体"/>
                <w:i w:val="0"/>
                <w:iCs w:val="0"/>
                <w:color w:val="000000"/>
                <w:kern w:val="0"/>
                <w:sz w:val="24"/>
                <w:szCs w:val="24"/>
                <w:highlight w:val="none"/>
                <w:u w:val="none"/>
                <w:lang w:val="en-US" w:eastAsia="zh-CN"/>
              </w:rPr>
              <w:br w:type="textWrapping"/>
            </w:r>
            <w:r>
              <w:rPr>
                <w:rFonts w:hint="eastAsia" w:ascii="宋体" w:hAnsi="宋体" w:eastAsia="宋体" w:cs="宋体"/>
                <w:i w:val="0"/>
                <w:iCs w:val="0"/>
                <w:color w:val="000000"/>
                <w:kern w:val="0"/>
                <w:sz w:val="24"/>
                <w:szCs w:val="24"/>
                <w:highlight w:val="none"/>
                <w:u w:val="none"/>
                <w:lang w:val="en-US" w:eastAsia="zh-CN"/>
              </w:rPr>
              <w:t>②实际完成率≥100%，偏离程度≥20%，得0分；</w:t>
            </w:r>
            <w:r>
              <w:rPr>
                <w:rFonts w:hint="eastAsia" w:ascii="宋体" w:hAnsi="宋体" w:eastAsia="宋体" w:cs="宋体"/>
                <w:i w:val="0"/>
                <w:iCs w:val="0"/>
                <w:color w:val="000000"/>
                <w:kern w:val="0"/>
                <w:sz w:val="24"/>
                <w:szCs w:val="24"/>
                <w:highlight w:val="none"/>
                <w:u w:val="none"/>
                <w:lang w:val="en-US" w:eastAsia="zh-CN"/>
              </w:rPr>
              <w:br w:type="textWrapping"/>
            </w:r>
            <w:r>
              <w:rPr>
                <w:rFonts w:hint="eastAsia" w:ascii="宋体" w:hAnsi="宋体" w:eastAsia="宋体" w:cs="宋体"/>
                <w:i w:val="0"/>
                <w:iCs w:val="0"/>
                <w:color w:val="000000"/>
                <w:kern w:val="0"/>
                <w:sz w:val="24"/>
                <w:szCs w:val="24"/>
                <w:highlight w:val="none"/>
                <w:u w:val="none"/>
                <w:lang w:val="en-US" w:eastAsia="zh-CN"/>
              </w:rPr>
              <w:t>③实际完成率×100%＜100%，得分=实际完成率×指标分值。</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381ED7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rPr>
              <w:t>=75万株</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59221D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w:t>
            </w:r>
          </w:p>
        </w:tc>
      </w:tr>
      <w:tr w14:paraId="6A8FC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0C2234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50FF97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755" w:type="dxa"/>
            <w:tcBorders>
              <w:top w:val="single" w:color="auto" w:sz="4" w:space="0"/>
              <w:left w:val="single" w:color="auto" w:sz="4" w:space="0"/>
              <w:bottom w:val="single" w:color="auto" w:sz="4" w:space="0"/>
              <w:right w:val="single" w:color="auto" w:sz="4" w:space="0"/>
            </w:tcBorders>
            <w:noWrap w:val="0"/>
            <w:vAlign w:val="center"/>
          </w:tcPr>
          <w:p w14:paraId="23E8A9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产出质量</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26FE37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462232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质量达标率</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5AEDED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1840" w:type="dxa"/>
            <w:tcBorders>
              <w:top w:val="single" w:color="auto" w:sz="4" w:space="0"/>
              <w:left w:val="single" w:color="auto" w:sz="4" w:space="0"/>
              <w:bottom w:val="single" w:color="auto" w:sz="4" w:space="0"/>
              <w:right w:val="single" w:color="auto" w:sz="4" w:space="0"/>
            </w:tcBorders>
            <w:noWrap w:val="0"/>
            <w:vAlign w:val="center"/>
          </w:tcPr>
          <w:p w14:paraId="108E25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林木良种培育完成率</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35D6E7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w:t>
            </w:r>
          </w:p>
        </w:tc>
        <w:tc>
          <w:tcPr>
            <w:tcW w:w="4362" w:type="dxa"/>
            <w:tcBorders>
              <w:top w:val="single" w:color="auto" w:sz="4" w:space="0"/>
              <w:left w:val="single" w:color="auto" w:sz="4" w:space="0"/>
              <w:right w:val="single" w:color="auto" w:sz="4" w:space="0"/>
            </w:tcBorders>
            <w:noWrap w:val="0"/>
            <w:vAlign w:val="center"/>
          </w:tcPr>
          <w:p w14:paraId="5091C5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若指标达到标杆值，则得100%权重分；否则，得分=（实际完成/预期完成）×100%×指标分值。</w:t>
            </w:r>
          </w:p>
          <w:p w14:paraId="4DC6A3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若指标完成值达到标杆值，则得100%权重分；否则，不得分。</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7D8D9E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FF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6C27B2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w:t>
            </w:r>
          </w:p>
        </w:tc>
      </w:tr>
      <w:tr w14:paraId="71876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4"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2F37EF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0E025F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755" w:type="dxa"/>
            <w:vMerge w:val="restart"/>
            <w:tcBorders>
              <w:top w:val="single" w:color="auto" w:sz="4" w:space="0"/>
              <w:left w:val="single" w:color="auto" w:sz="4" w:space="0"/>
              <w:right w:val="single" w:color="auto" w:sz="4" w:space="0"/>
            </w:tcBorders>
            <w:noWrap w:val="0"/>
            <w:vAlign w:val="center"/>
          </w:tcPr>
          <w:p w14:paraId="04C6BE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产出时效</w:t>
            </w:r>
          </w:p>
        </w:tc>
        <w:tc>
          <w:tcPr>
            <w:tcW w:w="655" w:type="dxa"/>
            <w:vMerge w:val="restart"/>
            <w:tcBorders>
              <w:top w:val="single" w:color="auto" w:sz="4" w:space="0"/>
              <w:left w:val="single" w:color="auto" w:sz="4" w:space="0"/>
              <w:right w:val="single" w:color="auto" w:sz="4" w:space="0"/>
            </w:tcBorders>
            <w:noWrap w:val="0"/>
            <w:vAlign w:val="center"/>
          </w:tcPr>
          <w:p w14:paraId="7C5CC2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w:t>
            </w:r>
          </w:p>
        </w:tc>
        <w:tc>
          <w:tcPr>
            <w:tcW w:w="840" w:type="dxa"/>
            <w:vMerge w:val="restart"/>
            <w:tcBorders>
              <w:top w:val="single" w:color="auto" w:sz="4" w:space="0"/>
              <w:left w:val="single" w:color="auto" w:sz="4" w:space="0"/>
              <w:right w:val="single" w:color="auto" w:sz="4" w:space="0"/>
            </w:tcBorders>
            <w:noWrap w:val="0"/>
            <w:vAlign w:val="center"/>
          </w:tcPr>
          <w:p w14:paraId="44D0E1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完成及时率</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4ED500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5</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634F9B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项目开始时间</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539F55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2024年1月</w:t>
            </w:r>
          </w:p>
        </w:tc>
        <w:tc>
          <w:tcPr>
            <w:tcW w:w="4362" w:type="dxa"/>
            <w:vMerge w:val="restart"/>
            <w:tcBorders>
              <w:top w:val="single" w:color="auto" w:sz="4" w:space="0"/>
              <w:left w:val="single" w:color="auto" w:sz="4" w:space="0"/>
              <w:right w:val="single" w:color="auto" w:sz="4" w:space="0"/>
            </w:tcBorders>
            <w:noWrap w:val="0"/>
            <w:vAlign w:val="center"/>
          </w:tcPr>
          <w:p w14:paraId="5149B9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若指标完成值达到标杆值，则得100%权重分；否则，得分=（实际完成/预期完成）×100%×指标分值。</w:t>
            </w:r>
          </w:p>
          <w:p w14:paraId="6F9AC0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若在规定时间内完成，得100%权重分；若未在规定的时间内完成，得分=（1-未在规定时间内完成工作数/实际完成工作总数）×分值。</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3212D6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FF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=2024年1月</w:t>
            </w:r>
          </w:p>
        </w:tc>
        <w:tc>
          <w:tcPr>
            <w:tcW w:w="715" w:type="dxa"/>
            <w:vMerge w:val="restart"/>
            <w:tcBorders>
              <w:top w:val="single" w:color="auto" w:sz="4" w:space="0"/>
              <w:left w:val="single" w:color="auto" w:sz="4" w:space="0"/>
              <w:right w:val="single" w:color="auto" w:sz="4" w:space="0"/>
            </w:tcBorders>
            <w:noWrap w:val="0"/>
            <w:vAlign w:val="center"/>
          </w:tcPr>
          <w:p w14:paraId="7CD212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w:t>
            </w:r>
          </w:p>
        </w:tc>
      </w:tr>
      <w:tr w14:paraId="59295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6620DF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486C4E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755" w:type="dxa"/>
            <w:vMerge w:val="continue"/>
            <w:tcBorders>
              <w:left w:val="single" w:color="auto" w:sz="4" w:space="0"/>
              <w:bottom w:val="single" w:color="auto" w:sz="4" w:space="0"/>
              <w:right w:val="single" w:color="auto" w:sz="4" w:space="0"/>
            </w:tcBorders>
            <w:noWrap w:val="0"/>
            <w:vAlign w:val="center"/>
          </w:tcPr>
          <w:p w14:paraId="27068B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rPr>
            </w:pPr>
          </w:p>
        </w:tc>
        <w:tc>
          <w:tcPr>
            <w:tcW w:w="655" w:type="dxa"/>
            <w:vMerge w:val="continue"/>
            <w:tcBorders>
              <w:left w:val="single" w:color="auto" w:sz="4" w:space="0"/>
              <w:bottom w:val="single" w:color="auto" w:sz="4" w:space="0"/>
              <w:right w:val="single" w:color="auto" w:sz="4" w:space="0"/>
            </w:tcBorders>
            <w:noWrap w:val="0"/>
            <w:vAlign w:val="center"/>
          </w:tcPr>
          <w:p w14:paraId="052011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rPr>
            </w:pPr>
          </w:p>
        </w:tc>
        <w:tc>
          <w:tcPr>
            <w:tcW w:w="840" w:type="dxa"/>
            <w:vMerge w:val="continue"/>
            <w:tcBorders>
              <w:left w:val="single" w:color="auto" w:sz="4" w:space="0"/>
              <w:bottom w:val="single" w:color="auto" w:sz="4" w:space="0"/>
              <w:right w:val="single" w:color="auto" w:sz="4" w:space="0"/>
            </w:tcBorders>
            <w:noWrap w:val="0"/>
            <w:vAlign w:val="center"/>
          </w:tcPr>
          <w:p w14:paraId="282649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rPr>
            </w:pPr>
          </w:p>
        </w:tc>
        <w:tc>
          <w:tcPr>
            <w:tcW w:w="739" w:type="dxa"/>
            <w:tcBorders>
              <w:top w:val="single" w:color="auto" w:sz="4" w:space="0"/>
              <w:left w:val="single" w:color="auto" w:sz="4" w:space="0"/>
              <w:bottom w:val="single" w:color="auto" w:sz="4" w:space="0"/>
              <w:right w:val="single" w:color="auto" w:sz="4" w:space="0"/>
            </w:tcBorders>
            <w:noWrap w:val="0"/>
            <w:vAlign w:val="center"/>
          </w:tcPr>
          <w:p w14:paraId="3FEAE7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5</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726A4E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项目结束时间</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217B52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2024年12月</w:t>
            </w:r>
          </w:p>
        </w:tc>
        <w:tc>
          <w:tcPr>
            <w:tcW w:w="4362" w:type="dxa"/>
            <w:vMerge w:val="continue"/>
            <w:tcBorders>
              <w:left w:val="single" w:color="auto" w:sz="4" w:space="0"/>
              <w:right w:val="single" w:color="auto" w:sz="4" w:space="0"/>
            </w:tcBorders>
            <w:noWrap w:val="0"/>
            <w:vAlign w:val="center"/>
          </w:tcPr>
          <w:p w14:paraId="403BFF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highlight w:val="none"/>
                <w:u w:val="none"/>
                <w:lang w:val="en-US" w:eastAsia="zh-CN"/>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580BC2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FF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=2024年12月</w:t>
            </w:r>
          </w:p>
        </w:tc>
        <w:tc>
          <w:tcPr>
            <w:tcW w:w="715" w:type="dxa"/>
            <w:vMerge w:val="continue"/>
            <w:tcBorders>
              <w:left w:val="single" w:color="auto" w:sz="4" w:space="0"/>
              <w:bottom w:val="single" w:color="auto" w:sz="4" w:space="0"/>
              <w:right w:val="single" w:color="auto" w:sz="4" w:space="0"/>
            </w:tcBorders>
            <w:noWrap w:val="0"/>
            <w:vAlign w:val="center"/>
          </w:tcPr>
          <w:p w14:paraId="226BA55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p>
        </w:tc>
      </w:tr>
      <w:tr w14:paraId="71720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2186D4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5B96C9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755" w:type="dxa"/>
            <w:tcBorders>
              <w:top w:val="single" w:color="auto" w:sz="4" w:space="0"/>
              <w:left w:val="single" w:color="auto" w:sz="4" w:space="0"/>
              <w:bottom w:val="single" w:color="auto" w:sz="4" w:space="0"/>
              <w:right w:val="single" w:color="auto" w:sz="4" w:space="0"/>
            </w:tcBorders>
            <w:noWrap w:val="0"/>
            <w:vAlign w:val="center"/>
          </w:tcPr>
          <w:p w14:paraId="58BF37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产出成本</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593864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3A4B02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成本节约率</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6F9FE7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106371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rPr>
              <w:t>林木良种培育中央财政补助标准</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3BF1E6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rPr>
              <w:t>=1.5元/株</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576DF1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实际完成率=（实际支付资金数/计划应支付资金数）×100%。</w:t>
            </w:r>
            <w:r>
              <w:rPr>
                <w:rFonts w:hint="eastAsia" w:ascii="宋体" w:hAnsi="宋体" w:eastAsia="宋体" w:cs="宋体"/>
                <w:i w:val="0"/>
                <w:iCs w:val="0"/>
                <w:color w:val="000000"/>
                <w:kern w:val="0"/>
                <w:sz w:val="24"/>
                <w:szCs w:val="24"/>
                <w:highlight w:val="none"/>
                <w:u w:val="none"/>
                <w:lang w:val="en-US" w:eastAsia="zh-CN"/>
              </w:rPr>
              <w:br w:type="textWrapping"/>
            </w:r>
            <w:r>
              <w:rPr>
                <w:rFonts w:hint="eastAsia" w:ascii="宋体" w:hAnsi="宋体" w:eastAsia="宋体" w:cs="宋体"/>
                <w:i w:val="0"/>
                <w:iCs w:val="0"/>
                <w:color w:val="000000"/>
                <w:kern w:val="0"/>
                <w:sz w:val="24"/>
                <w:szCs w:val="24"/>
                <w:highlight w:val="none"/>
                <w:u w:val="none"/>
                <w:lang w:val="en-US" w:eastAsia="zh-CN"/>
              </w:rPr>
              <w:t>①实际完成率＞年度指标值，得0得分；</w:t>
            </w:r>
            <w:r>
              <w:rPr>
                <w:rFonts w:hint="eastAsia" w:ascii="宋体" w:hAnsi="宋体" w:eastAsia="宋体" w:cs="宋体"/>
                <w:i w:val="0"/>
                <w:iCs w:val="0"/>
                <w:color w:val="000000"/>
                <w:kern w:val="0"/>
                <w:sz w:val="24"/>
                <w:szCs w:val="24"/>
                <w:highlight w:val="none"/>
                <w:u w:val="none"/>
                <w:lang w:val="en-US" w:eastAsia="zh-CN"/>
              </w:rPr>
              <w:br w:type="textWrapping"/>
            </w:r>
            <w:r>
              <w:rPr>
                <w:rFonts w:hint="eastAsia" w:ascii="宋体" w:hAnsi="宋体" w:eastAsia="宋体" w:cs="宋体"/>
                <w:i w:val="0"/>
                <w:iCs w:val="0"/>
                <w:color w:val="000000"/>
                <w:kern w:val="0"/>
                <w:sz w:val="24"/>
                <w:szCs w:val="24"/>
                <w:highlight w:val="none"/>
                <w:u w:val="none"/>
                <w:lang w:val="en-US" w:eastAsia="zh-CN"/>
              </w:rPr>
              <w:t>②实际完成率≤年度指标值，且偏离程度＜20%，得满分；</w:t>
            </w:r>
            <w:r>
              <w:rPr>
                <w:rFonts w:hint="eastAsia" w:ascii="宋体" w:hAnsi="宋体" w:eastAsia="宋体" w:cs="宋体"/>
                <w:i w:val="0"/>
                <w:iCs w:val="0"/>
                <w:color w:val="000000"/>
                <w:kern w:val="0"/>
                <w:sz w:val="24"/>
                <w:szCs w:val="24"/>
                <w:highlight w:val="none"/>
                <w:u w:val="none"/>
                <w:lang w:val="en-US" w:eastAsia="zh-CN"/>
              </w:rPr>
              <w:br w:type="textWrapping"/>
            </w:r>
            <w:r>
              <w:rPr>
                <w:rFonts w:hint="eastAsia" w:ascii="宋体" w:hAnsi="宋体" w:eastAsia="宋体" w:cs="宋体"/>
                <w:i w:val="0"/>
                <w:iCs w:val="0"/>
                <w:color w:val="000000"/>
                <w:kern w:val="0"/>
                <w:sz w:val="24"/>
                <w:szCs w:val="24"/>
                <w:highlight w:val="none"/>
                <w:u w:val="none"/>
                <w:lang w:val="en-US" w:eastAsia="zh-CN"/>
              </w:rPr>
              <w:t>③实际完成率＜年度指标值，且偏离程度≥20%，得分=实际完成率×分值。</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2B8723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=1.5元/株</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0E9E0B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w:t>
            </w:r>
          </w:p>
        </w:tc>
      </w:tr>
      <w:tr w14:paraId="34C1C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1007" w:type="dxa"/>
            <w:vMerge w:val="restart"/>
            <w:tcBorders>
              <w:top w:val="single" w:color="auto" w:sz="4" w:space="0"/>
              <w:left w:val="single" w:color="auto" w:sz="4" w:space="0"/>
              <w:bottom w:val="single" w:color="auto" w:sz="4" w:space="0"/>
              <w:right w:val="single" w:color="auto" w:sz="4" w:space="0"/>
            </w:tcBorders>
            <w:noWrap w:val="0"/>
            <w:vAlign w:val="center"/>
          </w:tcPr>
          <w:p w14:paraId="548DEA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项目效益</w:t>
            </w:r>
          </w:p>
        </w:tc>
        <w:tc>
          <w:tcPr>
            <w:tcW w:w="550" w:type="dxa"/>
            <w:vMerge w:val="restart"/>
            <w:tcBorders>
              <w:top w:val="single" w:color="auto" w:sz="4" w:space="0"/>
              <w:left w:val="single" w:color="auto" w:sz="4" w:space="0"/>
              <w:bottom w:val="single" w:color="auto" w:sz="4" w:space="0"/>
              <w:right w:val="single" w:color="auto" w:sz="4" w:space="0"/>
            </w:tcBorders>
            <w:noWrap w:val="0"/>
            <w:vAlign w:val="center"/>
          </w:tcPr>
          <w:p w14:paraId="122604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25</w:t>
            </w:r>
          </w:p>
        </w:tc>
        <w:tc>
          <w:tcPr>
            <w:tcW w:w="755" w:type="dxa"/>
            <w:vMerge w:val="restart"/>
            <w:tcBorders>
              <w:top w:val="single" w:color="auto" w:sz="4" w:space="0"/>
              <w:left w:val="single" w:color="auto" w:sz="4" w:space="0"/>
              <w:bottom w:val="single" w:color="auto" w:sz="4" w:space="0"/>
              <w:right w:val="single" w:color="auto" w:sz="4" w:space="0"/>
            </w:tcBorders>
            <w:noWrap w:val="0"/>
            <w:vAlign w:val="center"/>
          </w:tcPr>
          <w:p w14:paraId="4809B2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项目效益</w:t>
            </w:r>
          </w:p>
        </w:tc>
        <w:tc>
          <w:tcPr>
            <w:tcW w:w="655" w:type="dxa"/>
            <w:vMerge w:val="restart"/>
            <w:tcBorders>
              <w:top w:val="single" w:color="auto" w:sz="4" w:space="0"/>
              <w:left w:val="single" w:color="auto" w:sz="4" w:space="0"/>
              <w:bottom w:val="single" w:color="auto" w:sz="4" w:space="0"/>
              <w:right w:val="single" w:color="auto" w:sz="4" w:space="0"/>
            </w:tcBorders>
            <w:noWrap w:val="0"/>
            <w:vAlign w:val="center"/>
          </w:tcPr>
          <w:p w14:paraId="3F9708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25</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05544E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社会效益</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29034C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15</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19C5C50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rPr>
              <w:t>提高造林绿化苗木质量</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21C02B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eastAsia="zh-CN"/>
              </w:rPr>
            </w:pPr>
            <w:r>
              <w:rPr>
                <w:rFonts w:hint="eastAsia" w:ascii="宋体" w:hAnsi="宋体" w:eastAsia="宋体" w:cs="宋体"/>
                <w:i w:val="0"/>
                <w:iCs w:val="0"/>
                <w:color w:val="000000"/>
                <w:sz w:val="24"/>
                <w:szCs w:val="24"/>
                <w:highlight w:val="none"/>
                <w:u w:val="none"/>
                <w:lang w:eastAsia="zh-CN"/>
              </w:rPr>
              <w:t>有效提高</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401766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按评判等级赋分。分为基本达成目标、部分实现目标、实现目标程度较低三个档次，并分别按照该指标对应分值区间100%-80%（含）、80%-60%（含）、60%-0%合理确定分值。</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573F99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eastAsia="zh-CN"/>
              </w:rPr>
              <w:t>有效提高</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5705A8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15</w:t>
            </w:r>
          </w:p>
        </w:tc>
      </w:tr>
      <w:tr w14:paraId="2E585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14:paraId="69368B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550" w:type="dxa"/>
            <w:vMerge w:val="continue"/>
            <w:tcBorders>
              <w:top w:val="single" w:color="auto" w:sz="4" w:space="0"/>
              <w:left w:val="single" w:color="auto" w:sz="4" w:space="0"/>
              <w:bottom w:val="single" w:color="auto" w:sz="4" w:space="0"/>
              <w:right w:val="single" w:color="auto" w:sz="4" w:space="0"/>
            </w:tcBorders>
            <w:noWrap w:val="0"/>
            <w:vAlign w:val="center"/>
          </w:tcPr>
          <w:p w14:paraId="70BED5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755" w:type="dxa"/>
            <w:vMerge w:val="continue"/>
            <w:tcBorders>
              <w:top w:val="single" w:color="auto" w:sz="4" w:space="0"/>
              <w:left w:val="single" w:color="auto" w:sz="4" w:space="0"/>
              <w:bottom w:val="single" w:color="auto" w:sz="4" w:space="0"/>
              <w:right w:val="single" w:color="auto" w:sz="4" w:space="0"/>
            </w:tcBorders>
            <w:noWrap w:val="0"/>
            <w:vAlign w:val="center"/>
          </w:tcPr>
          <w:p w14:paraId="7C4392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655" w:type="dxa"/>
            <w:vMerge w:val="continue"/>
            <w:tcBorders>
              <w:top w:val="single" w:color="auto" w:sz="4" w:space="0"/>
              <w:left w:val="single" w:color="auto" w:sz="4" w:space="0"/>
              <w:bottom w:val="single" w:color="auto" w:sz="4" w:space="0"/>
              <w:right w:val="single" w:color="auto" w:sz="4" w:space="0"/>
            </w:tcBorders>
            <w:noWrap w:val="0"/>
            <w:vAlign w:val="center"/>
          </w:tcPr>
          <w:p w14:paraId="0A1055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6453F6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服务对象满意度</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71EF35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6F7EB6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eastAsia="zh-CN"/>
              </w:rPr>
            </w:pPr>
            <w:r>
              <w:rPr>
                <w:rFonts w:hint="eastAsia" w:ascii="宋体" w:hAnsi="宋体" w:eastAsia="宋体" w:cs="宋体"/>
                <w:i w:val="0"/>
                <w:iCs w:val="0"/>
                <w:color w:val="000000"/>
                <w:kern w:val="0"/>
                <w:sz w:val="24"/>
                <w:szCs w:val="24"/>
                <w:highlight w:val="none"/>
                <w:u w:val="none"/>
                <w:lang w:val="en-US" w:eastAsia="zh-CN"/>
              </w:rPr>
              <w:t>项目区群众满意度</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2007E0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≥95%</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4021EE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根据问卷调查，满意度达到标杆值，得权重分的100%；否则低于95%，得分=实际满意度*指标分值。</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767F69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100%</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6DD299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w:t>
            </w:r>
          </w:p>
        </w:tc>
      </w:tr>
      <w:tr w14:paraId="4EBEA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07" w:type="dxa"/>
            <w:tcBorders>
              <w:top w:val="single" w:color="auto" w:sz="4" w:space="0"/>
              <w:left w:val="single" w:color="auto" w:sz="4" w:space="0"/>
              <w:bottom w:val="single" w:color="auto" w:sz="4" w:space="0"/>
              <w:right w:val="single" w:color="auto" w:sz="4" w:space="0"/>
            </w:tcBorders>
            <w:noWrap w:val="0"/>
            <w:vAlign w:val="center"/>
          </w:tcPr>
          <w:p w14:paraId="6CF38F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总分</w:t>
            </w:r>
          </w:p>
        </w:tc>
        <w:tc>
          <w:tcPr>
            <w:tcW w:w="550" w:type="dxa"/>
            <w:tcBorders>
              <w:top w:val="single" w:color="auto" w:sz="4" w:space="0"/>
              <w:left w:val="single" w:color="auto" w:sz="4" w:space="0"/>
              <w:bottom w:val="single" w:color="auto" w:sz="4" w:space="0"/>
              <w:right w:val="single" w:color="auto" w:sz="4" w:space="0"/>
            </w:tcBorders>
            <w:noWrap w:val="0"/>
            <w:vAlign w:val="center"/>
          </w:tcPr>
          <w:p w14:paraId="160F04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w:t>
            </w:r>
          </w:p>
        </w:tc>
        <w:tc>
          <w:tcPr>
            <w:tcW w:w="755" w:type="dxa"/>
            <w:tcBorders>
              <w:top w:val="single" w:color="auto" w:sz="4" w:space="0"/>
              <w:left w:val="single" w:color="auto" w:sz="4" w:space="0"/>
              <w:bottom w:val="single" w:color="auto" w:sz="4" w:space="0"/>
              <w:right w:val="single" w:color="auto" w:sz="4" w:space="0"/>
            </w:tcBorders>
            <w:noWrap w:val="0"/>
            <w:vAlign w:val="center"/>
          </w:tcPr>
          <w:p w14:paraId="559068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655" w:type="dxa"/>
            <w:tcBorders>
              <w:top w:val="single" w:color="auto" w:sz="4" w:space="0"/>
              <w:left w:val="single" w:color="auto" w:sz="4" w:space="0"/>
              <w:bottom w:val="single" w:color="auto" w:sz="4" w:space="0"/>
              <w:right w:val="single" w:color="auto" w:sz="4" w:space="0"/>
            </w:tcBorders>
            <w:noWrap w:val="0"/>
            <w:vAlign w:val="center"/>
          </w:tcPr>
          <w:p w14:paraId="1E66CC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35C62E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739" w:type="dxa"/>
            <w:tcBorders>
              <w:top w:val="single" w:color="auto" w:sz="4" w:space="0"/>
              <w:left w:val="single" w:color="auto" w:sz="4" w:space="0"/>
              <w:bottom w:val="single" w:color="auto" w:sz="4" w:space="0"/>
              <w:right w:val="single" w:color="auto" w:sz="4" w:space="0"/>
            </w:tcBorders>
            <w:noWrap w:val="0"/>
            <w:vAlign w:val="center"/>
          </w:tcPr>
          <w:p w14:paraId="40731F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3F98E6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1160" w:type="dxa"/>
            <w:tcBorders>
              <w:top w:val="single" w:color="auto" w:sz="4" w:space="0"/>
              <w:left w:val="single" w:color="auto" w:sz="4" w:space="0"/>
              <w:bottom w:val="single" w:color="auto" w:sz="4" w:space="0"/>
              <w:right w:val="single" w:color="auto" w:sz="4" w:space="0"/>
            </w:tcBorders>
            <w:noWrap w:val="0"/>
            <w:vAlign w:val="center"/>
          </w:tcPr>
          <w:p w14:paraId="466793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w:t>
            </w:r>
          </w:p>
        </w:tc>
        <w:tc>
          <w:tcPr>
            <w:tcW w:w="4362" w:type="dxa"/>
            <w:tcBorders>
              <w:top w:val="single" w:color="auto" w:sz="4" w:space="0"/>
              <w:left w:val="single" w:color="auto" w:sz="4" w:space="0"/>
              <w:bottom w:val="single" w:color="auto" w:sz="4" w:space="0"/>
              <w:right w:val="single" w:color="auto" w:sz="4" w:space="0"/>
            </w:tcBorders>
            <w:noWrap w:val="0"/>
            <w:vAlign w:val="center"/>
          </w:tcPr>
          <w:p w14:paraId="270F8A8B">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4"/>
                <w:szCs w:val="24"/>
                <w:highlight w:val="none"/>
                <w:u w:val="none"/>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30FE31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rPr>
            </w:pPr>
          </w:p>
        </w:tc>
        <w:tc>
          <w:tcPr>
            <w:tcW w:w="715" w:type="dxa"/>
            <w:tcBorders>
              <w:top w:val="single" w:color="auto" w:sz="4" w:space="0"/>
              <w:left w:val="single" w:color="auto" w:sz="4" w:space="0"/>
              <w:bottom w:val="single" w:color="auto" w:sz="4" w:space="0"/>
              <w:right w:val="single" w:color="auto" w:sz="4" w:space="0"/>
            </w:tcBorders>
            <w:noWrap w:val="0"/>
            <w:vAlign w:val="center"/>
          </w:tcPr>
          <w:p w14:paraId="47239F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100</w:t>
            </w:r>
          </w:p>
        </w:tc>
      </w:tr>
    </w:tbl>
    <w:p w14:paraId="3D8CD748">
      <w:pPr>
        <w:pStyle w:val="10"/>
        <w:rPr>
          <w:rFonts w:hint="eastAsia" w:ascii="宋体" w:hAnsi="宋体" w:eastAsia="宋体" w:cs="宋体"/>
          <w:sz w:val="18"/>
          <w:szCs w:val="18"/>
          <w:lang w:eastAsia="zh-CN"/>
        </w:rPr>
      </w:pPr>
    </w:p>
    <w:p w14:paraId="501FC287">
      <w:pPr>
        <w:pStyle w:val="10"/>
        <w:rPr>
          <w:rFonts w:hint="eastAsia" w:ascii="宋体" w:hAnsi="宋体" w:eastAsia="宋体" w:cs="宋体"/>
          <w:sz w:val="18"/>
          <w:szCs w:val="18"/>
          <w:lang w:eastAsia="zh-CN"/>
        </w:rPr>
      </w:pPr>
    </w:p>
    <w:p w14:paraId="7A85D52B">
      <w:pPr>
        <w:pStyle w:val="10"/>
        <w:rPr>
          <w:rFonts w:hint="eastAsia" w:ascii="宋体" w:hAnsi="宋体" w:eastAsia="宋体" w:cs="宋体"/>
          <w:sz w:val="24"/>
          <w:szCs w:val="24"/>
          <w:lang w:eastAsia="zh-CN"/>
        </w:rPr>
      </w:pPr>
    </w:p>
    <w:p w14:paraId="716528B3">
      <w:pPr>
        <w:pStyle w:val="10"/>
        <w:rPr>
          <w:rFonts w:hint="eastAsia" w:ascii="宋体" w:hAnsi="宋体" w:eastAsia="宋体" w:cs="宋体"/>
          <w:sz w:val="24"/>
          <w:szCs w:val="24"/>
          <w:lang w:eastAsia="zh-CN"/>
        </w:rPr>
      </w:pPr>
    </w:p>
    <w:p w14:paraId="5EB727D2">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21CC0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3021" w:type="dxa"/>
            <w:gridSpan w:val="6"/>
            <w:tcBorders>
              <w:top w:val="nil"/>
              <w:left w:val="nil"/>
              <w:bottom w:val="nil"/>
              <w:right w:val="nil"/>
            </w:tcBorders>
            <w:noWrap/>
            <w:vAlign w:val="center"/>
          </w:tcPr>
          <w:p w14:paraId="3CFB61B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2024年林业草原改革发展资金-良种苗木培育项目综合得分表</w:t>
            </w:r>
          </w:p>
        </w:tc>
      </w:tr>
      <w:tr w14:paraId="7F8B6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0B1B18D">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6B91546">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BC9851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9D5BC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75F15A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B4F7CC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379FB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706F0B">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EC974D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23.00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3D8651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12.00 </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4BBFCA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40.00 </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82E690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7863639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100.00 </w:t>
            </w:r>
          </w:p>
        </w:tc>
      </w:tr>
      <w:tr w14:paraId="10939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DD067D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D1C6CF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23</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3807BC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12 </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6634B9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40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C36E1C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25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1678118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100 </w:t>
            </w:r>
          </w:p>
        </w:tc>
      </w:tr>
      <w:tr w14:paraId="4A436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12E4FE0">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53100F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3761380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C40E80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1300E8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1D5EFA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0.00%</w:t>
            </w:r>
          </w:p>
        </w:tc>
      </w:tr>
    </w:tbl>
    <w:p w14:paraId="4123B2E5">
      <w:pPr>
        <w:pStyle w:val="10"/>
        <w:ind w:left="0" w:leftChars="0" w:firstLine="0" w:firstLineChars="0"/>
        <w:jc w:val="both"/>
        <w:rPr>
          <w:rFonts w:hint="default" w:ascii="宋体" w:hAnsi="宋体" w:eastAsia="宋体" w:cs="宋体"/>
          <w:sz w:val="24"/>
          <w:szCs w:val="24"/>
          <w:lang w:val="en-US" w:eastAsia="zh-CN"/>
        </w:rPr>
      </w:pPr>
    </w:p>
    <w:p w14:paraId="754379E8">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fmt="decimal"/>
          <w:cols w:space="720" w:num="1"/>
          <w:docGrid w:type="linesAndChars" w:linePitch="386" w:charSpace="0"/>
        </w:sectPr>
      </w:pPr>
    </w:p>
    <w:p w14:paraId="7ECF13E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59AA0CC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2024年林业草原改革发展资金-良种苗木培育项目满意度</w:t>
      </w:r>
      <w:r>
        <w:rPr>
          <w:rFonts w:hint="eastAsia" w:ascii="宋体" w:hAnsi="宋体" w:eastAsia="宋体" w:cs="宋体"/>
          <w:b/>
          <w:bCs/>
          <w:color w:val="auto"/>
          <w:sz w:val="24"/>
          <w:szCs w:val="24"/>
          <w:highlight w:val="none"/>
        </w:rPr>
        <w:t>调查问卷</w:t>
      </w:r>
      <w:r>
        <w:rPr>
          <w:rFonts w:hint="eastAsia" w:ascii="宋体" w:hAnsi="宋体" w:eastAsia="宋体" w:cs="宋体"/>
          <w:b/>
          <w:bCs/>
          <w:color w:val="auto"/>
          <w:sz w:val="24"/>
          <w:szCs w:val="24"/>
          <w:highlight w:val="none"/>
          <w:lang w:val="en-US" w:eastAsia="zh-CN"/>
        </w:rPr>
        <w:t>分析报告</w:t>
      </w:r>
    </w:p>
    <w:p w14:paraId="44F2E7F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1BF8BD3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该问卷调查从202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日开始至202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31</w:t>
      </w:r>
      <w:r>
        <w:rPr>
          <w:rFonts w:hint="eastAsia" w:ascii="宋体" w:hAnsi="宋体" w:eastAsia="宋体" w:cs="宋体"/>
          <w:b/>
          <w:bCs/>
          <w:color w:val="auto"/>
          <w:sz w:val="24"/>
          <w:szCs w:val="24"/>
          <w:highlight w:val="none"/>
        </w:rPr>
        <w:t>日结束，调查问卷共设置</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道题目。</w:t>
      </w:r>
    </w:p>
    <w:p w14:paraId="231ABECA">
      <w:pPr>
        <w:pStyle w:val="10"/>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7B85D5BE">
      <w:pPr>
        <w:pStyle w:val="10"/>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color w:val="auto"/>
          <w:sz w:val="24"/>
          <w:szCs w:val="24"/>
          <w:highlight w:val="none"/>
        </w:rPr>
        <w:t>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的受益对象为</w:t>
      </w:r>
      <w:r>
        <w:rPr>
          <w:rFonts w:hint="eastAsia" w:ascii="宋体" w:hAnsi="宋体" w:eastAsia="宋体" w:cs="宋体"/>
          <w:color w:val="auto"/>
          <w:sz w:val="24"/>
          <w:szCs w:val="24"/>
          <w:highlight w:val="none"/>
          <w:lang w:val="en-US" w:eastAsia="zh-CN"/>
        </w:rPr>
        <w:t>相关人员</w:t>
      </w:r>
      <w:r>
        <w:rPr>
          <w:rFonts w:hint="eastAsia" w:ascii="宋体" w:hAnsi="宋体" w:eastAsia="宋体" w:cs="宋体"/>
          <w:color w:val="auto"/>
          <w:sz w:val="24"/>
          <w:szCs w:val="24"/>
          <w:highlight w:val="none"/>
        </w:rPr>
        <w:t>。</w:t>
      </w:r>
    </w:p>
    <w:p w14:paraId="14252BF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调查</w:t>
      </w:r>
      <w:r>
        <w:rPr>
          <w:rFonts w:hint="eastAsia" w:ascii="宋体" w:hAnsi="宋体" w:eastAsia="宋体" w:cs="宋体"/>
          <w:b/>
          <w:bCs/>
          <w:i w:val="0"/>
          <w:iCs w:val="0"/>
          <w:color w:val="auto"/>
          <w:sz w:val="24"/>
          <w:szCs w:val="24"/>
          <w:highlight w:val="none"/>
        </w:rPr>
        <w:t>内容</w:t>
      </w:r>
    </w:p>
    <w:p w14:paraId="0E08957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bookmarkStart w:id="23" w:name="OLE_LINK9"/>
      <w:r>
        <w:rPr>
          <w:rFonts w:hint="eastAsia" w:ascii="宋体" w:hAnsi="宋体" w:eastAsia="宋体" w:cs="宋体"/>
          <w:color w:val="auto"/>
          <w:sz w:val="24"/>
          <w:szCs w:val="24"/>
          <w:highlight w:val="none"/>
          <w:lang w:val="en-US" w:eastAsia="zh-CN"/>
        </w:rPr>
        <w:t>您对</w:t>
      </w:r>
      <w:bookmarkEnd w:id="23"/>
      <w:r>
        <w:rPr>
          <w:rFonts w:hint="eastAsia" w:ascii="宋体" w:hAnsi="宋体" w:eastAsia="宋体" w:cs="宋体"/>
          <w:color w:val="auto"/>
          <w:sz w:val="24"/>
          <w:szCs w:val="24"/>
          <w:highlight w:val="none"/>
          <w:lang w:val="en-US" w:eastAsia="zh-CN"/>
        </w:rPr>
        <w:t>该项</w:t>
      </w:r>
      <w:bookmarkStart w:id="24" w:name="OLE_LINK11"/>
      <w:r>
        <w:rPr>
          <w:rFonts w:hint="eastAsia" w:ascii="宋体" w:hAnsi="宋体" w:eastAsia="宋体" w:cs="宋体"/>
          <w:color w:val="auto"/>
          <w:sz w:val="24"/>
          <w:szCs w:val="24"/>
          <w:highlight w:val="none"/>
          <w:lang w:val="en-US" w:eastAsia="zh-CN"/>
        </w:rPr>
        <w:t>目完工的及</w:t>
      </w:r>
      <w:bookmarkEnd w:id="24"/>
      <w:r>
        <w:rPr>
          <w:rFonts w:hint="eastAsia" w:ascii="宋体" w:hAnsi="宋体" w:eastAsia="宋体" w:cs="宋体"/>
          <w:color w:val="auto"/>
          <w:sz w:val="24"/>
          <w:szCs w:val="24"/>
          <w:highlight w:val="none"/>
          <w:lang w:val="en-US" w:eastAsia="zh-CN"/>
        </w:rPr>
        <w:t>时性是否满意?</w:t>
      </w:r>
    </w:p>
    <w:p w14:paraId="143AB88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②您对洛浦县2024年林业草原改革发展资金-良种苗木培育项目实施对为生产建设的健康发展提供保障如何?</w:t>
      </w:r>
    </w:p>
    <w:p w14:paraId="328CE39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③总的来说，您对目前洛浦县2024年林业草原改革发展资金-良种苗木培育项目实施后的整体满意程度如何？</w:t>
      </w:r>
    </w:p>
    <w:p w14:paraId="47EDF6AA">
      <w:pPr>
        <w:pStyle w:val="10"/>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方法</w:t>
      </w:r>
    </w:p>
    <w:p w14:paraId="501EA4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分层</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随机抽样相结合</w:t>
      </w:r>
      <w:r>
        <w:rPr>
          <w:rFonts w:hint="eastAsia" w:ascii="宋体" w:hAnsi="宋体" w:eastAsia="宋体" w:cs="宋体"/>
          <w:color w:val="auto"/>
          <w:sz w:val="24"/>
          <w:szCs w:val="24"/>
          <w:highlight w:val="none"/>
        </w:rPr>
        <w:t>的方式进行。在全面</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开展之前会先进行论证，依据论证结果对问卷和抽样方案再进行一次修改和调整</w:t>
      </w:r>
      <w:r>
        <w:rPr>
          <w:rFonts w:hint="eastAsia" w:ascii="宋体" w:hAnsi="宋体" w:eastAsia="宋体" w:cs="宋体"/>
          <w:color w:val="auto"/>
          <w:sz w:val="24"/>
          <w:szCs w:val="24"/>
          <w:highlight w:val="none"/>
          <w:lang w:val="en-US" w:eastAsia="zh-CN"/>
        </w:rPr>
        <w:t>之后再付诸实施</w:t>
      </w:r>
      <w:r>
        <w:rPr>
          <w:rFonts w:hint="eastAsia" w:ascii="宋体" w:hAnsi="宋体" w:eastAsia="宋体" w:cs="宋体"/>
          <w:color w:val="auto"/>
          <w:sz w:val="24"/>
          <w:szCs w:val="24"/>
          <w:highlight w:val="none"/>
        </w:rPr>
        <w:t>。</w:t>
      </w:r>
    </w:p>
    <w:p w14:paraId="285FFF2D">
      <w:pPr>
        <w:pStyle w:val="10"/>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抽样方式</w:t>
      </w:r>
    </w:p>
    <w:p w14:paraId="0F02A1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为确保问卷</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的全面性和代表性，本次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随机</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分层抽样相结合</w:t>
      </w:r>
      <w:r>
        <w:rPr>
          <w:rFonts w:hint="eastAsia" w:ascii="宋体" w:hAnsi="宋体" w:eastAsia="宋体" w:cs="宋体"/>
          <w:color w:val="auto"/>
          <w:sz w:val="24"/>
          <w:szCs w:val="24"/>
          <w:highlight w:val="none"/>
        </w:rPr>
        <w:t>方式进行。</w:t>
      </w:r>
    </w:p>
    <w:p w14:paraId="5442F4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5.问卷的发放和回收</w:t>
      </w:r>
    </w:p>
    <w:p w14:paraId="4C4C0CD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0D7A7D45">
      <w:pPr>
        <w:pStyle w:val="10"/>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7F669F8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本次调查过程中，评价小组实际发放问卷30份，回收问卷30份，问卷回收率为100.00%，有效问卷30份，有效回收率100.00%，本次调查的整体情况如下：</w:t>
      </w:r>
    </w:p>
    <w:p w14:paraId="33E3506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第一个问题：该项统计有效问卷数量30份，选择非常满意的人数为x人。选择比较满意的人数为0人，选择一般的人数0人，选择不满意的人数0人，选择非常不满意的人数0人。</w:t>
      </w:r>
    </w:p>
    <w:p w14:paraId="5CCB801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第二个问题：该项统计有效问卷数量30份，选择非常满意的人数为x人。选择比较满意的人数为0人，选择一般的人数0人，选择不满意的人数0人，选择非常不满意的人数0人。</w:t>
      </w:r>
    </w:p>
    <w:p w14:paraId="31B1F88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第三个问题：该项统计有效问卷数量30份，选择非常满意的人数为x人。选择比较满意的人数为0人，选择一般的人数0人，选择不满意的人数0人，选择非常不满意的人数0人。</w:t>
      </w:r>
    </w:p>
    <w:p w14:paraId="7AA2391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71EE041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2024年林业草原改革发展资金-良种苗木培育项目针对受益人员发放30份调查问卷，最终统计受益人群满意度为100%。</w:t>
      </w:r>
    </w:p>
    <w:p w14:paraId="6A280B1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p>
    <w:p w14:paraId="424B511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洛浦县国营苗圃</w:t>
      </w:r>
    </w:p>
    <w:p w14:paraId="7786ECC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highlight w:val="none"/>
          <w:lang w:val="en-US" w:eastAsia="zh-CN"/>
        </w:rPr>
        <w:t>2025年3月15日</w:t>
      </w:r>
    </w:p>
    <w:sectPr>
      <w:pgSz w:w="11906" w:h="16838"/>
      <w:pgMar w:top="1985" w:right="1531" w:bottom="1701" w:left="1531" w:header="851" w:footer="992" w:gutter="0"/>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5A8ED0-57CB-4FE8-8AB4-85C80DA7A8B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FC171C3A-3B8F-4D9B-A3A8-646617D4C672}"/>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script"/>
    <w:pitch w:val="default"/>
    <w:sig w:usb0="00000001" w:usb1="080E0000" w:usb2="00000000" w:usb3="00000000" w:csb0="00040000" w:csb1="00000000"/>
    <w:embedRegular r:id="rId3" w:fontKey="{499B38A7-34DF-40B6-B814-ECCC20D00BA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E1CD1">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77EF4">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44C74D98">
                <w:pPr>
                  <w:pStyle w:val="15"/>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28</w:t>
                </w:r>
                <w: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353F7">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35F4765A"/>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uiPriority="39" w:semiHidden="0" w:name="toc 5"/>
    <w:lsdException w:qFormat="1" w:uiPriority="39" w:semiHidden="0" w:name="toc 6"/>
    <w:lsdException w:uiPriority="39" w:semiHidden="0" w:name="toc 7"/>
    <w:lsdException w:uiPriority="39" w:semiHidden="0" w:name="toc 8"/>
    <w:lsdException w:qFormat="1"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qFormat/>
    <w:uiPriority w:val="0"/>
    <w:pPr>
      <w:ind w:firstLine="420"/>
    </w:pPr>
  </w:style>
  <w:style w:type="paragraph" w:styleId="3">
    <w:name w:val="Body Text Indent"/>
    <w:basedOn w:val="1"/>
    <w:link w:val="30"/>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qFormat/>
    <w:uiPriority w:val="39"/>
    <w:pPr>
      <w:spacing w:before="120" w:after="120"/>
      <w:jc w:val="left"/>
    </w:pPr>
    <w:rPr>
      <w:rFonts w:ascii="Calibri" w:hAnsi="Calibri" w:cs="Calibri"/>
      <w:b/>
      <w:bCs/>
      <w:caps/>
      <w:sz w:val="20"/>
      <w:szCs w:val="20"/>
    </w:rPr>
  </w:style>
  <w:style w:type="paragraph" w:styleId="18">
    <w:name w:val="toc 4"/>
    <w:basedOn w:val="1"/>
    <w:next w:val="1"/>
    <w:unhideWhenUsed/>
    <w:qFormat/>
    <w:uiPriority w:val="39"/>
    <w:pPr>
      <w:ind w:left="840"/>
      <w:jc w:val="left"/>
    </w:pPr>
    <w:rPr>
      <w:rFonts w:ascii="Calibri" w:hAnsi="Calibri" w:cs="Calibri"/>
      <w:sz w:val="18"/>
      <w:szCs w:val="18"/>
    </w:rPr>
  </w:style>
  <w:style w:type="paragraph" w:styleId="19">
    <w:name w:val="toc 6"/>
    <w:basedOn w:val="1"/>
    <w:next w:val="1"/>
    <w:unhideWhenUsed/>
    <w:qFormat/>
    <w:uiPriority w:val="39"/>
    <w:pPr>
      <w:ind w:left="1400"/>
      <w:jc w:val="left"/>
    </w:pPr>
    <w:rPr>
      <w:rFonts w:ascii="Calibri" w:hAnsi="Calibri" w:cs="Calibri"/>
      <w:sz w:val="18"/>
      <w:szCs w:val="18"/>
    </w:rPr>
  </w:style>
  <w:style w:type="paragraph" w:styleId="20">
    <w:name w:val="toc 2"/>
    <w:basedOn w:val="1"/>
    <w:next w:val="1"/>
    <w:unhideWhenUsed/>
    <w:qFormat/>
    <w:uiPriority w:val="39"/>
    <w:pPr>
      <w:ind w:left="280"/>
      <w:jc w:val="left"/>
    </w:pPr>
    <w:rPr>
      <w:rFonts w:ascii="Calibri" w:hAnsi="Calibri" w:cs="Calibri"/>
      <w:smallCaps/>
      <w:sz w:val="20"/>
      <w:szCs w:val="20"/>
    </w:rPr>
  </w:style>
  <w:style w:type="paragraph" w:styleId="21">
    <w:name w:val="toc 9"/>
    <w:basedOn w:val="1"/>
    <w:next w:val="1"/>
    <w:unhideWhenUsed/>
    <w:qFormat/>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qFormat/>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qFormat/>
    <w:uiPriority w:val="99"/>
    <w:rPr>
      <w:b/>
      <w:bCs/>
    </w:rPr>
  </w:style>
  <w:style w:type="character" w:customStyle="1" w:styleId="29">
    <w:name w:val="Comment Reference"/>
    <w:unhideWhenUsed/>
    <w:qFormat/>
    <w:uiPriority w:val="99"/>
    <w:rPr>
      <w:sz w:val="16"/>
      <w:szCs w:val="16"/>
    </w:rPr>
  </w:style>
  <w:style w:type="character" w:customStyle="1" w:styleId="30">
    <w:name w:val="正文文本缩进 Char"/>
    <w:link w:val="3"/>
    <w:semiHidden/>
    <w:qFormat/>
    <w:uiPriority w:val="99"/>
    <w:rPr>
      <w:rFonts w:ascii="Calibri" w:hAnsi="Calibri" w:eastAsia="仿宋_GB2312" w:cs="黑体"/>
      <w:sz w:val="28"/>
    </w:rPr>
  </w:style>
  <w:style w:type="character" w:customStyle="1" w:styleId="31">
    <w:name w:val="正文首行缩进 2 Char"/>
    <w:link w:val="2"/>
    <w:qFormat/>
    <w:uiPriority w:val="0"/>
    <w:rPr>
      <w:rFonts w:ascii="Calibri" w:hAnsi="Calibri" w:eastAsia="仿宋_GB2312" w:cs="黑体"/>
      <w:sz w:val="28"/>
    </w:rPr>
  </w:style>
  <w:style w:type="character" w:customStyle="1" w:styleId="32">
    <w:name w:val="标题 1 Char"/>
    <w:link w:val="4"/>
    <w:qFormat/>
    <w:uiPriority w:val="9"/>
    <w:rPr>
      <w:rFonts w:ascii="Times New Roman" w:hAnsi="Times New Roman" w:eastAsia="仿宋_GB2312" w:cs="Times New Roman"/>
      <w:b/>
      <w:bCs/>
      <w:kern w:val="44"/>
      <w:sz w:val="32"/>
      <w:szCs w:val="44"/>
    </w:rPr>
  </w:style>
  <w:style w:type="character" w:customStyle="1" w:styleId="33">
    <w:name w:val="标题 2 Char"/>
    <w:link w:val="5"/>
    <w:qFormat/>
    <w:uiPriority w:val="0"/>
    <w:rPr>
      <w:rFonts w:ascii="Cambria" w:hAnsi="Cambria" w:eastAsia="仿宋_GB2312" w:cs="Times New Roman"/>
      <w:b/>
      <w:bCs/>
      <w:kern w:val="0"/>
      <w:sz w:val="30"/>
      <w:szCs w:val="32"/>
    </w:rPr>
  </w:style>
  <w:style w:type="character" w:customStyle="1" w:styleId="34">
    <w:name w:val="标题 3 Char"/>
    <w:link w:val="6"/>
    <w:qFormat/>
    <w:uiPriority w:val="9"/>
    <w:rPr>
      <w:rFonts w:ascii="Calibri" w:hAnsi="Calibri" w:eastAsia="仿宋_GB2312" w:cs="黑体"/>
      <w:bCs/>
      <w:sz w:val="28"/>
      <w:szCs w:val="32"/>
    </w:rPr>
  </w:style>
  <w:style w:type="character" w:customStyle="1" w:styleId="35">
    <w:name w:val="标题 4 Char"/>
    <w:link w:val="7"/>
    <w:semiHidden/>
    <w:qFormat/>
    <w:uiPriority w:val="9"/>
    <w:rPr>
      <w:rFonts w:ascii="Cambria" w:hAnsi="Cambria" w:eastAsia="宋体" w:cs="Times New Roman"/>
      <w:b/>
      <w:bCs/>
      <w:sz w:val="28"/>
      <w:szCs w:val="28"/>
    </w:rPr>
  </w:style>
  <w:style w:type="character" w:customStyle="1" w:styleId="36">
    <w:name w:val="文档结构图 Char"/>
    <w:link w:val="9"/>
    <w:semiHidden/>
    <w:qFormat/>
    <w:uiPriority w:val="99"/>
    <w:rPr>
      <w:rFonts w:ascii="宋体" w:hAnsi="Calibri" w:eastAsia="宋体" w:cs="黑体"/>
      <w:sz w:val="18"/>
      <w:szCs w:val="18"/>
    </w:rPr>
  </w:style>
  <w:style w:type="character" w:customStyle="1" w:styleId="37">
    <w:name w:val="批注文字 Char"/>
    <w:link w:val="27"/>
    <w:semiHidden/>
    <w:qFormat/>
    <w:uiPriority w:val="99"/>
    <w:rPr>
      <w:rFonts w:ascii="Calibri" w:hAnsi="Calibri" w:eastAsia="仿宋_GB2312" w:cs="黑体"/>
      <w:sz w:val="20"/>
      <w:szCs w:val="20"/>
    </w:rPr>
  </w:style>
  <w:style w:type="character" w:customStyle="1" w:styleId="38">
    <w:name w:val="批注框文本 Char"/>
    <w:link w:val="14"/>
    <w:semiHidden/>
    <w:qFormat/>
    <w:uiPriority w:val="99"/>
    <w:rPr>
      <w:rFonts w:ascii="Calibri" w:hAnsi="Calibri" w:eastAsia="仿宋_GB2312" w:cs="黑体"/>
      <w:sz w:val="18"/>
      <w:szCs w:val="18"/>
    </w:rPr>
  </w:style>
  <w:style w:type="character" w:customStyle="1" w:styleId="39">
    <w:name w:val="页脚 Char"/>
    <w:link w:val="15"/>
    <w:qFormat/>
    <w:uiPriority w:val="99"/>
    <w:rPr>
      <w:rFonts w:ascii="Calibri" w:hAnsi="Calibri" w:eastAsia="仿宋_GB2312" w:cs="黑体"/>
      <w:sz w:val="18"/>
      <w:szCs w:val="18"/>
    </w:rPr>
  </w:style>
  <w:style w:type="character" w:customStyle="1" w:styleId="40">
    <w:name w:val="页眉 Char"/>
    <w:link w:val="16"/>
    <w:qFormat/>
    <w:uiPriority w:val="99"/>
    <w:rPr>
      <w:rFonts w:ascii="Calibri" w:hAnsi="Calibri" w:eastAsia="仿宋_GB2312" w:cs="黑体"/>
      <w:sz w:val="18"/>
      <w:szCs w:val="18"/>
    </w:rPr>
  </w:style>
  <w:style w:type="character" w:customStyle="1" w:styleId="41">
    <w:name w:val="标题 Char"/>
    <w:link w:val="22"/>
    <w:qFormat/>
    <w:uiPriority w:val="10"/>
    <w:rPr>
      <w:rFonts w:ascii="Cambria" w:hAnsi="Cambria"/>
      <w:b/>
      <w:bCs/>
      <w:kern w:val="2"/>
      <w:sz w:val="32"/>
      <w:szCs w:val="32"/>
    </w:rPr>
  </w:style>
  <w:style w:type="character" w:customStyle="1" w:styleId="42">
    <w:name w:val="批注主题 Char"/>
    <w:link w:val="28"/>
    <w:semiHidden/>
    <w:qFormat/>
    <w:uiPriority w:val="99"/>
    <w:rPr>
      <w:rFonts w:ascii="Calibri" w:hAnsi="Calibri" w:eastAsia="仿宋_GB2312" w:cs="黑体"/>
      <w:b/>
      <w:bCs/>
      <w:sz w:val="20"/>
      <w:szCs w:val="20"/>
    </w:rPr>
  </w:style>
  <w:style w:type="character" w:customStyle="1" w:styleId="43">
    <w:name w:val="闻政-正文三级标题 Char"/>
    <w:link w:val="44"/>
    <w:qFormat/>
    <w:uiPriority w:val="3"/>
    <w:rPr>
      <w:rFonts w:ascii="Times New Roman" w:hAnsi="Times New Roman" w:eastAsia="仿宋_GB2312"/>
      <w:b/>
      <w:snapToGrid w:val="0"/>
      <w:sz w:val="28"/>
      <w:szCs w:val="28"/>
    </w:rPr>
  </w:style>
  <w:style w:type="paragraph" w:customStyle="1" w:styleId="44">
    <w:name w:val="闻政-正文三级标题"/>
    <w:basedOn w:val="1"/>
    <w:next w:val="45"/>
    <w:link w:val="4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qFormat/>
    <w:uiPriority w:val="3"/>
    <w:rPr>
      <w:rFonts w:ascii="Times New Roman" w:hAnsi="Times New Roman" w:eastAsia="仿宋_GB2312"/>
      <w:sz w:val="28"/>
      <w:szCs w:val="28"/>
    </w:rPr>
  </w:style>
  <w:style w:type="character" w:customStyle="1" w:styleId="47">
    <w:name w:val="闻政-正文一级标题 Char"/>
    <w:link w:val="48"/>
    <w:qFormat/>
    <w:uiPriority w:val="3"/>
    <w:rPr>
      <w:rFonts w:ascii="黑体" w:hAnsi="黑体" w:eastAsia="黑体"/>
      <w:bCs/>
      <w:sz w:val="32"/>
      <w:szCs w:val="32"/>
    </w:rPr>
  </w:style>
  <w:style w:type="paragraph" w:customStyle="1" w:styleId="48">
    <w:name w:val="闻政-正文一级标题"/>
    <w:basedOn w:val="6"/>
    <w:next w:val="45"/>
    <w:link w:val="47"/>
    <w:qFormat/>
    <w:uiPriority w:val="3"/>
    <w:pPr>
      <w:spacing w:before="120" w:after="60" w:line="500" w:lineRule="exact"/>
      <w:ind w:firstLine="0" w:firstLineChars="0"/>
      <w:outlineLvl w:val="0"/>
    </w:pPr>
    <w:rPr>
      <w:rFonts w:ascii="黑体" w:hAnsi="黑体" w:eastAsia="黑体"/>
      <w:sz w:val="32"/>
    </w:rPr>
  </w:style>
  <w:style w:type="character" w:customStyle="1" w:styleId="49">
    <w:name w:val="49"/>
    <w:qFormat/>
    <w:uiPriority w:val="0"/>
    <w:rPr>
      <w:b/>
      <w:bCs/>
      <w:smallCaps/>
      <w:color w:val="C0504D"/>
      <w:spacing w:val="5"/>
      <w:u w:val="single"/>
    </w:rPr>
  </w:style>
  <w:style w:type="character" w:customStyle="1" w:styleId="50">
    <w:name w:val="font21"/>
    <w:qFormat/>
    <w:uiPriority w:val="0"/>
    <w:rPr>
      <w:rFonts w:hint="default" w:ascii="Times New Roman" w:hAnsi="Times New Roman" w:cs="Times New Roman"/>
      <w:color w:val="000000"/>
      <w:sz w:val="24"/>
      <w:szCs w:val="24"/>
      <w:u w:val="none"/>
    </w:rPr>
  </w:style>
  <w:style w:type="character" w:customStyle="1" w:styleId="51">
    <w:name w:val="闻政-正文二级标题 Char"/>
    <w:link w:val="52"/>
    <w:qFormat/>
    <w:uiPriority w:val="3"/>
    <w:rPr>
      <w:rFonts w:ascii="Times New Roman" w:hAnsi="Times New Roman" w:eastAsia="仿宋_GB2312"/>
      <w:b/>
      <w:bCs/>
      <w:sz w:val="28"/>
      <w:szCs w:val="32"/>
    </w:rPr>
  </w:style>
  <w:style w:type="paragraph" w:customStyle="1" w:styleId="52">
    <w:name w:val="闻政-正文二级标题"/>
    <w:basedOn w:val="5"/>
    <w:next w:val="45"/>
    <w:link w:val="51"/>
    <w:qFormat/>
    <w:uiPriority w:val="3"/>
    <w:pPr>
      <w:spacing w:before="120" w:after="60" w:line="500" w:lineRule="exact"/>
      <w:ind w:left="200" w:leftChars="200" w:firstLine="0" w:firstLineChars="0"/>
    </w:pPr>
    <w:rPr>
      <w:rFonts w:ascii="Times New Roman" w:hAnsi="Times New Roman"/>
      <w:sz w:val="28"/>
    </w:rPr>
  </w:style>
  <w:style w:type="character" w:customStyle="1" w:styleId="53">
    <w:name w:val="font71"/>
    <w:basedOn w:val="25"/>
    <w:qFormat/>
    <w:uiPriority w:val="0"/>
    <w:rPr>
      <w:rFonts w:hint="eastAsia" w:ascii="微软雅黑" w:hAnsi="微软雅黑" w:eastAsia="微软雅黑" w:cs="微软雅黑"/>
      <w:b/>
      <w:bCs/>
      <w:color w:val="000000"/>
      <w:sz w:val="32"/>
      <w:szCs w:val="32"/>
      <w:u w:val="none"/>
    </w:rPr>
  </w:style>
  <w:style w:type="character" w:customStyle="1" w:styleId="54">
    <w:name w:val="font11"/>
    <w:qFormat/>
    <w:uiPriority w:val="0"/>
    <w:rPr>
      <w:rFonts w:hint="eastAsia" w:ascii="方正仿宋_GBK" w:hAnsi="方正仿宋_GBK" w:eastAsia="方正仿宋_GBK" w:cs="方正仿宋_GBK"/>
      <w:color w:val="000000"/>
      <w:sz w:val="24"/>
      <w:szCs w:val="24"/>
      <w:u w:val="none"/>
    </w:rPr>
  </w:style>
  <w:style w:type="character" w:customStyle="1" w:styleId="55">
    <w:name w:val="无间隔 Char"/>
    <w:link w:val="56"/>
    <w:qFormat/>
    <w:uiPriority w:val="1"/>
    <w:rPr>
      <w:rFonts w:eastAsia="仿宋_GB2312" w:cs="黑体"/>
      <w:kern w:val="2"/>
      <w:sz w:val="28"/>
      <w:szCs w:val="22"/>
      <w:lang w:val="en-US" w:eastAsia="zh-CN" w:bidi="ar-SA"/>
    </w:rPr>
  </w:style>
  <w:style w:type="paragraph" w:styleId="56">
    <w:name w:val="No Spacing"/>
    <w:link w:val="55"/>
    <w:qFormat/>
    <w:uiPriority w:val="1"/>
    <w:pPr>
      <w:widowControl w:val="0"/>
      <w:ind w:firstLine="600" w:firstLineChars="200"/>
      <w:jc w:val="both"/>
    </w:pPr>
    <w:rPr>
      <w:rFonts w:ascii="Calibri" w:hAnsi="Calibri" w:eastAsia="仿宋_GB2312" w:cs="黑体"/>
      <w:kern w:val="2"/>
      <w:sz w:val="28"/>
      <w:szCs w:val="22"/>
      <w:lang w:val="en-US" w:eastAsia="zh-CN" w:bidi="ar-SA"/>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74DF42C26B2C462CAE26FA2375646AA1_13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330f08-2ef6-4640-9a12-80166d5169c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14475</Words>
  <Characters>15295</Characters>
  <Lines>44</Lines>
  <Paragraphs>12</Paragraphs>
  <TotalTime>8</TotalTime>
  <ScaleCrop>false</ScaleCrop>
  <LinksUpToDate>false</LinksUpToDate>
  <CharactersWithSpaces>15343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2025-10-10T10:42:55Z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74DF42C26B2C462CAE26FA2375646AA1_13</vt:lpwstr>
  </property>
  <property fmtid="{D5CDD505-2E9C-101B-9397-08002B2CF9AE}" pid="4" name="KSOTemplateDocerSaveRecord">
    <vt:lpwstr>eyJoZGlkIjoiZDE5MGZhMTJhZDM2OTQwYzkzYWVjM2FhZDUxN2Q0M2IiLCJ1c2VySWQiOiI2NTE5NDIwMjYifQ_x003D__x003D_</vt:lpwstr>
  </property>
</Properties>
</file>