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7EE1C">
      <w:bookmarkStart w:id="20" w:name="_GoBack"/>
      <w:bookmarkEnd w:id="20"/>
    </w:p>
    <w:p w14:paraId="18961081">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lang w:val="en-US" w:eastAsia="zh-CN" w:bidi="en-US"/>
        </w:rPr>
      </w:pPr>
    </w:p>
    <w:p w14:paraId="40DEC401">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color w:val="auto"/>
          <w:sz w:val="36"/>
          <w:szCs w:val="36"/>
        </w:rPr>
      </w:pPr>
      <w:r>
        <w:rPr>
          <w:rFonts w:hint="eastAsia" w:ascii="黑体" w:hAnsi="黑体" w:eastAsia="黑体" w:cs="黑体"/>
          <w:b/>
          <w:color w:val="auto"/>
          <w:sz w:val="36"/>
          <w:szCs w:val="36"/>
          <w:lang w:val="en-US" w:eastAsia="zh-CN"/>
        </w:rPr>
        <w:t>和田地区2024年中央林业草原生态保护恢复资金-森林保护修复支出-（国家公益林管护）</w:t>
      </w:r>
    </w:p>
    <w:p w14:paraId="44AACEC4">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color w:val="auto"/>
        </w:rPr>
      </w:pPr>
      <w:r>
        <w:rPr>
          <w:rFonts w:hint="eastAsia" w:ascii="黑体" w:hAnsi="黑体" w:eastAsia="黑体" w:cs="黑体"/>
          <w:b/>
          <w:color w:val="auto"/>
          <w:sz w:val="36"/>
          <w:szCs w:val="36"/>
        </w:rPr>
        <w:t>支出绩效评价报告</w:t>
      </w:r>
    </w:p>
    <w:p w14:paraId="71992D45">
      <w:pPr>
        <w:pStyle w:val="6"/>
        <w:jc w:val="center"/>
        <w:rPr>
          <w:rFonts w:hint="eastAsia" w:eastAsia="仿宋_GB2312"/>
          <w:color w:val="auto"/>
          <w:lang w:eastAsia="zh-CN"/>
        </w:rPr>
      </w:pPr>
      <w:r>
        <w:rPr>
          <w:rFonts w:hint="eastAsia"/>
          <w:color w:val="auto"/>
          <w:lang w:eastAsia="zh-CN"/>
        </w:rPr>
        <w:t>（</w:t>
      </w:r>
      <w:r>
        <w:rPr>
          <w:rFonts w:hint="eastAsia"/>
          <w:color w:val="auto"/>
          <w:lang w:val="en-US" w:eastAsia="zh-CN"/>
        </w:rPr>
        <w:t>2024年度</w:t>
      </w:r>
      <w:r>
        <w:rPr>
          <w:rFonts w:hint="eastAsia"/>
          <w:color w:val="auto"/>
          <w:lang w:eastAsia="zh-CN"/>
        </w:rPr>
        <w:t>）</w:t>
      </w:r>
    </w:p>
    <w:p w14:paraId="54DE78C3">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23B1C12F">
      <w:pPr>
        <w:pStyle w:val="6"/>
        <w:rPr>
          <w:rFonts w:hint="eastAsia" w:eastAsia="方正仿宋_GBK" w:cs="方正仿宋_GBK"/>
          <w:b/>
          <w:color w:val="auto"/>
          <w:kern w:val="0"/>
          <w:sz w:val="32"/>
          <w:szCs w:val="32"/>
          <w:lang w:bidi="en-US"/>
        </w:rPr>
      </w:pPr>
    </w:p>
    <w:p w14:paraId="51B827EC">
      <w:pPr>
        <w:rPr>
          <w:rFonts w:hint="eastAsia" w:eastAsia="方正仿宋_GBK" w:cs="方正仿宋_GBK"/>
          <w:b/>
          <w:color w:val="auto"/>
          <w:kern w:val="0"/>
          <w:sz w:val="32"/>
          <w:szCs w:val="32"/>
          <w:lang w:bidi="en-US"/>
        </w:rPr>
      </w:pPr>
    </w:p>
    <w:p w14:paraId="59336214">
      <w:pPr>
        <w:pStyle w:val="6"/>
        <w:rPr>
          <w:rFonts w:hint="eastAsia"/>
          <w:color w:val="auto"/>
        </w:rPr>
      </w:pPr>
    </w:p>
    <w:p w14:paraId="75AB8D55">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color w:val="auto"/>
          <w:sz w:val="32"/>
          <w:lang w:bidi="en-US"/>
        </w:rPr>
      </w:pPr>
    </w:p>
    <w:p w14:paraId="3E624917">
      <w:pPr>
        <w:pageBreakBefore w:val="0"/>
        <w:widowControl w:val="0"/>
        <w:kinsoku/>
        <w:wordWrap/>
        <w:topLinePunct w:val="0"/>
        <w:autoSpaceDE/>
        <w:autoSpaceDN/>
        <w:bidi w:val="0"/>
        <w:spacing w:line="560" w:lineRule="exact"/>
        <w:ind w:left="0" w:leftChars="0" w:firstLine="560"/>
        <w:textAlignment w:val="auto"/>
        <w:rPr>
          <w:rFonts w:hint="eastAsia"/>
          <w:color w:val="auto"/>
        </w:rPr>
      </w:pPr>
    </w:p>
    <w:p w14:paraId="2064A51D">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lang w:bidi="en-US"/>
        </w:rPr>
      </w:pPr>
    </w:p>
    <w:p w14:paraId="7F25B67E">
      <w:pPr>
        <w:pageBreakBefore w:val="0"/>
        <w:widowControl w:val="0"/>
        <w:kinsoku/>
        <w:wordWrap/>
        <w:topLinePunct w:val="0"/>
        <w:autoSpaceDE/>
        <w:autoSpaceDN/>
        <w:bidi w:val="0"/>
        <w:spacing w:line="560" w:lineRule="exact"/>
        <w:ind w:left="2685" w:leftChars="500" w:hanging="1285" w:hangingChars="459"/>
        <w:jc w:val="left"/>
        <w:textAlignment w:val="auto"/>
        <w:rPr>
          <w:rFonts w:hint="eastAsia" w:ascii="宋体" w:hAnsi="宋体" w:eastAsia="宋体" w:cs="宋体"/>
          <w:color w:val="auto"/>
          <w:kern w:val="0"/>
          <w:sz w:val="28"/>
          <w:szCs w:val="28"/>
          <w:lang w:val="en-US" w:eastAsia="zh-CN" w:bidi="en-US"/>
        </w:rPr>
      </w:pPr>
      <w:r>
        <w:rPr>
          <w:rFonts w:hint="eastAsia" w:ascii="宋体" w:hAnsi="宋体" w:eastAsia="宋体" w:cs="宋体"/>
          <w:color w:val="auto"/>
          <w:kern w:val="0"/>
          <w:sz w:val="28"/>
          <w:szCs w:val="28"/>
          <w:lang w:bidi="en-US"/>
        </w:rPr>
        <w:t>项目名称：2024年中央林业草原生态保护恢复资金-森林保护修复支出-（国家公益林管护）</w:t>
      </w:r>
      <w:r>
        <w:rPr>
          <w:rFonts w:hint="eastAsia" w:ascii="宋体" w:hAnsi="宋体" w:eastAsia="宋体" w:cs="宋体"/>
          <w:color w:val="auto"/>
          <w:kern w:val="0"/>
          <w:sz w:val="28"/>
          <w:szCs w:val="28"/>
          <w:lang w:val="en-US" w:eastAsia="zh-CN" w:bidi="en-US"/>
        </w:rPr>
        <w:t>项目</w:t>
      </w:r>
    </w:p>
    <w:p w14:paraId="4D4C8315">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项目单位：洛浦县国有林场管理站</w:t>
      </w:r>
    </w:p>
    <w:p w14:paraId="302FF234">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主管部门：洛浦县林业和草原局</w:t>
      </w:r>
    </w:p>
    <w:p w14:paraId="396F90B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项目负责人：艾克木·加帕尔</w:t>
      </w:r>
    </w:p>
    <w:p w14:paraId="620A95BD">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填报时间：</w:t>
      </w:r>
      <w:r>
        <w:rPr>
          <w:rFonts w:hint="eastAsia" w:ascii="宋体" w:hAnsi="宋体" w:eastAsia="宋体" w:cs="宋体"/>
          <w:color w:val="auto"/>
          <w:kern w:val="0"/>
          <w:sz w:val="28"/>
          <w:szCs w:val="28"/>
          <w:lang w:val="en-US" w:eastAsia="zh-CN" w:bidi="en-US"/>
        </w:rPr>
        <w:t>2025</w:t>
      </w:r>
      <w:r>
        <w:rPr>
          <w:rFonts w:hint="eastAsia" w:ascii="宋体" w:hAnsi="宋体" w:eastAsia="宋体" w:cs="宋体"/>
          <w:color w:val="auto"/>
          <w:kern w:val="0"/>
          <w:sz w:val="28"/>
          <w:szCs w:val="28"/>
          <w:lang w:bidi="en-US"/>
        </w:rPr>
        <w:t>年</w:t>
      </w:r>
      <w:r>
        <w:rPr>
          <w:rFonts w:hint="eastAsia" w:ascii="宋体" w:hAnsi="宋体" w:eastAsia="宋体" w:cs="宋体"/>
          <w:color w:val="auto"/>
          <w:kern w:val="0"/>
          <w:sz w:val="28"/>
          <w:szCs w:val="28"/>
          <w:lang w:val="en-US" w:eastAsia="zh-CN" w:bidi="en-US"/>
        </w:rPr>
        <w:t>3</w:t>
      </w:r>
      <w:r>
        <w:rPr>
          <w:rFonts w:hint="eastAsia" w:ascii="宋体" w:hAnsi="宋体" w:eastAsia="宋体" w:cs="宋体"/>
          <w:color w:val="auto"/>
          <w:kern w:val="0"/>
          <w:sz w:val="28"/>
          <w:szCs w:val="28"/>
          <w:lang w:bidi="en-US"/>
        </w:rPr>
        <w:t>月</w:t>
      </w:r>
      <w:r>
        <w:rPr>
          <w:rFonts w:hint="eastAsia" w:ascii="宋体" w:hAnsi="宋体" w:eastAsia="宋体" w:cs="宋体"/>
          <w:color w:val="auto"/>
          <w:kern w:val="0"/>
          <w:sz w:val="28"/>
          <w:szCs w:val="28"/>
          <w:lang w:val="en-US" w:eastAsia="zh-CN" w:bidi="en-US"/>
        </w:rPr>
        <w:t>31</w:t>
      </w:r>
      <w:r>
        <w:rPr>
          <w:rFonts w:hint="eastAsia" w:ascii="宋体" w:hAnsi="宋体" w:eastAsia="宋体" w:cs="宋体"/>
          <w:color w:val="auto"/>
          <w:kern w:val="0"/>
          <w:sz w:val="28"/>
          <w:szCs w:val="28"/>
          <w:lang w:bidi="en-US"/>
        </w:rPr>
        <w:t>日</w:t>
      </w:r>
    </w:p>
    <w:p w14:paraId="25D413C3">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color w:val="auto"/>
          <w:kern w:val="0"/>
          <w:sz w:val="28"/>
          <w:szCs w:val="28"/>
          <w:lang w:bidi="en-US"/>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p w14:paraId="50D2A9CA">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color w:val="auto"/>
          <w:kern w:val="0"/>
          <w:sz w:val="28"/>
          <w:szCs w:val="28"/>
          <w:lang w:bidi="en-US"/>
        </w:rPr>
      </w:pPr>
    </w:p>
    <w:p w14:paraId="69056EB0">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color w:val="auto"/>
          <w:sz w:val="24"/>
          <w:szCs w:val="24"/>
        </w:rPr>
      </w:pPr>
      <w:bookmarkStart w:id="0" w:name="_Toc68364657"/>
      <w:r>
        <w:rPr>
          <w:rFonts w:hint="eastAsia" w:ascii="黑体" w:hAnsi="黑体" w:eastAsia="黑体" w:cs="黑体"/>
          <w:color w:val="auto"/>
          <w:sz w:val="24"/>
          <w:szCs w:val="24"/>
          <w:lang w:val="en-US" w:eastAsia="zh-CN"/>
        </w:rPr>
        <w:t>一、</w:t>
      </w:r>
      <w:r>
        <w:rPr>
          <w:rFonts w:hint="eastAsia" w:ascii="黑体" w:hAnsi="黑体" w:eastAsia="黑体" w:cs="黑体"/>
          <w:color w:val="auto"/>
          <w:sz w:val="24"/>
          <w:szCs w:val="24"/>
        </w:rPr>
        <w:t>基本情况</w:t>
      </w:r>
      <w:bookmarkEnd w:id="0"/>
    </w:p>
    <w:p w14:paraId="2C5BB43D">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 w:name="_Toc68364658"/>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项目概况</w:t>
      </w:r>
      <w:bookmarkEnd w:id="1"/>
    </w:p>
    <w:p w14:paraId="2D690E86">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项目背景</w:t>
      </w:r>
    </w:p>
    <w:p w14:paraId="51CB06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rPr>
        <w:t>通过对管护补助以及森林防火的补助，加强森林火灾扑救能力，建立一个快速反应的、装备较齐全的、高素质、高标准的半专业森林扑火队伍，为各项目单位配置一批先进的森林防火装备及设施，通过无人机空中巡航技术，全面掌握项目区域内森林火情、火灾信息及天气变化情况，以便及时制止违章用火和迅速组织扑救，使损失减少到最低限度，达到快速扑灭森林火灾的目的。项目的实施，可对全县森林防火基础设施建设得到进一步的完善，全面提升森林防火应急能力，健全森林防火应急体系，及时、准确地反馈火灾信息；火灾发生后可在第一时间赶赴现场扑救，将火灾损失降到最低。项目采购完成后可长期受益，可有效减少森林火灾造成的经济损失。 通过对洛浦县国有林综合生态修复项目的实施，有效保护、改善和提高现存国家公益林区的生态环境,使项目区灌木地的盖度进一步提高。疏林地在实行引洪灌溉措施后，使林分中疏林地郁闭度由现在的0.1稳步提高到0.16以上,平均有乔木1050株/hm2以上,且分布均匀,达到有林地标准。在实行抚育后，使林分中植被覆盖度由现在的30%稳步提高到50%以上。使国家公益林林分结构逐步趋于合理，不断增加森林资源量，提高国家公益林的稳定性和抗逆性</w:t>
      </w:r>
    </w:p>
    <w:p w14:paraId="4903CCA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b/>
          <w:bCs/>
          <w:color w:val="auto"/>
          <w:sz w:val="24"/>
          <w:szCs w:val="24"/>
        </w:rPr>
        <w:t>主要内容及实施情况</w:t>
      </w:r>
    </w:p>
    <w:p w14:paraId="31347AB0">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2C6CDC39">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2024年我县公益林面积84.9904万亩，国土三调数据国家级公益林面积为35.7万亩，计划聘用护林人员78人。按照《新疆维吾尔自治区中央财政森林生态效益补偿基金管理使用实施细则》的有关规定发放基本报酬。</w:t>
      </w:r>
    </w:p>
    <w:p w14:paraId="426DD78C">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val="0"/>
          <w:bCs w:val="0"/>
          <w:color w:val="auto"/>
          <w:sz w:val="24"/>
          <w:szCs w:val="24"/>
          <w:lang w:val="en-US" w:eastAsia="zh-CN"/>
        </w:rPr>
        <w:t>管护人员劳务报酬按照职务不同分别为2156.59元/人/月（监管员）、1956.59/人/月（管护员），2024年全县国家级公益林管护人员基本报酬支出预算184.816824万元。</w:t>
      </w:r>
    </w:p>
    <w:p w14:paraId="3222F640">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本项目中从2024年1月—2024年12月对管护人员71人劳务报酬1956.59元/人.月；对监管员7人增加劳务报酬1956.59元/人·月；</w:t>
      </w:r>
    </w:p>
    <w:p w14:paraId="0BB093F7">
      <w:pPr>
        <w:pStyle w:val="47"/>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按照社保部门核定的基数足额为管护人员缴纳基本养老、失业、工伤、医疗、大病等5项社会保险金。社会保障费：1593.82元/人/月（含养老、失业、医疗、工伤、大病保险）管护人员单位缴纳78人社会保险支出预算1491815.52万元。</w:t>
      </w:r>
    </w:p>
    <w:p w14:paraId="24D6425B">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2.实施情况</w:t>
      </w:r>
    </w:p>
    <w:p w14:paraId="692777CE">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1）项目实施主体</w:t>
      </w:r>
    </w:p>
    <w:p w14:paraId="1337911E">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本项目主管部门为洛浦县林业和草原局，实施单位为洛浦县国有林场管理站</w:t>
      </w:r>
    </w:p>
    <w:p w14:paraId="3C6EA089">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（2）项目实施时间：2024年1月-2024年12月</w:t>
      </w:r>
    </w:p>
    <w:p w14:paraId="2888B036">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（3）项目实施情况：</w:t>
      </w:r>
    </w:p>
    <w:p w14:paraId="3BAFE514">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2024年我县公益林面积84.9904万亩，国土三调数据国家级公益林面积为35.7万亩，计划聘用护林人员78人。按照《新疆维吾尔自治区中央财政森林生态效益补偿基金管理使用实施细则》的有关规定发放基本报酬。</w:t>
      </w:r>
    </w:p>
    <w:p w14:paraId="2057152D">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管护人员劳务报酬按照职务不同分别为2156.59元/人/月（监管员）、1956.59/人/月（管护员），2024年全县国家级公益林管护人员基本报酬支出预算184.816824万元。</w:t>
      </w:r>
    </w:p>
    <w:p w14:paraId="307C4739">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本项目中从2024年1月—2024年12月对管护人员71人劳务报酬1956.59元/人.月；对监管员7人增加劳务报酬1956.59元/人·月；</w:t>
      </w:r>
    </w:p>
    <w:p w14:paraId="63EB2C20">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按照社保部门核定的基数足额为管护人员缴纳基本养老、失业、工伤、医疗、大病等5项社会保险金。社会保障费：1593.82元/人/月（含养老、失业、医疗、工伤、大病保险）管护人员单位缴纳78人社会保险支出预算1491815.52万元。</w:t>
      </w:r>
    </w:p>
    <w:p w14:paraId="5B9A283F">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资金投入和使用情况</w:t>
      </w:r>
    </w:p>
    <w:p w14:paraId="67AC815B">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511CD260">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342</w:t>
      </w:r>
      <w:r>
        <w:rPr>
          <w:rFonts w:hint="eastAsia" w:ascii="宋体" w:hAnsi="宋体" w:eastAsia="宋体" w:cs="宋体"/>
          <w:color w:val="auto"/>
          <w:sz w:val="24"/>
          <w:szCs w:val="24"/>
        </w:rPr>
        <w:t>万元，资金来源为部门预算中央专项资金，202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342</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187CCD9A">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2FDCE3D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本项目实际支付资金336.864079万元，预算执行率</w:t>
      </w:r>
      <w:r>
        <w:rPr>
          <w:rFonts w:hint="eastAsia" w:ascii="宋体" w:hAnsi="宋体" w:eastAsia="宋体" w:cs="宋体"/>
          <w:color w:val="auto"/>
          <w:sz w:val="24"/>
          <w:szCs w:val="24"/>
          <w:lang w:val="en-US" w:eastAsia="zh-CN"/>
        </w:rPr>
        <w:t>99.08</w:t>
      </w:r>
      <w:r>
        <w:rPr>
          <w:rFonts w:hint="eastAsia" w:ascii="宋体" w:hAnsi="宋体" w:eastAsia="宋体" w:cs="宋体"/>
          <w:color w:val="auto"/>
          <w:sz w:val="24"/>
          <w:szCs w:val="24"/>
        </w:rPr>
        <w:t>%（预算执行率=（336.864079/</w:t>
      </w:r>
      <w:r>
        <w:rPr>
          <w:rFonts w:hint="eastAsia" w:ascii="宋体" w:hAnsi="宋体" w:eastAsia="宋体" w:cs="宋体"/>
          <w:color w:val="auto"/>
          <w:sz w:val="24"/>
          <w:szCs w:val="24"/>
          <w:lang w:val="en-US" w:eastAsia="zh-CN"/>
        </w:rPr>
        <w:t>342</w:t>
      </w:r>
      <w:r>
        <w:rPr>
          <w:rFonts w:hint="eastAsia" w:ascii="宋体" w:hAnsi="宋体" w:eastAsia="宋体" w:cs="宋体"/>
          <w:color w:val="auto"/>
          <w:sz w:val="24"/>
          <w:szCs w:val="24"/>
        </w:rPr>
        <w:t>）*100%）。本项目资金主要用于支付</w:t>
      </w:r>
      <w:r>
        <w:rPr>
          <w:rFonts w:hint="eastAsia" w:ascii="宋体" w:hAnsi="宋体" w:eastAsia="宋体" w:cs="宋体"/>
          <w:color w:val="auto"/>
          <w:sz w:val="24"/>
          <w:szCs w:val="24"/>
          <w:lang w:val="en-US" w:eastAsia="zh-CN"/>
        </w:rPr>
        <w:t>护林员人员工资及社保缴纳</w:t>
      </w:r>
      <w:r>
        <w:rPr>
          <w:rFonts w:hint="eastAsia" w:ascii="宋体" w:hAnsi="宋体" w:eastAsia="宋体" w:cs="宋体"/>
          <w:color w:val="auto"/>
          <w:sz w:val="24"/>
          <w:szCs w:val="24"/>
        </w:rPr>
        <w:t>。</w:t>
      </w:r>
    </w:p>
    <w:p w14:paraId="479C1C97">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2" w:name="_Toc68364659"/>
      <w:r>
        <w:rPr>
          <w:rFonts w:hint="eastAsia" w:ascii="宋体" w:hAnsi="宋体" w:eastAsia="宋体" w:cs="宋体"/>
          <w:color w:val="auto"/>
          <w:sz w:val="24"/>
          <w:szCs w:val="24"/>
        </w:rPr>
        <w:t>（二）项目绩效目标</w:t>
      </w:r>
      <w:bookmarkEnd w:id="2"/>
    </w:p>
    <w:p w14:paraId="1031427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3C646ACB">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171A4BA1">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color w:val="auto"/>
          <w:sz w:val="24"/>
          <w:szCs w:val="24"/>
          <w:lang w:eastAsia="zh-CN"/>
        </w:rPr>
        <w:t>通过对管护补助以及森林防火的补助，加强森林火灾扑救能力，建立一个快速反应的、装备较齐全的、高素质、高标准的半专业森林扑火队伍，为各项目单位配置一批先进的森林防火装备及设施，通过无人机空中巡航技术，全面掌握项目区域内森林火情、火灾信息及天气变化情况，以便及时制止违章用火和迅速组织扑救，使损失减少到最低限度，达到快速扑灭森林火灾的目的。项目的实施，可对全县森林防火基础设施建设得到进一步的完善，全面提升森林防火应急能力，健全森林防火应急体系，及时、准确地反馈火灾信息；火灾发生后可在第一时间赶赴现场扑救，将火灾损失降到最低。项目采购完成后可长期受益，可有效减少森林火灾造成的经济损失。 通过对洛浦县国有林综合生态修复项目的实施，有效保护、改善和提高现存国家公益林区的生态环境,使项目区灌木地的盖度进一步提高。疏林地在实行引洪灌溉措施后，使林分中疏林地郁闭度由现在的0.1稳步提高到0.16以上,平均有乔木1050株/hm2以上,且分布均匀,达到有林地标准。在实行抚育后，使林分中植被覆盖度由现在的30%稳步提高到50%以上。使国家公益林林分结构逐步趋于合理，不断增加森林资源量，提高国家公益林的稳定性和抗逆性。</w:t>
      </w:r>
    </w:p>
    <w:p w14:paraId="69DC3B0E">
      <w:pPr>
        <w:pStyle w:val="47"/>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阶段性目标</w:t>
      </w:r>
    </w:p>
    <w:p w14:paraId="6155C120">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1842A59E">
      <w:pPr>
        <w:pStyle w:val="47"/>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39D597AA">
      <w:pPr>
        <w:pStyle w:val="47"/>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24084C26">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指标1：管护公益林面积，预期指标值：“&gt;=35.70万亩”；</w:t>
      </w:r>
    </w:p>
    <w:p w14:paraId="34DA39ED">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指标2：管护人员数，预期指标值：“&gt;=78人</w:t>
      </w:r>
      <w:r>
        <w:rPr>
          <w:rFonts w:hint="eastAsia" w:ascii="宋体" w:hAnsi="宋体" w:eastAsia="宋体" w:cs="宋体"/>
          <w:color w:val="auto"/>
          <w:sz w:val="24"/>
          <w:szCs w:val="24"/>
          <w:lang w:eastAsia="zh-CN"/>
        </w:rPr>
        <w:t>；</w:t>
      </w:r>
    </w:p>
    <w:p w14:paraId="0FA52CD3">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465D8CE3">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指标1：资金使用合规率，预期指标值：“=100%</w:t>
      </w:r>
      <w:r>
        <w:rPr>
          <w:rFonts w:hint="eastAsia" w:ascii="宋体" w:hAnsi="宋体" w:eastAsia="宋体" w:cs="宋体"/>
          <w:color w:val="auto"/>
          <w:sz w:val="24"/>
          <w:szCs w:val="24"/>
          <w:lang w:eastAsia="zh-CN"/>
        </w:rPr>
        <w:t>；</w:t>
      </w:r>
    </w:p>
    <w:p w14:paraId="745E7639">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133B7BD7">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指指标1：项目开始时间，预期指标值：“2024年1月</w:t>
      </w:r>
      <w:r>
        <w:rPr>
          <w:rFonts w:hint="eastAsia" w:ascii="宋体" w:hAnsi="宋体" w:eastAsia="宋体" w:cs="宋体"/>
          <w:color w:val="auto"/>
          <w:sz w:val="24"/>
          <w:szCs w:val="24"/>
          <w:lang w:eastAsia="zh-CN"/>
        </w:rPr>
        <w:t>；</w:t>
      </w:r>
    </w:p>
    <w:p w14:paraId="75908067">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指标2：项目完成时间，预期指标值：“2024年1月</w:t>
      </w:r>
      <w:r>
        <w:rPr>
          <w:rFonts w:hint="eastAsia" w:ascii="宋体" w:hAnsi="宋体" w:eastAsia="宋体" w:cs="宋体"/>
          <w:color w:val="auto"/>
          <w:sz w:val="24"/>
          <w:szCs w:val="24"/>
          <w:lang w:eastAsia="zh-CN"/>
        </w:rPr>
        <w:t>；</w:t>
      </w:r>
    </w:p>
    <w:p w14:paraId="50BF11EE">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指标3：资金发放及时率，预期指标值：“=100%</w:t>
      </w:r>
      <w:r>
        <w:rPr>
          <w:rFonts w:hint="eastAsia" w:ascii="宋体" w:hAnsi="宋体" w:eastAsia="宋体" w:cs="宋体"/>
          <w:color w:val="auto"/>
          <w:sz w:val="24"/>
          <w:szCs w:val="24"/>
          <w:lang w:eastAsia="zh-CN"/>
        </w:rPr>
        <w:t>；</w:t>
      </w:r>
    </w:p>
    <w:p w14:paraId="4E209307">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4D6E2A61">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0F4F1742">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指标1：国家级公益林管护补助经费，预期指标值：“&lt;=342万元</w:t>
      </w:r>
    </w:p>
    <w:p w14:paraId="5AD856C2">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6A9F9F25">
      <w:pPr>
        <w:pStyle w:val="47"/>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该项目指标无社会成本指标；</w:t>
      </w:r>
    </w:p>
    <w:p w14:paraId="62027CBB">
      <w:pPr>
        <w:pStyle w:val="47"/>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生态成本指标;</w:t>
      </w:r>
    </w:p>
    <w:p w14:paraId="2760EE48">
      <w:pPr>
        <w:pStyle w:val="47"/>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该项目指标无生态成本指标；</w:t>
      </w:r>
    </w:p>
    <w:p w14:paraId="67F3E766">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4462E8C6">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1）经济效益指标：</w:t>
      </w:r>
    </w:p>
    <w:p w14:paraId="727A590F">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该项目无经济效益指标；</w:t>
      </w:r>
    </w:p>
    <w:p w14:paraId="193D3A25">
      <w:pPr>
        <w:pStyle w:val="47"/>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社会效益指标：</w:t>
      </w:r>
    </w:p>
    <w:p w14:paraId="106FA7E7">
      <w:pPr>
        <w:pStyle w:val="47"/>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该项目无社会效益指标；</w:t>
      </w:r>
    </w:p>
    <w:p w14:paraId="593B9DFD">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3）生态效益指标：</w:t>
      </w:r>
      <w:r>
        <w:rPr>
          <w:rFonts w:hint="eastAsia" w:ascii="宋体" w:hAnsi="宋体" w:eastAsia="宋体" w:cs="宋体"/>
          <w:color w:val="auto"/>
          <w:sz w:val="24"/>
          <w:szCs w:val="24"/>
          <w:lang w:eastAsia="zh-CN"/>
        </w:rPr>
        <w:t>。</w:t>
      </w:r>
    </w:p>
    <w:p w14:paraId="7DFCA0AE">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指标1：改善生产和投资环境，预期指标值：“效果显著</w:t>
      </w:r>
    </w:p>
    <w:p w14:paraId="6C3BFBC9">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7900DD85">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rPr>
        <w:t>指标1：项目区群众满意度，预期指标值：“&gt;=95%</w:t>
      </w:r>
      <w:r>
        <w:rPr>
          <w:rFonts w:hint="eastAsia" w:ascii="宋体" w:hAnsi="宋体" w:eastAsia="宋体" w:cs="宋体"/>
          <w:b w:val="0"/>
          <w:bCs w:val="0"/>
          <w:color w:val="auto"/>
          <w:sz w:val="24"/>
          <w:szCs w:val="24"/>
          <w:lang w:eastAsia="zh-CN"/>
        </w:rPr>
        <w:t>。</w:t>
      </w:r>
    </w:p>
    <w:p w14:paraId="06A4FEAA">
      <w:pPr>
        <w:pStyle w:val="3"/>
        <w:rPr>
          <w:rFonts w:hint="eastAsia"/>
          <w:lang w:eastAsia="zh-CN"/>
        </w:rPr>
      </w:pPr>
    </w:p>
    <w:p w14:paraId="3A1C453C">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bookmarkEnd w:id="3"/>
    </w:p>
    <w:p w14:paraId="60B9938D">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4" w:name="_Toc68364661"/>
      <w:r>
        <w:rPr>
          <w:rFonts w:hint="eastAsia" w:ascii="宋体" w:hAnsi="宋体" w:eastAsia="宋体" w:cs="宋体"/>
          <w:color w:val="auto"/>
          <w:sz w:val="24"/>
          <w:szCs w:val="24"/>
        </w:rPr>
        <w:t>（一）绩效评价目的、对象和范围</w:t>
      </w:r>
      <w:bookmarkEnd w:id="4"/>
    </w:p>
    <w:p w14:paraId="18F9E200">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绩效评价目的</w:t>
      </w:r>
    </w:p>
    <w:p w14:paraId="44F1A1F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2024年中央林业草原生态保护恢复资金-森林保护修复支出-（国家公益林管护）项目目开展本次部门项目支出绩效评价工作。全面了解2024年中央林业草原生态保护恢复资金-森林保护修复支出-（国家公益林管护）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6D635EEC">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040712E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582DE37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5F2B7BD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2130B37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2024年中央林业草原生态保护恢复资金-森林保护修复支出-（国家公益林管护）</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3B139B0E">
      <w:pPr>
        <w:pStyle w:val="47"/>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绩效评价范围</w:t>
      </w:r>
    </w:p>
    <w:p w14:paraId="03ED69EF">
      <w:pPr>
        <w:pStyle w:val="47"/>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2024年中央林业草原生态保护恢复资金-森林保护修复支出-（国家公益林管护）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40A733D7">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5"/>
    </w:p>
    <w:p w14:paraId="556A23B6">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绩效评价原则</w:t>
      </w:r>
    </w:p>
    <w:p w14:paraId="07FFF99C">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4B72EEB2">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（1）科学公正。绩效评价应当运用科学合理的方法，按照规范的程序，对项目绩效进行客观、公正的反映。</w:t>
      </w:r>
    </w:p>
    <w:p w14:paraId="5C34CC1F">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AC63C39">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（3）激励约束。绩效评价结果应与预算安排、政策调整、改进管理实质性挂钩，体现奖优罚劣和激励相容导向，有效要安排、低效要压减、无效要问责。</w:t>
      </w:r>
    </w:p>
    <w:p w14:paraId="551CA14F">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（4）公开透明。绩效评价结果应依法依规公开，并自觉接受社会监督。</w:t>
      </w:r>
    </w:p>
    <w:p w14:paraId="45E85E18">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根据以上原则，绩效评价应遵循如下要求:</w:t>
      </w:r>
    </w:p>
    <w:p w14:paraId="0DF35075">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（1）在数据采集时，采取客观数据，主管部门审查、社会中介组织复查，与问卷调查相结合的形式，以保证各项指标的真实性。</w:t>
      </w:r>
    </w:p>
    <w:p w14:paraId="1943FCF3">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（2）保证评价结果的真实性、公正性，提高评价报告的公信力。</w:t>
      </w:r>
    </w:p>
    <w:p w14:paraId="669810BE">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（3）绩</w:t>
      </w:r>
      <w:r>
        <w:rPr>
          <w:rFonts w:hint="eastAsia" w:ascii="宋体" w:hAnsi="宋体" w:eastAsia="宋体" w:cs="宋体"/>
          <w:color w:val="auto"/>
          <w:sz w:val="24"/>
          <w:szCs w:val="24"/>
          <w:lang w:val="en-US" w:eastAsia="zh-CN"/>
        </w:rPr>
        <w:t>效</w:t>
      </w:r>
      <w:r>
        <w:rPr>
          <w:rFonts w:hint="eastAsia" w:ascii="宋体" w:hAnsi="宋体" w:eastAsia="宋体" w:cs="宋体"/>
          <w:color w:val="auto"/>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35D85B06">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2. 绩效评价指标体系</w:t>
      </w:r>
    </w:p>
    <w:p w14:paraId="25857642">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个二级指标。项目绩效评价体系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详细指标体系见“附件1：项目支出绩效评价体系”。</w:t>
      </w:r>
    </w:p>
    <w:p w14:paraId="20D75151">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绩效评价方法</w:t>
      </w:r>
    </w:p>
    <w:p w14:paraId="007873A5">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305939D2">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366D424C">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1FD9D7A2">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3E2A5DB2">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199671E9">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3B0EEE9E">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1E248B26">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33ED3FF8">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76969069">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2DBBD0F2">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47A39028">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790FA5A3">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0DB7F231">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541B126C">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131B2FF8">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绩效评价标准</w:t>
      </w:r>
    </w:p>
    <w:p w14:paraId="150194AD">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lang w:val="en-US" w:eastAsia="zh-CN"/>
        </w:rPr>
        <w:t>计划标准</w:t>
      </w:r>
      <w:r>
        <w:rPr>
          <w:rFonts w:hint="eastAsia" w:ascii="宋体" w:hAnsi="宋体" w:eastAsia="宋体" w:cs="宋体"/>
          <w:color w:val="auto"/>
          <w:sz w:val="24"/>
          <w:szCs w:val="24"/>
        </w:rPr>
        <w:t>。</w:t>
      </w:r>
    </w:p>
    <w:p w14:paraId="44B4D878">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rPr>
      </w:pPr>
      <w:bookmarkStart w:id="7" w:name="_Toc17882"/>
      <w:bookmarkStart w:id="8" w:name="_Toc31464"/>
      <w:r>
        <w:rPr>
          <w:rFonts w:hint="eastAsia" w:ascii="宋体" w:hAnsi="宋体" w:eastAsia="宋体" w:cs="宋体"/>
          <w:b/>
          <w:bCs/>
          <w:color w:val="auto"/>
          <w:sz w:val="24"/>
          <w:szCs w:val="24"/>
        </w:rPr>
        <w:t>计划标准：</w:t>
      </w:r>
      <w:r>
        <w:rPr>
          <w:rFonts w:hint="eastAsia" w:ascii="宋体" w:hAnsi="宋体" w:eastAsia="宋体" w:cs="宋体"/>
          <w:color w:val="auto"/>
          <w:sz w:val="24"/>
          <w:szCs w:val="24"/>
        </w:rPr>
        <w:t>指以预先制定的目标、计划、预算、定额等作为评价标准。</w:t>
      </w:r>
      <w:bookmarkEnd w:id="7"/>
      <w:bookmarkEnd w:id="8"/>
    </w:p>
    <w:p w14:paraId="5296175C">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rPr>
      </w:pPr>
      <w:bookmarkStart w:id="9" w:name="_Toc5633"/>
      <w:bookmarkStart w:id="10" w:name="_Toc2318"/>
      <w:r>
        <w:rPr>
          <w:rFonts w:hint="eastAsia" w:ascii="宋体" w:hAnsi="宋体" w:eastAsia="宋体" w:cs="宋体"/>
          <w:b/>
          <w:bCs/>
          <w:color w:val="auto"/>
          <w:sz w:val="24"/>
          <w:szCs w:val="24"/>
        </w:rPr>
        <w:t>行业标准：</w:t>
      </w:r>
      <w:r>
        <w:rPr>
          <w:rFonts w:hint="eastAsia" w:ascii="宋体" w:hAnsi="宋体" w:eastAsia="宋体" w:cs="宋体"/>
          <w:color w:val="auto"/>
          <w:sz w:val="24"/>
          <w:szCs w:val="24"/>
        </w:rPr>
        <w:t>指参照国家公布的行业指标数据制定的评价标准。</w:t>
      </w:r>
      <w:bookmarkEnd w:id="9"/>
      <w:bookmarkEnd w:id="10"/>
    </w:p>
    <w:p w14:paraId="529F9098">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rPr>
      </w:pPr>
      <w:bookmarkStart w:id="11" w:name="_Toc16028"/>
      <w:bookmarkStart w:id="12" w:name="_Toc430"/>
      <w:r>
        <w:rPr>
          <w:rFonts w:hint="eastAsia" w:ascii="宋体" w:hAnsi="宋体" w:eastAsia="宋体" w:cs="宋体"/>
          <w:b/>
          <w:bCs/>
          <w:color w:val="auto"/>
          <w:sz w:val="24"/>
          <w:szCs w:val="24"/>
        </w:rPr>
        <w:t>历史标准：</w:t>
      </w:r>
      <w:r>
        <w:rPr>
          <w:rFonts w:hint="eastAsia" w:ascii="宋体" w:hAnsi="宋体" w:eastAsia="宋体" w:cs="宋体"/>
          <w:color w:val="auto"/>
          <w:sz w:val="24"/>
          <w:szCs w:val="24"/>
        </w:rPr>
        <w:t>指参照历史数据制定的评价标准，为体现绩效改进的原则，在可实现的条件下应当确定相对较高的评价标准。</w:t>
      </w:r>
      <w:bookmarkEnd w:id="11"/>
      <w:bookmarkEnd w:id="12"/>
    </w:p>
    <w:p w14:paraId="1D3BF75D">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6"/>
    </w:p>
    <w:p w14:paraId="6E931C64">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bookmarkStart w:id="13" w:name="_Toc68364664"/>
      <w:r>
        <w:rPr>
          <w:rFonts w:hint="eastAsia" w:ascii="宋体" w:hAnsi="宋体" w:eastAsia="宋体" w:cs="宋体"/>
          <w:color w:val="auto"/>
          <w:sz w:val="24"/>
          <w:szCs w:val="24"/>
        </w:rPr>
        <w:t>1.前期准备</w:t>
      </w:r>
    </w:p>
    <w:p w14:paraId="0F15F6E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日，确定绩效评价工作小组，正式开始前期准备工作，通过对评价对象前期调研，确定了评价的目的、</w:t>
      </w:r>
      <w:r>
        <w:rPr>
          <w:rFonts w:hint="eastAsia" w:ascii="宋体" w:hAnsi="宋体" w:eastAsia="宋体" w:cs="宋体"/>
          <w:color w:val="auto"/>
          <w:sz w:val="24"/>
          <w:szCs w:val="24"/>
          <w:highlight w:val="none"/>
        </w:rPr>
        <w:t>方法以及评价的原则，根据项目的内容和特征制定了评价指标体系及评价标准。绩效评价工作小组人员名单及分工如下：</w:t>
      </w:r>
    </w:p>
    <w:p w14:paraId="43EAA5C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艾克木·加帕尔</w:t>
      </w:r>
      <w:r>
        <w:rPr>
          <w:rFonts w:hint="eastAsia" w:ascii="宋体" w:hAnsi="宋体" w:eastAsia="宋体" w:cs="宋体"/>
          <w:color w:val="auto"/>
          <w:sz w:val="24"/>
          <w:szCs w:val="24"/>
          <w:highlight w:val="none"/>
        </w:rPr>
        <w:t>（评价小组组长）：主要负责</w:t>
      </w:r>
      <w:r>
        <w:rPr>
          <w:rFonts w:hint="eastAsia" w:ascii="宋体" w:hAnsi="宋体" w:eastAsia="宋体" w:cs="宋体"/>
          <w:color w:val="auto"/>
          <w:sz w:val="24"/>
          <w:szCs w:val="24"/>
          <w:highlight w:val="none"/>
          <w:lang w:val="en-US" w:eastAsia="zh-CN"/>
        </w:rPr>
        <w:t>洛浦县国有林场管理站全面工作</w:t>
      </w:r>
      <w:r>
        <w:rPr>
          <w:rFonts w:hint="eastAsia" w:ascii="宋体" w:hAnsi="宋体" w:eastAsia="宋体" w:cs="宋体"/>
          <w:color w:val="auto"/>
          <w:sz w:val="24"/>
          <w:szCs w:val="24"/>
          <w:highlight w:val="none"/>
        </w:rPr>
        <w:t>;</w:t>
      </w:r>
    </w:p>
    <w:p w14:paraId="0C65A80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阿卜杜乃比·买买提明</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val="en-US" w:eastAsia="zh-CN"/>
        </w:rPr>
        <w:t>编制项目报告</w:t>
      </w:r>
      <w:r>
        <w:rPr>
          <w:rFonts w:hint="eastAsia" w:ascii="宋体" w:hAnsi="宋体" w:eastAsia="宋体" w:cs="宋体"/>
          <w:color w:val="auto"/>
          <w:sz w:val="24"/>
          <w:szCs w:val="24"/>
          <w:highlight w:val="none"/>
        </w:rPr>
        <w:t>;</w:t>
      </w:r>
    </w:p>
    <w:p w14:paraId="161392A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帕提古丽·阿卜杜克热木</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val="en-US" w:eastAsia="zh-CN"/>
        </w:rPr>
        <w:t>项目资料整理工作</w:t>
      </w:r>
      <w:r>
        <w:rPr>
          <w:rFonts w:hint="eastAsia" w:ascii="宋体" w:hAnsi="宋体" w:eastAsia="宋体" w:cs="宋体"/>
          <w:color w:val="auto"/>
          <w:sz w:val="24"/>
          <w:szCs w:val="24"/>
          <w:highlight w:val="none"/>
        </w:rPr>
        <w:t>。</w:t>
      </w:r>
    </w:p>
    <w:p w14:paraId="5C63AB23">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2.组织实施</w:t>
      </w:r>
    </w:p>
    <w:p w14:paraId="2EF4DF9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5D595C44">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3.分析评价</w:t>
      </w:r>
    </w:p>
    <w:p w14:paraId="07D85CA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3857340E">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4.撰写与提交评价报告</w:t>
      </w:r>
    </w:p>
    <w:p w14:paraId="7CBC9B0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4C13E4BC">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5.问题整改</w:t>
      </w:r>
    </w:p>
    <w:p w14:paraId="24474CE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w:t>
      </w:r>
      <w:r>
        <w:rPr>
          <w:rFonts w:hint="eastAsia" w:ascii="宋体" w:hAnsi="宋体" w:eastAsia="宋体" w:cs="宋体"/>
          <w:color w:val="auto"/>
          <w:sz w:val="24"/>
          <w:szCs w:val="24"/>
          <w:highlight w:val="none"/>
        </w:rPr>
        <w:t>实情况，确保绩效评价落到实处。</w:t>
      </w:r>
    </w:p>
    <w:p w14:paraId="53F7C344">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6.档案整理</w:t>
      </w:r>
    </w:p>
    <w:p w14:paraId="36DD450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建立和落实档案管理制度，将项目相关资料存档，包括但不限于：评价项目基本情况和相关文件、评价实施方案、项目支付资料等相关档案。</w:t>
      </w:r>
    </w:p>
    <w:p w14:paraId="16F56E98">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green"/>
        </w:rPr>
      </w:pPr>
    </w:p>
    <w:p w14:paraId="7DC63457">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三、综合评价情况及评价结论</w:t>
      </w:r>
      <w:bookmarkEnd w:id="13"/>
    </w:p>
    <w:p w14:paraId="1609FAEC">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4" w:name="_Toc68364665"/>
      <w:r>
        <w:rPr>
          <w:rFonts w:hint="eastAsia" w:ascii="宋体" w:hAnsi="宋体" w:eastAsia="宋体" w:cs="宋体"/>
          <w:color w:val="auto"/>
          <w:sz w:val="24"/>
          <w:szCs w:val="24"/>
          <w:highlight w:val="none"/>
        </w:rPr>
        <w:t>（一）综合评价情况</w:t>
      </w:r>
      <w:bookmarkEnd w:id="14"/>
    </w:p>
    <w:p w14:paraId="286D1338">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bookmarkStart w:id="15" w:name="_Toc68364666"/>
      <w:r>
        <w:rPr>
          <w:rFonts w:hint="eastAsia" w:ascii="宋体" w:hAnsi="宋体" w:eastAsia="宋体" w:cs="宋体"/>
          <w:color w:val="auto"/>
          <w:sz w:val="24"/>
          <w:szCs w:val="24"/>
          <w:highlight w:val="none"/>
        </w:rPr>
        <w:t>通过实施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该项目的实施可优化林分结构，减少和控制林木病虫害的发生和蔓延，改善林木的老化退化现状，促进林木的更新生长，提高森林质量，增强森林碳汇功能，并且可明显改善林木的生长环境，促进林木快速生长，将比不修复林地的林木质量有较大提高。</w:t>
      </w:r>
    </w:p>
    <w:p w14:paraId="3BCA50D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项目决策：该项目主要通过2024年中央林业草原生态保护恢复资金-森林保护修复支出-（国家公益林管护）（专项资金-和地财建【2023】95号）文件立项，项目实施符合</w:t>
      </w:r>
      <w:r>
        <w:rPr>
          <w:rFonts w:hint="eastAsia" w:ascii="宋体" w:hAnsi="宋体" w:eastAsia="宋体" w:cs="宋体"/>
          <w:color w:val="auto"/>
          <w:sz w:val="24"/>
          <w:szCs w:val="24"/>
          <w:highlight w:val="none"/>
          <w:lang w:val="en-US" w:eastAsia="zh-CN"/>
        </w:rPr>
        <w:t>政策</w:t>
      </w:r>
      <w:r>
        <w:rPr>
          <w:rFonts w:hint="eastAsia" w:ascii="宋体" w:hAnsi="宋体" w:eastAsia="宋体" w:cs="宋体"/>
          <w:color w:val="auto"/>
          <w:sz w:val="24"/>
          <w:szCs w:val="24"/>
          <w:highlight w:val="none"/>
        </w:rPr>
        <w:t xml:space="preserve">要求，项目立项依据充分，立项程序规范。 </w:t>
      </w:r>
    </w:p>
    <w:p w14:paraId="779562A8">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w:t>
      </w:r>
      <w:r>
        <w:rPr>
          <w:rFonts w:hint="eastAsia" w:ascii="宋体" w:hAnsi="宋体" w:eastAsia="宋体" w:cs="宋体"/>
          <w:color w:val="auto"/>
          <w:sz w:val="24"/>
          <w:szCs w:val="24"/>
          <w:highlight w:val="none"/>
          <w:lang w:eastAsia="zh-CN"/>
        </w:rPr>
        <w:t>2024年中央林业草原生态保护恢复资金-森林保护修复支出-（国家公益林管护）</w:t>
      </w:r>
      <w:r>
        <w:rPr>
          <w:rFonts w:hint="eastAsia" w:ascii="宋体" w:hAnsi="宋体" w:eastAsia="宋体" w:cs="宋体"/>
          <w:color w:val="auto"/>
          <w:sz w:val="24"/>
          <w:szCs w:val="24"/>
          <w:highlight w:val="none"/>
        </w:rPr>
        <w:t xml:space="preserve">预算安排 </w:t>
      </w:r>
      <w:r>
        <w:rPr>
          <w:rFonts w:hint="eastAsia" w:ascii="宋体" w:hAnsi="宋体" w:eastAsia="宋体" w:cs="宋体"/>
          <w:color w:val="auto"/>
          <w:sz w:val="24"/>
          <w:szCs w:val="24"/>
          <w:highlight w:val="none"/>
          <w:lang w:val="en-US" w:eastAsia="zh-CN"/>
        </w:rPr>
        <w:t>342</w:t>
      </w:r>
      <w:r>
        <w:rPr>
          <w:rFonts w:hint="eastAsia" w:ascii="宋体" w:hAnsi="宋体" w:eastAsia="宋体" w:cs="宋体"/>
          <w:color w:val="auto"/>
          <w:sz w:val="24"/>
          <w:szCs w:val="24"/>
          <w:highlight w:val="none"/>
        </w:rPr>
        <w:t>万元，实际支出336.864079万元，</w:t>
      </w:r>
      <w:r>
        <w:rPr>
          <w:rFonts w:hint="eastAsia" w:ascii="宋体" w:hAnsi="宋体" w:eastAsia="宋体" w:cs="宋体"/>
          <w:color w:val="auto"/>
          <w:sz w:val="24"/>
          <w:szCs w:val="24"/>
          <w:highlight w:val="none"/>
          <w:lang w:eastAsia="zh-CN"/>
        </w:rPr>
        <w:t>预算执行率98.5%</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02A6A47F">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项目产出：</w:t>
      </w:r>
      <w:r>
        <w:rPr>
          <w:rFonts w:hint="eastAsia" w:ascii="宋体" w:hAnsi="宋体" w:eastAsia="宋体" w:cs="宋体"/>
          <w:color w:val="auto"/>
          <w:sz w:val="24"/>
          <w:szCs w:val="24"/>
          <w:highlight w:val="none"/>
          <w:lang w:val="en-US" w:eastAsia="zh-CN"/>
        </w:rPr>
        <w:t>该项目数量指标：管护公益林面积35.7万亩，管护人员78人，项目开始时间为2024年1月1日，项目结束时间为2024年12月31日，国家级公益林管护补助经费共计使用342万元。</w:t>
      </w:r>
    </w:p>
    <w:p w14:paraId="1B67C8EB">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项目效益：通过实施此项目改善生产和投资环境</w:t>
      </w:r>
      <w:r>
        <w:rPr>
          <w:rFonts w:hint="eastAsia" w:ascii="宋体" w:hAnsi="宋体" w:eastAsia="宋体" w:cs="宋体"/>
          <w:color w:val="auto"/>
          <w:sz w:val="24"/>
          <w:szCs w:val="24"/>
          <w:highlight w:val="none"/>
          <w:lang w:val="en-US" w:eastAsia="zh-CN"/>
        </w:rPr>
        <w:t>。</w:t>
      </w:r>
      <w:bookmarkEnd w:id="15"/>
    </w:p>
    <w:p w14:paraId="1515C547">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（二）综合评价结论</w:t>
      </w:r>
    </w:p>
    <w:p w14:paraId="4516937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_GB2312" w:hAnsi="仿宋_GB2312" w:cs="仿宋_GB2312"/>
          <w:sz w:val="32"/>
          <w:szCs w:val="32"/>
          <w:highlight w:val="yellow"/>
        </w:rPr>
      </w:pPr>
      <w:r>
        <w:rPr>
          <w:rFonts w:hint="eastAsia" w:ascii="宋体" w:hAnsi="宋体" w:eastAsia="宋体" w:cs="宋体"/>
          <w:color w:val="000000"/>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2024年中央政法纪检监察转移支付资金-办案（业务）经费项目进行客观评价，最终评分结果：评价总分</w:t>
      </w:r>
      <w:r>
        <w:rPr>
          <w:rFonts w:hint="eastAsia" w:ascii="宋体" w:hAnsi="宋体" w:eastAsia="宋体" w:cs="宋体"/>
          <w:color w:val="000000"/>
          <w:sz w:val="24"/>
          <w:szCs w:val="24"/>
          <w:highlight w:val="none"/>
          <w:lang w:val="en-US" w:eastAsia="zh-CN"/>
        </w:rPr>
        <w:t>99.92</w:t>
      </w:r>
      <w:r>
        <w:rPr>
          <w:rFonts w:hint="eastAsia" w:ascii="宋体" w:hAnsi="宋体" w:eastAsia="宋体" w:cs="宋体"/>
          <w:color w:val="000000"/>
          <w:sz w:val="24"/>
          <w:szCs w:val="24"/>
          <w:highlight w:val="none"/>
        </w:rPr>
        <w:t>分，绩效等级为“</w:t>
      </w:r>
      <w:r>
        <w:rPr>
          <w:rFonts w:hint="eastAsia" w:ascii="宋体" w:hAnsi="宋体" w:eastAsia="宋体" w:cs="宋体"/>
          <w:color w:val="000000"/>
          <w:sz w:val="24"/>
          <w:szCs w:val="24"/>
          <w:highlight w:val="none"/>
          <w:lang w:val="en-US" w:eastAsia="zh-CN"/>
        </w:rPr>
        <w:t>优</w:t>
      </w:r>
      <w:r>
        <w:rPr>
          <w:rFonts w:hint="eastAsia" w:ascii="宋体" w:hAnsi="宋体" w:eastAsia="宋体" w:cs="宋体"/>
          <w:color w:val="000000"/>
          <w:sz w:val="24"/>
          <w:szCs w:val="24"/>
          <w:highlight w:val="none"/>
        </w:rPr>
        <w:t>”。</w:t>
      </w:r>
    </w:p>
    <w:p w14:paraId="5703BCC4">
      <w:pPr>
        <w:pStyle w:val="2"/>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000000"/>
          <w:sz w:val="24"/>
          <w:szCs w:val="24"/>
          <w:highlight w:val="none"/>
        </w:rPr>
      </w:pPr>
      <w:r>
        <w:rPr>
          <w:rFonts w:hint="eastAsia" w:ascii="黑体" w:hAnsi="黑体" w:eastAsia="黑体" w:cs="黑体"/>
          <w:b/>
          <w:bCs/>
          <w:color w:val="000000"/>
          <w:sz w:val="24"/>
          <w:szCs w:val="24"/>
          <w:highlight w:val="none"/>
        </w:rPr>
        <w:t>四、绩效评价指标分析</w:t>
      </w:r>
    </w:p>
    <w:p w14:paraId="19E0F73E">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（一）项目决策情况</w:t>
      </w:r>
    </w:p>
    <w:p w14:paraId="7A76A7DD">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项目决策类指标包括项目立项、绩效目标和资金投入三方面的内容，由</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个三级指标构成，权重分为</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52D0A74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3EB5B3BE">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本项目立项符合根据2024年中央林业草原生态保护恢复资金-森林保护修复支出-（国家公益林管护）（专项资金-和地财建【2023】95号）文件内容，符合行业发展规划和政策要求</w:t>
      </w:r>
      <w:r>
        <w:rPr>
          <w:rFonts w:hint="eastAsia" w:ascii="宋体" w:hAnsi="宋体" w:eastAsia="宋体" w:cs="宋体"/>
          <w:color w:val="000000"/>
          <w:sz w:val="24"/>
          <w:szCs w:val="24"/>
          <w:highlight w:val="none"/>
          <w:lang w:eastAsia="zh-CN"/>
        </w:rPr>
        <w:t>。</w:t>
      </w:r>
    </w:p>
    <w:p w14:paraId="10811F21">
      <w:pPr>
        <w:keepNext w:val="0"/>
        <w:keepLines w:val="0"/>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sz w:val="32"/>
          <w:szCs w:val="32"/>
          <w:lang w:eastAsia="zh-CN"/>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分，本项目立项依据充分。</w:t>
      </w:r>
    </w:p>
    <w:p w14:paraId="50B564BD">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2FC2A8C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本项目按照规定的程序申请设立，项目立项过程中产生的文件均符合相关要求。本项目</w:t>
      </w:r>
      <w:r>
        <w:rPr>
          <w:rFonts w:hint="eastAsia" w:ascii="宋体" w:hAnsi="宋体" w:eastAsia="宋体" w:cs="宋体"/>
          <w:color w:val="000000"/>
          <w:sz w:val="24"/>
          <w:szCs w:val="24"/>
          <w:highlight w:val="none"/>
          <w:lang w:eastAsia="zh-CN"/>
        </w:rPr>
        <w:t>司法行政正常运转</w:t>
      </w:r>
      <w:r>
        <w:rPr>
          <w:rFonts w:hint="eastAsia" w:ascii="宋体" w:hAnsi="宋体" w:eastAsia="宋体" w:cs="宋体"/>
          <w:color w:val="000000"/>
          <w:sz w:val="24"/>
          <w:szCs w:val="24"/>
          <w:highlight w:val="none"/>
        </w:rPr>
        <w:t>项目，属于经常性项目，项目预算金额为</w:t>
      </w:r>
      <w:r>
        <w:rPr>
          <w:rStyle w:val="26"/>
          <w:rFonts w:hint="eastAsia" w:ascii="宋体" w:hAnsi="宋体" w:eastAsia="宋体" w:cs="宋体"/>
          <w:b w:val="0"/>
          <w:bCs w:val="0"/>
          <w:color w:val="000000"/>
          <w:spacing w:val="-4"/>
          <w:kern w:val="2"/>
          <w:sz w:val="24"/>
          <w:szCs w:val="24"/>
          <w:highlight w:val="none"/>
          <w:lang w:val="en-US" w:eastAsia="zh-CN" w:bidi="ar-SA"/>
        </w:rPr>
        <w:t>342</w:t>
      </w:r>
      <w:r>
        <w:rPr>
          <w:rFonts w:hint="eastAsia" w:ascii="宋体" w:hAnsi="宋体" w:eastAsia="宋体" w:cs="宋体"/>
          <w:color w:val="000000"/>
          <w:sz w:val="24"/>
          <w:szCs w:val="24"/>
          <w:highlight w:val="none"/>
        </w:rPr>
        <w:t>万元，不涉及事前绩效评估和风险评估。</w:t>
      </w:r>
    </w:p>
    <w:p w14:paraId="38BCD2F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综上所述，本指标满分为3分，根据评分标准得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分，本项目立项程序合规。</w:t>
      </w:r>
    </w:p>
    <w:p w14:paraId="4E75B45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3.绩效目标合理性</w:t>
      </w:r>
    </w:p>
    <w:p w14:paraId="4A681AB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green"/>
        </w:rPr>
      </w:pPr>
      <w:r>
        <w:rPr>
          <w:rFonts w:hint="eastAsia" w:ascii="宋体" w:hAnsi="宋体" w:eastAsia="宋体" w:cs="宋体"/>
          <w:color w:val="auto"/>
          <w:sz w:val="24"/>
          <w:szCs w:val="24"/>
          <w:highlight w:val="none"/>
          <w:lang w:val="en-US" w:eastAsia="zh-CN"/>
        </w:rPr>
        <w:t>该项目年初设定绩效目标主要内容为：项目主要内容为：1.补助国家级自然保护区9个，管护公益林面积35.7万亩，保障78名聘用管护人员补助正常发放。2.通过项目实施，带动增加就业人数不少于78人，提高野生动物植物保护能力，保护生物多样性；林区经济社会发展由稳步复苏向进一步和谐发展转变，确保林区社会和谐稳定；加强公益林管护人员选聘和管理，资金使用规范。</w:t>
      </w:r>
    </w:p>
    <w:p w14:paraId="41B332C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313DC0E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76D14F9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经检查我单位年初设置的《2024年中央林业草原生态保护恢复资金-森林保护修复支出-（国家公益林管护）项目支出绩效目标表》，得出如下结论：本项目已将年度绩效目标进行细化为绩效指标体系，共设置一级指标4个，二级指标6个，三级指标9个，定量指标6个，量化率达70.0%以上，将项目绩效目标细化分解为具体的绩效指标。</w:t>
      </w:r>
    </w:p>
    <w:p w14:paraId="3BFD8DC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249C1E9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6EAB4EF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预算申请内容为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项目主要内容为：1.补助国家级自然保护区9个，管护公益林面积35.7万亩，保障78名聘用管护人员补助正常发放。</w:t>
      </w:r>
    </w:p>
    <w:p w14:paraId="59928EF5">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通过项目实施，带动增加就业人数不少于78人，提高野生动物植物保护能力，保护生物多样性；林区经济社会发展由稳步复苏向进一步和谐发展转变，确保林区社会和谐稳定；加强公益林管护人员选聘和管理，资金使用规范。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5F9D112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1181976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0BB6D74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本项目实际分配资金以和《22024年中央林业草原生态保护恢复资金-森林保护修复支出-（国家公益林管护）实施方案》为依</w:t>
      </w:r>
      <w:r>
        <w:rPr>
          <w:rFonts w:hint="eastAsia" w:ascii="宋体" w:hAnsi="宋体" w:eastAsia="宋体" w:cs="宋体"/>
          <w:color w:val="auto"/>
          <w:sz w:val="24"/>
          <w:szCs w:val="24"/>
          <w:highlight w:val="none"/>
        </w:rPr>
        <w:t>据进行资金</w:t>
      </w:r>
      <w:r>
        <w:rPr>
          <w:rFonts w:hint="eastAsia" w:ascii="宋体" w:hAnsi="宋体" w:eastAsia="宋体" w:cs="宋体"/>
          <w:color w:val="000000"/>
          <w:sz w:val="24"/>
          <w:szCs w:val="24"/>
          <w:highlight w:val="none"/>
        </w:rPr>
        <w:t>分配，预算资金分配依据充分。根据</w:t>
      </w:r>
      <w:r>
        <w:rPr>
          <w:rFonts w:hint="eastAsia" w:ascii="宋体" w:hAnsi="宋体" w:eastAsia="宋体" w:cs="宋体"/>
          <w:color w:val="000000"/>
          <w:sz w:val="24"/>
          <w:szCs w:val="24"/>
          <w:highlight w:val="none"/>
          <w:lang w:eastAsia="zh-CN"/>
        </w:rPr>
        <w:t>2024年中央林业草原生态保护恢复资金-森林保护修复支出-（国家公益林管护）（专项资金-和地财建【2023】95号）</w:t>
      </w:r>
      <w:r>
        <w:rPr>
          <w:rFonts w:hint="eastAsia" w:ascii="宋体" w:hAnsi="宋体" w:eastAsia="宋体" w:cs="宋体"/>
          <w:color w:val="000000"/>
          <w:sz w:val="24"/>
          <w:szCs w:val="24"/>
          <w:highlight w:val="none"/>
        </w:rPr>
        <w:t>文件，本项目实际到位资金</w:t>
      </w:r>
      <w:r>
        <w:rPr>
          <w:rFonts w:hint="eastAsia" w:ascii="宋体" w:hAnsi="宋体" w:eastAsia="宋体" w:cs="宋体"/>
          <w:color w:val="000000"/>
          <w:sz w:val="24"/>
          <w:szCs w:val="24"/>
          <w:highlight w:val="none"/>
          <w:lang w:eastAsia="zh-CN"/>
        </w:rPr>
        <w:t>342</w:t>
      </w:r>
      <w:r>
        <w:rPr>
          <w:rFonts w:hint="eastAsia" w:ascii="宋体" w:hAnsi="宋体" w:eastAsia="宋体" w:cs="宋体"/>
          <w:color w:val="000000"/>
          <w:sz w:val="24"/>
          <w:szCs w:val="24"/>
          <w:highlight w:val="none"/>
        </w:rPr>
        <w:t>万元，资金分配额度合理，与我单位实际需求相适应。资金分配与实际相适应</w:t>
      </w:r>
      <w:r>
        <w:rPr>
          <w:rFonts w:hint="eastAsia" w:ascii="宋体" w:hAnsi="宋体" w:eastAsia="宋体" w:cs="宋体"/>
          <w:color w:val="000000"/>
          <w:sz w:val="24"/>
          <w:szCs w:val="24"/>
          <w:highlight w:val="none"/>
          <w:lang w:eastAsia="zh-CN"/>
        </w:rPr>
        <w:t>。</w:t>
      </w:r>
    </w:p>
    <w:p w14:paraId="12CD352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59186EBD">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（二）项目过程情况</w:t>
      </w:r>
    </w:p>
    <w:p w14:paraId="36B5E2E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项目过程类指标包括资金管理和组织实施两方面的内容，由</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个三级指标构成，权重分为</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11.97</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99.75</w:t>
      </w:r>
      <w:r>
        <w:rPr>
          <w:rFonts w:hint="eastAsia" w:ascii="宋体" w:hAnsi="宋体" w:eastAsia="宋体" w:cs="宋体"/>
          <w:color w:val="000000"/>
          <w:sz w:val="24"/>
          <w:szCs w:val="24"/>
          <w:highlight w:val="none"/>
        </w:rPr>
        <w:t>%。</w:t>
      </w:r>
    </w:p>
    <w:p w14:paraId="6318316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15BCE5A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本项目预算资金为</w:t>
      </w:r>
      <w:r>
        <w:rPr>
          <w:rFonts w:hint="eastAsia" w:ascii="宋体" w:hAnsi="宋体" w:eastAsia="宋体" w:cs="宋体"/>
          <w:color w:val="000000"/>
          <w:sz w:val="24"/>
          <w:szCs w:val="24"/>
          <w:highlight w:val="none"/>
          <w:lang w:eastAsia="zh-CN"/>
        </w:rPr>
        <w:t>342</w:t>
      </w:r>
      <w:r>
        <w:rPr>
          <w:rFonts w:hint="eastAsia" w:ascii="宋体" w:hAnsi="宋体" w:eastAsia="宋体" w:cs="宋体"/>
          <w:color w:val="000000"/>
          <w:sz w:val="24"/>
          <w:szCs w:val="24"/>
          <w:highlight w:val="none"/>
        </w:rPr>
        <w:t>万元，其中：财政安排资金</w:t>
      </w:r>
      <w:r>
        <w:rPr>
          <w:rFonts w:hint="eastAsia" w:ascii="宋体" w:hAnsi="宋体" w:eastAsia="宋体" w:cs="宋体"/>
          <w:color w:val="000000"/>
          <w:sz w:val="24"/>
          <w:szCs w:val="24"/>
          <w:highlight w:val="none"/>
          <w:lang w:eastAsia="zh-CN"/>
        </w:rPr>
        <w:t>342</w:t>
      </w:r>
      <w:r>
        <w:rPr>
          <w:rFonts w:hint="eastAsia" w:ascii="宋体" w:hAnsi="宋体" w:eastAsia="宋体" w:cs="宋体"/>
          <w:color w:val="000000"/>
          <w:sz w:val="24"/>
          <w:szCs w:val="24"/>
          <w:highlight w:val="none"/>
        </w:rPr>
        <w:t>万元，其他资金</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万元，实际到位资金</w:t>
      </w:r>
      <w:r>
        <w:rPr>
          <w:rFonts w:hint="eastAsia" w:ascii="宋体" w:hAnsi="宋体" w:eastAsia="宋体" w:cs="宋体"/>
          <w:color w:val="000000"/>
          <w:sz w:val="24"/>
          <w:szCs w:val="24"/>
          <w:highlight w:val="none"/>
          <w:lang w:eastAsia="zh-CN"/>
        </w:rPr>
        <w:t>342</w:t>
      </w:r>
      <w:r>
        <w:rPr>
          <w:rFonts w:hint="eastAsia" w:ascii="宋体" w:hAnsi="宋体" w:eastAsia="宋体" w:cs="宋体"/>
          <w:color w:val="000000"/>
          <w:sz w:val="24"/>
          <w:szCs w:val="24"/>
          <w:highlight w:val="none"/>
        </w:rPr>
        <w:t>万元，资金到位率</w:t>
      </w:r>
      <w:r>
        <w:rPr>
          <w:rFonts w:hint="eastAsia" w:ascii="宋体" w:hAnsi="宋体" w:eastAsia="宋体" w:cs="宋体"/>
          <w:color w:val="000000"/>
          <w:sz w:val="24"/>
          <w:szCs w:val="24"/>
          <w:highlight w:val="none"/>
          <w:lang w:val="en-US" w:eastAsia="zh-CN"/>
        </w:rPr>
        <w:t>100%。通过分析可知，该项目</w:t>
      </w:r>
      <w:r>
        <w:rPr>
          <w:rFonts w:hint="eastAsia" w:ascii="宋体" w:hAnsi="宋体" w:eastAsia="宋体" w:cs="宋体"/>
          <w:color w:val="000000"/>
          <w:sz w:val="24"/>
          <w:szCs w:val="24"/>
          <w:highlight w:val="none"/>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单位</w:t>
      </w:r>
      <w:r>
        <w:rPr>
          <w:rFonts w:hint="eastAsia" w:ascii="宋体" w:hAnsi="宋体" w:eastAsia="宋体" w:cs="宋体"/>
          <w:color w:val="000000"/>
          <w:sz w:val="24"/>
          <w:szCs w:val="24"/>
          <w:highlight w:val="none"/>
          <w:lang w:eastAsia="zh-CN"/>
        </w:rPr>
        <w:t>。</w:t>
      </w:r>
    </w:p>
    <w:p w14:paraId="76338F5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3FFE3B7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1CBB630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b w:val="0"/>
          <w:bCs w:val="0"/>
          <w:color w:val="auto"/>
          <w:sz w:val="24"/>
          <w:szCs w:val="24"/>
          <w:highlight w:val="none"/>
          <w:lang w:eastAsia="zh-CN"/>
        </w:rPr>
        <w:t>该</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eastAsia="zh-CN"/>
        </w:rPr>
        <w:t>于</w:t>
      </w:r>
      <w:r>
        <w:rPr>
          <w:rFonts w:hint="eastAsia" w:ascii="宋体" w:hAnsi="宋体" w:eastAsia="宋体" w:cs="宋体"/>
          <w:color w:val="auto"/>
          <w:sz w:val="24"/>
          <w:szCs w:val="24"/>
          <w:highlight w:val="none"/>
          <w:lang w:val="en-US" w:eastAsia="zh-CN"/>
        </w:rPr>
        <w:t>2024年1月开始，2024年12月结束，该项目全年安排预算资金342万元，</w:t>
      </w:r>
      <w:r>
        <w:rPr>
          <w:rFonts w:hint="eastAsia" w:ascii="宋体" w:hAnsi="宋体" w:eastAsia="宋体" w:cs="宋体"/>
          <w:color w:val="auto"/>
          <w:sz w:val="24"/>
          <w:szCs w:val="24"/>
          <w:highlight w:val="none"/>
          <w:lang w:eastAsia="zh-CN"/>
        </w:rPr>
        <w:t>实际支出资金336.864079万元</w:t>
      </w:r>
      <w:r>
        <w:rPr>
          <w:rFonts w:hint="eastAsia" w:ascii="宋体" w:hAnsi="宋体" w:eastAsia="宋体" w:cs="宋体"/>
          <w:color w:val="auto"/>
          <w:sz w:val="24"/>
          <w:szCs w:val="24"/>
          <w:highlight w:val="none"/>
        </w:rPr>
        <w:t>，预算编制较为详细，项目资金支出总体能够按照预算执行，</w:t>
      </w:r>
      <w:r>
        <w:rPr>
          <w:rFonts w:hint="eastAsia" w:ascii="宋体" w:hAnsi="宋体" w:eastAsia="宋体" w:cs="宋体"/>
          <w:color w:val="auto"/>
          <w:sz w:val="24"/>
          <w:szCs w:val="24"/>
          <w:highlight w:val="none"/>
          <w:lang w:eastAsia="zh-CN"/>
        </w:rPr>
        <w:t>预算执行率达到98.5%</w:t>
      </w:r>
      <w:r>
        <w:rPr>
          <w:rFonts w:hint="eastAsia" w:ascii="宋体" w:hAnsi="宋体" w:eastAsia="宋体" w:cs="宋体"/>
          <w:color w:val="000000"/>
          <w:sz w:val="24"/>
          <w:szCs w:val="24"/>
          <w:highlight w:val="none"/>
          <w:lang w:eastAsia="zh-CN"/>
        </w:rPr>
        <w:t>。</w:t>
      </w:r>
    </w:p>
    <w:p w14:paraId="4819715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根据评分标准，该指标扣</w:t>
      </w:r>
      <w:r>
        <w:rPr>
          <w:rFonts w:hint="eastAsia" w:ascii="宋体" w:hAnsi="宋体" w:eastAsia="宋体" w:cs="宋体"/>
          <w:color w:val="000000"/>
          <w:sz w:val="24"/>
          <w:szCs w:val="24"/>
          <w:highlight w:val="none"/>
          <w:lang w:val="en-US" w:eastAsia="zh-CN"/>
        </w:rPr>
        <w:t>0.03</w:t>
      </w:r>
      <w:r>
        <w:rPr>
          <w:rFonts w:hint="eastAsia" w:ascii="宋体" w:hAnsi="宋体" w:eastAsia="宋体" w:cs="宋体"/>
          <w:color w:val="000000"/>
          <w:sz w:val="24"/>
          <w:szCs w:val="24"/>
          <w:highlight w:val="none"/>
        </w:rPr>
        <w:t>分，得</w:t>
      </w:r>
      <w:r>
        <w:rPr>
          <w:rFonts w:hint="eastAsia" w:ascii="宋体" w:hAnsi="宋体" w:eastAsia="宋体" w:cs="宋体"/>
          <w:color w:val="000000"/>
          <w:sz w:val="24"/>
          <w:szCs w:val="24"/>
          <w:highlight w:val="none"/>
          <w:lang w:val="en-US" w:eastAsia="zh-CN"/>
        </w:rPr>
        <w:t>1.97</w:t>
      </w:r>
      <w:r>
        <w:rPr>
          <w:rFonts w:hint="eastAsia" w:ascii="宋体" w:hAnsi="宋体" w:eastAsia="宋体" w:cs="宋体"/>
          <w:color w:val="000000"/>
          <w:sz w:val="24"/>
          <w:szCs w:val="24"/>
          <w:highlight w:val="none"/>
        </w:rPr>
        <w:t>分。</w:t>
      </w:r>
    </w:p>
    <w:p w14:paraId="522C26F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3A14726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lang w:eastAsia="zh-CN"/>
        </w:rPr>
        <w:t>由该</w:t>
      </w:r>
      <w:r>
        <w:rPr>
          <w:rFonts w:hint="eastAsia" w:ascii="宋体" w:hAnsi="宋体" w:eastAsia="宋体" w:cs="宋体"/>
          <w:color w:val="auto"/>
          <w:sz w:val="24"/>
          <w:szCs w:val="24"/>
          <w:highlight w:val="none"/>
        </w:rPr>
        <w:t>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均</w:t>
      </w:r>
      <w:r>
        <w:rPr>
          <w:rFonts w:hint="eastAsia" w:ascii="宋体" w:hAnsi="宋体" w:eastAsia="宋体" w:cs="宋体"/>
          <w:color w:val="auto"/>
          <w:sz w:val="24"/>
          <w:szCs w:val="24"/>
          <w:highlight w:val="none"/>
        </w:rPr>
        <w:t>符合国家财经法规、《洛浦县国有林场管理站会计制度》《</w:t>
      </w:r>
      <w:r>
        <w:rPr>
          <w:rFonts w:hint="eastAsia" w:ascii="宋体" w:hAnsi="宋体" w:eastAsia="宋体" w:cs="宋体"/>
          <w:color w:val="auto"/>
          <w:sz w:val="24"/>
          <w:szCs w:val="24"/>
          <w:highlight w:val="none"/>
          <w:lang w:eastAsia="zh-CN"/>
        </w:rPr>
        <w:t>洛浦县国有林场管理站财务管理办法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规定；项目</w:t>
      </w:r>
      <w:r>
        <w:rPr>
          <w:rFonts w:hint="eastAsia" w:ascii="宋体" w:hAnsi="宋体" w:eastAsia="宋体" w:cs="宋体"/>
          <w:color w:val="auto"/>
          <w:sz w:val="24"/>
          <w:szCs w:val="24"/>
          <w:highlight w:val="none"/>
        </w:rPr>
        <w:t>资金</w:t>
      </w:r>
      <w:r>
        <w:rPr>
          <w:rFonts w:hint="eastAsia" w:ascii="宋体" w:hAnsi="宋体" w:eastAsia="宋体" w:cs="宋体"/>
          <w:color w:val="auto"/>
          <w:sz w:val="24"/>
          <w:szCs w:val="24"/>
          <w:highlight w:val="none"/>
          <w:lang w:eastAsia="zh-CN"/>
        </w:rPr>
        <w:t>严格按照财政相关相求进行申报，</w:t>
      </w:r>
      <w:r>
        <w:rPr>
          <w:rFonts w:hint="eastAsia" w:ascii="宋体" w:hAnsi="宋体" w:eastAsia="宋体" w:cs="宋体"/>
          <w:color w:val="auto"/>
          <w:sz w:val="24"/>
          <w:szCs w:val="24"/>
          <w:highlight w:val="none"/>
        </w:rPr>
        <w:t>有完整的审批程序和手续</w:t>
      </w:r>
      <w:r>
        <w:rPr>
          <w:rFonts w:hint="eastAsia" w:ascii="宋体" w:hAnsi="宋体" w:eastAsia="宋体" w:cs="宋体"/>
          <w:color w:val="auto"/>
          <w:sz w:val="24"/>
          <w:szCs w:val="24"/>
          <w:highlight w:val="none"/>
          <w:lang w:eastAsia="zh-CN"/>
        </w:rPr>
        <w:t>；按照年初制定，</w:t>
      </w:r>
      <w:r>
        <w:rPr>
          <w:rFonts w:hint="eastAsia" w:ascii="宋体" w:hAnsi="宋体" w:eastAsia="宋体" w:cs="宋体"/>
          <w:color w:val="auto"/>
          <w:sz w:val="24"/>
          <w:szCs w:val="24"/>
          <w:highlight w:val="none"/>
        </w:rPr>
        <w:t>资金实际使用方向与预算批复用途一致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不存在截留、挤占、挪用、虚列支出的情况</w:t>
      </w:r>
      <w:r>
        <w:rPr>
          <w:rFonts w:hint="eastAsia" w:ascii="宋体" w:hAnsi="宋体" w:eastAsia="宋体" w:cs="宋体"/>
          <w:b w:val="0"/>
          <w:bCs w:val="0"/>
          <w:color w:val="auto"/>
          <w:sz w:val="24"/>
          <w:szCs w:val="24"/>
          <w:highlight w:val="none"/>
          <w:lang w:eastAsia="zh-CN"/>
        </w:rPr>
        <w:t>。</w:t>
      </w:r>
    </w:p>
    <w:p w14:paraId="600AA4C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eastAsia="zh-CN"/>
        </w:rPr>
        <w:t>分。</w:t>
      </w:r>
    </w:p>
    <w:p w14:paraId="0066098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30F1A7D8">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eastAsia="zh-CN"/>
        </w:rPr>
        <w:t>年初本</w:t>
      </w:r>
      <w:r>
        <w:rPr>
          <w:rFonts w:hint="eastAsia" w:ascii="宋体" w:hAnsi="宋体" w:eastAsia="宋体" w:cs="宋体"/>
          <w:b w:val="0"/>
          <w:bCs w:val="0"/>
          <w:color w:val="auto"/>
          <w:sz w:val="24"/>
          <w:szCs w:val="24"/>
          <w:highlight w:val="none"/>
        </w:rPr>
        <w:t>单位已制定《</w:t>
      </w:r>
      <w:r>
        <w:rPr>
          <w:rFonts w:hint="eastAsia" w:ascii="宋体" w:hAnsi="宋体" w:eastAsia="宋体" w:cs="宋体"/>
          <w:b w:val="0"/>
          <w:bCs w:val="0"/>
          <w:color w:val="auto"/>
          <w:sz w:val="24"/>
          <w:szCs w:val="24"/>
          <w:highlight w:val="none"/>
          <w:lang w:eastAsia="zh-CN"/>
        </w:rPr>
        <w:t>洛浦县国有林场管理站</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eastAsia="zh-CN"/>
        </w:rPr>
        <w:t>洛浦县国有林场管理站</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eastAsia="zh-CN"/>
        </w:rPr>
        <w:t>洛浦县国有林场管理站</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eastAsia="zh-CN"/>
        </w:rPr>
        <w:t>洛浦县国有林场管理站</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w:t>
      </w:r>
      <w:r>
        <w:rPr>
          <w:rFonts w:hint="eastAsia" w:ascii="宋体" w:hAnsi="宋体" w:eastAsia="宋体" w:cs="宋体"/>
          <w:color w:val="auto"/>
          <w:sz w:val="24"/>
          <w:szCs w:val="24"/>
          <w:highlight w:val="none"/>
        </w:rPr>
        <w:t>。</w:t>
      </w:r>
    </w:p>
    <w:p w14:paraId="031CB93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6AE14E6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5FFB52CC">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该项目的实施符合《</w:t>
      </w:r>
      <w:r>
        <w:rPr>
          <w:rFonts w:hint="eastAsia" w:ascii="宋体" w:hAnsi="宋体" w:eastAsia="宋体" w:cs="宋体"/>
          <w:color w:val="auto"/>
          <w:sz w:val="24"/>
          <w:szCs w:val="24"/>
          <w:highlight w:val="none"/>
          <w:lang w:eastAsia="zh-CN"/>
        </w:rPr>
        <w:t>洛浦县国有林场管理站</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洛浦县国有林场管理站</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eastAsia="zh-CN"/>
        </w:rPr>
        <w:t>洛浦县国有林场管理站</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eastAsia="zh-CN"/>
        </w:rPr>
        <w:t>洛浦县国有林场管理站</w:t>
      </w:r>
      <w:r>
        <w:rPr>
          <w:rFonts w:hint="eastAsia" w:ascii="宋体" w:hAnsi="宋体" w:eastAsia="宋体" w:cs="宋体"/>
          <w:color w:val="auto"/>
          <w:sz w:val="24"/>
          <w:szCs w:val="24"/>
          <w:highlight w:val="none"/>
        </w:rPr>
        <w:t>合同管理制度》等相关法律法规及管理规定，项目具备完整规范的立项程序；项目采购、实施、验收等过程均按照采购管理办法和合同管理办法等相关制度执行，该项目实施过程中不存在调整事项</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记账凭证等</w:t>
      </w:r>
      <w:r>
        <w:rPr>
          <w:rFonts w:hint="eastAsia" w:ascii="宋体" w:hAnsi="宋体" w:eastAsia="宋体" w:cs="宋体"/>
          <w:color w:val="auto"/>
          <w:sz w:val="24"/>
          <w:szCs w:val="24"/>
          <w:highlight w:val="none"/>
          <w:lang w:eastAsia="zh-CN"/>
        </w:rPr>
        <w:t>财务</w:t>
      </w:r>
      <w:r>
        <w:rPr>
          <w:rFonts w:hint="eastAsia" w:ascii="宋体" w:hAnsi="宋体" w:eastAsia="宋体" w:cs="宋体"/>
          <w:color w:val="auto"/>
          <w:sz w:val="24"/>
          <w:szCs w:val="24"/>
          <w:highlight w:val="none"/>
        </w:rPr>
        <w:t>资料齐全并及时归档</w:t>
      </w:r>
      <w:r>
        <w:rPr>
          <w:rFonts w:hint="eastAsia" w:ascii="宋体" w:hAnsi="宋体" w:eastAsia="宋体" w:cs="宋体"/>
          <w:b w:val="0"/>
          <w:bCs w:val="0"/>
          <w:color w:val="auto"/>
          <w:sz w:val="24"/>
          <w:szCs w:val="24"/>
          <w:highlight w:val="none"/>
          <w:lang w:eastAsia="zh-CN"/>
        </w:rPr>
        <w:t>。</w:t>
      </w:r>
    </w:p>
    <w:p w14:paraId="6201EBB2">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楷体" w:hAnsi="楷体" w:eastAsia="楷体" w:cs="仿宋_GB2312"/>
          <w:b/>
          <w:bCs w:val="0"/>
          <w:sz w:val="32"/>
          <w:szCs w:val="32"/>
        </w:rPr>
      </w:pPr>
      <w:r>
        <w:rPr>
          <w:rFonts w:hint="eastAsia" w:ascii="宋体" w:hAnsi="宋体" w:eastAsia="宋体" w:cs="宋体"/>
          <w:b w:val="0"/>
          <w:bCs w:val="0"/>
          <w:color w:val="auto"/>
          <w:sz w:val="24"/>
          <w:szCs w:val="24"/>
          <w:highlight w:val="none"/>
          <w:lang w:eastAsia="zh-CN"/>
        </w:rPr>
        <w:t>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eastAsia="zh-CN"/>
        </w:rPr>
        <w:t>分。</w:t>
      </w:r>
    </w:p>
    <w:p w14:paraId="1A2783B4">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（三）项目产出情况</w:t>
      </w:r>
    </w:p>
    <w:p w14:paraId="5659BD3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项目产出类指标包括产出数量、产出质量、产出时效、产出成本四方面的内容，由</w:t>
      </w:r>
      <w:r>
        <w:rPr>
          <w:rFonts w:hint="eastAsia" w:ascii="宋体" w:hAnsi="宋体" w:eastAsia="宋体" w:cs="宋体"/>
          <w:color w:val="000000"/>
          <w:sz w:val="24"/>
          <w:szCs w:val="24"/>
          <w:highlight w:val="none"/>
          <w:lang w:val="en-US" w:eastAsia="zh-CN"/>
        </w:rPr>
        <w:t>16</w:t>
      </w:r>
      <w:r>
        <w:rPr>
          <w:rFonts w:hint="eastAsia" w:ascii="宋体" w:hAnsi="宋体" w:eastAsia="宋体" w:cs="宋体"/>
          <w:color w:val="000000"/>
          <w:sz w:val="24"/>
          <w:szCs w:val="24"/>
          <w:highlight w:val="none"/>
        </w:rPr>
        <w:t>个三级指标构成，权重分为</w:t>
      </w:r>
      <w:r>
        <w:rPr>
          <w:rFonts w:hint="eastAsia" w:ascii="宋体" w:hAnsi="宋体" w:eastAsia="宋体" w:cs="宋体"/>
          <w:color w:val="000000"/>
          <w:sz w:val="24"/>
          <w:szCs w:val="24"/>
          <w:highlight w:val="none"/>
          <w:lang w:val="en-US" w:eastAsia="zh-CN"/>
        </w:rPr>
        <w:t>40</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39.85</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99.63</w:t>
      </w:r>
      <w:r>
        <w:rPr>
          <w:rFonts w:hint="eastAsia" w:ascii="宋体" w:hAnsi="宋体" w:eastAsia="宋体" w:cs="宋体"/>
          <w:color w:val="000000"/>
          <w:sz w:val="24"/>
          <w:szCs w:val="24"/>
          <w:highlight w:val="none"/>
        </w:rPr>
        <w:t>%。</w:t>
      </w:r>
    </w:p>
    <w:p w14:paraId="7D88B50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452FFB4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管护公益林面积，预期指标值</w:t>
      </w:r>
      <w:r>
        <w:rPr>
          <w:rFonts w:hint="eastAsia" w:ascii="宋体" w:hAnsi="宋体" w:eastAsia="宋体" w:cs="宋体"/>
          <w:color w:val="000000"/>
          <w:sz w:val="24"/>
          <w:szCs w:val="24"/>
          <w:highlight w:val="none"/>
          <w:lang w:val="en-US" w:eastAsia="zh-CN"/>
        </w:rPr>
        <w:t>大于等于&gt;=35.70万亩个</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35.70万亩</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14E327A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管护人员数，预期指标值</w:t>
      </w:r>
      <w:r>
        <w:rPr>
          <w:rFonts w:hint="eastAsia" w:ascii="宋体" w:hAnsi="宋体" w:eastAsia="宋体" w:cs="宋体"/>
          <w:color w:val="000000"/>
          <w:sz w:val="24"/>
          <w:szCs w:val="24"/>
          <w:highlight w:val="none"/>
          <w:lang w:val="en-US" w:eastAsia="zh-CN"/>
        </w:rPr>
        <w:t>&gt;=78人</w:t>
      </w:r>
      <w:r>
        <w:rPr>
          <w:rFonts w:hint="eastAsia" w:ascii="宋体" w:hAnsi="宋体" w:eastAsia="宋体" w:cs="宋体"/>
          <w:color w:val="000000"/>
          <w:sz w:val="24"/>
          <w:szCs w:val="24"/>
          <w:highlight w:val="none"/>
        </w:rPr>
        <w:t>，实际完成值78人，指标完成率为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w:t>
      </w:r>
      <w:r>
        <w:rPr>
          <w:rFonts w:hint="eastAsia" w:ascii="宋体" w:hAnsi="宋体" w:eastAsia="宋体" w:cs="宋体"/>
          <w:color w:val="000000"/>
          <w:sz w:val="24"/>
          <w:szCs w:val="24"/>
          <w:highlight w:val="none"/>
          <w:lang w:val="en-US" w:eastAsia="zh-CN"/>
        </w:rPr>
        <w:t>不</w:t>
      </w:r>
      <w:r>
        <w:rPr>
          <w:rFonts w:hint="eastAsia" w:ascii="宋体" w:hAnsi="宋体" w:eastAsia="宋体" w:cs="宋体"/>
          <w:color w:val="000000"/>
          <w:sz w:val="24"/>
          <w:szCs w:val="24"/>
          <w:highlight w:val="none"/>
        </w:rPr>
        <w:t>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1C2DFBA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仿宋_GB2312"/>
          <w:b/>
          <w:sz w:val="32"/>
          <w:szCs w:val="32"/>
          <w:lang w:eastAsia="zh-CN"/>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154D2BAB">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2F6B4F5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390B21E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38CA92F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28EDDCF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w:t>
      </w:r>
      <w:r>
        <w:rPr>
          <w:rFonts w:hint="eastAsia" w:ascii="宋体" w:hAnsi="宋体" w:eastAsia="宋体" w:cs="宋体"/>
          <w:b w:val="0"/>
          <w:color w:val="000000"/>
          <w:sz w:val="24"/>
          <w:szCs w:val="24"/>
          <w:highlight w:val="none"/>
          <w:lang w:val="en-US" w:eastAsia="zh-CN"/>
        </w:rPr>
        <w:t>开始</w:t>
      </w:r>
      <w:r>
        <w:rPr>
          <w:rFonts w:hint="eastAsia" w:ascii="宋体" w:hAnsi="宋体" w:eastAsia="宋体" w:cs="宋体"/>
          <w:b w:val="0"/>
          <w:color w:val="000000"/>
          <w:sz w:val="24"/>
          <w:szCs w:val="24"/>
          <w:highlight w:val="none"/>
        </w:rPr>
        <w:t>时间，预期指标值2024年</w:t>
      </w:r>
      <w:r>
        <w:rPr>
          <w:rFonts w:hint="eastAsia" w:ascii="宋体" w:hAnsi="宋体" w:eastAsia="宋体" w:cs="宋体"/>
          <w:b w:val="0"/>
          <w:color w:val="000000"/>
          <w:sz w:val="24"/>
          <w:szCs w:val="24"/>
          <w:highlight w:val="none"/>
          <w:lang w:val="en-US" w:eastAsia="zh-CN"/>
        </w:rPr>
        <w:t>1</w:t>
      </w:r>
      <w:r>
        <w:rPr>
          <w:rFonts w:hint="eastAsia" w:ascii="宋体" w:hAnsi="宋体" w:eastAsia="宋体" w:cs="宋体"/>
          <w:b w:val="0"/>
          <w:color w:val="000000"/>
          <w:sz w:val="24"/>
          <w:szCs w:val="24"/>
          <w:highlight w:val="none"/>
        </w:rPr>
        <w:t>月，实际完成值2024年</w:t>
      </w:r>
      <w:r>
        <w:rPr>
          <w:rFonts w:hint="eastAsia" w:ascii="宋体" w:hAnsi="宋体" w:eastAsia="宋体" w:cs="宋体"/>
          <w:b w:val="0"/>
          <w:color w:val="000000"/>
          <w:sz w:val="24"/>
          <w:szCs w:val="24"/>
          <w:highlight w:val="none"/>
          <w:lang w:val="en-US" w:eastAsia="zh-CN"/>
        </w:rPr>
        <w:t>1</w:t>
      </w:r>
      <w:r>
        <w:rPr>
          <w:rFonts w:hint="eastAsia" w:ascii="宋体" w:hAnsi="宋体" w:eastAsia="宋体" w:cs="宋体"/>
          <w:b w:val="0"/>
          <w:color w:val="000000"/>
          <w:sz w:val="24"/>
          <w:szCs w:val="24"/>
          <w:highlight w:val="none"/>
        </w:rPr>
        <w:t>月，指标完成率</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3F9C993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项目完成时间，预期指标值2024年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月，实际完成值2024年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月，指标完成率</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264AA7E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合计得10分。</w:t>
      </w:r>
    </w:p>
    <w:p w14:paraId="72D8DE5B">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5C89D82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国家级公益林管护补助经费，预期指标值</w:t>
      </w:r>
      <w:r>
        <w:rPr>
          <w:rFonts w:hint="eastAsia" w:ascii="宋体" w:hAnsi="宋体" w:eastAsia="宋体" w:cs="宋体"/>
          <w:color w:val="000000"/>
          <w:sz w:val="24"/>
          <w:szCs w:val="24"/>
          <w:highlight w:val="none"/>
          <w:lang w:val="en-US" w:eastAsia="zh-CN"/>
        </w:rPr>
        <w:t>&lt;=342万元</w:t>
      </w:r>
      <w:r>
        <w:rPr>
          <w:rFonts w:hint="eastAsia" w:ascii="宋体" w:hAnsi="宋体" w:eastAsia="宋体" w:cs="宋体"/>
          <w:color w:val="000000"/>
          <w:sz w:val="24"/>
          <w:szCs w:val="24"/>
          <w:highlight w:val="none"/>
        </w:rPr>
        <w:t>，实际完成值336.864079万元，指标完成率</w:t>
      </w:r>
      <w:r>
        <w:rPr>
          <w:rFonts w:hint="eastAsia" w:ascii="宋体" w:hAnsi="宋体" w:eastAsia="宋体" w:cs="宋体"/>
          <w:color w:val="000000"/>
          <w:sz w:val="24"/>
          <w:szCs w:val="24"/>
          <w:highlight w:val="none"/>
          <w:lang w:val="en-US" w:eastAsia="zh-CN"/>
        </w:rPr>
        <w:t>98.5%，</w:t>
      </w:r>
      <w:r>
        <w:rPr>
          <w:rFonts w:hint="eastAsia" w:ascii="宋体" w:hAnsi="宋体" w:eastAsia="宋体" w:cs="宋体"/>
          <w:b w:val="0"/>
          <w:color w:val="000000"/>
          <w:sz w:val="24"/>
          <w:szCs w:val="24"/>
          <w:highlight w:val="none"/>
        </w:rPr>
        <w:t>与预期目标</w:t>
      </w:r>
      <w:r>
        <w:rPr>
          <w:rFonts w:hint="eastAsia" w:ascii="宋体" w:hAnsi="宋体" w:eastAsia="宋体" w:cs="宋体"/>
          <w:b w:val="0"/>
          <w:color w:val="000000"/>
          <w:sz w:val="24"/>
          <w:szCs w:val="24"/>
          <w:highlight w:val="none"/>
          <w:lang w:val="en-US" w:eastAsia="zh-CN"/>
        </w:rPr>
        <w:t>不</w:t>
      </w:r>
      <w:r>
        <w:rPr>
          <w:rFonts w:hint="eastAsia" w:ascii="宋体" w:hAnsi="宋体" w:eastAsia="宋体" w:cs="宋体"/>
          <w:b w:val="0"/>
          <w:color w:val="000000"/>
          <w:sz w:val="24"/>
          <w:szCs w:val="24"/>
          <w:highlight w:val="none"/>
        </w:rPr>
        <w:t>一致，根据评分标准，该指标扣</w:t>
      </w:r>
      <w:r>
        <w:rPr>
          <w:rFonts w:hint="eastAsia" w:ascii="宋体" w:hAnsi="宋体" w:eastAsia="宋体" w:cs="宋体"/>
          <w:b w:val="0"/>
          <w:color w:val="000000"/>
          <w:sz w:val="24"/>
          <w:szCs w:val="24"/>
          <w:highlight w:val="none"/>
          <w:lang w:val="en-US" w:eastAsia="zh-CN"/>
        </w:rPr>
        <w:t>0.15</w:t>
      </w:r>
      <w:r>
        <w:rPr>
          <w:rFonts w:hint="eastAsia" w:ascii="宋体" w:hAnsi="宋体" w:eastAsia="宋体" w:cs="宋体"/>
          <w:b w:val="0"/>
          <w:color w:val="000000"/>
          <w:sz w:val="24"/>
          <w:szCs w:val="24"/>
          <w:highlight w:val="none"/>
        </w:rPr>
        <w:t>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9.85</w:t>
      </w:r>
      <w:r>
        <w:rPr>
          <w:rFonts w:hint="eastAsia" w:ascii="宋体" w:hAnsi="宋体" w:eastAsia="宋体" w:cs="宋体"/>
          <w:color w:val="000000"/>
          <w:sz w:val="24"/>
          <w:szCs w:val="24"/>
          <w:highlight w:val="none"/>
        </w:rPr>
        <w:t>分。</w:t>
      </w:r>
    </w:p>
    <w:p w14:paraId="7546D57B">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（四）项目效益情况</w:t>
      </w:r>
    </w:p>
    <w:p w14:paraId="1D2FD07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项目效益类指标包括项目效益1个方面的内容，由2个三级指标构成，权重分为2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分，实际得分2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分，得分率为100%。</w:t>
      </w:r>
    </w:p>
    <w:p w14:paraId="2CA0FB20">
      <w:pPr>
        <w:pStyle w:val="47"/>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对于“社会效益指标”</w:t>
      </w:r>
    </w:p>
    <w:p w14:paraId="05DA62F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该项目不涉及社会</w:t>
      </w:r>
      <w:r>
        <w:rPr>
          <w:rFonts w:hint="eastAsia" w:ascii="宋体" w:hAnsi="宋体" w:eastAsia="宋体" w:cs="宋体"/>
          <w:b w:val="0"/>
          <w:bCs w:val="0"/>
          <w:color w:val="000000"/>
          <w:sz w:val="24"/>
          <w:szCs w:val="24"/>
          <w:highlight w:val="none"/>
        </w:rPr>
        <w:t>效益指标</w:t>
      </w:r>
      <w:r>
        <w:rPr>
          <w:rFonts w:hint="eastAsia" w:ascii="宋体" w:hAnsi="宋体" w:eastAsia="宋体" w:cs="宋体"/>
          <w:b w:val="0"/>
          <w:bCs w:val="0"/>
          <w:color w:val="000000"/>
          <w:sz w:val="24"/>
          <w:szCs w:val="24"/>
          <w:highlight w:val="none"/>
          <w:lang w:val="en-US" w:eastAsia="zh-CN"/>
        </w:rPr>
        <w:t>。</w:t>
      </w:r>
    </w:p>
    <w:p w14:paraId="6A4A0A4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63119EB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7ECCDAF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1CD984F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val="0"/>
          <w:color w:val="000000"/>
          <w:sz w:val="24"/>
          <w:szCs w:val="24"/>
          <w:highlight w:val="none"/>
        </w:rPr>
        <w:t>保障单位工作正常开展，预期指标值为</w:t>
      </w:r>
      <w:r>
        <w:rPr>
          <w:rFonts w:hint="eastAsia" w:ascii="宋体" w:hAnsi="宋体" w:eastAsia="宋体" w:cs="宋体"/>
          <w:b w:val="0"/>
          <w:bCs w:val="0"/>
          <w:color w:val="000000"/>
          <w:sz w:val="24"/>
          <w:szCs w:val="24"/>
          <w:highlight w:val="none"/>
          <w:lang w:val="en-US" w:eastAsia="zh-CN"/>
        </w:rPr>
        <w:t>有效保障</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有效保障</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分。</w:t>
      </w:r>
    </w:p>
    <w:p w14:paraId="789DA77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20262706">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项目区群众满意度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4B1E02C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575CC671">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p>
    <w:p w14:paraId="23EBF209">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五、预算执行进度与绩效指标偏差情况</w:t>
      </w:r>
    </w:p>
    <w:p w14:paraId="7D5D70CA">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342</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342</w:t>
      </w:r>
      <w:r>
        <w:rPr>
          <w:rFonts w:hint="eastAsia" w:ascii="宋体" w:hAnsi="宋体" w:eastAsia="宋体" w:cs="宋体"/>
          <w:color w:val="auto"/>
          <w:sz w:val="24"/>
          <w:szCs w:val="24"/>
        </w:rPr>
        <w:t>万元，全年执行数为336.864079万元，预算执行率为</w:t>
      </w:r>
      <w:r>
        <w:rPr>
          <w:rFonts w:hint="eastAsia" w:ascii="宋体" w:hAnsi="宋体" w:eastAsia="宋体" w:cs="宋体"/>
          <w:color w:val="auto"/>
          <w:sz w:val="24"/>
          <w:szCs w:val="24"/>
          <w:lang w:val="en-US" w:eastAsia="zh-CN"/>
        </w:rPr>
        <w:t>98.5%</w:t>
      </w:r>
      <w:r>
        <w:rPr>
          <w:rFonts w:hint="eastAsia" w:ascii="宋体" w:hAnsi="宋体" w:eastAsia="宋体" w:cs="宋体"/>
          <w:color w:val="auto"/>
          <w:sz w:val="24"/>
          <w:szCs w:val="24"/>
        </w:rPr>
        <w:t>%。</w:t>
      </w:r>
    </w:p>
    <w:p w14:paraId="47DB2CF5">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99.97</w:t>
      </w:r>
      <w:r>
        <w:rPr>
          <w:rFonts w:hint="eastAsia" w:ascii="宋体" w:hAnsi="宋体" w:eastAsia="宋体" w:cs="宋体"/>
          <w:color w:val="auto"/>
          <w:sz w:val="24"/>
          <w:szCs w:val="24"/>
        </w:rPr>
        <w:t>%。</w:t>
      </w:r>
    </w:p>
    <w:p w14:paraId="322BD7CF">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综上所述本项目预算执行率与总体完成率之间的偏差为</w:t>
      </w:r>
      <w:r>
        <w:rPr>
          <w:rFonts w:hint="eastAsia" w:ascii="宋体" w:hAnsi="宋体" w:eastAsia="宋体" w:cs="宋体"/>
          <w:color w:val="auto"/>
          <w:sz w:val="24"/>
          <w:szCs w:val="24"/>
          <w:lang w:val="en-US" w:eastAsia="zh-CN"/>
        </w:rPr>
        <w:t>0.02</w:t>
      </w:r>
      <w:r>
        <w:rPr>
          <w:rFonts w:hint="eastAsia" w:ascii="宋体" w:hAnsi="宋体" w:eastAsia="宋体" w:cs="宋体"/>
          <w:color w:val="auto"/>
          <w:sz w:val="24"/>
          <w:szCs w:val="24"/>
        </w:rPr>
        <w:t>%。</w:t>
      </w:r>
    </w:p>
    <w:p w14:paraId="44751BAC">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bookmarkStart w:id="16" w:name="_Toc68364673"/>
    </w:p>
    <w:p w14:paraId="30C25FEA">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六、主要经验及做法、存在的问题及原因分析</w:t>
      </w:r>
    </w:p>
    <w:p w14:paraId="3388D0B7">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color w:val="auto"/>
          <w:sz w:val="24"/>
          <w:szCs w:val="24"/>
        </w:rPr>
        <w:t>（一）主要经验及做法</w:t>
      </w:r>
      <w:bookmarkEnd w:id="16"/>
    </w:p>
    <w:p w14:paraId="39934C5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一是本项目能够严格按照《项目实施方案》执行，项目执行情况较好。</w:t>
      </w:r>
    </w:p>
    <w:p w14:paraId="5271943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二是加强组织领导，本项目绩效评价工作，有主要领导亲自挂帅，分管领导具体负责，从项目到资金，均能够很好的执行。</w:t>
      </w:r>
    </w:p>
    <w:p w14:paraId="642E19BB">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三是加强沟通协调，我单位及时向领导汇报项目建设进度，加强与施工单位的沟通，确保项目按期完工。</w:t>
      </w:r>
    </w:p>
    <w:p w14:paraId="488D38E4">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rPr>
      </w:pPr>
      <w:bookmarkStart w:id="17" w:name="_Toc68364674"/>
      <w:r>
        <w:rPr>
          <w:rFonts w:hint="eastAsia" w:ascii="宋体" w:hAnsi="宋体" w:eastAsia="宋体" w:cs="宋体"/>
          <w:color w:val="auto"/>
          <w:sz w:val="24"/>
          <w:szCs w:val="24"/>
        </w:rPr>
        <w:t>（二）存在问题及原因分析</w:t>
      </w:r>
      <w:bookmarkEnd w:id="17"/>
    </w:p>
    <w:p w14:paraId="6B47656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一是对各项指标和指标值要进一步优化、完善，主要在细化、量化上改进</w:t>
      </w:r>
      <w:r>
        <w:rPr>
          <w:rFonts w:hint="eastAsia" w:ascii="宋体" w:hAnsi="宋体" w:eastAsia="宋体" w:cs="宋体"/>
          <w:color w:val="auto"/>
          <w:sz w:val="24"/>
          <w:szCs w:val="24"/>
          <w:lang w:eastAsia="zh-CN"/>
        </w:rPr>
        <w:t>；</w:t>
      </w:r>
    </w:p>
    <w:p w14:paraId="6013821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二是</w:t>
      </w:r>
      <w:r>
        <w:rPr>
          <w:rFonts w:hint="eastAsia" w:ascii="宋体" w:hAnsi="宋体" w:eastAsia="宋体" w:cs="宋体"/>
          <w:color w:val="auto"/>
          <w:sz w:val="24"/>
          <w:szCs w:val="24"/>
          <w:lang w:val="en-US" w:eastAsia="zh-CN"/>
        </w:rPr>
        <w:t>部门</w:t>
      </w:r>
      <w:r>
        <w:rPr>
          <w:rFonts w:hint="eastAsia" w:ascii="宋体" w:hAnsi="宋体" w:eastAsia="宋体" w:cs="宋体"/>
          <w:color w:val="auto"/>
          <w:sz w:val="24"/>
          <w:szCs w:val="24"/>
        </w:rPr>
        <w:t>评价工作还存在自我审定的局限性，会影响评价质量，容易造成问题的疏漏，在客观性和公正性上说服力不强</w:t>
      </w:r>
      <w:r>
        <w:rPr>
          <w:rFonts w:hint="eastAsia" w:ascii="宋体" w:hAnsi="宋体" w:eastAsia="宋体" w:cs="宋体"/>
          <w:color w:val="auto"/>
          <w:sz w:val="24"/>
          <w:szCs w:val="24"/>
          <w:lang w:eastAsia="zh-CN"/>
        </w:rPr>
        <w:t>；</w:t>
      </w:r>
    </w:p>
    <w:p w14:paraId="0E80FCAC">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三是缺少带着问题去评价的意识</w:t>
      </w:r>
      <w:r>
        <w:rPr>
          <w:rFonts w:hint="eastAsia" w:ascii="宋体" w:hAnsi="宋体" w:eastAsia="宋体" w:cs="宋体"/>
          <w:color w:val="auto"/>
          <w:sz w:val="24"/>
          <w:szCs w:val="24"/>
          <w:lang w:eastAsia="zh-CN"/>
        </w:rPr>
        <w:t>；</w:t>
      </w:r>
    </w:p>
    <w:p w14:paraId="419C016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四是现场评价的工作量少，后续效益评价具体措施和方法较少。</w:t>
      </w:r>
    </w:p>
    <w:p w14:paraId="253AE412">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bookmarkStart w:id="18" w:name="_Toc68364675"/>
    </w:p>
    <w:p w14:paraId="374810C9">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黑体" w:hAnsi="黑体" w:eastAsia="黑体" w:cs="黑体"/>
          <w:color w:val="auto"/>
          <w:sz w:val="24"/>
          <w:szCs w:val="24"/>
          <w:highlight w:val="none"/>
        </w:rPr>
        <w:t>七、有关建议</w:t>
      </w:r>
      <w:bookmarkEnd w:id="18"/>
    </w:p>
    <w:p w14:paraId="6E9FE6F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1550A23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2.项目评价资料有待进一步完善。项目启动时同步做好档案的归纳与整理，及时整理、收集、汇总，健全档案资料。项目后续管理有待进一步加强和跟踪。</w:t>
      </w:r>
    </w:p>
    <w:p w14:paraId="0A4D8AD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3.通过绩效管理，发现实施中存在漏洞，以后加强管理，及时掌握与之相关的各类信息，减少成本，使资金效益最大化。</w:t>
      </w:r>
    </w:p>
    <w:p w14:paraId="12BD0B60">
      <w:pPr>
        <w:pStyle w:val="47"/>
        <w:pageBreakBefore w:val="0"/>
        <w:widowControl w:val="0"/>
        <w:kinsoku/>
        <w:wordWrap/>
        <w:overflowPunct/>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4．评价工作应从项目实施方案源头抓起，评价工作和意识应贯穿项目整个过程。</w:t>
      </w:r>
      <w:bookmarkStart w:id="19" w:name="_Toc68364676"/>
    </w:p>
    <w:p w14:paraId="660008F6">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八、其他需要说明的问题</w:t>
      </w:r>
      <w:bookmarkEnd w:id="19"/>
    </w:p>
    <w:p w14:paraId="49A752D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我单位对上述项目支出绩效评价报告内反映内容的真实性、完整性负责，</w:t>
      </w:r>
      <w:r>
        <w:rPr>
          <w:rFonts w:hint="eastAsia" w:ascii="宋体" w:hAnsi="宋体" w:eastAsia="宋体" w:cs="宋体"/>
          <w:color w:val="auto"/>
          <w:sz w:val="24"/>
          <w:szCs w:val="24"/>
          <w:lang w:val="en-US" w:eastAsia="zh-CN"/>
        </w:rPr>
        <w:t>愿</w:t>
      </w:r>
      <w:r>
        <w:rPr>
          <w:rFonts w:hint="eastAsia" w:ascii="宋体" w:hAnsi="宋体" w:eastAsia="宋体" w:cs="宋体"/>
          <w:color w:val="auto"/>
          <w:sz w:val="24"/>
          <w:szCs w:val="24"/>
        </w:rPr>
        <w:t>接受上级部门及社会公众监督。</w:t>
      </w:r>
    </w:p>
    <w:p w14:paraId="12C24B95">
      <w:pPr>
        <w:bidi w:val="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附件1：2024年中央林业草原生态保护恢复资金-森林保护修复支出-（国家公益林管护）项目绩效评价指标体系</w:t>
      </w:r>
    </w:p>
    <w:p w14:paraId="6792E7FD">
      <w:pPr>
        <w:bidi w:val="0"/>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附件2：2024年中央林业草原生态保护恢复资金-森林保护修复支出-（国家公益林管护）项目综合得分表</w:t>
      </w:r>
    </w:p>
    <w:p w14:paraId="642747B2">
      <w:pPr>
        <w:pStyle w:val="10"/>
        <w:ind w:left="0" w:leftChars="0" w:firstLine="0" w:firstLineChars="0"/>
        <w:jc w:val="both"/>
        <w:rPr>
          <w:rFonts w:hint="eastAsia" w:ascii="宋体" w:hAnsi="宋体" w:eastAsia="宋体" w:cs="宋体"/>
          <w:color w:val="auto"/>
          <w:sz w:val="24"/>
          <w:szCs w:val="24"/>
        </w:rPr>
      </w:pPr>
    </w:p>
    <w:p w14:paraId="7AD2A4BC">
      <w:pPr>
        <w:pStyle w:val="10"/>
        <w:ind w:left="0" w:leftChars="0" w:firstLine="0" w:firstLineChars="0"/>
        <w:jc w:val="both"/>
        <w:rPr>
          <w:rFonts w:hint="eastAsia" w:ascii="宋体" w:hAnsi="宋体" w:eastAsia="宋体" w:cs="宋体"/>
          <w:color w:val="auto"/>
          <w:sz w:val="24"/>
          <w:szCs w:val="24"/>
        </w:rPr>
        <w:sectPr>
          <w:footerReference r:id="rId7" w:type="default"/>
          <w:pgSz w:w="11906" w:h="16838"/>
          <w:pgMar w:top="1985" w:right="1531" w:bottom="1701" w:left="1531" w:header="851" w:footer="992" w:gutter="0"/>
          <w:pgNumType w:fmt="decimal" w:start="1"/>
          <w:cols w:space="720" w:num="1"/>
          <w:docGrid w:type="linesAndChars" w:linePitch="386" w:charSpace="0"/>
        </w:sectPr>
      </w:pPr>
    </w:p>
    <w:tbl>
      <w:tblPr>
        <w:tblStyle w:val="23"/>
        <w:tblW w:w="1342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9"/>
        <w:gridCol w:w="548"/>
        <w:gridCol w:w="712"/>
        <w:gridCol w:w="475"/>
        <w:gridCol w:w="721"/>
        <w:gridCol w:w="529"/>
        <w:gridCol w:w="2942"/>
        <w:gridCol w:w="1123"/>
        <w:gridCol w:w="4288"/>
        <w:gridCol w:w="956"/>
        <w:gridCol w:w="531"/>
      </w:tblGrid>
      <w:tr w14:paraId="1E4E6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3424" w:type="dxa"/>
            <w:gridSpan w:val="11"/>
            <w:tcBorders>
              <w:top w:val="nil"/>
              <w:left w:val="nil"/>
              <w:bottom w:val="nil"/>
              <w:right w:val="nil"/>
            </w:tcBorders>
            <w:noWrap/>
            <w:vAlign w:val="center"/>
          </w:tcPr>
          <w:p w14:paraId="48AC131D">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附件1：</w:t>
            </w:r>
          </w:p>
        </w:tc>
      </w:tr>
      <w:tr w14:paraId="1BA7D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3424" w:type="dxa"/>
            <w:gridSpan w:val="11"/>
            <w:tcBorders>
              <w:top w:val="nil"/>
              <w:left w:val="nil"/>
              <w:bottom w:val="nil"/>
              <w:right w:val="nil"/>
            </w:tcBorders>
            <w:noWrap w:val="0"/>
            <w:vAlign w:val="center"/>
          </w:tcPr>
          <w:p w14:paraId="406B23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2024年中央林业草原生态保护恢复资金-森林保护修复支出-（国家公益林管护）项目</w:t>
            </w:r>
            <w:r>
              <w:rPr>
                <w:rStyle w:val="60"/>
                <w:rFonts w:hint="eastAsia" w:ascii="宋体" w:hAnsi="宋体" w:eastAsia="宋体" w:cs="宋体"/>
                <w:color w:val="000000"/>
                <w:sz w:val="21"/>
                <w:szCs w:val="21"/>
                <w:highlight w:val="none"/>
                <w:lang w:val="en-US" w:eastAsia="zh-CN"/>
              </w:rPr>
              <w:t>绩效评价指标体系综合评分表</w:t>
            </w:r>
          </w:p>
        </w:tc>
      </w:tr>
      <w:tr w14:paraId="33B89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99" w:type="dxa"/>
            <w:tcBorders>
              <w:top w:val="single" w:color="auto" w:sz="4" w:space="0"/>
              <w:left w:val="single" w:color="auto" w:sz="4" w:space="0"/>
              <w:bottom w:val="single" w:color="auto" w:sz="4" w:space="0"/>
              <w:right w:val="single" w:color="auto" w:sz="4" w:space="0"/>
            </w:tcBorders>
            <w:noWrap w:val="0"/>
            <w:vAlign w:val="center"/>
          </w:tcPr>
          <w:p w14:paraId="5B7D37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一级指标</w:t>
            </w:r>
          </w:p>
        </w:tc>
        <w:tc>
          <w:tcPr>
            <w:tcW w:w="548" w:type="dxa"/>
            <w:tcBorders>
              <w:top w:val="single" w:color="auto" w:sz="4" w:space="0"/>
              <w:left w:val="single" w:color="auto" w:sz="4" w:space="0"/>
              <w:bottom w:val="single" w:color="auto" w:sz="4" w:space="0"/>
              <w:right w:val="single" w:color="auto" w:sz="4" w:space="0"/>
            </w:tcBorders>
            <w:noWrap w:val="0"/>
            <w:vAlign w:val="center"/>
          </w:tcPr>
          <w:p w14:paraId="3F022B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分值</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7F2FDE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二级指标</w:t>
            </w:r>
          </w:p>
        </w:tc>
        <w:tc>
          <w:tcPr>
            <w:tcW w:w="475" w:type="dxa"/>
            <w:tcBorders>
              <w:top w:val="single" w:color="auto" w:sz="4" w:space="0"/>
              <w:left w:val="single" w:color="auto" w:sz="4" w:space="0"/>
              <w:bottom w:val="single" w:color="auto" w:sz="4" w:space="0"/>
              <w:right w:val="single" w:color="auto" w:sz="4" w:space="0"/>
            </w:tcBorders>
            <w:noWrap w:val="0"/>
            <w:vAlign w:val="center"/>
          </w:tcPr>
          <w:p w14:paraId="0D677B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分值</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3734BA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三级指标</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6FDB97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分值</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3D760D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指标解释</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64CAFE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标杆值</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76EA2B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评分标准</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06387B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完成值</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2794BB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得分</w:t>
            </w:r>
          </w:p>
        </w:tc>
      </w:tr>
      <w:tr w14:paraId="5ED6C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9" w:type="dxa"/>
            <w:vMerge w:val="restart"/>
            <w:tcBorders>
              <w:top w:val="single" w:color="auto" w:sz="4" w:space="0"/>
              <w:left w:val="single" w:color="auto" w:sz="4" w:space="0"/>
              <w:bottom w:val="single" w:color="auto" w:sz="4" w:space="0"/>
              <w:right w:val="single" w:color="auto" w:sz="4" w:space="0"/>
            </w:tcBorders>
            <w:noWrap w:val="0"/>
            <w:vAlign w:val="center"/>
          </w:tcPr>
          <w:p w14:paraId="18683F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项目决策</w:t>
            </w:r>
          </w:p>
        </w:tc>
        <w:tc>
          <w:tcPr>
            <w:tcW w:w="548" w:type="dxa"/>
            <w:vMerge w:val="restart"/>
            <w:tcBorders>
              <w:top w:val="single" w:color="auto" w:sz="4" w:space="0"/>
              <w:left w:val="single" w:color="auto" w:sz="4" w:space="0"/>
              <w:bottom w:val="single" w:color="auto" w:sz="4" w:space="0"/>
              <w:right w:val="single" w:color="auto" w:sz="4" w:space="0"/>
            </w:tcBorders>
            <w:noWrap w:val="0"/>
            <w:vAlign w:val="center"/>
          </w:tcPr>
          <w:p w14:paraId="068B06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23</w:t>
            </w:r>
          </w:p>
        </w:tc>
        <w:tc>
          <w:tcPr>
            <w:tcW w:w="712" w:type="dxa"/>
            <w:vMerge w:val="restart"/>
            <w:tcBorders>
              <w:top w:val="single" w:color="auto" w:sz="4" w:space="0"/>
              <w:left w:val="single" w:color="auto" w:sz="4" w:space="0"/>
              <w:bottom w:val="single" w:color="auto" w:sz="4" w:space="0"/>
              <w:right w:val="single" w:color="auto" w:sz="4" w:space="0"/>
            </w:tcBorders>
            <w:noWrap w:val="0"/>
            <w:vAlign w:val="center"/>
          </w:tcPr>
          <w:p w14:paraId="628D88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项目立项</w:t>
            </w:r>
          </w:p>
        </w:tc>
        <w:tc>
          <w:tcPr>
            <w:tcW w:w="475" w:type="dxa"/>
            <w:vMerge w:val="restart"/>
            <w:tcBorders>
              <w:top w:val="single" w:color="auto" w:sz="4" w:space="0"/>
              <w:left w:val="single" w:color="auto" w:sz="4" w:space="0"/>
              <w:bottom w:val="single" w:color="auto" w:sz="4" w:space="0"/>
              <w:right w:val="single" w:color="auto" w:sz="4" w:space="0"/>
            </w:tcBorders>
            <w:noWrap w:val="0"/>
            <w:vAlign w:val="center"/>
          </w:tcPr>
          <w:p w14:paraId="4FCAC5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50E62C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立项依据充分性</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77FF96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33A9B0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项目立项是否符合法律法规、相关政策、发展规划以及部门职责，用以反映和考核项目立项依据情况。</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2EF0B7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充分</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1EE3367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①项目立项是否符合国家法律法规、国民经济发展规划和相关政策；</w:t>
            </w:r>
          </w:p>
          <w:p w14:paraId="639A46B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②项目立项是否符合行业发展规划和政策要求；</w:t>
            </w:r>
          </w:p>
          <w:p w14:paraId="47CCF7A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③项目立项是否与部门职责范围相符，属于部门履职所需；</w:t>
            </w:r>
          </w:p>
          <w:p w14:paraId="30ECDB7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④项目是否属于公共财政支持范围，是否符合中央、地方事权支出责任划分原则；</w:t>
            </w:r>
          </w:p>
          <w:p w14:paraId="09E63DB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⑤项目是否与相关部门同类项目或部门内部相关项目重复。</w:t>
            </w:r>
          </w:p>
          <w:p w14:paraId="110577D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以上每条要素占权重分的20%，每有一条不符合，扣除对应权重分，扣完为止。</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47F363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充分</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1D8041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w:t>
            </w:r>
          </w:p>
        </w:tc>
      </w:tr>
      <w:tr w14:paraId="1B4EC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continue"/>
            <w:tcBorders>
              <w:top w:val="single" w:color="auto" w:sz="4" w:space="0"/>
              <w:left w:val="single" w:color="auto" w:sz="4" w:space="0"/>
              <w:bottom w:val="single" w:color="auto" w:sz="4" w:space="0"/>
              <w:right w:val="single" w:color="auto" w:sz="4" w:space="0"/>
            </w:tcBorders>
            <w:noWrap w:val="0"/>
            <w:vAlign w:val="center"/>
          </w:tcPr>
          <w:p w14:paraId="0B7E13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63C166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2CDACE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475" w:type="dxa"/>
            <w:vMerge w:val="continue"/>
            <w:tcBorders>
              <w:top w:val="single" w:color="auto" w:sz="4" w:space="0"/>
              <w:left w:val="single" w:color="auto" w:sz="4" w:space="0"/>
              <w:bottom w:val="single" w:color="auto" w:sz="4" w:space="0"/>
              <w:right w:val="single" w:color="auto" w:sz="4" w:space="0"/>
            </w:tcBorders>
            <w:noWrap w:val="0"/>
            <w:vAlign w:val="center"/>
          </w:tcPr>
          <w:p w14:paraId="443359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21" w:type="dxa"/>
            <w:tcBorders>
              <w:top w:val="single" w:color="auto" w:sz="4" w:space="0"/>
              <w:left w:val="single" w:color="auto" w:sz="4" w:space="0"/>
              <w:bottom w:val="single" w:color="auto" w:sz="4" w:space="0"/>
              <w:right w:val="single" w:color="auto" w:sz="4" w:space="0"/>
            </w:tcBorders>
            <w:noWrap w:val="0"/>
            <w:vAlign w:val="center"/>
          </w:tcPr>
          <w:p w14:paraId="2D3B53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立项程序规范性</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55C8E3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1877D2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项目申请、设立过程是否符合相关要求，用以反映和考核项目立项的规范情况。</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478B6B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规范</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5FF1D4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①项目是否按照规定的程序申请设立；</w:t>
            </w:r>
          </w:p>
          <w:p w14:paraId="21451A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②审批文件、材料是否符合相关要求；</w:t>
            </w:r>
          </w:p>
          <w:p w14:paraId="7CAAD9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③事前是否已经过必要的可行性研究、专家论证、风险评估、绩效评估、集体决策。</w:t>
            </w:r>
          </w:p>
          <w:p w14:paraId="6BBC17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①②③齐全得权重分的100%，缺①扣权重分的40%，缺②扣权重分的30%，缺③扣权重分的30%。</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7C7296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规范</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471802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w:t>
            </w:r>
          </w:p>
        </w:tc>
      </w:tr>
      <w:tr w14:paraId="104BC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9" w:hRule="atLeast"/>
        </w:trPr>
        <w:tc>
          <w:tcPr>
            <w:tcW w:w="599" w:type="dxa"/>
            <w:vMerge w:val="continue"/>
            <w:tcBorders>
              <w:top w:val="single" w:color="auto" w:sz="4" w:space="0"/>
              <w:left w:val="single" w:color="auto" w:sz="4" w:space="0"/>
              <w:bottom w:val="single" w:color="auto" w:sz="4" w:space="0"/>
              <w:right w:val="single" w:color="auto" w:sz="4" w:space="0"/>
            </w:tcBorders>
            <w:noWrap w:val="0"/>
            <w:vAlign w:val="center"/>
          </w:tcPr>
          <w:p w14:paraId="051350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2D870A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2" w:type="dxa"/>
            <w:vMerge w:val="restart"/>
            <w:tcBorders>
              <w:top w:val="single" w:color="auto" w:sz="4" w:space="0"/>
              <w:left w:val="single" w:color="auto" w:sz="4" w:space="0"/>
              <w:bottom w:val="single" w:color="auto" w:sz="4" w:space="0"/>
              <w:right w:val="single" w:color="auto" w:sz="4" w:space="0"/>
            </w:tcBorders>
            <w:noWrap w:val="0"/>
            <w:vAlign w:val="center"/>
          </w:tcPr>
          <w:p w14:paraId="1019B1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绩效目标</w:t>
            </w:r>
          </w:p>
        </w:tc>
        <w:tc>
          <w:tcPr>
            <w:tcW w:w="475" w:type="dxa"/>
            <w:vMerge w:val="restart"/>
            <w:tcBorders>
              <w:top w:val="single" w:color="auto" w:sz="4" w:space="0"/>
              <w:left w:val="single" w:color="auto" w:sz="4" w:space="0"/>
              <w:bottom w:val="single" w:color="auto" w:sz="4" w:space="0"/>
              <w:right w:val="single" w:color="auto" w:sz="4" w:space="0"/>
            </w:tcBorders>
            <w:noWrap w:val="0"/>
            <w:vAlign w:val="center"/>
          </w:tcPr>
          <w:p w14:paraId="0E9E8D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594BFF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绩效目标合理性</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2E5D9B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3FFE0F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项目所设定的绩效目标是否依据充分，是否符合客观实际，用以反映和考核项目绩效目标与项目实施的相符情况。</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2EBE11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70E6A1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①项目是否有绩效目标；</w:t>
            </w:r>
          </w:p>
          <w:p w14:paraId="6DE7D6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②项目绩效目标与实际工作内容是否具有相关性；</w:t>
            </w:r>
          </w:p>
          <w:p w14:paraId="51FE6F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③项目预期产出效益和效果是否符合正常的业绩水平；</w:t>
            </w:r>
          </w:p>
          <w:p w14:paraId="3A10D9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④是否与预算确定的项目投资额或资金量相匹配。</w:t>
            </w:r>
          </w:p>
          <w:p w14:paraId="25EED8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以上每条要素各占权重的25%，每有一条不符合，扣除对应的权重分，扣完为止。</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468092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14316F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r>
      <w:tr w14:paraId="0D1B8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9" w:type="dxa"/>
            <w:vMerge w:val="continue"/>
            <w:tcBorders>
              <w:top w:val="single" w:color="auto" w:sz="4" w:space="0"/>
              <w:left w:val="single" w:color="auto" w:sz="4" w:space="0"/>
              <w:bottom w:val="single" w:color="auto" w:sz="4" w:space="0"/>
              <w:right w:val="single" w:color="auto" w:sz="4" w:space="0"/>
            </w:tcBorders>
            <w:noWrap w:val="0"/>
            <w:vAlign w:val="center"/>
          </w:tcPr>
          <w:p w14:paraId="0FF37F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11BC06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3E15F2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475" w:type="dxa"/>
            <w:vMerge w:val="continue"/>
            <w:tcBorders>
              <w:top w:val="single" w:color="auto" w:sz="4" w:space="0"/>
              <w:left w:val="single" w:color="auto" w:sz="4" w:space="0"/>
              <w:bottom w:val="single" w:color="auto" w:sz="4" w:space="0"/>
              <w:right w:val="single" w:color="auto" w:sz="4" w:space="0"/>
            </w:tcBorders>
            <w:noWrap w:val="0"/>
            <w:vAlign w:val="center"/>
          </w:tcPr>
          <w:p w14:paraId="0A86EE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21" w:type="dxa"/>
            <w:tcBorders>
              <w:top w:val="single" w:color="auto" w:sz="4" w:space="0"/>
              <w:left w:val="single" w:color="auto" w:sz="4" w:space="0"/>
              <w:bottom w:val="single" w:color="auto" w:sz="4" w:space="0"/>
              <w:right w:val="single" w:color="auto" w:sz="4" w:space="0"/>
            </w:tcBorders>
            <w:noWrap w:val="0"/>
            <w:vAlign w:val="center"/>
          </w:tcPr>
          <w:p w14:paraId="58F3D1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绩效指标明确性</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71A9B8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246E0B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依据绩效目标设定的绩效指标是否清晰、细化、可衡量等，用以反映和考核项目绩效目标的明细化情况。</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23D648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明确</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56625E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①是否将项目绩效目标细化分解为具体的绩效指标；</w:t>
            </w:r>
          </w:p>
          <w:p w14:paraId="60113B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②是否通过清晰、可衡量的指标值予以体现；</w:t>
            </w:r>
          </w:p>
          <w:p w14:paraId="1802CB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③是否与项目目标任务数或计划数相对应。</w:t>
            </w:r>
          </w:p>
          <w:p w14:paraId="117F55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①②③齐全得权重分的100%，缺①扣权重分的20%，缺②扣权重分的50%，缺③扣权重分的30%。</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169321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明确</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2365DB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r>
      <w:tr w14:paraId="107CD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599" w:type="dxa"/>
            <w:vMerge w:val="continue"/>
            <w:tcBorders>
              <w:top w:val="single" w:color="auto" w:sz="4" w:space="0"/>
              <w:left w:val="single" w:color="auto" w:sz="4" w:space="0"/>
              <w:bottom w:val="single" w:color="auto" w:sz="4" w:space="0"/>
              <w:right w:val="single" w:color="auto" w:sz="4" w:space="0"/>
            </w:tcBorders>
            <w:noWrap w:val="0"/>
            <w:vAlign w:val="center"/>
          </w:tcPr>
          <w:p w14:paraId="67F327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23B563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2" w:type="dxa"/>
            <w:vMerge w:val="restart"/>
            <w:tcBorders>
              <w:top w:val="single" w:color="auto" w:sz="4" w:space="0"/>
              <w:left w:val="single" w:color="auto" w:sz="4" w:space="0"/>
              <w:bottom w:val="single" w:color="auto" w:sz="4" w:space="0"/>
              <w:right w:val="single" w:color="auto" w:sz="4" w:space="0"/>
            </w:tcBorders>
            <w:noWrap w:val="0"/>
            <w:vAlign w:val="center"/>
          </w:tcPr>
          <w:p w14:paraId="7CDBD1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资金投入</w:t>
            </w:r>
          </w:p>
        </w:tc>
        <w:tc>
          <w:tcPr>
            <w:tcW w:w="475" w:type="dxa"/>
            <w:vMerge w:val="restart"/>
            <w:tcBorders>
              <w:top w:val="single" w:color="auto" w:sz="4" w:space="0"/>
              <w:left w:val="single" w:color="auto" w:sz="4" w:space="0"/>
              <w:bottom w:val="single" w:color="auto" w:sz="4" w:space="0"/>
              <w:right w:val="single" w:color="auto" w:sz="4" w:space="0"/>
            </w:tcBorders>
            <w:noWrap w:val="0"/>
            <w:vAlign w:val="center"/>
          </w:tcPr>
          <w:p w14:paraId="13A5F4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8</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0981EB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预算编制科学性</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57D701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4F2165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项目预算编制是否经过科学论证、有明确标准，资金额度与年度目标是否相适应，用以反映和考核项目预算编制的科学性、合理性情况。</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37FE36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科学</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3A1C6B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①预算编制是否经过科学论证；</w:t>
            </w:r>
          </w:p>
          <w:p w14:paraId="504530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②预算内容与项目内容是否匹配；</w:t>
            </w:r>
          </w:p>
          <w:p w14:paraId="0D8484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③预算额度测算依据是否充分，是否按照标准编制；</w:t>
            </w:r>
          </w:p>
          <w:p w14:paraId="2141A3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④预算确定的项目投资额或资金量是否与工作任务相匹配。</w:t>
            </w:r>
          </w:p>
          <w:p w14:paraId="247E34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以上每条要素各占权重的25%，每有一条不符合，扣除对应的权重分，扣完为止。</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319D14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科学</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4B7033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4</w:t>
            </w:r>
          </w:p>
        </w:tc>
      </w:tr>
      <w:tr w14:paraId="36DE4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9" w:type="dxa"/>
            <w:vMerge w:val="continue"/>
            <w:tcBorders>
              <w:top w:val="single" w:color="auto" w:sz="4" w:space="0"/>
              <w:left w:val="single" w:color="auto" w:sz="4" w:space="0"/>
              <w:bottom w:val="single" w:color="auto" w:sz="4" w:space="0"/>
              <w:right w:val="single" w:color="auto" w:sz="4" w:space="0"/>
            </w:tcBorders>
            <w:noWrap w:val="0"/>
            <w:vAlign w:val="center"/>
          </w:tcPr>
          <w:p w14:paraId="1864DB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4FB273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1E24CB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475" w:type="dxa"/>
            <w:vMerge w:val="continue"/>
            <w:tcBorders>
              <w:top w:val="single" w:color="auto" w:sz="4" w:space="0"/>
              <w:left w:val="single" w:color="auto" w:sz="4" w:space="0"/>
              <w:bottom w:val="single" w:color="auto" w:sz="4" w:space="0"/>
              <w:right w:val="single" w:color="auto" w:sz="4" w:space="0"/>
            </w:tcBorders>
            <w:noWrap w:val="0"/>
            <w:vAlign w:val="center"/>
          </w:tcPr>
          <w:p w14:paraId="1F7623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21" w:type="dxa"/>
            <w:tcBorders>
              <w:top w:val="single" w:color="auto" w:sz="4" w:space="0"/>
              <w:left w:val="single" w:color="auto" w:sz="4" w:space="0"/>
              <w:bottom w:val="single" w:color="auto" w:sz="4" w:space="0"/>
              <w:right w:val="single" w:color="auto" w:sz="4" w:space="0"/>
            </w:tcBorders>
            <w:noWrap w:val="0"/>
            <w:vAlign w:val="center"/>
          </w:tcPr>
          <w:p w14:paraId="628E5A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资金分配合理性</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317C26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4D8B4F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项目预算资金分配是否有测算依据，与补助单位或地方实际是否相适应，用以反映和考核项目预算资金分配的科学性、合理性情况。</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52163C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74000C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①预算资金分配依据是否充分；</w:t>
            </w:r>
          </w:p>
          <w:p w14:paraId="753B4B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②资金分配额度是否合理，与项目单位或地方实际是否相适应。</w:t>
            </w:r>
          </w:p>
          <w:p w14:paraId="7F266C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以上每条要素各占权重的50%，每有一条不符合，扣除对应的权重分，扣完为止。</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23F287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26D5E3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4</w:t>
            </w:r>
          </w:p>
        </w:tc>
      </w:tr>
      <w:tr w14:paraId="39435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9" w:type="dxa"/>
            <w:vMerge w:val="restart"/>
            <w:tcBorders>
              <w:top w:val="single" w:color="auto" w:sz="4" w:space="0"/>
              <w:left w:val="single" w:color="auto" w:sz="4" w:space="0"/>
              <w:bottom w:val="single" w:color="auto" w:sz="4" w:space="0"/>
              <w:right w:val="single" w:color="auto" w:sz="4" w:space="0"/>
            </w:tcBorders>
            <w:noWrap w:val="0"/>
            <w:vAlign w:val="center"/>
          </w:tcPr>
          <w:p w14:paraId="4E227A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项目过程</w:t>
            </w:r>
          </w:p>
        </w:tc>
        <w:tc>
          <w:tcPr>
            <w:tcW w:w="548" w:type="dxa"/>
            <w:vMerge w:val="restart"/>
            <w:tcBorders>
              <w:top w:val="single" w:color="auto" w:sz="4" w:space="0"/>
              <w:left w:val="single" w:color="auto" w:sz="4" w:space="0"/>
              <w:bottom w:val="single" w:color="auto" w:sz="4" w:space="0"/>
              <w:right w:val="single" w:color="auto" w:sz="4" w:space="0"/>
            </w:tcBorders>
            <w:noWrap w:val="0"/>
            <w:vAlign w:val="center"/>
          </w:tcPr>
          <w:p w14:paraId="3CEA70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12</w:t>
            </w:r>
          </w:p>
        </w:tc>
        <w:tc>
          <w:tcPr>
            <w:tcW w:w="712" w:type="dxa"/>
            <w:vMerge w:val="restart"/>
            <w:tcBorders>
              <w:top w:val="single" w:color="auto" w:sz="4" w:space="0"/>
              <w:left w:val="single" w:color="auto" w:sz="4" w:space="0"/>
              <w:bottom w:val="single" w:color="auto" w:sz="4" w:space="0"/>
              <w:right w:val="single" w:color="auto" w:sz="4" w:space="0"/>
            </w:tcBorders>
            <w:noWrap w:val="0"/>
            <w:vAlign w:val="center"/>
          </w:tcPr>
          <w:p w14:paraId="46647F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资金管理</w:t>
            </w:r>
          </w:p>
        </w:tc>
        <w:tc>
          <w:tcPr>
            <w:tcW w:w="475" w:type="dxa"/>
            <w:vMerge w:val="restart"/>
            <w:tcBorders>
              <w:top w:val="single" w:color="auto" w:sz="4" w:space="0"/>
              <w:left w:val="single" w:color="auto" w:sz="4" w:space="0"/>
              <w:bottom w:val="single" w:color="auto" w:sz="4" w:space="0"/>
              <w:right w:val="single" w:color="auto" w:sz="4" w:space="0"/>
            </w:tcBorders>
            <w:noWrap w:val="0"/>
            <w:vAlign w:val="center"/>
          </w:tcPr>
          <w:p w14:paraId="4E9E49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6</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2BF1AD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资金到位率</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1356FB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2CB707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实际到位资金与预算资金的比率，用以反映和考核资金落实情况对项目实施的总体保障程度。</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607E4F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759A86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资金到位率=（实际到位资金/预算资金）×100%。</w:t>
            </w:r>
          </w:p>
          <w:p w14:paraId="05E759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资金到位率=100%，得权重分满分，每降低1%，扣除5%权重分，扣完为止。</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65510A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057F94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w:t>
            </w:r>
          </w:p>
        </w:tc>
      </w:tr>
      <w:tr w14:paraId="54FEC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599" w:type="dxa"/>
            <w:vMerge w:val="continue"/>
            <w:tcBorders>
              <w:top w:val="single" w:color="auto" w:sz="4" w:space="0"/>
              <w:left w:val="single" w:color="auto" w:sz="4" w:space="0"/>
              <w:bottom w:val="single" w:color="auto" w:sz="4" w:space="0"/>
              <w:right w:val="single" w:color="auto" w:sz="4" w:space="0"/>
            </w:tcBorders>
            <w:noWrap w:val="0"/>
            <w:vAlign w:val="center"/>
          </w:tcPr>
          <w:p w14:paraId="6D85C4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4D333A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599399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475" w:type="dxa"/>
            <w:vMerge w:val="continue"/>
            <w:tcBorders>
              <w:top w:val="single" w:color="auto" w:sz="4" w:space="0"/>
              <w:left w:val="single" w:color="auto" w:sz="4" w:space="0"/>
              <w:bottom w:val="single" w:color="auto" w:sz="4" w:space="0"/>
              <w:right w:val="single" w:color="auto" w:sz="4" w:space="0"/>
            </w:tcBorders>
            <w:noWrap w:val="0"/>
            <w:vAlign w:val="center"/>
          </w:tcPr>
          <w:p w14:paraId="3E5DF5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21" w:type="dxa"/>
            <w:tcBorders>
              <w:top w:val="single" w:color="auto" w:sz="4" w:space="0"/>
              <w:left w:val="single" w:color="auto" w:sz="4" w:space="0"/>
              <w:bottom w:val="single" w:color="auto" w:sz="4" w:space="0"/>
              <w:right w:val="single" w:color="auto" w:sz="4" w:space="0"/>
            </w:tcBorders>
            <w:noWrap w:val="0"/>
            <w:vAlign w:val="center"/>
          </w:tcPr>
          <w:p w14:paraId="365AB7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预算执行率</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085158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414AD7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项目预算资金是否按照计划执行，用以反映或考核项目预算执行情况。</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49275B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445736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预算执行率=（实际支出资金/实际到位资金）×100%。</w:t>
            </w:r>
          </w:p>
          <w:p w14:paraId="7F0C02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预算执行率=100%，得权重分满分；若预算执行率＜100%，得分=预算执行率*分值；若执行率≤60%，则不得分。</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796CED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98.5%</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013791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1.97</w:t>
            </w:r>
          </w:p>
        </w:tc>
      </w:tr>
      <w:tr w14:paraId="69F7B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 w:hRule="atLeast"/>
        </w:trPr>
        <w:tc>
          <w:tcPr>
            <w:tcW w:w="599" w:type="dxa"/>
            <w:vMerge w:val="continue"/>
            <w:tcBorders>
              <w:top w:val="single" w:color="auto" w:sz="4" w:space="0"/>
              <w:left w:val="single" w:color="auto" w:sz="4" w:space="0"/>
              <w:bottom w:val="single" w:color="auto" w:sz="4" w:space="0"/>
              <w:right w:val="single" w:color="auto" w:sz="4" w:space="0"/>
            </w:tcBorders>
            <w:noWrap w:val="0"/>
            <w:vAlign w:val="center"/>
          </w:tcPr>
          <w:p w14:paraId="15A89E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5868DE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32D0D7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475" w:type="dxa"/>
            <w:vMerge w:val="continue"/>
            <w:tcBorders>
              <w:top w:val="single" w:color="auto" w:sz="4" w:space="0"/>
              <w:left w:val="single" w:color="auto" w:sz="4" w:space="0"/>
              <w:bottom w:val="single" w:color="auto" w:sz="4" w:space="0"/>
              <w:right w:val="single" w:color="auto" w:sz="4" w:space="0"/>
            </w:tcBorders>
            <w:noWrap w:val="0"/>
            <w:vAlign w:val="center"/>
          </w:tcPr>
          <w:p w14:paraId="7910FE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21" w:type="dxa"/>
            <w:tcBorders>
              <w:top w:val="single" w:color="auto" w:sz="4" w:space="0"/>
              <w:left w:val="single" w:color="auto" w:sz="4" w:space="0"/>
              <w:bottom w:val="single" w:color="auto" w:sz="4" w:space="0"/>
              <w:right w:val="single" w:color="auto" w:sz="4" w:space="0"/>
            </w:tcBorders>
            <w:noWrap w:val="0"/>
            <w:vAlign w:val="center"/>
          </w:tcPr>
          <w:p w14:paraId="75111B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资金使用合规性</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27296B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6C5213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项目资金使用是否符合相关的财务管理制度规定，用以反映和考核项目资金的规范运行情况。</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432A64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合规</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264C7F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①否符合国家财经法规和财务管理制度以及有关专项资金管理办法的规定；</w:t>
            </w:r>
          </w:p>
          <w:p w14:paraId="39F267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②资金的拨付是否有完整的审批程序和手续；</w:t>
            </w:r>
          </w:p>
          <w:p w14:paraId="140EC8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③是否符合项目预算批复或合同规定的用途；</w:t>
            </w:r>
          </w:p>
          <w:p w14:paraId="512209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④是否存在截留、挤占、挪用、虚列支出等情况。</w:t>
            </w:r>
          </w:p>
          <w:p w14:paraId="708AFE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以上每条指标各占权重分的25%，要素①②不符合，扣除对应权重分；要素③④不符合属于重大违纪，该指标不得分。</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354917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合规</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225063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w:t>
            </w:r>
          </w:p>
        </w:tc>
      </w:tr>
      <w:tr w14:paraId="1DD3D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9" w:type="dxa"/>
            <w:vMerge w:val="continue"/>
            <w:tcBorders>
              <w:top w:val="single" w:color="auto" w:sz="4" w:space="0"/>
              <w:left w:val="single" w:color="auto" w:sz="4" w:space="0"/>
              <w:bottom w:val="single" w:color="auto" w:sz="4" w:space="0"/>
              <w:right w:val="single" w:color="auto" w:sz="4" w:space="0"/>
            </w:tcBorders>
            <w:noWrap w:val="0"/>
            <w:vAlign w:val="center"/>
          </w:tcPr>
          <w:p w14:paraId="78EBE9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2097D5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2" w:type="dxa"/>
            <w:vMerge w:val="restart"/>
            <w:tcBorders>
              <w:top w:val="single" w:color="auto" w:sz="4" w:space="0"/>
              <w:left w:val="single" w:color="auto" w:sz="4" w:space="0"/>
              <w:bottom w:val="single" w:color="auto" w:sz="4" w:space="0"/>
              <w:right w:val="single" w:color="auto" w:sz="4" w:space="0"/>
            </w:tcBorders>
            <w:noWrap w:val="0"/>
            <w:vAlign w:val="center"/>
          </w:tcPr>
          <w:p w14:paraId="72D900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组织实施</w:t>
            </w:r>
          </w:p>
        </w:tc>
        <w:tc>
          <w:tcPr>
            <w:tcW w:w="475" w:type="dxa"/>
            <w:vMerge w:val="restart"/>
            <w:tcBorders>
              <w:top w:val="single" w:color="auto" w:sz="4" w:space="0"/>
              <w:left w:val="single" w:color="auto" w:sz="4" w:space="0"/>
              <w:bottom w:val="single" w:color="auto" w:sz="4" w:space="0"/>
              <w:right w:val="single" w:color="auto" w:sz="4" w:space="0"/>
            </w:tcBorders>
            <w:noWrap w:val="0"/>
            <w:vAlign w:val="center"/>
          </w:tcPr>
          <w:p w14:paraId="66A6D5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6</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1D4BE3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管理制度健全性</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269787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1854D8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项目实施单位的财务和业务管理制度是否健全，用以反映和考核财务和业务管理制度对项目顺利实施的保障情况。</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3A3134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健全</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7223BF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①是否已制定或具有相应的财务和业务管理制度；</w:t>
            </w:r>
          </w:p>
          <w:p w14:paraId="6570B4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②财务和业务管理制度是否合法、合规、完整。</w:t>
            </w:r>
          </w:p>
          <w:p w14:paraId="3B7A6A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以上每条要素各占权重的50%，每有一条不符合，扣除对应的权重分，扣完为止。</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2CE413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健全</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7FE641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w:t>
            </w:r>
          </w:p>
        </w:tc>
      </w:tr>
      <w:tr w14:paraId="575D1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9" w:type="dxa"/>
            <w:vMerge w:val="continue"/>
            <w:tcBorders>
              <w:top w:val="single" w:color="auto" w:sz="4" w:space="0"/>
              <w:left w:val="single" w:color="auto" w:sz="4" w:space="0"/>
              <w:bottom w:val="single" w:color="auto" w:sz="4" w:space="0"/>
              <w:right w:val="single" w:color="auto" w:sz="4" w:space="0"/>
            </w:tcBorders>
            <w:noWrap w:val="0"/>
            <w:vAlign w:val="center"/>
          </w:tcPr>
          <w:p w14:paraId="3C712E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565570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450DE0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475" w:type="dxa"/>
            <w:vMerge w:val="continue"/>
            <w:tcBorders>
              <w:top w:val="single" w:color="auto" w:sz="4" w:space="0"/>
              <w:left w:val="single" w:color="auto" w:sz="4" w:space="0"/>
              <w:bottom w:val="single" w:color="auto" w:sz="4" w:space="0"/>
              <w:right w:val="single" w:color="auto" w:sz="4" w:space="0"/>
            </w:tcBorders>
            <w:noWrap w:val="0"/>
            <w:vAlign w:val="center"/>
          </w:tcPr>
          <w:p w14:paraId="3521F3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21" w:type="dxa"/>
            <w:tcBorders>
              <w:top w:val="single" w:color="auto" w:sz="4" w:space="0"/>
              <w:left w:val="single" w:color="auto" w:sz="4" w:space="0"/>
              <w:bottom w:val="single" w:color="auto" w:sz="4" w:space="0"/>
              <w:right w:val="single" w:color="auto" w:sz="4" w:space="0"/>
            </w:tcBorders>
            <w:noWrap w:val="0"/>
            <w:vAlign w:val="center"/>
          </w:tcPr>
          <w:p w14:paraId="2EC899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制度执行有效性</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5380DA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1DD480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项目实施是否符合相关管理规定，用以反映和考核相关管理制度的有效执行情况。</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6088FC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589259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①否遵守相关法律法规和相关管理规定；</w:t>
            </w:r>
          </w:p>
          <w:p w14:paraId="2815A3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②项目调整及支出调整手续是否完备；</w:t>
            </w:r>
          </w:p>
          <w:p w14:paraId="1EA126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③项目资料是否齐全并及时归档。</w:t>
            </w:r>
          </w:p>
          <w:p w14:paraId="39FB47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①②③齐全得权重分的100%，缺①扣权重分的30%，缺②扣权重分的40%，缺③扣权重分的30%。</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0D92B7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77632A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w:t>
            </w:r>
          </w:p>
        </w:tc>
      </w:tr>
      <w:tr w14:paraId="6AB29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599" w:type="dxa"/>
            <w:vMerge w:val="restart"/>
            <w:tcBorders>
              <w:top w:val="single" w:color="auto" w:sz="4" w:space="0"/>
              <w:left w:val="single" w:color="auto" w:sz="4" w:space="0"/>
              <w:right w:val="single" w:color="auto" w:sz="4" w:space="0"/>
            </w:tcBorders>
            <w:noWrap w:val="0"/>
            <w:vAlign w:val="center"/>
          </w:tcPr>
          <w:p w14:paraId="20BDC2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项目产出</w:t>
            </w:r>
          </w:p>
        </w:tc>
        <w:tc>
          <w:tcPr>
            <w:tcW w:w="548" w:type="dxa"/>
            <w:vMerge w:val="restart"/>
            <w:tcBorders>
              <w:top w:val="single" w:color="auto" w:sz="4" w:space="0"/>
              <w:left w:val="single" w:color="auto" w:sz="4" w:space="0"/>
              <w:right w:val="single" w:color="auto" w:sz="4" w:space="0"/>
            </w:tcBorders>
            <w:noWrap w:val="0"/>
            <w:vAlign w:val="center"/>
          </w:tcPr>
          <w:p w14:paraId="79548D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40</w:t>
            </w:r>
          </w:p>
        </w:tc>
        <w:tc>
          <w:tcPr>
            <w:tcW w:w="712" w:type="dxa"/>
            <w:vMerge w:val="restart"/>
            <w:tcBorders>
              <w:top w:val="single" w:color="auto" w:sz="4" w:space="0"/>
              <w:left w:val="single" w:color="auto" w:sz="4" w:space="0"/>
              <w:right w:val="single" w:color="auto" w:sz="4" w:space="0"/>
            </w:tcBorders>
            <w:noWrap w:val="0"/>
            <w:vAlign w:val="center"/>
          </w:tcPr>
          <w:p w14:paraId="345953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产出数量</w:t>
            </w:r>
          </w:p>
        </w:tc>
        <w:tc>
          <w:tcPr>
            <w:tcW w:w="475" w:type="dxa"/>
            <w:vMerge w:val="restart"/>
            <w:tcBorders>
              <w:top w:val="single" w:color="auto" w:sz="4" w:space="0"/>
              <w:left w:val="single" w:color="auto" w:sz="4" w:space="0"/>
              <w:right w:val="single" w:color="auto" w:sz="4" w:space="0"/>
            </w:tcBorders>
            <w:noWrap w:val="0"/>
            <w:vAlign w:val="center"/>
          </w:tcPr>
          <w:p w14:paraId="58714D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721" w:type="dxa"/>
            <w:vMerge w:val="restart"/>
            <w:tcBorders>
              <w:top w:val="single" w:color="auto" w:sz="4" w:space="0"/>
              <w:left w:val="single" w:color="auto" w:sz="4" w:space="0"/>
              <w:right w:val="single" w:color="auto" w:sz="4" w:space="0"/>
            </w:tcBorders>
            <w:noWrap w:val="0"/>
            <w:vAlign w:val="center"/>
          </w:tcPr>
          <w:p w14:paraId="1D820A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实际完成率</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47ACE2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48EABF05">
            <w:pPr>
              <w:keepNext w:val="0"/>
              <w:keepLines w:val="0"/>
              <w:widowControl/>
              <w:suppressLineNumbers w:val="0"/>
              <w:ind w:firstLine="420" w:firstLineChars="20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u w:val="none"/>
                <w:lang w:val="en-US" w:eastAsia="zh-CN"/>
              </w:rPr>
              <w:t>管护公益林面积</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77D9AB0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u w:val="none"/>
                <w:lang w:val="en-US" w:eastAsia="zh-CN"/>
              </w:rPr>
              <w:t>&gt;=35.70万亩</w:t>
            </w:r>
          </w:p>
        </w:tc>
        <w:tc>
          <w:tcPr>
            <w:tcW w:w="4288" w:type="dxa"/>
            <w:vMerge w:val="restart"/>
            <w:tcBorders>
              <w:top w:val="single" w:color="auto" w:sz="4" w:space="0"/>
              <w:left w:val="single" w:color="auto" w:sz="4" w:space="0"/>
              <w:right w:val="single" w:color="auto" w:sz="4" w:space="0"/>
            </w:tcBorders>
            <w:noWrap w:val="0"/>
            <w:vAlign w:val="center"/>
          </w:tcPr>
          <w:p w14:paraId="71ABA7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实际完成率=（实际完成/预期完成）×100%。</w:t>
            </w:r>
            <w:r>
              <w:rPr>
                <w:rFonts w:hint="eastAsia" w:ascii="宋体" w:hAnsi="宋体" w:eastAsia="宋体" w:cs="宋体"/>
                <w:i w:val="0"/>
                <w:iCs w:val="0"/>
                <w:color w:val="000000"/>
                <w:kern w:val="0"/>
                <w:sz w:val="21"/>
                <w:szCs w:val="21"/>
                <w:highlight w:val="none"/>
                <w:u w:val="none"/>
                <w:lang w:val="en-US" w:eastAsia="zh-CN"/>
              </w:rPr>
              <w:br w:type="textWrapping"/>
            </w:r>
            <w:r>
              <w:rPr>
                <w:rFonts w:hint="eastAsia" w:ascii="宋体" w:hAnsi="宋体" w:eastAsia="宋体" w:cs="宋体"/>
                <w:i w:val="0"/>
                <w:iCs w:val="0"/>
                <w:color w:val="000000"/>
                <w:kern w:val="0"/>
                <w:sz w:val="21"/>
                <w:szCs w:val="21"/>
                <w:highlight w:val="none"/>
                <w:u w:val="none"/>
                <w:lang w:val="en-US" w:eastAsia="zh-CN"/>
              </w:rPr>
              <w:t>①实际完成率≥100%，且偏离程度＜20%，得满分；</w:t>
            </w:r>
            <w:r>
              <w:rPr>
                <w:rFonts w:hint="eastAsia" w:ascii="宋体" w:hAnsi="宋体" w:eastAsia="宋体" w:cs="宋体"/>
                <w:i w:val="0"/>
                <w:iCs w:val="0"/>
                <w:color w:val="000000"/>
                <w:kern w:val="0"/>
                <w:sz w:val="21"/>
                <w:szCs w:val="21"/>
                <w:highlight w:val="none"/>
                <w:u w:val="none"/>
                <w:lang w:val="en-US" w:eastAsia="zh-CN"/>
              </w:rPr>
              <w:br w:type="textWrapping"/>
            </w:r>
            <w:r>
              <w:rPr>
                <w:rFonts w:hint="eastAsia" w:ascii="宋体" w:hAnsi="宋体" w:eastAsia="宋体" w:cs="宋体"/>
                <w:i w:val="0"/>
                <w:iCs w:val="0"/>
                <w:color w:val="000000"/>
                <w:kern w:val="0"/>
                <w:sz w:val="21"/>
                <w:szCs w:val="21"/>
                <w:highlight w:val="none"/>
                <w:u w:val="none"/>
                <w:lang w:val="en-US" w:eastAsia="zh-CN"/>
              </w:rPr>
              <w:t>②实际完成率≥100%，偏离程度≥20%，得0分；</w:t>
            </w:r>
            <w:r>
              <w:rPr>
                <w:rFonts w:hint="eastAsia" w:ascii="宋体" w:hAnsi="宋体" w:eastAsia="宋体" w:cs="宋体"/>
                <w:i w:val="0"/>
                <w:iCs w:val="0"/>
                <w:color w:val="000000"/>
                <w:kern w:val="0"/>
                <w:sz w:val="21"/>
                <w:szCs w:val="21"/>
                <w:highlight w:val="none"/>
                <w:u w:val="none"/>
                <w:lang w:val="en-US" w:eastAsia="zh-CN"/>
              </w:rPr>
              <w:br w:type="textWrapping"/>
            </w:r>
            <w:r>
              <w:rPr>
                <w:rFonts w:hint="eastAsia" w:ascii="宋体" w:hAnsi="宋体" w:eastAsia="宋体" w:cs="宋体"/>
                <w:i w:val="0"/>
                <w:iCs w:val="0"/>
                <w:color w:val="000000"/>
                <w:kern w:val="0"/>
                <w:sz w:val="21"/>
                <w:szCs w:val="21"/>
                <w:highlight w:val="none"/>
                <w:u w:val="none"/>
                <w:lang w:val="en-US" w:eastAsia="zh-CN"/>
              </w:rPr>
              <w:t>③实际完成率×100%＜100%，得分=实际完成率×指标分值。</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168AE73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u w:val="none"/>
                <w:lang w:val="en-US" w:eastAsia="zh-CN"/>
              </w:rPr>
              <w:t>35.70万亩</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00CDD0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2.5</w:t>
            </w:r>
          </w:p>
        </w:tc>
      </w:tr>
      <w:tr w14:paraId="773F0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599" w:type="dxa"/>
            <w:vMerge w:val="continue"/>
            <w:tcBorders>
              <w:left w:val="single" w:color="auto" w:sz="4" w:space="0"/>
              <w:right w:val="single" w:color="auto" w:sz="4" w:space="0"/>
            </w:tcBorders>
            <w:noWrap w:val="0"/>
            <w:vAlign w:val="center"/>
          </w:tcPr>
          <w:p w14:paraId="308E24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highlight w:val="none"/>
              </w:rPr>
            </w:pPr>
          </w:p>
        </w:tc>
        <w:tc>
          <w:tcPr>
            <w:tcW w:w="548" w:type="dxa"/>
            <w:vMerge w:val="continue"/>
            <w:tcBorders>
              <w:left w:val="single" w:color="auto" w:sz="4" w:space="0"/>
              <w:right w:val="single" w:color="auto" w:sz="4" w:space="0"/>
            </w:tcBorders>
            <w:noWrap w:val="0"/>
            <w:vAlign w:val="center"/>
          </w:tcPr>
          <w:p w14:paraId="6BB8A4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highlight w:val="none"/>
              </w:rPr>
            </w:pPr>
          </w:p>
        </w:tc>
        <w:tc>
          <w:tcPr>
            <w:tcW w:w="712" w:type="dxa"/>
            <w:vMerge w:val="continue"/>
            <w:tcBorders>
              <w:left w:val="single" w:color="auto" w:sz="4" w:space="0"/>
              <w:right w:val="single" w:color="auto" w:sz="4" w:space="0"/>
            </w:tcBorders>
            <w:noWrap w:val="0"/>
            <w:vAlign w:val="center"/>
          </w:tcPr>
          <w:p w14:paraId="7FA1C3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highlight w:val="none"/>
              </w:rPr>
            </w:pPr>
          </w:p>
        </w:tc>
        <w:tc>
          <w:tcPr>
            <w:tcW w:w="475" w:type="dxa"/>
            <w:vMerge w:val="continue"/>
            <w:tcBorders>
              <w:left w:val="single" w:color="auto" w:sz="4" w:space="0"/>
              <w:right w:val="single" w:color="auto" w:sz="4" w:space="0"/>
            </w:tcBorders>
            <w:noWrap w:val="0"/>
            <w:vAlign w:val="center"/>
          </w:tcPr>
          <w:p w14:paraId="39F7C2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highlight w:val="none"/>
              </w:rPr>
            </w:pPr>
          </w:p>
        </w:tc>
        <w:tc>
          <w:tcPr>
            <w:tcW w:w="721" w:type="dxa"/>
            <w:vMerge w:val="continue"/>
            <w:tcBorders>
              <w:left w:val="single" w:color="auto" w:sz="4" w:space="0"/>
              <w:right w:val="single" w:color="auto" w:sz="4" w:space="0"/>
            </w:tcBorders>
            <w:noWrap w:val="0"/>
            <w:vAlign w:val="center"/>
          </w:tcPr>
          <w:p w14:paraId="7A2B5E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highlight w:val="none"/>
              </w:rPr>
            </w:pPr>
          </w:p>
        </w:tc>
        <w:tc>
          <w:tcPr>
            <w:tcW w:w="529" w:type="dxa"/>
            <w:tcBorders>
              <w:top w:val="single" w:color="auto" w:sz="4" w:space="0"/>
              <w:left w:val="single" w:color="auto" w:sz="4" w:space="0"/>
              <w:bottom w:val="single" w:color="auto" w:sz="4" w:space="0"/>
              <w:right w:val="single" w:color="auto" w:sz="4" w:space="0"/>
            </w:tcBorders>
            <w:noWrap w:val="0"/>
            <w:vAlign w:val="center"/>
          </w:tcPr>
          <w:p w14:paraId="3CBA39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74CE964E">
            <w:pPr>
              <w:keepNext w:val="0"/>
              <w:keepLines w:val="0"/>
              <w:widowControl/>
              <w:suppressLineNumbers w:val="0"/>
              <w:ind w:firstLine="420" w:firstLineChars="20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u w:val="none"/>
                <w:lang w:val="en-US" w:eastAsia="zh-CN"/>
              </w:rPr>
              <w:t>管护人员数</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263BF39B">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u w:val="none"/>
                <w:lang w:val="en-US" w:eastAsia="zh-CN"/>
              </w:rPr>
              <w:t>&gt;=78人</w:t>
            </w:r>
          </w:p>
        </w:tc>
        <w:tc>
          <w:tcPr>
            <w:tcW w:w="4288" w:type="dxa"/>
            <w:vMerge w:val="continue"/>
            <w:tcBorders>
              <w:left w:val="single" w:color="auto" w:sz="4" w:space="0"/>
              <w:right w:val="single" w:color="auto" w:sz="4" w:space="0"/>
            </w:tcBorders>
            <w:noWrap w:val="0"/>
            <w:vAlign w:val="center"/>
          </w:tcPr>
          <w:p w14:paraId="2CE01D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lang w:val="en-US"/>
              </w:rPr>
            </w:pPr>
          </w:p>
        </w:tc>
        <w:tc>
          <w:tcPr>
            <w:tcW w:w="956" w:type="dxa"/>
            <w:tcBorders>
              <w:top w:val="single" w:color="auto" w:sz="4" w:space="0"/>
              <w:left w:val="single" w:color="auto" w:sz="4" w:space="0"/>
              <w:bottom w:val="single" w:color="auto" w:sz="4" w:space="0"/>
              <w:right w:val="single" w:color="auto" w:sz="4" w:space="0"/>
            </w:tcBorders>
            <w:noWrap w:val="0"/>
            <w:vAlign w:val="center"/>
          </w:tcPr>
          <w:p w14:paraId="3FC930E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u w:val="none"/>
                <w:lang w:val="en-US" w:eastAsia="zh-CN"/>
              </w:rPr>
              <w:t>78人</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649A8A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2.5</w:t>
            </w:r>
          </w:p>
        </w:tc>
      </w:tr>
      <w:tr w14:paraId="4B52C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99" w:type="dxa"/>
            <w:vMerge w:val="continue"/>
            <w:tcBorders>
              <w:top w:val="single" w:color="auto" w:sz="4" w:space="0"/>
              <w:left w:val="single" w:color="auto" w:sz="4" w:space="0"/>
              <w:bottom w:val="single" w:color="auto" w:sz="4" w:space="0"/>
              <w:right w:val="single" w:color="auto" w:sz="4" w:space="0"/>
            </w:tcBorders>
            <w:noWrap w:val="0"/>
            <w:vAlign w:val="center"/>
          </w:tcPr>
          <w:p w14:paraId="61EC2D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21B055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5F34CF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产出质量</w:t>
            </w:r>
          </w:p>
        </w:tc>
        <w:tc>
          <w:tcPr>
            <w:tcW w:w="475" w:type="dxa"/>
            <w:tcBorders>
              <w:top w:val="single" w:color="auto" w:sz="4" w:space="0"/>
              <w:left w:val="single" w:color="auto" w:sz="4" w:space="0"/>
              <w:bottom w:val="single" w:color="auto" w:sz="4" w:space="0"/>
              <w:right w:val="single" w:color="auto" w:sz="4" w:space="0"/>
            </w:tcBorders>
            <w:noWrap w:val="0"/>
            <w:vAlign w:val="center"/>
          </w:tcPr>
          <w:p w14:paraId="1667F6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7B031F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质量达标率</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4A84BE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166699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资金使用合规率</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23D1D8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=100%</w:t>
            </w:r>
          </w:p>
        </w:tc>
        <w:tc>
          <w:tcPr>
            <w:tcW w:w="4288" w:type="dxa"/>
            <w:tcBorders>
              <w:top w:val="single" w:color="auto" w:sz="4" w:space="0"/>
              <w:left w:val="single" w:color="auto" w:sz="4" w:space="0"/>
              <w:right w:val="single" w:color="auto" w:sz="4" w:space="0"/>
            </w:tcBorders>
            <w:noWrap w:val="0"/>
            <w:vAlign w:val="center"/>
          </w:tcPr>
          <w:p w14:paraId="2B83A6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若指标达到标杆值，则得100%权重分；否则，得分=（实际完成/预期完成）×100%×指标分值。</w:t>
            </w:r>
          </w:p>
          <w:p w14:paraId="179EC9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若指标完成值达到标杆值，则得100%权重分；否则，不得分。</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2768A7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100%</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2AE90D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r>
      <w:tr w14:paraId="4D788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99" w:type="dxa"/>
            <w:vMerge w:val="continue"/>
            <w:tcBorders>
              <w:top w:val="single" w:color="auto" w:sz="4" w:space="0"/>
              <w:left w:val="single" w:color="auto" w:sz="4" w:space="0"/>
              <w:bottom w:val="single" w:color="auto" w:sz="4" w:space="0"/>
              <w:right w:val="single" w:color="auto" w:sz="4" w:space="0"/>
            </w:tcBorders>
            <w:noWrap w:val="0"/>
            <w:vAlign w:val="center"/>
          </w:tcPr>
          <w:p w14:paraId="0CDF42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433E5A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2" w:type="dxa"/>
            <w:vMerge w:val="restart"/>
            <w:tcBorders>
              <w:top w:val="single" w:color="auto" w:sz="4" w:space="0"/>
              <w:left w:val="single" w:color="auto" w:sz="4" w:space="0"/>
              <w:right w:val="single" w:color="auto" w:sz="4" w:space="0"/>
            </w:tcBorders>
            <w:noWrap w:val="0"/>
            <w:vAlign w:val="center"/>
          </w:tcPr>
          <w:p w14:paraId="705C27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产出时效</w:t>
            </w:r>
          </w:p>
        </w:tc>
        <w:tc>
          <w:tcPr>
            <w:tcW w:w="475" w:type="dxa"/>
            <w:vMerge w:val="restart"/>
            <w:tcBorders>
              <w:top w:val="single" w:color="auto" w:sz="4" w:space="0"/>
              <w:left w:val="single" w:color="auto" w:sz="4" w:space="0"/>
              <w:right w:val="single" w:color="auto" w:sz="4" w:space="0"/>
            </w:tcBorders>
            <w:noWrap w:val="0"/>
            <w:vAlign w:val="center"/>
          </w:tcPr>
          <w:p w14:paraId="1799BC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721" w:type="dxa"/>
            <w:vMerge w:val="restart"/>
            <w:tcBorders>
              <w:top w:val="single" w:color="auto" w:sz="4" w:space="0"/>
              <w:left w:val="single" w:color="auto" w:sz="4" w:space="0"/>
              <w:right w:val="single" w:color="auto" w:sz="4" w:space="0"/>
            </w:tcBorders>
            <w:noWrap w:val="0"/>
            <w:vAlign w:val="center"/>
          </w:tcPr>
          <w:p w14:paraId="0A5B7B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完成及时率</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3C76E9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506A7DA1">
            <w:pPr>
              <w:keepNext w:val="0"/>
              <w:keepLines w:val="0"/>
              <w:widowControl/>
              <w:suppressLineNumbers w:val="0"/>
              <w:ind w:firstLine="420" w:firstLineChars="20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u w:val="none"/>
                <w:lang w:val="en-US" w:eastAsia="zh-CN"/>
              </w:rPr>
              <w:t>项目开始时间</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54F44D06">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u w:val="none"/>
                <w:lang w:val="en-US" w:eastAsia="zh-CN"/>
              </w:rPr>
              <w:t>2024年1月</w:t>
            </w:r>
          </w:p>
        </w:tc>
        <w:tc>
          <w:tcPr>
            <w:tcW w:w="4288" w:type="dxa"/>
            <w:vMerge w:val="restart"/>
            <w:tcBorders>
              <w:top w:val="single" w:color="auto" w:sz="4" w:space="0"/>
              <w:left w:val="single" w:color="auto" w:sz="4" w:space="0"/>
              <w:right w:val="single" w:color="auto" w:sz="4" w:space="0"/>
            </w:tcBorders>
            <w:noWrap w:val="0"/>
            <w:vAlign w:val="center"/>
          </w:tcPr>
          <w:p w14:paraId="482170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若指标完成值达到标杆值，则得100%权重分；否则，得分=（实际完成/预期完成）×100%×指标分值。</w:t>
            </w:r>
          </w:p>
          <w:p w14:paraId="3F09B4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若在规定时间内完成，得100%权重分；若未在规定的时间内完成，得分=（1-未在规定时间内完成工作数/实际完成工作总数）×分值。</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0E608DF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u w:val="none"/>
                <w:lang w:val="en-US" w:eastAsia="zh-CN"/>
              </w:rPr>
              <w:t>2024年1月</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223791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5</w:t>
            </w:r>
          </w:p>
        </w:tc>
      </w:tr>
      <w:tr w14:paraId="45DD9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99" w:type="dxa"/>
            <w:vMerge w:val="continue"/>
            <w:tcBorders>
              <w:top w:val="single" w:color="auto" w:sz="4" w:space="0"/>
              <w:left w:val="single" w:color="auto" w:sz="4" w:space="0"/>
              <w:bottom w:val="single" w:color="auto" w:sz="4" w:space="0"/>
              <w:right w:val="single" w:color="auto" w:sz="4" w:space="0"/>
            </w:tcBorders>
            <w:noWrap w:val="0"/>
            <w:vAlign w:val="center"/>
          </w:tcPr>
          <w:p w14:paraId="5DA60D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highlight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4CD4A4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highlight w:val="none"/>
              </w:rPr>
            </w:pPr>
          </w:p>
        </w:tc>
        <w:tc>
          <w:tcPr>
            <w:tcW w:w="712" w:type="dxa"/>
            <w:vMerge w:val="continue"/>
            <w:tcBorders>
              <w:left w:val="single" w:color="auto" w:sz="4" w:space="0"/>
              <w:right w:val="single" w:color="auto" w:sz="4" w:space="0"/>
            </w:tcBorders>
            <w:noWrap w:val="0"/>
            <w:vAlign w:val="center"/>
          </w:tcPr>
          <w:p w14:paraId="0E887E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highlight w:val="none"/>
              </w:rPr>
            </w:pPr>
          </w:p>
        </w:tc>
        <w:tc>
          <w:tcPr>
            <w:tcW w:w="475" w:type="dxa"/>
            <w:vMerge w:val="continue"/>
            <w:tcBorders>
              <w:left w:val="single" w:color="auto" w:sz="4" w:space="0"/>
              <w:right w:val="single" w:color="auto" w:sz="4" w:space="0"/>
            </w:tcBorders>
            <w:noWrap w:val="0"/>
            <w:vAlign w:val="center"/>
          </w:tcPr>
          <w:p w14:paraId="63E0E6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highlight w:val="none"/>
              </w:rPr>
            </w:pPr>
          </w:p>
        </w:tc>
        <w:tc>
          <w:tcPr>
            <w:tcW w:w="721" w:type="dxa"/>
            <w:vMerge w:val="continue"/>
            <w:tcBorders>
              <w:left w:val="single" w:color="auto" w:sz="4" w:space="0"/>
              <w:right w:val="single" w:color="auto" w:sz="4" w:space="0"/>
            </w:tcBorders>
            <w:noWrap w:val="0"/>
            <w:vAlign w:val="center"/>
          </w:tcPr>
          <w:p w14:paraId="1AA58F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highlight w:val="none"/>
              </w:rPr>
            </w:pPr>
          </w:p>
        </w:tc>
        <w:tc>
          <w:tcPr>
            <w:tcW w:w="529" w:type="dxa"/>
            <w:tcBorders>
              <w:top w:val="single" w:color="auto" w:sz="4" w:space="0"/>
              <w:left w:val="single" w:color="auto" w:sz="4" w:space="0"/>
              <w:bottom w:val="single" w:color="auto" w:sz="4" w:space="0"/>
              <w:right w:val="single" w:color="auto" w:sz="4" w:space="0"/>
            </w:tcBorders>
            <w:noWrap w:val="0"/>
            <w:vAlign w:val="center"/>
          </w:tcPr>
          <w:p w14:paraId="05406C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i w:val="0"/>
                <w:iCs w:val="0"/>
                <w:color w:val="000000"/>
                <w:sz w:val="21"/>
                <w:szCs w:val="21"/>
                <w:highlight w:val="none"/>
                <w:u w:val="none"/>
                <w:lang w:val="en-US" w:eastAsia="zh-CN"/>
              </w:rPr>
              <w:t>5</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6B3360E4">
            <w:pPr>
              <w:keepNext w:val="0"/>
              <w:keepLines w:val="0"/>
              <w:widowControl/>
              <w:suppressLineNumbers w:val="0"/>
              <w:ind w:firstLine="420" w:firstLineChars="20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u w:val="none"/>
                <w:lang w:val="en-US" w:eastAsia="zh-CN"/>
              </w:rPr>
              <w:t>项目完成时间</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614CC3E4">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u w:val="none"/>
                <w:lang w:val="en-US" w:eastAsia="zh-CN"/>
              </w:rPr>
              <w:t>2024年12月</w:t>
            </w:r>
          </w:p>
        </w:tc>
        <w:tc>
          <w:tcPr>
            <w:tcW w:w="4288" w:type="dxa"/>
            <w:vMerge w:val="continue"/>
            <w:tcBorders>
              <w:left w:val="single" w:color="auto" w:sz="4" w:space="0"/>
              <w:right w:val="single" w:color="auto" w:sz="4" w:space="0"/>
            </w:tcBorders>
            <w:noWrap w:val="0"/>
            <w:vAlign w:val="center"/>
          </w:tcPr>
          <w:p w14:paraId="1140F5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956" w:type="dxa"/>
            <w:tcBorders>
              <w:top w:val="single" w:color="auto" w:sz="4" w:space="0"/>
              <w:left w:val="single" w:color="auto" w:sz="4" w:space="0"/>
              <w:bottom w:val="single" w:color="auto" w:sz="4" w:space="0"/>
              <w:right w:val="single" w:color="auto" w:sz="4" w:space="0"/>
            </w:tcBorders>
            <w:noWrap w:val="0"/>
            <w:vAlign w:val="center"/>
          </w:tcPr>
          <w:p w14:paraId="5633CBE1">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u w:val="none"/>
                <w:lang w:val="en-US" w:eastAsia="zh-CN"/>
              </w:rPr>
              <w:t>2024年12月</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651EE8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5</w:t>
            </w:r>
          </w:p>
        </w:tc>
      </w:tr>
      <w:tr w14:paraId="727BD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599" w:type="dxa"/>
            <w:vMerge w:val="continue"/>
            <w:tcBorders>
              <w:top w:val="single" w:color="auto" w:sz="4" w:space="0"/>
              <w:left w:val="single" w:color="auto" w:sz="4" w:space="0"/>
              <w:bottom w:val="single" w:color="auto" w:sz="4" w:space="0"/>
              <w:right w:val="single" w:color="auto" w:sz="4" w:space="0"/>
            </w:tcBorders>
            <w:noWrap w:val="0"/>
            <w:vAlign w:val="center"/>
          </w:tcPr>
          <w:p w14:paraId="0A5E7F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10C821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2" w:type="dxa"/>
            <w:tcBorders>
              <w:top w:val="single" w:color="auto" w:sz="4" w:space="0"/>
              <w:left w:val="single" w:color="auto" w:sz="4" w:space="0"/>
              <w:right w:val="single" w:color="auto" w:sz="4" w:space="0"/>
            </w:tcBorders>
            <w:noWrap w:val="0"/>
            <w:vAlign w:val="center"/>
          </w:tcPr>
          <w:p w14:paraId="097A03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产出成本</w:t>
            </w:r>
          </w:p>
        </w:tc>
        <w:tc>
          <w:tcPr>
            <w:tcW w:w="475" w:type="dxa"/>
            <w:tcBorders>
              <w:top w:val="single" w:color="auto" w:sz="4" w:space="0"/>
              <w:left w:val="single" w:color="auto" w:sz="4" w:space="0"/>
              <w:right w:val="single" w:color="auto" w:sz="4" w:space="0"/>
            </w:tcBorders>
            <w:noWrap w:val="0"/>
            <w:vAlign w:val="center"/>
          </w:tcPr>
          <w:p w14:paraId="76A1F5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721" w:type="dxa"/>
            <w:tcBorders>
              <w:top w:val="single" w:color="auto" w:sz="4" w:space="0"/>
              <w:left w:val="single" w:color="auto" w:sz="4" w:space="0"/>
              <w:right w:val="single" w:color="auto" w:sz="4" w:space="0"/>
            </w:tcBorders>
            <w:noWrap w:val="0"/>
            <w:vAlign w:val="center"/>
          </w:tcPr>
          <w:p w14:paraId="70468A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成本节约率</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136025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040F94EC">
            <w:pPr>
              <w:keepNext w:val="0"/>
              <w:keepLines w:val="0"/>
              <w:widowControl/>
              <w:suppressLineNumbers w:val="0"/>
              <w:ind w:firstLine="420" w:firstLineChars="20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u w:val="none"/>
                <w:lang w:val="en-US" w:eastAsia="zh-CN"/>
              </w:rPr>
              <w:t>国家级公益林管护补助经费</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09FA170D">
            <w:pPr>
              <w:keepNext w:val="0"/>
              <w:keepLines w:val="0"/>
              <w:widowControl/>
              <w:suppressLineNumbers w:val="0"/>
              <w:ind w:firstLine="420" w:firstLineChars="20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u w:val="none"/>
                <w:lang w:val="en-US" w:eastAsia="zh-CN"/>
              </w:rPr>
              <w:t>&lt;=342万元</w:t>
            </w:r>
          </w:p>
        </w:tc>
        <w:tc>
          <w:tcPr>
            <w:tcW w:w="4288" w:type="dxa"/>
            <w:tcBorders>
              <w:top w:val="single" w:color="auto" w:sz="4" w:space="0"/>
              <w:left w:val="single" w:color="auto" w:sz="4" w:space="0"/>
              <w:right w:val="single" w:color="auto" w:sz="4" w:space="0"/>
            </w:tcBorders>
            <w:noWrap w:val="0"/>
            <w:vAlign w:val="center"/>
          </w:tcPr>
          <w:p w14:paraId="520D8A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实际完成率=（实际支付资金数/计划应支付资金数）×100%。</w:t>
            </w:r>
            <w:r>
              <w:rPr>
                <w:rFonts w:hint="eastAsia" w:ascii="宋体" w:hAnsi="宋体" w:eastAsia="宋体" w:cs="宋体"/>
                <w:i w:val="0"/>
                <w:iCs w:val="0"/>
                <w:color w:val="000000"/>
                <w:kern w:val="0"/>
                <w:sz w:val="21"/>
                <w:szCs w:val="21"/>
                <w:highlight w:val="none"/>
                <w:u w:val="none"/>
                <w:lang w:val="en-US" w:eastAsia="zh-CN"/>
              </w:rPr>
              <w:br w:type="textWrapping"/>
            </w:r>
            <w:r>
              <w:rPr>
                <w:rFonts w:hint="eastAsia" w:ascii="宋体" w:hAnsi="宋体" w:eastAsia="宋体" w:cs="宋体"/>
                <w:i w:val="0"/>
                <w:iCs w:val="0"/>
                <w:color w:val="000000"/>
                <w:kern w:val="0"/>
                <w:sz w:val="21"/>
                <w:szCs w:val="21"/>
                <w:highlight w:val="none"/>
                <w:u w:val="none"/>
                <w:lang w:val="en-US" w:eastAsia="zh-CN"/>
              </w:rPr>
              <w:t>①实际完成率＞年度指标值，得0得分；</w:t>
            </w:r>
            <w:r>
              <w:rPr>
                <w:rFonts w:hint="eastAsia" w:ascii="宋体" w:hAnsi="宋体" w:eastAsia="宋体" w:cs="宋体"/>
                <w:i w:val="0"/>
                <w:iCs w:val="0"/>
                <w:color w:val="000000"/>
                <w:kern w:val="0"/>
                <w:sz w:val="21"/>
                <w:szCs w:val="21"/>
                <w:highlight w:val="none"/>
                <w:u w:val="none"/>
                <w:lang w:val="en-US" w:eastAsia="zh-CN"/>
              </w:rPr>
              <w:br w:type="textWrapping"/>
            </w:r>
            <w:r>
              <w:rPr>
                <w:rFonts w:hint="eastAsia" w:ascii="宋体" w:hAnsi="宋体" w:eastAsia="宋体" w:cs="宋体"/>
                <w:i w:val="0"/>
                <w:iCs w:val="0"/>
                <w:color w:val="000000"/>
                <w:kern w:val="0"/>
                <w:sz w:val="21"/>
                <w:szCs w:val="21"/>
                <w:highlight w:val="none"/>
                <w:u w:val="none"/>
                <w:lang w:val="en-US" w:eastAsia="zh-CN"/>
              </w:rPr>
              <w:t>②实际完成率≤年度指标值，且偏离程度＜20%，得满分；</w:t>
            </w:r>
            <w:r>
              <w:rPr>
                <w:rFonts w:hint="eastAsia" w:ascii="宋体" w:hAnsi="宋体" w:eastAsia="宋体" w:cs="宋体"/>
                <w:i w:val="0"/>
                <w:iCs w:val="0"/>
                <w:color w:val="000000"/>
                <w:kern w:val="0"/>
                <w:sz w:val="21"/>
                <w:szCs w:val="21"/>
                <w:highlight w:val="none"/>
                <w:u w:val="none"/>
                <w:lang w:val="en-US" w:eastAsia="zh-CN"/>
              </w:rPr>
              <w:br w:type="textWrapping"/>
            </w:r>
            <w:r>
              <w:rPr>
                <w:rFonts w:hint="eastAsia" w:ascii="宋体" w:hAnsi="宋体" w:eastAsia="宋体" w:cs="宋体"/>
                <w:i w:val="0"/>
                <w:iCs w:val="0"/>
                <w:color w:val="000000"/>
                <w:kern w:val="0"/>
                <w:sz w:val="21"/>
                <w:szCs w:val="21"/>
                <w:highlight w:val="none"/>
                <w:u w:val="none"/>
                <w:lang w:val="en-US" w:eastAsia="zh-CN"/>
              </w:rPr>
              <w:t>③实际完成率＜年度指标值，且偏离程度≥20%，得分=实际完成率×分值。</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253166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336.864079万元</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156B62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9.85</w:t>
            </w:r>
          </w:p>
        </w:tc>
      </w:tr>
      <w:tr w14:paraId="2EEAE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599" w:type="dxa"/>
            <w:vMerge w:val="restart"/>
            <w:tcBorders>
              <w:top w:val="single" w:color="auto" w:sz="4" w:space="0"/>
              <w:left w:val="single" w:color="auto" w:sz="4" w:space="0"/>
              <w:bottom w:val="single" w:color="auto" w:sz="4" w:space="0"/>
              <w:right w:val="single" w:color="auto" w:sz="4" w:space="0"/>
            </w:tcBorders>
            <w:noWrap w:val="0"/>
            <w:vAlign w:val="center"/>
          </w:tcPr>
          <w:p w14:paraId="3B3612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项目效益</w:t>
            </w:r>
          </w:p>
        </w:tc>
        <w:tc>
          <w:tcPr>
            <w:tcW w:w="548" w:type="dxa"/>
            <w:vMerge w:val="restart"/>
            <w:tcBorders>
              <w:top w:val="single" w:color="auto" w:sz="4" w:space="0"/>
              <w:left w:val="single" w:color="auto" w:sz="4" w:space="0"/>
              <w:bottom w:val="single" w:color="auto" w:sz="4" w:space="0"/>
              <w:right w:val="single" w:color="auto" w:sz="4" w:space="0"/>
            </w:tcBorders>
            <w:noWrap w:val="0"/>
            <w:vAlign w:val="center"/>
          </w:tcPr>
          <w:p w14:paraId="29621E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25</w:t>
            </w:r>
          </w:p>
        </w:tc>
        <w:tc>
          <w:tcPr>
            <w:tcW w:w="712" w:type="dxa"/>
            <w:vMerge w:val="restart"/>
            <w:tcBorders>
              <w:top w:val="single" w:color="auto" w:sz="4" w:space="0"/>
              <w:left w:val="single" w:color="auto" w:sz="4" w:space="0"/>
              <w:bottom w:val="single" w:color="auto" w:sz="4" w:space="0"/>
              <w:right w:val="single" w:color="auto" w:sz="4" w:space="0"/>
            </w:tcBorders>
            <w:noWrap w:val="0"/>
            <w:vAlign w:val="center"/>
          </w:tcPr>
          <w:p w14:paraId="3F7EA5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项目效益</w:t>
            </w:r>
          </w:p>
        </w:tc>
        <w:tc>
          <w:tcPr>
            <w:tcW w:w="475" w:type="dxa"/>
            <w:vMerge w:val="restart"/>
            <w:tcBorders>
              <w:top w:val="single" w:color="auto" w:sz="4" w:space="0"/>
              <w:left w:val="single" w:color="auto" w:sz="4" w:space="0"/>
              <w:bottom w:val="single" w:color="auto" w:sz="4" w:space="0"/>
              <w:right w:val="single" w:color="auto" w:sz="4" w:space="0"/>
            </w:tcBorders>
            <w:noWrap w:val="0"/>
            <w:vAlign w:val="center"/>
          </w:tcPr>
          <w:p w14:paraId="1946DD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25</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5BF51A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生态效益指标</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4C77F1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15</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4BCB05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改善生产和投资环境</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38BEB1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效果显著</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35A813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按评判等级赋分。分为基本达成目标、部分实现目标、实现目标程度较低三个档次，并分别按照该指标对应分值区间100%-80%（含）、80%-60%（含）、60%-0%合理确定分值。</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47DC5A75">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效果显著</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13F7C2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15</w:t>
            </w:r>
          </w:p>
        </w:tc>
      </w:tr>
      <w:tr w14:paraId="1457A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9" w:type="dxa"/>
            <w:vMerge w:val="continue"/>
            <w:tcBorders>
              <w:top w:val="single" w:color="auto" w:sz="4" w:space="0"/>
              <w:left w:val="single" w:color="auto" w:sz="4" w:space="0"/>
              <w:bottom w:val="single" w:color="auto" w:sz="4" w:space="0"/>
              <w:right w:val="single" w:color="auto" w:sz="4" w:space="0"/>
            </w:tcBorders>
            <w:noWrap w:val="0"/>
            <w:vAlign w:val="center"/>
          </w:tcPr>
          <w:p w14:paraId="1B3DE0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188DF0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2" w:type="dxa"/>
            <w:vMerge w:val="continue"/>
            <w:tcBorders>
              <w:top w:val="single" w:color="auto" w:sz="4" w:space="0"/>
              <w:left w:val="single" w:color="auto" w:sz="4" w:space="0"/>
              <w:bottom w:val="single" w:color="auto" w:sz="4" w:space="0"/>
              <w:right w:val="single" w:color="auto" w:sz="4" w:space="0"/>
            </w:tcBorders>
            <w:noWrap w:val="0"/>
            <w:vAlign w:val="center"/>
          </w:tcPr>
          <w:p w14:paraId="08889E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475" w:type="dxa"/>
            <w:vMerge w:val="continue"/>
            <w:tcBorders>
              <w:top w:val="single" w:color="auto" w:sz="4" w:space="0"/>
              <w:left w:val="single" w:color="auto" w:sz="4" w:space="0"/>
              <w:bottom w:val="single" w:color="auto" w:sz="4" w:space="0"/>
              <w:right w:val="single" w:color="auto" w:sz="4" w:space="0"/>
            </w:tcBorders>
            <w:noWrap w:val="0"/>
            <w:vAlign w:val="center"/>
          </w:tcPr>
          <w:p w14:paraId="4268F1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21" w:type="dxa"/>
            <w:tcBorders>
              <w:top w:val="single" w:color="auto" w:sz="4" w:space="0"/>
              <w:left w:val="single" w:color="auto" w:sz="4" w:space="0"/>
              <w:bottom w:val="single" w:color="auto" w:sz="4" w:space="0"/>
              <w:right w:val="single" w:color="auto" w:sz="4" w:space="0"/>
            </w:tcBorders>
            <w:noWrap w:val="0"/>
            <w:vAlign w:val="center"/>
          </w:tcPr>
          <w:p w14:paraId="345CB3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服务对象满意度</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05CDA1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7365DF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受益农民满意度</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06A7F3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w:t>
            </w:r>
            <w:r>
              <w:rPr>
                <w:rFonts w:hint="eastAsia" w:ascii="宋体" w:hAnsi="宋体" w:eastAsia="宋体" w:cs="宋体"/>
                <w:i w:val="0"/>
                <w:iCs w:val="0"/>
                <w:color w:val="000000"/>
                <w:sz w:val="21"/>
                <w:szCs w:val="21"/>
                <w:highlight w:val="none"/>
                <w:u w:val="none"/>
              </w:rPr>
              <w:t>95%</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0E5086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根据问卷调查，满意度达到标杆值，得权重分的100%；否则低于95%，得分=实际满意度*指标分值。</w:t>
            </w:r>
          </w:p>
        </w:tc>
        <w:tc>
          <w:tcPr>
            <w:tcW w:w="956" w:type="dxa"/>
            <w:tcBorders>
              <w:top w:val="single" w:color="auto" w:sz="4" w:space="0"/>
              <w:left w:val="single" w:color="auto" w:sz="4" w:space="0"/>
              <w:bottom w:val="single" w:color="auto" w:sz="4" w:space="0"/>
              <w:right w:val="single" w:color="auto" w:sz="4" w:space="0"/>
            </w:tcBorders>
            <w:noWrap w:val="0"/>
            <w:vAlign w:val="center"/>
          </w:tcPr>
          <w:p w14:paraId="441176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95%</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28E8EF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r>
      <w:tr w14:paraId="22DB3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trPr>
        <w:tc>
          <w:tcPr>
            <w:tcW w:w="599" w:type="dxa"/>
            <w:tcBorders>
              <w:top w:val="single" w:color="auto" w:sz="4" w:space="0"/>
              <w:left w:val="single" w:color="auto" w:sz="4" w:space="0"/>
              <w:bottom w:val="single" w:color="auto" w:sz="4" w:space="0"/>
              <w:right w:val="single" w:color="auto" w:sz="4" w:space="0"/>
            </w:tcBorders>
            <w:noWrap w:val="0"/>
            <w:vAlign w:val="center"/>
          </w:tcPr>
          <w:p w14:paraId="112F93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总分</w:t>
            </w:r>
          </w:p>
        </w:tc>
        <w:tc>
          <w:tcPr>
            <w:tcW w:w="548" w:type="dxa"/>
            <w:tcBorders>
              <w:top w:val="single" w:color="auto" w:sz="4" w:space="0"/>
              <w:left w:val="single" w:color="auto" w:sz="4" w:space="0"/>
              <w:bottom w:val="single" w:color="auto" w:sz="4" w:space="0"/>
              <w:right w:val="single" w:color="auto" w:sz="4" w:space="0"/>
            </w:tcBorders>
            <w:noWrap w:val="0"/>
            <w:vAlign w:val="center"/>
          </w:tcPr>
          <w:p w14:paraId="1830EB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1E7C6A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475" w:type="dxa"/>
            <w:tcBorders>
              <w:top w:val="single" w:color="auto" w:sz="4" w:space="0"/>
              <w:left w:val="single" w:color="auto" w:sz="4" w:space="0"/>
              <w:bottom w:val="single" w:color="auto" w:sz="4" w:space="0"/>
              <w:right w:val="single" w:color="auto" w:sz="4" w:space="0"/>
            </w:tcBorders>
            <w:noWrap w:val="0"/>
            <w:vAlign w:val="center"/>
          </w:tcPr>
          <w:p w14:paraId="382BA2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6C7495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29" w:type="dxa"/>
            <w:tcBorders>
              <w:top w:val="single" w:color="auto" w:sz="4" w:space="0"/>
              <w:left w:val="single" w:color="auto" w:sz="4" w:space="0"/>
              <w:bottom w:val="single" w:color="auto" w:sz="4" w:space="0"/>
              <w:right w:val="single" w:color="auto" w:sz="4" w:space="0"/>
            </w:tcBorders>
            <w:noWrap w:val="0"/>
            <w:vAlign w:val="center"/>
          </w:tcPr>
          <w:p w14:paraId="3C0B56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2942" w:type="dxa"/>
            <w:tcBorders>
              <w:top w:val="single" w:color="auto" w:sz="4" w:space="0"/>
              <w:left w:val="single" w:color="auto" w:sz="4" w:space="0"/>
              <w:bottom w:val="single" w:color="auto" w:sz="4" w:space="0"/>
              <w:right w:val="single" w:color="auto" w:sz="4" w:space="0"/>
            </w:tcBorders>
            <w:noWrap w:val="0"/>
            <w:vAlign w:val="center"/>
          </w:tcPr>
          <w:p w14:paraId="787C9E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1123" w:type="dxa"/>
            <w:tcBorders>
              <w:top w:val="single" w:color="auto" w:sz="4" w:space="0"/>
              <w:left w:val="single" w:color="auto" w:sz="4" w:space="0"/>
              <w:bottom w:val="single" w:color="auto" w:sz="4" w:space="0"/>
              <w:right w:val="single" w:color="auto" w:sz="4" w:space="0"/>
            </w:tcBorders>
            <w:noWrap w:val="0"/>
            <w:vAlign w:val="center"/>
          </w:tcPr>
          <w:p w14:paraId="7B5C67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w:t>
            </w:r>
          </w:p>
        </w:tc>
        <w:tc>
          <w:tcPr>
            <w:tcW w:w="4288" w:type="dxa"/>
            <w:tcBorders>
              <w:top w:val="single" w:color="auto" w:sz="4" w:space="0"/>
              <w:left w:val="single" w:color="auto" w:sz="4" w:space="0"/>
              <w:bottom w:val="single" w:color="auto" w:sz="4" w:space="0"/>
              <w:right w:val="single" w:color="auto" w:sz="4" w:space="0"/>
            </w:tcBorders>
            <w:noWrap w:val="0"/>
            <w:vAlign w:val="center"/>
          </w:tcPr>
          <w:p w14:paraId="273B79D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956" w:type="dxa"/>
            <w:tcBorders>
              <w:top w:val="single" w:color="auto" w:sz="4" w:space="0"/>
              <w:left w:val="single" w:color="auto" w:sz="4" w:space="0"/>
              <w:bottom w:val="single" w:color="auto" w:sz="4" w:space="0"/>
              <w:right w:val="single" w:color="auto" w:sz="4" w:space="0"/>
            </w:tcBorders>
            <w:noWrap w:val="0"/>
            <w:vAlign w:val="center"/>
          </w:tcPr>
          <w:p w14:paraId="4B88E1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31" w:type="dxa"/>
            <w:tcBorders>
              <w:top w:val="single" w:color="auto" w:sz="4" w:space="0"/>
              <w:left w:val="single" w:color="auto" w:sz="4" w:space="0"/>
              <w:bottom w:val="single" w:color="auto" w:sz="4" w:space="0"/>
              <w:right w:val="single" w:color="auto" w:sz="4" w:space="0"/>
            </w:tcBorders>
            <w:noWrap w:val="0"/>
            <w:vAlign w:val="center"/>
          </w:tcPr>
          <w:p w14:paraId="735077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99.82</w:t>
            </w:r>
          </w:p>
        </w:tc>
      </w:tr>
    </w:tbl>
    <w:p w14:paraId="58FB4FEB">
      <w:pPr>
        <w:pStyle w:val="10"/>
        <w:jc w:val="left"/>
        <w:rPr>
          <w:rFonts w:hint="eastAsia" w:ascii="宋体" w:hAnsi="宋体" w:eastAsia="宋体" w:cs="宋体"/>
          <w:b w:val="0"/>
          <w:bCs w:val="0"/>
          <w:color w:val="auto"/>
          <w:sz w:val="24"/>
          <w:szCs w:val="24"/>
          <w:lang w:eastAsia="zh-CN"/>
        </w:rPr>
      </w:pPr>
    </w:p>
    <w:p w14:paraId="003E7713">
      <w:pPr>
        <w:pStyle w:val="10"/>
        <w:rPr>
          <w:rFonts w:hint="eastAsia" w:ascii="宋体" w:hAnsi="宋体" w:eastAsia="宋体" w:cs="宋体"/>
          <w:color w:val="auto"/>
          <w:sz w:val="24"/>
          <w:szCs w:val="24"/>
          <w:lang w:eastAsia="zh-CN"/>
        </w:rPr>
      </w:pPr>
    </w:p>
    <w:p w14:paraId="6BD13440">
      <w:pPr>
        <w:pStyle w:val="10"/>
        <w:rPr>
          <w:rFonts w:hint="eastAsia" w:ascii="宋体" w:hAnsi="宋体" w:eastAsia="宋体" w:cs="宋体"/>
          <w:color w:val="auto"/>
          <w:sz w:val="24"/>
          <w:szCs w:val="24"/>
          <w:lang w:eastAsia="zh-CN"/>
        </w:rPr>
      </w:pPr>
    </w:p>
    <w:p w14:paraId="3C0E2EB4">
      <w:pPr>
        <w:pStyle w:val="10"/>
        <w:rPr>
          <w:rFonts w:hint="eastAsia" w:ascii="宋体" w:hAnsi="宋体" w:eastAsia="宋体" w:cs="宋体"/>
          <w:color w:val="auto"/>
          <w:sz w:val="24"/>
          <w:szCs w:val="24"/>
          <w:lang w:eastAsia="zh-CN"/>
        </w:rPr>
      </w:pPr>
    </w:p>
    <w:p w14:paraId="65A2AAC1">
      <w:pPr>
        <w:pStyle w:val="10"/>
        <w:rPr>
          <w:rFonts w:hint="eastAsia" w:ascii="宋体" w:hAnsi="宋体" w:eastAsia="宋体" w:cs="宋体"/>
          <w:color w:val="auto"/>
          <w:sz w:val="24"/>
          <w:szCs w:val="24"/>
          <w:lang w:eastAsia="zh-CN"/>
        </w:rPr>
      </w:pPr>
    </w:p>
    <w:p w14:paraId="580B13AC">
      <w:pPr>
        <w:pStyle w:val="10"/>
        <w:ind w:left="0" w:leftChars="0" w:firstLine="0" w:firstLineChars="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330F3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2454297D">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1"/>
                <w:szCs w:val="21"/>
                <w:u w:val="none"/>
              </w:rPr>
            </w:pPr>
          </w:p>
        </w:tc>
        <w:tc>
          <w:tcPr>
            <w:tcW w:w="1778" w:type="dxa"/>
            <w:tcBorders>
              <w:top w:val="nil"/>
              <w:left w:val="nil"/>
              <w:bottom w:val="nil"/>
              <w:right w:val="nil"/>
            </w:tcBorders>
            <w:noWrap/>
            <w:vAlign w:val="center"/>
          </w:tcPr>
          <w:p w14:paraId="0A674BC5">
            <w:pPr>
              <w:rPr>
                <w:rFonts w:hint="eastAsia" w:ascii="宋体" w:hAnsi="宋体" w:eastAsia="宋体" w:cs="宋体"/>
                <w:i w:val="0"/>
                <w:iCs w:val="0"/>
                <w:color w:val="auto"/>
                <w:sz w:val="21"/>
                <w:szCs w:val="21"/>
                <w:u w:val="none"/>
              </w:rPr>
            </w:pPr>
          </w:p>
        </w:tc>
        <w:tc>
          <w:tcPr>
            <w:tcW w:w="2786" w:type="dxa"/>
            <w:tcBorders>
              <w:top w:val="nil"/>
              <w:left w:val="nil"/>
              <w:bottom w:val="nil"/>
              <w:right w:val="nil"/>
            </w:tcBorders>
            <w:noWrap/>
            <w:vAlign w:val="center"/>
          </w:tcPr>
          <w:p w14:paraId="52D37179">
            <w:pPr>
              <w:rPr>
                <w:rFonts w:hint="eastAsia" w:ascii="宋体" w:hAnsi="宋体" w:eastAsia="宋体" w:cs="宋体"/>
                <w:i w:val="0"/>
                <w:iCs w:val="0"/>
                <w:color w:val="auto"/>
                <w:sz w:val="21"/>
                <w:szCs w:val="21"/>
                <w:u w:val="none"/>
              </w:rPr>
            </w:pPr>
          </w:p>
        </w:tc>
        <w:tc>
          <w:tcPr>
            <w:tcW w:w="2314" w:type="dxa"/>
            <w:tcBorders>
              <w:top w:val="nil"/>
              <w:left w:val="nil"/>
              <w:bottom w:val="nil"/>
              <w:right w:val="nil"/>
            </w:tcBorders>
            <w:noWrap/>
            <w:vAlign w:val="center"/>
          </w:tcPr>
          <w:p w14:paraId="284E26E0">
            <w:pPr>
              <w:rPr>
                <w:rFonts w:hint="eastAsia" w:ascii="宋体" w:hAnsi="宋体" w:eastAsia="宋体" w:cs="宋体"/>
                <w:i w:val="0"/>
                <w:iCs w:val="0"/>
                <w:color w:val="auto"/>
                <w:sz w:val="21"/>
                <w:szCs w:val="21"/>
                <w:u w:val="none"/>
              </w:rPr>
            </w:pPr>
          </w:p>
        </w:tc>
        <w:tc>
          <w:tcPr>
            <w:tcW w:w="3449" w:type="dxa"/>
            <w:tcBorders>
              <w:top w:val="nil"/>
              <w:left w:val="nil"/>
              <w:bottom w:val="nil"/>
              <w:right w:val="nil"/>
            </w:tcBorders>
            <w:noWrap/>
            <w:vAlign w:val="center"/>
          </w:tcPr>
          <w:p w14:paraId="78B9237F">
            <w:pPr>
              <w:rPr>
                <w:rFonts w:hint="eastAsia" w:ascii="宋体" w:hAnsi="宋体" w:eastAsia="宋体" w:cs="宋体"/>
                <w:i w:val="0"/>
                <w:iCs w:val="0"/>
                <w:color w:val="auto"/>
                <w:sz w:val="21"/>
                <w:szCs w:val="21"/>
                <w:u w:val="none"/>
              </w:rPr>
            </w:pPr>
          </w:p>
        </w:tc>
        <w:tc>
          <w:tcPr>
            <w:tcW w:w="1331" w:type="dxa"/>
            <w:tcBorders>
              <w:top w:val="nil"/>
              <w:left w:val="nil"/>
              <w:bottom w:val="nil"/>
              <w:right w:val="nil"/>
            </w:tcBorders>
            <w:noWrap/>
            <w:vAlign w:val="center"/>
          </w:tcPr>
          <w:p w14:paraId="42BFCFEA">
            <w:pPr>
              <w:rPr>
                <w:rFonts w:hint="eastAsia" w:ascii="宋体" w:hAnsi="宋体" w:eastAsia="宋体" w:cs="宋体"/>
                <w:i w:val="0"/>
                <w:iCs w:val="0"/>
                <w:color w:val="auto"/>
                <w:sz w:val="21"/>
                <w:szCs w:val="21"/>
                <w:u w:val="none"/>
              </w:rPr>
            </w:pPr>
          </w:p>
        </w:tc>
      </w:tr>
      <w:tr w14:paraId="6D279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782AA912">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2024年中央林业草原生态保护恢复资金-森林保护修复支出-（国家公益林管护）综合得分表</w:t>
            </w:r>
          </w:p>
        </w:tc>
      </w:tr>
      <w:tr w14:paraId="4E30E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F876C0">
            <w:pPr>
              <w:keepNext w:val="0"/>
              <w:keepLines w:val="0"/>
              <w:widowControl/>
              <w:suppressLineNumbers w:val="0"/>
              <w:ind w:firstLine="420" w:firstLineChars="200"/>
              <w:jc w:val="both"/>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000000"/>
                <w:kern w:val="0"/>
                <w:sz w:val="21"/>
                <w:szCs w:val="21"/>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D7A8AFB">
            <w:pPr>
              <w:keepNext w:val="0"/>
              <w:keepLines w:val="0"/>
              <w:widowControl/>
              <w:suppressLineNumbers w:val="0"/>
              <w:ind w:firstLine="420" w:firstLineChars="200"/>
              <w:jc w:val="both"/>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000000"/>
                <w:kern w:val="0"/>
                <w:sz w:val="21"/>
                <w:szCs w:val="21"/>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1C1D948">
            <w:pPr>
              <w:keepNext w:val="0"/>
              <w:keepLines w:val="0"/>
              <w:widowControl/>
              <w:suppressLineNumbers w:val="0"/>
              <w:ind w:firstLine="420" w:firstLineChars="200"/>
              <w:jc w:val="both"/>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000000"/>
                <w:kern w:val="0"/>
                <w:sz w:val="21"/>
                <w:szCs w:val="21"/>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2A4117">
            <w:pPr>
              <w:keepNext w:val="0"/>
              <w:keepLines w:val="0"/>
              <w:widowControl/>
              <w:suppressLineNumbers w:val="0"/>
              <w:ind w:firstLine="420" w:firstLineChars="20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000000"/>
                <w:kern w:val="0"/>
                <w:sz w:val="21"/>
                <w:szCs w:val="21"/>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96DC0DD">
            <w:pPr>
              <w:keepNext w:val="0"/>
              <w:keepLines w:val="0"/>
              <w:widowControl/>
              <w:suppressLineNumbers w:val="0"/>
              <w:ind w:firstLine="420" w:firstLineChars="20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000000"/>
                <w:kern w:val="0"/>
                <w:sz w:val="21"/>
                <w:szCs w:val="21"/>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DF4F585">
            <w:pPr>
              <w:keepNext w:val="0"/>
              <w:keepLines w:val="0"/>
              <w:widowControl/>
              <w:suppressLineNumbers w:val="0"/>
              <w:ind w:firstLine="420" w:firstLineChars="20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000000"/>
                <w:kern w:val="0"/>
                <w:sz w:val="21"/>
                <w:szCs w:val="21"/>
                <w:u w:val="none"/>
                <w:lang w:val="en-US" w:eastAsia="zh-CN"/>
              </w:rPr>
              <w:t>合计</w:t>
            </w:r>
          </w:p>
        </w:tc>
      </w:tr>
      <w:tr w14:paraId="12354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36E4570">
            <w:pPr>
              <w:keepNext w:val="0"/>
              <w:keepLines w:val="0"/>
              <w:widowControl/>
              <w:suppressLineNumbers w:val="0"/>
              <w:ind w:firstLine="420" w:firstLineChars="200"/>
              <w:jc w:val="both"/>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000000"/>
                <w:kern w:val="0"/>
                <w:sz w:val="21"/>
                <w:szCs w:val="21"/>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548EDD6">
            <w:pPr>
              <w:keepNext w:val="0"/>
              <w:keepLines w:val="0"/>
              <w:widowControl/>
              <w:suppressLineNumbers w:val="0"/>
              <w:ind w:firstLine="42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rPr>
              <w:t>23</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2BB382C">
            <w:pPr>
              <w:keepNext w:val="0"/>
              <w:keepLines w:val="0"/>
              <w:widowControl/>
              <w:suppressLineNumbers w:val="0"/>
              <w:ind w:firstLine="42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rPr>
              <w:t>12</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9AA7C84">
            <w:pPr>
              <w:keepNext w:val="0"/>
              <w:keepLines w:val="0"/>
              <w:widowControl/>
              <w:suppressLineNumbers w:val="0"/>
              <w:ind w:firstLine="42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7FC4ACAB">
            <w:pPr>
              <w:keepNext w:val="0"/>
              <w:keepLines w:val="0"/>
              <w:widowControl/>
              <w:suppressLineNumbers w:val="0"/>
              <w:ind w:firstLine="42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33C7A99">
            <w:pPr>
              <w:keepNext w:val="0"/>
              <w:keepLines w:val="0"/>
              <w:widowControl/>
              <w:suppressLineNumbers w:val="0"/>
              <w:ind w:firstLine="42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rPr>
              <w:t>100</w:t>
            </w:r>
          </w:p>
        </w:tc>
      </w:tr>
      <w:tr w14:paraId="57E7A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F72114">
            <w:pPr>
              <w:keepNext w:val="0"/>
              <w:keepLines w:val="0"/>
              <w:widowControl/>
              <w:suppressLineNumbers w:val="0"/>
              <w:ind w:firstLine="420" w:firstLineChars="200"/>
              <w:jc w:val="both"/>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236EFB1">
            <w:pPr>
              <w:keepNext w:val="0"/>
              <w:keepLines w:val="0"/>
              <w:widowControl/>
              <w:suppressLineNumbers w:val="0"/>
              <w:ind w:firstLine="420" w:firstLineChars="200"/>
              <w:jc w:val="center"/>
              <w:textAlignment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23</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FD5C316">
            <w:pPr>
              <w:keepNext w:val="0"/>
              <w:keepLines w:val="0"/>
              <w:widowControl/>
              <w:suppressLineNumbers w:val="0"/>
              <w:ind w:firstLine="420" w:firstLineChars="20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000000"/>
                <w:kern w:val="0"/>
                <w:sz w:val="21"/>
                <w:szCs w:val="21"/>
                <w:u w:val="none"/>
                <w:lang w:val="en-US" w:eastAsia="zh-CN"/>
              </w:rPr>
              <w:t>11.97</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F6E9D5">
            <w:pPr>
              <w:keepNext w:val="0"/>
              <w:keepLines w:val="0"/>
              <w:widowControl/>
              <w:suppressLineNumbers w:val="0"/>
              <w:ind w:firstLine="420" w:firstLineChars="20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000000"/>
                <w:kern w:val="0"/>
                <w:sz w:val="21"/>
                <w:szCs w:val="21"/>
                <w:u w:val="none"/>
                <w:lang w:val="en-US" w:eastAsia="zh-CN"/>
              </w:rPr>
              <w:t>39.85</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8153E3">
            <w:pPr>
              <w:keepNext w:val="0"/>
              <w:keepLines w:val="0"/>
              <w:widowControl/>
              <w:suppressLineNumbers w:val="0"/>
              <w:ind w:firstLine="420" w:firstLineChars="20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000000"/>
                <w:kern w:val="0"/>
                <w:sz w:val="21"/>
                <w:szCs w:val="21"/>
                <w:u w:val="none"/>
                <w:lang w:val="en-US" w:eastAsia="zh-CN"/>
              </w:rPr>
              <w:t>25</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A079A73">
            <w:pPr>
              <w:keepNext w:val="0"/>
              <w:keepLines w:val="0"/>
              <w:widowControl/>
              <w:suppressLineNumbers w:val="0"/>
              <w:ind w:firstLine="42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rPr>
              <w:t>99.82</w:t>
            </w:r>
          </w:p>
        </w:tc>
      </w:tr>
      <w:tr w14:paraId="557C2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4595350">
            <w:pPr>
              <w:keepNext w:val="0"/>
              <w:keepLines w:val="0"/>
              <w:widowControl/>
              <w:suppressLineNumbers w:val="0"/>
              <w:ind w:firstLine="420" w:firstLineChars="200"/>
              <w:jc w:val="both"/>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000000"/>
                <w:kern w:val="0"/>
                <w:sz w:val="21"/>
                <w:szCs w:val="21"/>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FD599B9">
            <w:pPr>
              <w:keepNext w:val="0"/>
              <w:keepLines w:val="0"/>
              <w:widowControl/>
              <w:suppressLineNumbers w:val="0"/>
              <w:ind w:firstLine="42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C61E83A">
            <w:pPr>
              <w:keepNext w:val="0"/>
              <w:keepLines w:val="0"/>
              <w:widowControl/>
              <w:suppressLineNumbers w:val="0"/>
              <w:ind w:firstLine="42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rPr>
              <w:t>99.75%</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91B25E2">
            <w:pPr>
              <w:keepNext w:val="0"/>
              <w:keepLines w:val="0"/>
              <w:widowControl/>
              <w:suppressLineNumbers w:val="0"/>
              <w:ind w:firstLine="42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rPr>
              <w:t>99.63%</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0F1A0E4">
            <w:pPr>
              <w:keepNext w:val="0"/>
              <w:keepLines w:val="0"/>
              <w:widowControl/>
              <w:suppressLineNumbers w:val="0"/>
              <w:ind w:firstLine="42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E289153">
            <w:pPr>
              <w:keepNext w:val="0"/>
              <w:keepLines w:val="0"/>
              <w:widowControl/>
              <w:suppressLineNumbers w:val="0"/>
              <w:ind w:firstLine="42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rPr>
              <w:t>99.82%</w:t>
            </w:r>
          </w:p>
        </w:tc>
      </w:tr>
    </w:tbl>
    <w:p w14:paraId="7259DB2B">
      <w:pPr>
        <w:pStyle w:val="10"/>
        <w:ind w:left="0" w:leftChars="0" w:firstLine="0" w:firstLineChars="0"/>
        <w:jc w:val="both"/>
        <w:rPr>
          <w:rFonts w:hint="eastAsia" w:ascii="宋体" w:hAnsi="宋体" w:eastAsia="宋体" w:cs="宋体"/>
          <w:color w:val="auto"/>
          <w:sz w:val="24"/>
          <w:szCs w:val="24"/>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715BD7CB">
      <w:pPr>
        <w:pStyle w:val="10"/>
        <w:ind w:left="0" w:leftChars="0" w:firstLine="0" w:firstLineChars="0"/>
        <w:jc w:val="both"/>
        <w:rPr>
          <w:rFonts w:hint="eastAsia" w:ascii="宋体" w:hAnsi="宋体" w:eastAsia="宋体" w:cs="宋体"/>
          <w:color w:val="auto"/>
          <w:sz w:val="24"/>
          <w:szCs w:val="24"/>
          <w:lang w:eastAsia="zh-CN"/>
        </w:rPr>
      </w:pPr>
    </w:p>
    <w:sectPr>
      <w:footerReference r:id="rId8" w:type="default"/>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C3068">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5BA17">
    <w:pPr>
      <w:pStyle w:val="15"/>
      <w:ind w:firstLine="36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75D47ABB">
                <w:pPr>
                  <w:pStyle w:val="1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24</w:t>
                </w:r>
                <w:r>
                  <w:t xml:space="preserve"> 页</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AC4D5">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47534">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decimal"/>
      <w:suff w:val="nothing"/>
      <w:lvlText w:val="%1）"/>
      <w:lvlJc w:val="left"/>
    </w:lvl>
  </w:abstractNum>
  <w:abstractNum w:abstractNumId="1">
    <w:nsid w:val="0248C179"/>
    <w:multiLevelType w:val="singleLevel"/>
    <w:tmpl w:val="0248C179"/>
    <w:lvl w:ilvl="0" w:tentative="0">
      <w:start w:val="1"/>
      <w:numFmt w:val="decimal"/>
      <w:suff w:val="nothing"/>
      <w:lvlText w:val="（%1）"/>
      <w:lvlJc w:val="left"/>
    </w:lvl>
  </w:abstractNum>
  <w:abstractNum w:abstractNumId="2">
    <w:nsid w:val="2A8F537B"/>
    <w:multiLevelType w:val="singleLevel"/>
    <w:tmpl w:val="2A8F537B"/>
    <w:lvl w:ilvl="0" w:tentative="0">
      <w:start w:val="1"/>
      <w:numFmt w:val="decimal"/>
      <w:lvlText w:val="%1."/>
      <w:lvlJc w:val="left"/>
      <w:pPr>
        <w:tabs>
          <w:tab w:val="left" w:pos="312"/>
        </w:tabs>
      </w:pPr>
    </w:lvl>
  </w:abstractNum>
  <w:abstractNum w:abstractNumId="3">
    <w:nsid w:val="72183CF9"/>
    <w:multiLevelType w:val="singleLevel"/>
    <w:tmpl w:val="72183CF9"/>
    <w:lvl w:ilvl="0" w:tentative="0">
      <w:start w:val="2"/>
      <w:numFmt w:val="decimal"/>
      <w:lvlText w:val="%1."/>
      <w:lvlJc w:val="left"/>
      <w:pPr>
        <w:tabs>
          <w:tab w:val="left" w:pos="312"/>
        </w:tabs>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DkzYTY1ODhmZjRiY2MxNDhlNzhkN2RkNzk0ZmMyNjIifQ=="/>
  </w:docVars>
  <w:rsids>
    <w:rsidRoot w:val="00000000"/>
    <w:rsid w:val="37B020F0"/>
    <w:rsid w:val="4D08425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3"/>
    <w:link w:val="3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3">
    <w:name w:val="Body Text First Indent 2"/>
    <w:basedOn w:val="4"/>
    <w:link w:val="33"/>
    <w:unhideWhenUsed/>
    <w:qFormat/>
    <w:uiPriority w:val="0"/>
    <w:pPr>
      <w:ind w:firstLine="420"/>
    </w:pPr>
  </w:style>
  <w:style w:type="paragraph" w:styleId="4">
    <w:name w:val="Body Text Indent"/>
    <w:basedOn w:val="1"/>
    <w:link w:val="32"/>
    <w:unhideWhenUsed/>
    <w:qFormat/>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7"/>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qFormat/>
    <w:uiPriority w:val="39"/>
    <w:pPr>
      <w:ind w:left="1960"/>
      <w:jc w:val="left"/>
    </w:pPr>
    <w:rPr>
      <w:rFonts w:ascii="Calibri" w:hAnsi="Calibri" w:cs="Calibri"/>
      <w:sz w:val="18"/>
      <w:szCs w:val="18"/>
    </w:rPr>
  </w:style>
  <w:style w:type="paragraph" w:styleId="14">
    <w:name w:val="Balloon Text"/>
    <w:basedOn w:val="1"/>
    <w:link w:val="39"/>
    <w:unhideWhenUsed/>
    <w:qFormat/>
    <w:uiPriority w:val="99"/>
    <w:rPr>
      <w:rFonts w:cs="Times New Roman"/>
      <w:kern w:val="0"/>
      <w:sz w:val="18"/>
      <w:szCs w:val="18"/>
    </w:rPr>
  </w:style>
  <w:style w:type="paragraph" w:styleId="15">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qFormat/>
    <w:uiPriority w:val="39"/>
    <w:pPr>
      <w:spacing w:before="120" w:after="120"/>
      <w:jc w:val="left"/>
    </w:pPr>
    <w:rPr>
      <w:rFonts w:ascii="Calibri" w:hAnsi="Calibri" w:cs="Calibri"/>
      <w:b/>
      <w:bCs/>
      <w:caps/>
      <w:sz w:val="20"/>
      <w:szCs w:val="20"/>
    </w:rPr>
  </w:style>
  <w:style w:type="paragraph" w:styleId="18">
    <w:name w:val="toc 4"/>
    <w:basedOn w:val="1"/>
    <w:next w:val="1"/>
    <w:unhideWhenUsed/>
    <w:qFormat/>
    <w:uiPriority w:val="39"/>
    <w:pPr>
      <w:ind w:left="840"/>
      <w:jc w:val="left"/>
    </w:pPr>
    <w:rPr>
      <w:rFonts w:ascii="Calibri" w:hAnsi="Calibri" w:cs="Calibri"/>
      <w:sz w:val="18"/>
      <w:szCs w:val="18"/>
    </w:rPr>
  </w:style>
  <w:style w:type="paragraph" w:styleId="19">
    <w:name w:val="toc 6"/>
    <w:basedOn w:val="1"/>
    <w:next w:val="1"/>
    <w:unhideWhenUsed/>
    <w:qFormat/>
    <w:uiPriority w:val="39"/>
    <w:pPr>
      <w:ind w:left="1400"/>
      <w:jc w:val="left"/>
    </w:pPr>
    <w:rPr>
      <w:rFonts w:ascii="Calibri" w:hAnsi="Calibri" w:cs="Calibri"/>
      <w:sz w:val="18"/>
      <w:szCs w:val="18"/>
    </w:rPr>
  </w:style>
  <w:style w:type="paragraph" w:styleId="20">
    <w:name w:val="toc 2"/>
    <w:basedOn w:val="1"/>
    <w:next w:val="1"/>
    <w:unhideWhenUsed/>
    <w:qFormat/>
    <w:uiPriority w:val="39"/>
    <w:pPr>
      <w:ind w:left="280"/>
      <w:jc w:val="left"/>
    </w:pPr>
    <w:rPr>
      <w:rFonts w:ascii="Calibri" w:hAnsi="Calibri" w:cs="Calibri"/>
      <w:smallCaps/>
      <w:sz w:val="20"/>
      <w:szCs w:val="20"/>
    </w:rPr>
  </w:style>
  <w:style w:type="paragraph" w:styleId="21">
    <w:name w:val="toc 9"/>
    <w:basedOn w:val="1"/>
    <w:next w:val="1"/>
    <w:unhideWhenUsed/>
    <w:qFormat/>
    <w:uiPriority w:val="39"/>
    <w:pPr>
      <w:ind w:left="2240"/>
      <w:jc w:val="left"/>
    </w:pPr>
    <w:rPr>
      <w:rFonts w:ascii="Calibri" w:hAnsi="Calibri" w:cs="Calibri"/>
      <w:sz w:val="18"/>
      <w:szCs w:val="18"/>
    </w:rPr>
  </w:style>
  <w:style w:type="paragraph" w:styleId="22">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bCs/>
    </w:rPr>
  </w:style>
  <w:style w:type="character" w:styleId="27">
    <w:name w:val="Hyperlink"/>
    <w:unhideWhenUsed/>
    <w:qFormat/>
    <w:uiPriority w:val="99"/>
    <w:rPr>
      <w:color w:val="0000FF"/>
      <w:u w:val="single"/>
    </w:rPr>
  </w:style>
  <w:style w:type="paragraph" w:customStyle="1" w:styleId="28">
    <w:name w:val="Comment Text"/>
    <w:basedOn w:val="1"/>
    <w:link w:val="38"/>
    <w:unhideWhenUsed/>
    <w:qFormat/>
    <w:uiPriority w:val="99"/>
    <w:rPr>
      <w:rFonts w:cs="Times New Roman"/>
      <w:kern w:val="0"/>
      <w:sz w:val="20"/>
      <w:szCs w:val="20"/>
    </w:rPr>
  </w:style>
  <w:style w:type="paragraph" w:customStyle="1" w:styleId="29">
    <w:name w:val="Comment Subject"/>
    <w:basedOn w:val="28"/>
    <w:next w:val="28"/>
    <w:link w:val="43"/>
    <w:unhideWhenUsed/>
    <w:qFormat/>
    <w:uiPriority w:val="99"/>
    <w:rPr>
      <w:b/>
      <w:bCs/>
    </w:rPr>
  </w:style>
  <w:style w:type="character" w:customStyle="1" w:styleId="30">
    <w:name w:val="Comment Reference"/>
    <w:unhideWhenUsed/>
    <w:qFormat/>
    <w:uiPriority w:val="99"/>
    <w:rPr>
      <w:sz w:val="16"/>
      <w:szCs w:val="16"/>
    </w:rPr>
  </w:style>
  <w:style w:type="character" w:customStyle="1" w:styleId="31">
    <w:name w:val="标题 1 Char"/>
    <w:link w:val="2"/>
    <w:qFormat/>
    <w:uiPriority w:val="9"/>
    <w:rPr>
      <w:rFonts w:ascii="Times New Roman" w:hAnsi="Times New Roman" w:eastAsia="仿宋_GB2312" w:cs="Times New Roman"/>
      <w:b/>
      <w:bCs/>
      <w:kern w:val="44"/>
      <w:sz w:val="32"/>
      <w:szCs w:val="44"/>
    </w:rPr>
  </w:style>
  <w:style w:type="character" w:customStyle="1" w:styleId="32">
    <w:name w:val="正文文本缩进 Char"/>
    <w:link w:val="4"/>
    <w:semiHidden/>
    <w:qFormat/>
    <w:uiPriority w:val="99"/>
    <w:rPr>
      <w:rFonts w:ascii="Calibri" w:hAnsi="Calibri" w:eastAsia="仿宋_GB2312" w:cs="黑体"/>
      <w:sz w:val="28"/>
    </w:rPr>
  </w:style>
  <w:style w:type="character" w:customStyle="1" w:styleId="33">
    <w:name w:val="正文首行缩进 2 Char"/>
    <w:link w:val="3"/>
    <w:qFormat/>
    <w:uiPriority w:val="0"/>
    <w:rPr>
      <w:rFonts w:ascii="Calibri" w:hAnsi="Calibri" w:eastAsia="仿宋_GB2312" w:cs="黑体"/>
      <w:sz w:val="28"/>
    </w:rPr>
  </w:style>
  <w:style w:type="character" w:customStyle="1" w:styleId="34">
    <w:name w:val="标题 2 Char"/>
    <w:link w:val="5"/>
    <w:qFormat/>
    <w:uiPriority w:val="0"/>
    <w:rPr>
      <w:rFonts w:ascii="Cambria" w:hAnsi="Cambria" w:eastAsia="仿宋_GB2312" w:cs="Times New Roman"/>
      <w:b/>
      <w:bCs/>
      <w:kern w:val="0"/>
      <w:sz w:val="30"/>
      <w:szCs w:val="32"/>
    </w:rPr>
  </w:style>
  <w:style w:type="character" w:customStyle="1" w:styleId="35">
    <w:name w:val="标题 3 Char"/>
    <w:link w:val="6"/>
    <w:qFormat/>
    <w:uiPriority w:val="9"/>
    <w:rPr>
      <w:rFonts w:ascii="Calibri" w:hAnsi="Calibri" w:eastAsia="仿宋_GB2312" w:cs="黑体"/>
      <w:bCs/>
      <w:sz w:val="28"/>
      <w:szCs w:val="32"/>
    </w:rPr>
  </w:style>
  <w:style w:type="character" w:customStyle="1" w:styleId="36">
    <w:name w:val="标题 4 Char"/>
    <w:link w:val="7"/>
    <w:semiHidden/>
    <w:qFormat/>
    <w:uiPriority w:val="9"/>
    <w:rPr>
      <w:rFonts w:ascii="Cambria" w:hAnsi="Cambria" w:eastAsia="宋体" w:cs="Times New Roman"/>
      <w:b/>
      <w:bCs/>
      <w:sz w:val="28"/>
      <w:szCs w:val="28"/>
    </w:rPr>
  </w:style>
  <w:style w:type="character" w:customStyle="1" w:styleId="37">
    <w:name w:val="文档结构图 Char"/>
    <w:link w:val="9"/>
    <w:semiHidden/>
    <w:qFormat/>
    <w:uiPriority w:val="99"/>
    <w:rPr>
      <w:rFonts w:ascii="宋体" w:hAnsi="Calibri" w:eastAsia="宋体" w:cs="黑体"/>
      <w:sz w:val="18"/>
      <w:szCs w:val="18"/>
    </w:rPr>
  </w:style>
  <w:style w:type="character" w:customStyle="1" w:styleId="38">
    <w:name w:val="批注文字 Char"/>
    <w:link w:val="28"/>
    <w:semiHidden/>
    <w:qFormat/>
    <w:uiPriority w:val="99"/>
    <w:rPr>
      <w:rFonts w:ascii="Calibri" w:hAnsi="Calibri" w:eastAsia="仿宋_GB2312" w:cs="黑体"/>
      <w:sz w:val="20"/>
      <w:szCs w:val="20"/>
    </w:rPr>
  </w:style>
  <w:style w:type="character" w:customStyle="1" w:styleId="39">
    <w:name w:val="批注框文本 Char"/>
    <w:link w:val="14"/>
    <w:semiHidden/>
    <w:qFormat/>
    <w:uiPriority w:val="99"/>
    <w:rPr>
      <w:rFonts w:ascii="Calibri" w:hAnsi="Calibri" w:eastAsia="仿宋_GB2312" w:cs="黑体"/>
      <w:sz w:val="18"/>
      <w:szCs w:val="18"/>
    </w:rPr>
  </w:style>
  <w:style w:type="character" w:customStyle="1" w:styleId="40">
    <w:name w:val="页脚 Char"/>
    <w:link w:val="15"/>
    <w:qFormat/>
    <w:uiPriority w:val="99"/>
    <w:rPr>
      <w:rFonts w:ascii="Calibri" w:hAnsi="Calibri" w:eastAsia="仿宋_GB2312" w:cs="黑体"/>
      <w:sz w:val="18"/>
      <w:szCs w:val="18"/>
    </w:rPr>
  </w:style>
  <w:style w:type="character" w:customStyle="1" w:styleId="41">
    <w:name w:val="页眉 Char"/>
    <w:link w:val="16"/>
    <w:qFormat/>
    <w:uiPriority w:val="99"/>
    <w:rPr>
      <w:rFonts w:ascii="Calibri" w:hAnsi="Calibri" w:eastAsia="仿宋_GB2312" w:cs="黑体"/>
      <w:sz w:val="18"/>
      <w:szCs w:val="18"/>
    </w:rPr>
  </w:style>
  <w:style w:type="character" w:customStyle="1" w:styleId="42">
    <w:name w:val="标题 Char"/>
    <w:link w:val="22"/>
    <w:qFormat/>
    <w:uiPriority w:val="10"/>
    <w:rPr>
      <w:rFonts w:ascii="Cambria" w:hAnsi="Cambria"/>
      <w:b/>
      <w:bCs/>
      <w:kern w:val="2"/>
      <w:sz w:val="32"/>
      <w:szCs w:val="32"/>
    </w:rPr>
  </w:style>
  <w:style w:type="character" w:customStyle="1" w:styleId="43">
    <w:name w:val="批注主题 Char"/>
    <w:link w:val="29"/>
    <w:semiHidden/>
    <w:qFormat/>
    <w:uiPriority w:val="99"/>
    <w:rPr>
      <w:rFonts w:ascii="Calibri" w:hAnsi="Calibri" w:eastAsia="仿宋_GB2312" w:cs="黑体"/>
      <w:b/>
      <w:bCs/>
      <w:sz w:val="20"/>
      <w:szCs w:val="20"/>
    </w:rPr>
  </w:style>
  <w:style w:type="paragraph" w:customStyle="1" w:styleId="44">
    <w:name w:val="_Style 1"/>
    <w:basedOn w:val="1"/>
    <w:qFormat/>
    <w:uiPriority w:val="0"/>
    <w:pPr>
      <w:ind w:firstLine="420" w:firstLineChars="200"/>
    </w:pPr>
  </w:style>
  <w:style w:type="character" w:customStyle="1" w:styleId="45">
    <w:name w:val="闻政-正文一级标题 Char"/>
    <w:link w:val="46"/>
    <w:qFormat/>
    <w:uiPriority w:val="3"/>
    <w:rPr>
      <w:rFonts w:ascii="黑体" w:hAnsi="黑体" w:eastAsia="黑体"/>
      <w:bCs/>
      <w:sz w:val="32"/>
      <w:szCs w:val="32"/>
    </w:rPr>
  </w:style>
  <w:style w:type="paragraph" w:customStyle="1" w:styleId="46">
    <w:name w:val="闻政-正文一级标题"/>
    <w:basedOn w:val="6"/>
    <w:next w:val="47"/>
    <w:link w:val="45"/>
    <w:qFormat/>
    <w:uiPriority w:val="3"/>
    <w:pPr>
      <w:spacing w:before="120" w:after="60" w:line="500" w:lineRule="exact"/>
      <w:ind w:firstLine="0" w:firstLineChars="0"/>
      <w:outlineLvl w:val="0"/>
    </w:pPr>
    <w:rPr>
      <w:rFonts w:ascii="黑体" w:hAnsi="黑体" w:eastAsia="黑体"/>
      <w:sz w:val="32"/>
    </w:rPr>
  </w:style>
  <w:style w:type="paragraph" w:customStyle="1" w:styleId="47">
    <w:name w:val="闻政-正文段落文字"/>
    <w:basedOn w:val="1"/>
    <w:link w:val="48"/>
    <w:qFormat/>
    <w:uiPriority w:val="3"/>
    <w:pPr>
      <w:spacing w:line="500" w:lineRule="exact"/>
      <w:ind w:firstLine="200"/>
    </w:pPr>
    <w:rPr>
      <w:rFonts w:ascii="Times New Roman" w:hAnsi="Times New Roman" w:cs="Times New Roman"/>
      <w:kern w:val="0"/>
      <w:szCs w:val="28"/>
    </w:rPr>
  </w:style>
  <w:style w:type="character" w:customStyle="1" w:styleId="48">
    <w:name w:val="闻政-正文段落文字 Char"/>
    <w:link w:val="47"/>
    <w:qFormat/>
    <w:uiPriority w:val="3"/>
    <w:rPr>
      <w:rFonts w:ascii="Times New Roman" w:hAnsi="Times New Roman" w:eastAsia="仿宋_GB2312"/>
      <w:sz w:val="28"/>
      <w:szCs w:val="28"/>
    </w:rPr>
  </w:style>
  <w:style w:type="character" w:customStyle="1" w:styleId="49">
    <w:name w:val="闻政-正文二级标题 Char"/>
    <w:link w:val="50"/>
    <w:qFormat/>
    <w:uiPriority w:val="3"/>
    <w:rPr>
      <w:rFonts w:ascii="Times New Roman" w:hAnsi="Times New Roman" w:eastAsia="仿宋_GB2312"/>
      <w:b/>
      <w:bCs/>
      <w:sz w:val="28"/>
      <w:szCs w:val="32"/>
    </w:rPr>
  </w:style>
  <w:style w:type="paragraph" w:customStyle="1" w:styleId="50">
    <w:name w:val="闻政-正文二级标题"/>
    <w:basedOn w:val="5"/>
    <w:next w:val="47"/>
    <w:link w:val="49"/>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11"/>
    <w:qFormat/>
    <w:uiPriority w:val="0"/>
    <w:rPr>
      <w:rFonts w:hint="eastAsia" w:ascii="方正仿宋_GBK" w:hAnsi="方正仿宋_GBK" w:eastAsia="方正仿宋_GBK" w:cs="方正仿宋_GBK"/>
      <w:color w:val="000000"/>
      <w:sz w:val="24"/>
      <w:szCs w:val="24"/>
      <w:u w:val="none"/>
    </w:rPr>
  </w:style>
  <w:style w:type="character" w:customStyle="1" w:styleId="52">
    <w:name w:val="52"/>
    <w:qFormat/>
    <w:uiPriority w:val="0"/>
    <w:rPr>
      <w:b/>
      <w:bCs/>
      <w:smallCaps/>
      <w:color w:val="C0504D"/>
      <w:spacing w:val="5"/>
      <w:u w:val="single"/>
    </w:rPr>
  </w:style>
  <w:style w:type="character" w:customStyle="1" w:styleId="53">
    <w:name w:val="闻政-正文三级标题 Char"/>
    <w:link w:val="54"/>
    <w:qFormat/>
    <w:uiPriority w:val="3"/>
    <w:rPr>
      <w:rFonts w:ascii="Times New Roman" w:hAnsi="Times New Roman" w:eastAsia="仿宋_GB2312"/>
      <w:b/>
      <w:snapToGrid w:val="0"/>
      <w:sz w:val="28"/>
      <w:szCs w:val="28"/>
    </w:rPr>
  </w:style>
  <w:style w:type="paragraph" w:customStyle="1" w:styleId="54">
    <w:name w:val="闻政-正文三级标题"/>
    <w:basedOn w:val="1"/>
    <w:next w:val="47"/>
    <w:link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5">
    <w:name w:val="font21"/>
    <w:qFormat/>
    <w:uiPriority w:val="0"/>
    <w:rPr>
      <w:rFonts w:hint="default" w:ascii="Times New Roman" w:hAnsi="Times New Roman" w:cs="Times New Roman"/>
      <w:color w:val="000000"/>
      <w:sz w:val="24"/>
      <w:szCs w:val="24"/>
      <w:u w:val="none"/>
    </w:rPr>
  </w:style>
  <w:style w:type="character" w:customStyle="1" w:styleId="56">
    <w:name w:val="无间隔 Char"/>
    <w:link w:val="57"/>
    <w:qFormat/>
    <w:uiPriority w:val="1"/>
    <w:rPr>
      <w:rFonts w:eastAsia="仿宋_GB2312" w:cs="黑体"/>
      <w:kern w:val="2"/>
      <w:sz w:val="28"/>
      <w:szCs w:val="22"/>
      <w:lang w:val="en-US" w:eastAsia="zh-CN" w:bidi="ar-SA"/>
    </w:rPr>
  </w:style>
  <w:style w:type="paragraph" w:styleId="57">
    <w:name w:val="No Spacing"/>
    <w:link w:val="56"/>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8">
    <w:name w:val="List Paragraph"/>
    <w:basedOn w:val="1"/>
    <w:qFormat/>
    <w:uiPriority w:val="34"/>
    <w:pPr>
      <w:ind w:firstLine="420"/>
    </w:pPr>
  </w:style>
  <w:style w:type="paragraph" w:customStyle="1" w:styleId="59">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60">
    <w:name w:val="font71"/>
    <w:basedOn w:val="25"/>
    <w:qFormat/>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074FE2F794DF47788662EE897650E113_13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315db5-de62-4b32-ae5f-cb2f3e05ef0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9087</Words>
  <Characters>9682</Characters>
  <Lines>44</Lines>
  <Paragraphs>12</Paragraphs>
  <TotalTime>2</TotalTime>
  <ScaleCrop>false</ScaleCrop>
  <LinksUpToDate>false</LinksUpToDate>
  <CharactersWithSpaces>9697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2025-10-10T10:43:56Z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074FE2F794DF47788662EE897650E113_13</vt:lpwstr>
  </property>
  <property fmtid="{D5CDD505-2E9C-101B-9397-08002B2CF9AE}" pid="4" name="KSOTemplateDocerSaveRecord">
    <vt:lpwstr>eyJoZGlkIjoiZDE5MGZhMTJhZDM2OTQwYzkzYWVjM2FhZDUxN2Q0M2IiLCJ1c2VySWQiOiI2NTE5NDIwMjYifQ_x003D__x003D_</vt:lpwstr>
  </property>
</Properties>
</file>