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0F0B7">
      <w:bookmarkStart w:id="23" w:name="_GoBack"/>
      <w:bookmarkEnd w:id="23"/>
    </w:p>
    <w:p w14:paraId="0360068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eastAsia="方正仿宋_GBK" w:cs="方正仿宋_GBK"/>
          <w:b/>
          <w:color w:val="auto"/>
          <w:kern w:val="0"/>
          <w:sz w:val="32"/>
          <w:szCs w:val="32"/>
          <w:lang w:val="en-US" w:eastAsia="zh-CN" w:bidi="en-US"/>
        </w:rPr>
      </w:pPr>
    </w:p>
    <w:p w14:paraId="54ED5DEA">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color w:val="auto"/>
        </w:rPr>
      </w:pPr>
      <w:r>
        <w:rPr>
          <w:rFonts w:hint="eastAsia" w:ascii="黑体" w:hAnsi="黑体" w:eastAsia="黑体" w:cs="黑体"/>
          <w:b/>
          <w:color w:val="auto"/>
          <w:sz w:val="36"/>
          <w:szCs w:val="36"/>
          <w:lang w:val="en-US" w:eastAsia="zh-CN"/>
        </w:rPr>
        <w:t>和田地区洛浦县</w:t>
      </w:r>
      <w:r>
        <w:rPr>
          <w:rFonts w:hint="eastAsia" w:ascii="黑体" w:hAnsi="黑体" w:eastAsia="黑体" w:cs="黑体"/>
          <w:b/>
          <w:color w:val="auto"/>
          <w:sz w:val="36"/>
          <w:szCs w:val="36"/>
          <w:highlight w:val="none"/>
          <w:lang w:val="en-US" w:eastAsia="zh-CN"/>
        </w:rPr>
        <w:t>高级技工学校</w:t>
      </w:r>
      <w:r>
        <w:rPr>
          <w:rFonts w:hint="eastAsia" w:ascii="黑体" w:hAnsi="黑体" w:eastAsia="黑体" w:cs="黑体"/>
          <w:b/>
          <w:bCs/>
          <w:color w:val="auto"/>
          <w:sz w:val="36"/>
          <w:szCs w:val="36"/>
          <w:highlight w:val="none"/>
          <w:lang w:val="en-US" w:eastAsia="zh-CN"/>
        </w:rPr>
        <w:t>中央直达资金-和地 财教[2023]59号：2024年学生资助补助经费-技工免学费及助学金</w:t>
      </w:r>
      <w:r>
        <w:rPr>
          <w:rFonts w:hint="eastAsia" w:ascii="黑体" w:hAnsi="黑体" w:eastAsia="黑体" w:cs="黑体"/>
          <w:b/>
          <w:color w:val="auto"/>
          <w:sz w:val="36"/>
          <w:szCs w:val="36"/>
        </w:rPr>
        <w:t>项目支出绩效评价报告</w:t>
      </w:r>
    </w:p>
    <w:p w14:paraId="63271558">
      <w:pPr>
        <w:pStyle w:val="6"/>
        <w:keepNext/>
        <w:keepLines/>
        <w:pageBreakBefore w:val="0"/>
        <w:widowControl w:val="0"/>
        <w:kinsoku/>
        <w:wordWrap/>
        <w:overflowPunct/>
        <w:topLinePunct w:val="0"/>
        <w:autoSpaceDE/>
        <w:autoSpaceDN/>
        <w:bidi w:val="0"/>
        <w:adjustRightInd/>
        <w:snapToGrid/>
        <w:spacing w:before="0" w:after="0" w:line="416" w:lineRule="auto"/>
        <w:jc w:val="center"/>
        <w:textAlignment w:val="auto"/>
        <w:rPr>
          <w:rFonts w:hint="eastAsia" w:eastAsia="仿宋_GB2312"/>
          <w:color w:val="auto"/>
          <w:lang w:eastAsia="zh-CN"/>
        </w:rPr>
      </w:pPr>
      <w:r>
        <w:rPr>
          <w:rFonts w:hint="eastAsia"/>
          <w:color w:val="auto"/>
          <w:lang w:eastAsia="zh-CN"/>
        </w:rPr>
        <w:t>（</w:t>
      </w:r>
      <w:r>
        <w:rPr>
          <w:rFonts w:hint="eastAsia"/>
          <w:color w:val="auto"/>
          <w:lang w:val="en-US" w:eastAsia="zh-CN"/>
        </w:rPr>
        <w:t>2024年度</w:t>
      </w:r>
      <w:r>
        <w:rPr>
          <w:rFonts w:hint="eastAsia"/>
          <w:color w:val="auto"/>
          <w:lang w:eastAsia="zh-CN"/>
        </w:rPr>
        <w:t>）</w:t>
      </w:r>
    </w:p>
    <w:p w14:paraId="71793C14">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1AD12114">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414B34BE">
      <w:pPr>
        <w:pStyle w:val="6"/>
        <w:rPr>
          <w:rFonts w:hint="eastAsia" w:eastAsia="方正仿宋_GBK" w:cs="方正仿宋_GBK"/>
          <w:b/>
          <w:color w:val="auto"/>
          <w:kern w:val="0"/>
          <w:sz w:val="32"/>
          <w:szCs w:val="32"/>
          <w:lang w:bidi="en-US"/>
        </w:rPr>
      </w:pPr>
    </w:p>
    <w:p w14:paraId="0C1B4E9E">
      <w:pPr>
        <w:rPr>
          <w:rFonts w:hint="eastAsia" w:eastAsia="方正仿宋_GBK" w:cs="方正仿宋_GBK"/>
          <w:b/>
          <w:color w:val="auto"/>
          <w:kern w:val="0"/>
          <w:sz w:val="32"/>
          <w:szCs w:val="32"/>
          <w:lang w:bidi="en-US"/>
        </w:rPr>
      </w:pPr>
    </w:p>
    <w:p w14:paraId="7207FD49">
      <w:pPr>
        <w:pageBreakBefore w:val="0"/>
        <w:widowControl w:val="0"/>
        <w:kinsoku/>
        <w:wordWrap/>
        <w:topLinePunct w:val="0"/>
        <w:autoSpaceDE/>
        <w:autoSpaceDN/>
        <w:bidi w:val="0"/>
        <w:spacing w:line="560" w:lineRule="exact"/>
        <w:ind w:left="0" w:leftChars="0" w:firstLine="0" w:firstLineChars="0"/>
        <w:textAlignment w:val="auto"/>
        <w:rPr>
          <w:rFonts w:hint="eastAsia"/>
          <w:color w:val="auto"/>
        </w:rPr>
      </w:pPr>
    </w:p>
    <w:p w14:paraId="25678344">
      <w:pPr>
        <w:pStyle w:val="2"/>
        <w:rPr>
          <w:rFonts w:hint="eastAsia"/>
          <w:color w:val="auto"/>
        </w:rPr>
      </w:pPr>
    </w:p>
    <w:p w14:paraId="17152A23">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lang w:bidi="en-US"/>
        </w:rPr>
      </w:pPr>
    </w:p>
    <w:p w14:paraId="1F125EF3">
      <w:pPr>
        <w:pageBreakBefore w:val="0"/>
        <w:widowControl w:val="0"/>
        <w:kinsoku/>
        <w:wordWrap/>
        <w:topLinePunct w:val="0"/>
        <w:autoSpaceDE/>
        <w:autoSpaceDN/>
        <w:bidi w:val="0"/>
        <w:spacing w:line="560" w:lineRule="exact"/>
        <w:ind w:left="1960" w:leftChars="200" w:hanging="1400" w:hangingChars="500"/>
        <w:jc w:val="left"/>
        <w:textAlignment w:val="auto"/>
        <w:rPr>
          <w:rFonts w:hint="eastAsia" w:ascii="宋体" w:hAnsi="宋体" w:eastAsia="宋体" w:cs="宋体"/>
          <w:color w:val="auto"/>
          <w:kern w:val="0"/>
          <w:sz w:val="28"/>
          <w:szCs w:val="28"/>
          <w:lang w:bidi="en-US"/>
        </w:rPr>
      </w:pPr>
      <w:r>
        <w:rPr>
          <w:rFonts w:hint="eastAsia" w:ascii="宋体" w:hAnsi="宋体" w:eastAsia="宋体" w:cs="宋体"/>
          <w:color w:val="auto"/>
          <w:kern w:val="0"/>
          <w:sz w:val="28"/>
          <w:szCs w:val="28"/>
          <w:lang w:bidi="en-US"/>
        </w:rPr>
        <w:t>项目名称：</w:t>
      </w:r>
      <w:r>
        <w:rPr>
          <w:rFonts w:hint="eastAsia" w:ascii="宋体" w:hAnsi="宋体" w:eastAsia="宋体" w:cs="宋体"/>
          <w:color w:val="auto"/>
          <w:kern w:val="0"/>
          <w:sz w:val="28"/>
          <w:szCs w:val="28"/>
          <w:lang w:val="en-US" w:eastAsia="zh-CN" w:bidi="en-US"/>
        </w:rPr>
        <w:t>中央直达资金-和地 财教[2023]59号：2024年学生资助补助经费-技工免学费及助学金</w:t>
      </w:r>
      <w:r>
        <w:rPr>
          <w:rFonts w:hint="eastAsia" w:ascii="宋体" w:hAnsi="宋体" w:eastAsia="宋体" w:cs="宋体"/>
          <w:color w:val="auto"/>
          <w:kern w:val="0"/>
          <w:sz w:val="28"/>
          <w:szCs w:val="28"/>
          <w:lang w:bidi="en-US"/>
        </w:rPr>
        <w:t>项目</w:t>
      </w:r>
    </w:p>
    <w:p w14:paraId="1C20E325">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lang w:val="en-US" w:eastAsia="zh-CN" w:bidi="en-US"/>
        </w:rPr>
      </w:pPr>
      <w:r>
        <w:rPr>
          <w:rFonts w:hint="eastAsia" w:ascii="宋体" w:hAnsi="宋体" w:eastAsia="宋体" w:cs="宋体"/>
          <w:color w:val="auto"/>
          <w:kern w:val="0"/>
          <w:sz w:val="28"/>
          <w:szCs w:val="28"/>
          <w:lang w:bidi="en-US"/>
        </w:rPr>
        <w:t>项目单位：</w:t>
      </w:r>
      <w:r>
        <w:rPr>
          <w:rFonts w:hint="eastAsia" w:ascii="宋体" w:hAnsi="宋体" w:eastAsia="宋体" w:cs="宋体"/>
          <w:color w:val="auto"/>
          <w:kern w:val="0"/>
          <w:sz w:val="28"/>
          <w:szCs w:val="28"/>
          <w:lang w:val="en-US" w:eastAsia="zh-CN" w:bidi="en-US"/>
        </w:rPr>
        <w:t>洛浦县高级技工学校</w:t>
      </w:r>
    </w:p>
    <w:p w14:paraId="0476BAFB">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lang w:val="en-US" w:eastAsia="zh-CN" w:bidi="en-US"/>
        </w:rPr>
      </w:pPr>
      <w:r>
        <w:rPr>
          <w:rFonts w:hint="eastAsia" w:ascii="宋体" w:hAnsi="宋体" w:eastAsia="宋体" w:cs="宋体"/>
          <w:color w:val="auto"/>
          <w:kern w:val="0"/>
          <w:sz w:val="28"/>
          <w:szCs w:val="28"/>
          <w:lang w:val="en-US" w:eastAsia="zh-CN" w:bidi="en-US"/>
        </w:rPr>
        <w:t>主管部门：洛浦县人力资源和社会保障局</w:t>
      </w:r>
    </w:p>
    <w:p w14:paraId="03A88EF8">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lang w:eastAsia="zh-CN" w:bidi="en-US"/>
        </w:rPr>
      </w:pPr>
      <w:r>
        <w:rPr>
          <w:rFonts w:hint="eastAsia" w:ascii="宋体" w:hAnsi="宋体" w:eastAsia="宋体" w:cs="宋体"/>
          <w:color w:val="auto"/>
          <w:kern w:val="0"/>
          <w:sz w:val="28"/>
          <w:szCs w:val="28"/>
          <w:lang w:bidi="en-US"/>
        </w:rPr>
        <w:t>项目负责人：</w:t>
      </w:r>
      <w:r>
        <w:rPr>
          <w:rFonts w:hint="eastAsia" w:ascii="宋体" w:hAnsi="宋体" w:eastAsia="宋体" w:cs="宋体"/>
          <w:color w:val="auto"/>
          <w:kern w:val="0"/>
          <w:sz w:val="28"/>
          <w:szCs w:val="28"/>
          <w:lang w:eastAsia="zh-CN" w:bidi="en-US"/>
        </w:rPr>
        <w:t>祁恒军</w:t>
      </w:r>
    </w:p>
    <w:p w14:paraId="3932CF8F">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lang w:bidi="en-US"/>
        </w:rPr>
      </w:pPr>
      <w:r>
        <w:rPr>
          <w:rFonts w:hint="eastAsia" w:ascii="宋体" w:hAnsi="宋体" w:eastAsia="宋体" w:cs="宋体"/>
          <w:color w:val="auto"/>
          <w:kern w:val="0"/>
          <w:sz w:val="28"/>
          <w:szCs w:val="28"/>
          <w:lang w:bidi="en-US"/>
        </w:rPr>
        <w:t xml:space="preserve">填报时间：    </w:t>
      </w:r>
      <w:r>
        <w:rPr>
          <w:rFonts w:hint="eastAsia" w:ascii="宋体" w:hAnsi="宋体" w:eastAsia="宋体" w:cs="宋体"/>
          <w:color w:val="auto"/>
          <w:kern w:val="0"/>
          <w:sz w:val="28"/>
          <w:szCs w:val="28"/>
          <w:lang w:val="en-US" w:eastAsia="zh-CN" w:bidi="en-US"/>
        </w:rPr>
        <w:t>2025</w:t>
      </w:r>
      <w:r>
        <w:rPr>
          <w:rFonts w:hint="eastAsia" w:ascii="宋体" w:hAnsi="宋体" w:eastAsia="宋体" w:cs="宋体"/>
          <w:color w:val="auto"/>
          <w:kern w:val="0"/>
          <w:sz w:val="28"/>
          <w:szCs w:val="28"/>
          <w:lang w:bidi="en-US"/>
        </w:rPr>
        <w:t xml:space="preserve">年 </w:t>
      </w:r>
      <w:r>
        <w:rPr>
          <w:rFonts w:hint="eastAsia" w:ascii="宋体" w:hAnsi="宋体" w:eastAsia="宋体" w:cs="宋体"/>
          <w:color w:val="auto"/>
          <w:kern w:val="0"/>
          <w:sz w:val="28"/>
          <w:szCs w:val="28"/>
          <w:lang w:val="en-US" w:eastAsia="zh-CN" w:bidi="en-US"/>
        </w:rPr>
        <w:t>3</w:t>
      </w:r>
      <w:r>
        <w:rPr>
          <w:rFonts w:hint="eastAsia" w:ascii="宋体" w:hAnsi="宋体" w:eastAsia="宋体" w:cs="宋体"/>
          <w:color w:val="auto"/>
          <w:kern w:val="0"/>
          <w:sz w:val="28"/>
          <w:szCs w:val="28"/>
          <w:lang w:bidi="en-US"/>
        </w:rPr>
        <w:t xml:space="preserve"> 月  </w:t>
      </w:r>
      <w:r>
        <w:rPr>
          <w:rFonts w:hint="eastAsia" w:ascii="宋体" w:hAnsi="宋体" w:eastAsia="宋体" w:cs="宋体"/>
          <w:color w:val="auto"/>
          <w:kern w:val="0"/>
          <w:sz w:val="28"/>
          <w:szCs w:val="28"/>
          <w:lang w:val="en-US" w:eastAsia="zh-CN" w:bidi="en-US"/>
        </w:rPr>
        <w:t>31</w:t>
      </w:r>
      <w:r>
        <w:rPr>
          <w:rFonts w:hint="eastAsia" w:ascii="宋体" w:hAnsi="宋体" w:eastAsia="宋体" w:cs="宋体"/>
          <w:color w:val="auto"/>
          <w:kern w:val="0"/>
          <w:sz w:val="28"/>
          <w:szCs w:val="28"/>
          <w:lang w:bidi="en-US"/>
        </w:rPr>
        <w:t>日</w:t>
      </w:r>
    </w:p>
    <w:p w14:paraId="7CB13E83">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color w:val="auto"/>
          <w:kern w:val="0"/>
          <w:sz w:val="28"/>
          <w:szCs w:val="28"/>
          <w:lang w:bidi="en-US"/>
        </w:rPr>
      </w:pPr>
    </w:p>
    <w:p w14:paraId="4388A9A7">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color w:val="auto"/>
          <w:sz w:val="24"/>
          <w:szCs w:val="24"/>
          <w:lang w:val="en-US" w:eastAsia="zh-CN"/>
        </w:rPr>
        <w:sectPr>
          <w:headerReference r:id="rId5" w:type="default"/>
          <w:footerReference r:id="rId6" w:type="default"/>
          <w:pgSz w:w="11906" w:h="16838"/>
          <w:pgMar w:top="1985" w:right="1531" w:bottom="1701" w:left="1531" w:header="851" w:footer="992" w:gutter="0"/>
          <w:pgBorders w:offsetFrom="page">
            <w:top w:val="none" w:sz="0" w:space="0"/>
            <w:left w:val="none" w:sz="0" w:space="0"/>
            <w:bottom w:val="none" w:sz="0" w:space="0"/>
            <w:right w:val="none" w:sz="0" w:space="0"/>
          </w:pgBorders>
          <w:pgNumType w:start="1"/>
          <w:cols w:space="720" w:num="1"/>
          <w:docGrid w:type="linesAndChars" w:linePitch="386" w:charSpace="0"/>
        </w:sectPr>
      </w:pPr>
      <w:bookmarkStart w:id="0" w:name="_Toc68364657"/>
    </w:p>
    <w:p w14:paraId="7992B3C8">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lang w:val="en-US" w:eastAsia="zh-CN"/>
        </w:rPr>
        <w:t>一、</w:t>
      </w:r>
      <w:r>
        <w:rPr>
          <w:rFonts w:hint="eastAsia" w:ascii="黑体" w:hAnsi="黑体" w:eastAsia="黑体" w:cs="黑体"/>
          <w:color w:val="auto"/>
          <w:sz w:val="24"/>
          <w:szCs w:val="24"/>
        </w:rPr>
        <w:t>基本情况</w:t>
      </w:r>
      <w:bookmarkEnd w:id="0"/>
    </w:p>
    <w:p w14:paraId="3FCC30BA">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 w:name="_Toc68364658"/>
      <w:r>
        <w:rPr>
          <w:rFonts w:hint="eastAsia" w:ascii="宋体" w:hAnsi="宋体" w:eastAsia="宋体" w:cs="宋体"/>
          <w:color w:val="auto"/>
          <w:sz w:val="24"/>
          <w:szCs w:val="24"/>
          <w:lang w:eastAsia="zh-CN"/>
        </w:rPr>
        <w:t>（一）</w:t>
      </w:r>
      <w:r>
        <w:rPr>
          <w:rFonts w:hint="eastAsia" w:ascii="宋体" w:hAnsi="宋体" w:eastAsia="宋体" w:cs="宋体"/>
          <w:color w:val="auto"/>
          <w:sz w:val="24"/>
          <w:szCs w:val="24"/>
        </w:rPr>
        <w:t>项目概况</w:t>
      </w:r>
      <w:bookmarkEnd w:id="1"/>
    </w:p>
    <w:p w14:paraId="6956F018">
      <w:pPr>
        <w:pStyle w:val="48"/>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1. 项目背景</w:t>
      </w:r>
    </w:p>
    <w:p w14:paraId="74F6595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2007年，国务院印发相关意见，决定建立健全普通本科高校、高等职业学校和中等职业学校家庭经济困难学生资助政策体系，旨在让更多家庭经济难学生能接受教育，推动教育公平。2012年，相关部门又发文扩大中等职业教育免学费政策范围，进一步完善国家助学金制度，免学费范围扩大到一二三年级全部农村学生，以及城市涉农专业学生和家庭经济困难学生。</w:t>
      </w:r>
    </w:p>
    <w:p w14:paraId="2AA6413E">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推动职业教育发展:国家高度重视职业教育和技能人才培养，实施中等职业教育免学费和助学金政策，是推动职业教育发展的重大战略决策和长期制度设计，能鼓励更多学生选择技工教育，为国家培养更多技能型人才。</w:t>
      </w:r>
    </w:p>
    <w:p w14:paraId="165C6CCD">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地方发展层面：提升当地人力资源素质:洛浦县通过实施该项目，可吸引更多学生接受技工教育，提高当地劳动力的技能水平，为当地产业发展提供有力的人才支持，促进经济发展。</w:t>
      </w:r>
    </w:p>
    <w:p w14:paraId="25C24A70">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促进就业与社会稳定:帮助学生掌握一技之长，提高就业能力，增加就业机会，从而减少社会贫困人口，促进社会和谐稳定例如洛浦县开展的免费汽车维修培训，就为学员提供了就业技能，实现了培训与就业的无缝对接。</w:t>
      </w:r>
    </w:p>
    <w:p w14:paraId="47BA1F7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学校与学生层面：减轻学生家庭经济负担:对于洛浦县高级技工学校的学生家庭来说，免学费和提供助学金能减轻经济压力，让家庭经济困难的学生有机会继续学业，!实现技能成才梦想。</w:t>
      </w:r>
    </w:p>
    <w:p w14:paraId="0C7A827B">
      <w:pPr>
        <w:pStyle w:val="48"/>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提高学校教育质量:学校获得免学费补助资金，可弥补因免除学费导致的运转经费缺口，有助于学校改善教学条件、加强师资队伍建设等，进而提高教育教学质量</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p>
    <w:p w14:paraId="019AB6E8">
      <w:pPr>
        <w:pStyle w:val="48"/>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b/>
          <w:bCs/>
          <w:color w:val="auto"/>
          <w:sz w:val="24"/>
          <w:szCs w:val="24"/>
        </w:rPr>
        <w:t>主要内容及实施情况</w:t>
      </w:r>
    </w:p>
    <w:p w14:paraId="0249142F">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579ADCD4">
      <w:pPr>
        <w:snapToGrid w:val="0"/>
        <w:spacing w:line="560" w:lineRule="exact"/>
        <w:ind w:firstLine="600" w:firstLineChars="250"/>
        <w:outlineLvl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实施内容：根据《关于提前下达2023年自治区学生资助补助经费预算（中央直达资金）的通知》（和地财教【2023】59号）：2024年学生资助补助经费-技工免学费及助学金-洛财教【2024】14号实施此项目，为：自聘教师不少于14人，外聘后勤人员数量不少于8人，外聘保安人员数量不少于14人，外聘食堂人员数量不少于16人，外聘消防人员数量不少于2人，保证962名学制学生在校期间的正常学习生活；保证学制学生人数962人助学金，补助标准为2000元/年，项目将保证建档学生享受补助覆盖率达到100%。通过项目实施，可以有效保障学生在校期间的正常学习生活，提升学校教育教学质量。</w:t>
      </w:r>
    </w:p>
    <w:p w14:paraId="1DEE49E9">
      <w:pPr>
        <w:pStyle w:val="48"/>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2.实施情况</w:t>
      </w:r>
    </w:p>
    <w:p w14:paraId="366D14F4">
      <w:pPr>
        <w:pStyle w:val="48"/>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1）项目实施主体</w:t>
      </w:r>
    </w:p>
    <w:p w14:paraId="1BCB023B">
      <w:pPr>
        <w:pStyle w:val="48"/>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本项目主管部门为洛浦县人力资源和社会保障局局</w:t>
      </w:r>
    </w:p>
    <w:p w14:paraId="7A38BF56">
      <w:pPr>
        <w:pStyle w:val="48"/>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实施单位为洛浦县高级技工学校。</w:t>
      </w:r>
    </w:p>
    <w:p w14:paraId="01AB2542">
      <w:pPr>
        <w:pStyle w:val="48"/>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（2）项目实施时间：</w:t>
      </w:r>
      <w:r>
        <w:rPr>
          <w:rFonts w:hint="eastAsia" w:ascii="宋体" w:hAnsi="宋体" w:eastAsia="宋体" w:cs="宋体"/>
          <w:b w:val="0"/>
          <w:bCs w:val="0"/>
          <w:color w:val="auto"/>
          <w:sz w:val="24"/>
          <w:szCs w:val="24"/>
          <w:lang w:val="en-US" w:eastAsia="zh-CN"/>
        </w:rPr>
        <w:t>2024年1月-2024年12月</w:t>
      </w:r>
    </w:p>
    <w:p w14:paraId="4517EC42">
      <w:pPr>
        <w:pStyle w:val="48"/>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（3）项目实施情况</w:t>
      </w:r>
    </w:p>
    <w:p w14:paraId="02F7FBD7">
      <w:pPr>
        <w:pStyle w:val="48"/>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本</w:t>
      </w:r>
      <w:r>
        <w:rPr>
          <w:rFonts w:hint="eastAsia" w:ascii="宋体" w:hAnsi="宋体" w:eastAsia="宋体" w:cs="宋体"/>
          <w:b w:val="0"/>
          <w:bCs w:val="0"/>
          <w:color w:val="auto"/>
          <w:sz w:val="24"/>
          <w:szCs w:val="24"/>
          <w:lang w:val="en-US" w:eastAsia="zh-CN"/>
        </w:rPr>
        <w:t>项目</w:t>
      </w:r>
      <w:r>
        <w:rPr>
          <w:rFonts w:hint="default" w:ascii="宋体" w:hAnsi="宋体" w:eastAsia="宋体" w:cs="宋体"/>
          <w:b w:val="0"/>
          <w:bCs w:val="0"/>
          <w:color w:val="auto"/>
          <w:sz w:val="24"/>
          <w:szCs w:val="24"/>
          <w:lang w:val="en-US" w:eastAsia="zh-CN"/>
        </w:rPr>
        <w:t>于202</w:t>
      </w:r>
      <w:r>
        <w:rPr>
          <w:rFonts w:hint="eastAsia" w:ascii="宋体" w:hAnsi="宋体" w:eastAsia="宋体" w:cs="宋体"/>
          <w:b w:val="0"/>
          <w:bCs w:val="0"/>
          <w:color w:val="auto"/>
          <w:sz w:val="24"/>
          <w:szCs w:val="24"/>
          <w:lang w:val="en-US" w:eastAsia="zh-CN"/>
        </w:rPr>
        <w:t>4</w:t>
      </w:r>
      <w:r>
        <w:rPr>
          <w:rFonts w:hint="default" w:ascii="宋体" w:hAnsi="宋体" w:eastAsia="宋体" w:cs="宋体"/>
          <w:b w:val="0"/>
          <w:bCs w:val="0"/>
          <w:color w:val="auto"/>
          <w:sz w:val="24"/>
          <w:szCs w:val="24"/>
          <w:lang w:val="en-US" w:eastAsia="zh-CN"/>
        </w:rPr>
        <w:t>年12月</w:t>
      </w:r>
      <w:r>
        <w:rPr>
          <w:rFonts w:hint="eastAsia" w:ascii="宋体" w:hAnsi="宋体" w:eastAsia="宋体" w:cs="宋体"/>
          <w:b w:val="0"/>
          <w:bCs w:val="0"/>
          <w:color w:val="auto"/>
          <w:sz w:val="24"/>
          <w:szCs w:val="24"/>
          <w:lang w:val="en-US" w:eastAsia="zh-CN"/>
        </w:rPr>
        <w:t>31</w:t>
      </w:r>
      <w:r>
        <w:rPr>
          <w:rFonts w:hint="default" w:ascii="宋体" w:hAnsi="宋体" w:eastAsia="宋体" w:cs="宋体"/>
          <w:b w:val="0"/>
          <w:bCs w:val="0"/>
          <w:color w:val="auto"/>
          <w:sz w:val="24"/>
          <w:szCs w:val="24"/>
          <w:lang w:val="en-US" w:eastAsia="zh-CN"/>
        </w:rPr>
        <w:t>日前全部完工。</w:t>
      </w:r>
    </w:p>
    <w:p w14:paraId="1E9EFED6">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已发放</w:t>
      </w:r>
      <w:r>
        <w:rPr>
          <w:rFonts w:hint="eastAsia" w:ascii="宋体" w:hAnsi="宋体" w:eastAsia="宋体" w:cs="宋体"/>
          <w:color w:val="auto"/>
          <w:sz w:val="24"/>
          <w:szCs w:val="24"/>
          <w:highlight w:val="none"/>
          <w:lang w:val="en-US" w:eastAsia="zh-CN"/>
        </w:rPr>
        <w:t>自聘教师14人，外聘后勤人员8人，外聘保安人员于14人，外聘食堂人员16人，外聘消防人员2人等54个人的工资，保证在校962名学制学生在校期间的正常学习生活；已发放962名学制学生助学金，将保证建档学生享受补助覆盖率达到100%</w:t>
      </w:r>
      <w:r>
        <w:rPr>
          <w:rFonts w:hint="eastAsia" w:ascii="宋体" w:hAnsi="宋体" w:eastAsia="宋体" w:cs="宋体"/>
          <w:color w:val="auto"/>
          <w:kern w:val="0"/>
          <w:sz w:val="24"/>
          <w:szCs w:val="24"/>
          <w:highlight w:val="none"/>
          <w:lang w:val="en-US" w:eastAsia="zh-CN" w:bidi="ar-SA"/>
        </w:rPr>
        <w:t>。通过项目实施，</w:t>
      </w:r>
      <w:r>
        <w:rPr>
          <w:rFonts w:hint="eastAsia" w:ascii="宋体" w:hAnsi="宋体" w:eastAsia="宋体" w:cs="宋体"/>
          <w:color w:val="auto"/>
          <w:sz w:val="24"/>
          <w:szCs w:val="24"/>
          <w:highlight w:val="none"/>
          <w:lang w:val="en-US" w:eastAsia="zh-CN"/>
        </w:rPr>
        <w:t>有效保障了学生在校期间的正常学习生活，提升学校教育教学质量；学校收到免学费补助资金，可弥补因免除学费导致的运转经费缺口，有助于学校改善教学条件、加强师资队伍建设等，进而提高教育教学质量</w:t>
      </w:r>
      <w:r>
        <w:rPr>
          <w:rFonts w:hint="eastAsia" w:ascii="宋体" w:hAnsi="宋体" w:eastAsia="宋体" w:cs="宋体"/>
          <w:color w:val="auto"/>
          <w:kern w:val="0"/>
          <w:sz w:val="24"/>
          <w:szCs w:val="24"/>
          <w:highlight w:val="none"/>
          <w:lang w:val="en-US" w:eastAsia="zh-CN" w:bidi="ar-SA"/>
        </w:rPr>
        <w:t>，减轻了农民负担。</w:t>
      </w:r>
    </w:p>
    <w:p w14:paraId="0AD7025B">
      <w:pPr>
        <w:pStyle w:val="48"/>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 资金投入和使用情况</w:t>
      </w:r>
    </w:p>
    <w:p w14:paraId="1B6EF4C9">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3132D2C3">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val="en-US" w:eastAsia="zh-CN"/>
        </w:rPr>
        <w:t>204.88</w:t>
      </w:r>
      <w:r>
        <w:rPr>
          <w:rFonts w:hint="eastAsia" w:ascii="宋体" w:hAnsi="宋体" w:eastAsia="宋体" w:cs="宋体"/>
          <w:color w:val="auto"/>
          <w:sz w:val="24"/>
          <w:szCs w:val="24"/>
        </w:rPr>
        <w:t>万元，资金来源为部门预算（中央专项资金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，其中：财政资金</w:t>
      </w:r>
      <w:r>
        <w:rPr>
          <w:rFonts w:hint="eastAsia" w:ascii="宋体" w:hAnsi="宋体" w:eastAsia="宋体" w:cs="宋体"/>
          <w:color w:val="auto"/>
          <w:sz w:val="24"/>
          <w:szCs w:val="24"/>
          <w:lang w:val="en-US" w:eastAsia="zh-CN"/>
        </w:rPr>
        <w:t>204.88</w:t>
      </w:r>
      <w:r>
        <w:rPr>
          <w:rFonts w:hint="eastAsia" w:ascii="宋体" w:hAnsi="宋体" w:eastAsia="宋体" w:cs="宋体"/>
          <w:color w:val="auto"/>
          <w:sz w:val="24"/>
          <w:szCs w:val="24"/>
        </w:rPr>
        <w:t>万元，其他资金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含自有资金、社会资金及以前年度结转结余资金）0</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204.88</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 xml:space="preserve"> %。</w:t>
      </w:r>
    </w:p>
    <w:p w14:paraId="432B0124">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510A0C4B">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204.88</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%。本项目资金主要用于支付</w:t>
      </w:r>
      <w:r>
        <w:rPr>
          <w:rFonts w:hint="eastAsia" w:ascii="宋体" w:hAnsi="宋体" w:eastAsia="宋体" w:cs="宋体"/>
          <w:color w:val="auto"/>
          <w:sz w:val="24"/>
          <w:szCs w:val="24"/>
          <w:lang w:eastAsia="zh-CN"/>
        </w:rPr>
        <w:t>免学费</w:t>
      </w:r>
      <w:r>
        <w:rPr>
          <w:rFonts w:hint="eastAsia" w:ascii="宋体" w:hAnsi="宋体" w:eastAsia="宋体" w:cs="宋体"/>
          <w:color w:val="auto"/>
          <w:sz w:val="24"/>
          <w:szCs w:val="24"/>
        </w:rPr>
        <w:t>费用</w:t>
      </w:r>
      <w:r>
        <w:rPr>
          <w:rFonts w:hint="eastAsia" w:ascii="宋体" w:hAnsi="宋体" w:eastAsia="宋体" w:cs="宋体"/>
          <w:color w:val="auto"/>
          <w:sz w:val="24"/>
          <w:szCs w:val="24"/>
          <w:lang w:val="en-US" w:eastAsia="zh-CN"/>
        </w:rPr>
        <w:t>125.1</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助学金</w:t>
      </w:r>
      <w:r>
        <w:rPr>
          <w:rFonts w:hint="eastAsia" w:ascii="宋体" w:hAnsi="宋体" w:eastAsia="宋体" w:cs="宋体"/>
          <w:color w:val="auto"/>
          <w:sz w:val="24"/>
          <w:szCs w:val="24"/>
        </w:rPr>
        <w:t>费用</w:t>
      </w:r>
      <w:r>
        <w:rPr>
          <w:rFonts w:hint="eastAsia" w:ascii="宋体" w:hAnsi="宋体" w:eastAsia="宋体" w:cs="宋体"/>
          <w:color w:val="auto"/>
          <w:sz w:val="24"/>
          <w:szCs w:val="24"/>
          <w:lang w:val="en-US" w:eastAsia="zh-CN"/>
        </w:rPr>
        <w:t>79.78</w:t>
      </w:r>
      <w:r>
        <w:rPr>
          <w:rFonts w:hint="eastAsia" w:ascii="宋体" w:hAnsi="宋体" w:eastAsia="宋体" w:cs="宋体"/>
          <w:color w:val="auto"/>
          <w:sz w:val="24"/>
          <w:szCs w:val="24"/>
        </w:rPr>
        <w:t>万元</w:t>
      </w:r>
      <w:r>
        <w:rPr>
          <w:rFonts w:hint="eastAsia" w:ascii="宋体" w:hAnsi="宋体" w:eastAsia="宋体" w:cs="宋体"/>
          <w:color w:val="auto"/>
          <w:sz w:val="24"/>
          <w:szCs w:val="24"/>
          <w:lang w:val="en-US" w:eastAsia="zh-CN"/>
        </w:rPr>
        <w:t>等</w:t>
      </w:r>
      <w:r>
        <w:rPr>
          <w:rFonts w:hint="eastAsia" w:ascii="宋体" w:hAnsi="宋体" w:eastAsia="宋体" w:cs="宋体"/>
          <w:color w:val="auto"/>
          <w:sz w:val="24"/>
          <w:szCs w:val="24"/>
        </w:rPr>
        <w:t>。</w:t>
      </w:r>
    </w:p>
    <w:p w14:paraId="1C413B8E">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2" w:name="_Toc68364659"/>
      <w:r>
        <w:rPr>
          <w:rFonts w:hint="eastAsia" w:ascii="宋体" w:hAnsi="宋体" w:eastAsia="宋体" w:cs="宋体"/>
          <w:color w:val="auto"/>
          <w:sz w:val="24"/>
          <w:szCs w:val="24"/>
        </w:rPr>
        <w:t>（二）项目绩效目标</w:t>
      </w:r>
      <w:bookmarkEnd w:id="2"/>
    </w:p>
    <w:p w14:paraId="5F7DC729">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项目绩效目标包括项目总</w:t>
      </w:r>
      <w:r>
        <w:rPr>
          <w:rFonts w:hint="eastAsia" w:ascii="宋体" w:hAnsi="宋体" w:eastAsia="宋体" w:cs="宋体"/>
          <w:color w:val="auto"/>
          <w:sz w:val="24"/>
          <w:szCs w:val="24"/>
          <w:lang w:val="en-US" w:eastAsia="zh-CN"/>
        </w:rPr>
        <w:t>体</w:t>
      </w:r>
      <w:r>
        <w:rPr>
          <w:rFonts w:hint="eastAsia" w:ascii="宋体" w:hAnsi="宋体" w:eastAsia="宋体" w:cs="宋体"/>
          <w:color w:val="auto"/>
          <w:sz w:val="24"/>
          <w:szCs w:val="24"/>
        </w:rPr>
        <w:t>目标和阶段性目标。</w:t>
      </w:r>
    </w:p>
    <w:p w14:paraId="36A064A6">
      <w:pPr>
        <w:pStyle w:val="48"/>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1.总</w:t>
      </w:r>
      <w:r>
        <w:rPr>
          <w:rFonts w:hint="eastAsia" w:ascii="宋体" w:hAnsi="宋体" w:eastAsia="宋体" w:cs="宋体"/>
          <w:b/>
          <w:bCs/>
          <w:color w:val="auto"/>
          <w:sz w:val="24"/>
          <w:szCs w:val="24"/>
          <w:lang w:val="en-US" w:eastAsia="zh-CN"/>
        </w:rPr>
        <w:t>体</w:t>
      </w:r>
      <w:r>
        <w:rPr>
          <w:rFonts w:hint="eastAsia" w:ascii="宋体" w:hAnsi="宋体" w:eastAsia="宋体" w:cs="宋体"/>
          <w:b/>
          <w:bCs/>
          <w:color w:val="auto"/>
          <w:sz w:val="24"/>
          <w:szCs w:val="24"/>
        </w:rPr>
        <w:t>目标</w:t>
      </w:r>
    </w:p>
    <w:p w14:paraId="53BE145E">
      <w:pPr>
        <w:pStyle w:val="57"/>
        <w:keepNext w:val="0"/>
        <w:keepLines w:val="0"/>
        <w:pageBreakBefore w:val="0"/>
        <w:widowControl w:val="0"/>
        <w:kinsoku/>
        <w:wordWrap/>
        <w:overflowPunct/>
        <w:topLinePunct w:val="0"/>
        <w:autoSpaceDE/>
        <w:autoSpaceDN/>
        <w:bidi w:val="0"/>
        <w:adjustRightInd/>
        <w:snapToGrid/>
        <w:spacing w:line="600" w:lineRule="exact"/>
        <w:ind w:left="0"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年度总体目标为：</w:t>
      </w:r>
      <w:r>
        <w:rPr>
          <w:rFonts w:hint="eastAsia" w:ascii="宋体" w:hAnsi="宋体" w:eastAsia="宋体" w:cs="宋体"/>
          <w:color w:val="auto"/>
          <w:kern w:val="0"/>
          <w:sz w:val="24"/>
          <w:szCs w:val="24"/>
          <w:highlight w:val="none"/>
          <w:lang w:val="en-US" w:eastAsia="zh-CN" w:bidi="ar-SA"/>
        </w:rPr>
        <w:t>根据《关于提前下达2023年自治区学生资助补助经费预算（中央直达资金）的通知》（和地财教【2023】59号）：2024年学生资助补助经费-技工免学费及助学金-洛财教【2024】14号实施此项目，主要内容为：自聘教师不少于14人，外聘后勤人员数量不少于8人，外聘保安人员数量不少于14人，外聘食堂人员数量不少于16人，外聘消防人员数量不少于2人，保证学制学生人数962人助学金，补助标准为2000元/年，项目将保证建档学生享受补助覆盖率达到100%保证962名学制学生在校期间的正常学习生活。通过项目实施，可以有效保障学生在校期间的正常学习生活，提升学校教育教学质量。</w:t>
      </w:r>
    </w:p>
    <w:p w14:paraId="6EDE5C86">
      <w:pPr>
        <w:pStyle w:val="48"/>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阶段性目标</w:t>
      </w:r>
    </w:p>
    <w:p w14:paraId="5AD93D67">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093082E4">
      <w:pPr>
        <w:pStyle w:val="48"/>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3CD4D10B">
      <w:pPr>
        <w:pStyle w:val="48"/>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1A067B20">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highlight w:val="none"/>
          <w:lang w:val="en-US" w:eastAsia="zh-CN"/>
        </w:rPr>
        <w:t>接受技工教育补助的建档学生人数，</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highlight w:val="none"/>
          <w:lang w:val="en-US" w:eastAsia="zh-CN"/>
        </w:rPr>
        <w:t>&gt;=962人</w:t>
      </w:r>
      <w:r>
        <w:rPr>
          <w:rFonts w:hint="eastAsia" w:ascii="宋体" w:hAnsi="宋体" w:eastAsia="宋体" w:cs="宋体"/>
          <w:color w:val="auto"/>
          <w:sz w:val="24"/>
          <w:szCs w:val="24"/>
        </w:rPr>
        <w:t>；</w:t>
      </w:r>
    </w:p>
    <w:p w14:paraId="2A293962">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指标2：</w:t>
      </w:r>
      <w:r>
        <w:rPr>
          <w:rFonts w:hint="eastAsia" w:ascii="宋体" w:hAnsi="宋体" w:eastAsia="宋体" w:cs="宋体"/>
          <w:color w:val="auto"/>
          <w:sz w:val="24"/>
          <w:szCs w:val="24"/>
          <w:highlight w:val="none"/>
          <w:lang w:val="en-US" w:eastAsia="zh-CN"/>
        </w:rPr>
        <w:t>自聘教师人数，</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highlight w:val="none"/>
          <w:lang w:val="en-US" w:eastAsia="zh-CN"/>
        </w:rPr>
        <w:t>&gt;=14人</w:t>
      </w:r>
      <w:r>
        <w:rPr>
          <w:rFonts w:hint="eastAsia" w:ascii="宋体" w:hAnsi="宋体" w:eastAsia="宋体" w:cs="宋体"/>
          <w:color w:val="auto"/>
          <w:sz w:val="24"/>
          <w:szCs w:val="24"/>
        </w:rPr>
        <w:t>；</w:t>
      </w:r>
    </w:p>
    <w:p w14:paraId="37F95934">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指标3：外聘后勤人员数量，预期指标值&gt;=8人；</w:t>
      </w:r>
    </w:p>
    <w:p w14:paraId="363558C4">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指标4；外聘保安人员数量，预期指标值&gt;=14人；</w:t>
      </w:r>
    </w:p>
    <w:p w14:paraId="1CD9E2AC">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指标5：外聘食堂人员数量，预期指标值&gt;=16人；</w:t>
      </w:r>
    </w:p>
    <w:p w14:paraId="5E81547E">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指标6：外聘消防人员数量，预期指标值&gt;=2人；</w:t>
      </w:r>
    </w:p>
    <w:p w14:paraId="757D72EE">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5DF3A662">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highlight w:val="none"/>
          <w:lang w:val="en-US" w:eastAsia="zh-CN"/>
        </w:rPr>
        <w:t>资金使用合规率，</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7FB8086">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w:t>
      </w:r>
      <w:r>
        <w:rPr>
          <w:rFonts w:hint="eastAsia" w:ascii="宋体" w:hAnsi="宋体" w:eastAsia="宋体" w:cs="宋体"/>
          <w:color w:val="auto"/>
          <w:sz w:val="24"/>
          <w:szCs w:val="24"/>
          <w:highlight w:val="none"/>
          <w:lang w:val="en-US" w:eastAsia="zh-CN"/>
        </w:rPr>
        <w:t>补助发放合规率，</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DF7DA30">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320F90E5">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highlight w:val="none"/>
          <w:lang w:val="en-US" w:eastAsia="zh-CN"/>
        </w:rPr>
        <w:t>项目完成时间，</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highlight w:val="none"/>
          <w:lang w:val="en-US" w:eastAsia="zh-CN"/>
        </w:rPr>
        <w:t>2024年12月</w:t>
      </w:r>
      <w:r>
        <w:rPr>
          <w:rFonts w:hint="eastAsia" w:ascii="宋体" w:hAnsi="宋体" w:eastAsia="宋体" w:cs="宋体"/>
          <w:color w:val="auto"/>
          <w:sz w:val="24"/>
          <w:szCs w:val="24"/>
        </w:rPr>
        <w:t>；</w:t>
      </w:r>
    </w:p>
    <w:p w14:paraId="5462350B">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w:t>
      </w:r>
      <w:r>
        <w:rPr>
          <w:rFonts w:hint="eastAsia" w:ascii="宋体" w:hAnsi="宋体" w:eastAsia="宋体" w:cs="宋体"/>
          <w:color w:val="auto"/>
          <w:sz w:val="24"/>
          <w:szCs w:val="24"/>
          <w:highlight w:val="none"/>
          <w:lang w:val="en-US" w:eastAsia="zh-CN"/>
        </w:rPr>
        <w:t>资金支付及时率，</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rPr>
        <w:t>；</w:t>
      </w:r>
    </w:p>
    <w:p w14:paraId="636895AC">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51E7AF83">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6F89944D">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highlight w:val="none"/>
          <w:lang w:val="en-US" w:eastAsia="zh-CN"/>
        </w:rPr>
        <w:t>免学费补助，</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highlight w:val="none"/>
          <w:lang w:val="en-US" w:eastAsia="zh-CN"/>
        </w:rPr>
        <w:t>&gt;=125.10万元</w:t>
      </w:r>
      <w:r>
        <w:rPr>
          <w:rFonts w:hint="eastAsia" w:ascii="宋体" w:hAnsi="宋体" w:eastAsia="宋体" w:cs="宋体"/>
          <w:color w:val="auto"/>
          <w:sz w:val="24"/>
          <w:szCs w:val="24"/>
        </w:rPr>
        <w:t>；</w:t>
      </w:r>
    </w:p>
    <w:p w14:paraId="02B5043D">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w:t>
      </w:r>
      <w:r>
        <w:rPr>
          <w:rFonts w:hint="eastAsia" w:ascii="宋体" w:hAnsi="宋体" w:eastAsia="宋体" w:cs="宋体"/>
          <w:color w:val="auto"/>
          <w:sz w:val="24"/>
          <w:szCs w:val="24"/>
          <w:highlight w:val="none"/>
          <w:lang w:val="en-US" w:eastAsia="zh-CN"/>
        </w:rPr>
        <w:t>助学金补助，</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highlight w:val="none"/>
          <w:lang w:val="en-US" w:eastAsia="zh-CN"/>
        </w:rPr>
        <w:t>&gt;=79.78；</w:t>
      </w:r>
    </w:p>
    <w:p w14:paraId="7E818C51">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47F3617C">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该项目无社会成本指标；</w:t>
      </w:r>
    </w:p>
    <w:p w14:paraId="65632617">
      <w:pPr>
        <w:pStyle w:val="48"/>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生态成本指标;</w:t>
      </w:r>
    </w:p>
    <w:p w14:paraId="4300965A">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该项目无社会成本指标；</w:t>
      </w:r>
    </w:p>
    <w:p w14:paraId="249EB018">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456CECAD">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1）经济效益指标：</w:t>
      </w:r>
    </w:p>
    <w:p w14:paraId="7348C334">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该项目无社会成本指标；</w:t>
      </w:r>
    </w:p>
    <w:p w14:paraId="74E089CB">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45731076">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highlight w:val="none"/>
          <w:lang w:val="en-US" w:eastAsia="zh-CN"/>
        </w:rPr>
        <w:t>改善教学质量，</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highlight w:val="none"/>
          <w:lang w:val="en-US" w:eastAsia="zh-CN"/>
        </w:rPr>
        <w:t>有效改善</w:t>
      </w:r>
      <w:r>
        <w:rPr>
          <w:rFonts w:hint="eastAsia" w:ascii="宋体" w:hAnsi="宋体" w:eastAsia="宋体" w:cs="宋体"/>
          <w:color w:val="auto"/>
          <w:sz w:val="24"/>
          <w:szCs w:val="24"/>
        </w:rPr>
        <w:t>；</w:t>
      </w:r>
    </w:p>
    <w:p w14:paraId="7EDFE905">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3）生态效益指标：</w:t>
      </w:r>
    </w:p>
    <w:p w14:paraId="1EBEA7FB">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该项目无生态效益指标；</w:t>
      </w:r>
    </w:p>
    <w:p w14:paraId="1E80BD9B">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434CAAAB">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highlight w:val="none"/>
          <w:lang w:val="en-US" w:eastAsia="zh-CN"/>
        </w:rPr>
        <w:t>师生满意度，</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highlight w:val="none"/>
          <w:lang w:val="en-US" w:eastAsia="zh-CN"/>
        </w:rPr>
        <w:t>&gt;=95%</w:t>
      </w:r>
      <w:r>
        <w:rPr>
          <w:rFonts w:hint="eastAsia" w:ascii="宋体" w:hAnsi="宋体" w:eastAsia="宋体" w:cs="宋体"/>
          <w:color w:val="auto"/>
          <w:sz w:val="24"/>
          <w:szCs w:val="24"/>
        </w:rPr>
        <w:t>；</w:t>
      </w:r>
    </w:p>
    <w:p w14:paraId="05EBB8BF">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p>
    <w:p w14:paraId="4472C9CD">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二、绩效评价工作开展情况</w:t>
      </w:r>
      <w:bookmarkEnd w:id="3"/>
    </w:p>
    <w:p w14:paraId="51B28459">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4" w:name="_Toc68364661"/>
      <w:r>
        <w:rPr>
          <w:rFonts w:hint="eastAsia" w:ascii="宋体" w:hAnsi="宋体" w:eastAsia="宋体" w:cs="宋体"/>
          <w:color w:val="auto"/>
          <w:sz w:val="24"/>
          <w:szCs w:val="24"/>
        </w:rPr>
        <w:t>（一）绩效评价目的、对象和范围</w:t>
      </w:r>
      <w:bookmarkEnd w:id="4"/>
    </w:p>
    <w:p w14:paraId="06AA3CEB">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绩效评价目的</w:t>
      </w:r>
    </w:p>
    <w:p w14:paraId="630B985A">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w:t>
      </w:r>
      <w:r>
        <w:rPr>
          <w:rFonts w:hint="eastAsia" w:ascii="宋体" w:hAnsi="宋体" w:eastAsia="宋体" w:cs="宋体"/>
          <w:color w:val="auto"/>
          <w:kern w:val="0"/>
          <w:sz w:val="24"/>
          <w:szCs w:val="24"/>
          <w:highlight w:val="none"/>
          <w:lang w:val="en-US" w:eastAsia="zh-CN" w:bidi="ar-SA"/>
        </w:rPr>
        <w:t>洛浦县高级技工学校中央直达资金-和地财教[2023]59号：2024年学生资助补助经费-技工免学费及助学金</w:t>
      </w:r>
      <w:r>
        <w:rPr>
          <w:rFonts w:hint="eastAsia" w:ascii="宋体" w:hAnsi="宋体" w:eastAsia="宋体" w:cs="宋体"/>
          <w:color w:val="auto"/>
          <w:sz w:val="24"/>
          <w:szCs w:val="24"/>
        </w:rPr>
        <w:t>项目开展本次部门项目支出绩效评价工作。全面了解</w:t>
      </w:r>
      <w:r>
        <w:rPr>
          <w:rFonts w:hint="eastAsia" w:ascii="宋体" w:hAnsi="宋体" w:eastAsia="宋体" w:cs="宋体"/>
          <w:color w:val="auto"/>
          <w:kern w:val="0"/>
          <w:sz w:val="24"/>
          <w:szCs w:val="24"/>
          <w:highlight w:val="none"/>
          <w:lang w:val="en-US" w:eastAsia="zh-CN" w:bidi="ar-SA"/>
        </w:rPr>
        <w:t>洛浦县高级技工学校中央直达资金-和地财教[2023]59号：2024年学生资助补助经费-技工免学费及助学金</w:t>
      </w:r>
      <w:r>
        <w:rPr>
          <w:rFonts w:hint="eastAsia" w:ascii="宋体" w:hAnsi="宋体" w:eastAsia="宋体" w:cs="宋体"/>
          <w:color w:val="auto"/>
          <w:sz w:val="24"/>
          <w:szCs w:val="24"/>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1C891C70">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231D5412">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68BCE1E2">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rPr>
        <w:t>财政预算资金使用的效率及效益。</w:t>
      </w:r>
    </w:p>
    <w:p w14:paraId="57672FEF">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2A12675A">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kern w:val="0"/>
          <w:sz w:val="24"/>
          <w:szCs w:val="24"/>
          <w:highlight w:val="none"/>
          <w:lang w:val="en-US" w:eastAsia="zh-CN" w:bidi="ar-SA"/>
        </w:rPr>
        <w:t>洛浦县高级技工学校中央直达资金-和地财教[2023]59号：2024年学生资助补助经费-技工免学费及助学金</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2A18433D">
      <w:pPr>
        <w:pStyle w:val="48"/>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绩效评价范围</w:t>
      </w:r>
    </w:p>
    <w:p w14:paraId="1C407BD7">
      <w:pPr>
        <w:pStyle w:val="48"/>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w:t>
      </w:r>
      <w:r>
        <w:rPr>
          <w:rFonts w:hint="eastAsia" w:ascii="宋体" w:hAnsi="宋体" w:eastAsia="宋体" w:cs="宋体"/>
          <w:color w:val="auto"/>
          <w:kern w:val="0"/>
          <w:sz w:val="24"/>
          <w:szCs w:val="24"/>
          <w:highlight w:val="none"/>
          <w:lang w:val="en-US" w:eastAsia="zh-CN" w:bidi="ar-SA"/>
        </w:rPr>
        <w:t>洛浦县高级技工学校中央直达资金-和地财教[2023]59号：2024年学生资助补助经费-技工免学费及助学金项目</w:t>
      </w:r>
      <w:r>
        <w:rPr>
          <w:rFonts w:hint="eastAsia" w:ascii="宋体" w:hAnsi="宋体" w:eastAsia="宋体" w:cs="宋体"/>
          <w:color w:val="auto"/>
          <w:sz w:val="24"/>
          <w:szCs w:val="24"/>
        </w:rPr>
        <w:t>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402AF303">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（二）绩效评价原则、评价指标体系、评价方法评价标准</w:t>
      </w:r>
      <w:bookmarkEnd w:id="5"/>
    </w:p>
    <w:p w14:paraId="54F1A20D">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绩效评价原则</w:t>
      </w:r>
    </w:p>
    <w:p w14:paraId="155CF8FD">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4BBA3752">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（1）科学公正。绩效评价应当运用科学合理的方法，按照规范的程序，对项目绩效进行客观、公正的反映。</w:t>
      </w:r>
    </w:p>
    <w:p w14:paraId="653BC08C">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150E3423">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（3）激励约束。绩效评价结果应与预算安排、政策调整、改进管理实质性挂钩，体现奖优罚劣和激励相容导向，有效要安排、低效要压减、无效要问责。</w:t>
      </w:r>
    </w:p>
    <w:p w14:paraId="1135C02A">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（4）公开透明。绩效评价结果应依法依规公开，并自觉接受社会监督。</w:t>
      </w:r>
    </w:p>
    <w:p w14:paraId="5F22A98F">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根据以上原则，绩效评价应遵循如下要求:</w:t>
      </w:r>
    </w:p>
    <w:p w14:paraId="22FD84B8">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（1）在数据采集时，采取客观数据，主管部门审查、社会中介组织复查，与问卷调查相结合的形式，以保证各项指标的真实性。</w:t>
      </w:r>
    </w:p>
    <w:p w14:paraId="41A50E11">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（2）保证评价结果的真实性、公正性，提高评价报告的公信力。</w:t>
      </w:r>
    </w:p>
    <w:p w14:paraId="0FEADADC">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（3）绩</w:t>
      </w:r>
      <w:r>
        <w:rPr>
          <w:rFonts w:hint="eastAsia" w:ascii="宋体" w:hAnsi="宋体" w:eastAsia="宋体" w:cs="宋体"/>
          <w:color w:val="auto"/>
          <w:sz w:val="24"/>
          <w:szCs w:val="24"/>
          <w:lang w:val="en-US" w:eastAsia="zh-CN"/>
        </w:rPr>
        <w:t>效</w:t>
      </w:r>
      <w:r>
        <w:rPr>
          <w:rFonts w:hint="eastAsia" w:ascii="宋体" w:hAnsi="宋体" w:eastAsia="宋体" w:cs="宋体"/>
          <w:color w:val="auto"/>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5224BD68">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2. 绩效评价指标体系</w:t>
      </w:r>
    </w:p>
    <w:p w14:paraId="27C4FCFD">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个二级指标。项目绩效评价体系</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详细指标体系见“附件1：项目支出绩效评价体系”。</w:t>
      </w:r>
    </w:p>
    <w:p w14:paraId="03F61A36">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绩效评价方法</w:t>
      </w:r>
    </w:p>
    <w:p w14:paraId="02458442">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003470A9">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具体</w:t>
      </w:r>
      <w:r>
        <w:rPr>
          <w:rFonts w:hint="eastAsia" w:ascii="宋体" w:hAnsi="宋体" w:eastAsia="宋体" w:cs="宋体"/>
          <w:b w:val="0"/>
          <w:bCs/>
          <w:color w:val="auto"/>
          <w:sz w:val="24"/>
          <w:szCs w:val="24"/>
        </w:rPr>
        <w:t>评价方法的应用如下:</w:t>
      </w:r>
    </w:p>
    <w:p w14:paraId="0EBC017E">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立项依据充分性：比较法、文献法，查找法律法规政策以及规划，对比实际执行内容和政策支持内容是否匹配。</w:t>
      </w:r>
    </w:p>
    <w:p w14:paraId="327C1937">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立项程序规范性：比较法、文献法，查找相关项目设立的政策和文件要求，对比分析实际执行程序是否按照政策及文件要求执行，分析立项程序的规范性。</w:t>
      </w:r>
    </w:p>
    <w:p w14:paraId="2FF60361">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绩效目标合理性：比较法，对比分析年初编制项目支出绩效目标表与项目内容的相关性、资金的匹配性等。</w:t>
      </w:r>
    </w:p>
    <w:p w14:paraId="6B30E0D5">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绩效指标明确性：比较法，比较分析年初编制项目支出绩效目标表是否符合双七原则，是否可衡量。</w:t>
      </w:r>
    </w:p>
    <w:p w14:paraId="29239CF7">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预算编制科学性</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成本效益分析法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分析在产出一定的情况下，成本取值是否有依据，是否经过询价，是否按照市场最低成本编制。</w:t>
      </w:r>
    </w:p>
    <w:p w14:paraId="193BA8E4">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lang w:eastAsia="zh-CN"/>
        </w:rPr>
        <w:t>。</w:t>
      </w:r>
    </w:p>
    <w:p w14:paraId="25FCA9B3">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资金到位率：比较法，资金到位率预期指标值应为100%，通过实际计算，分析实际完成值和预期指标值之间的差距和原因。</w:t>
      </w:r>
    </w:p>
    <w:p w14:paraId="7C6BB701">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预算执行率：比较法，预算执行率预期指标值应为100%，通过实际计算，分析实际完成值和预期指标值之间的差距和原因。</w:t>
      </w:r>
    </w:p>
    <w:p w14:paraId="24115005">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资金使用合规性：文献法、实地勘察法，一是查找资金管理办法，包括专项资金管理办法和单位自有资金管理办法；二是通过查账了解具体开支情况，是否专用专用，是否按照标准支出。</w:t>
      </w:r>
    </w:p>
    <w:p w14:paraId="37D8280D">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管理制度健全性：文献法、比较法，查阅项目实施人员提供的财务和业务管理制度，将已建立的制度与现行的法律法规和政策要求进行对比，分析项目制度的合法性、合规性、完整性。</w:t>
      </w:r>
    </w:p>
    <w:p w14:paraId="713729A8">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制度执行有效性：比较法，结合项目实际实施过程性文件，根据已建设的财务管理制度和项目管理制度综合分析制度执行的有效性。</w:t>
      </w:r>
    </w:p>
    <w:p w14:paraId="2CFF0D41">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3A298E3D">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定性指标：公众评判法，通过问卷及抽样调查等方式评价本项目实施后社会公众对于其实施效果的满意程度。</w:t>
      </w:r>
    </w:p>
    <w:p w14:paraId="77341629">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 绩效评价标准</w:t>
      </w:r>
    </w:p>
    <w:p w14:paraId="689CD072">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6" w:name="_Toc68364663"/>
      <w:r>
        <w:rPr>
          <w:rFonts w:hint="eastAsia" w:ascii="宋体" w:hAnsi="宋体" w:eastAsia="宋体" w:cs="宋体"/>
          <w:color w:val="auto"/>
          <w:sz w:val="24"/>
          <w:szCs w:val="24"/>
        </w:rPr>
        <w:t>绩效评价标准通常包括计划标准、行业标准、历史标准等，用于对绩效指标完成情况进行比较、分析、评价。本次评价主要采用了计划标准。</w:t>
      </w:r>
    </w:p>
    <w:p w14:paraId="16442966">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7" w:name="_Toc31464"/>
      <w:bookmarkStart w:id="8" w:name="_Toc17882"/>
      <w:r>
        <w:rPr>
          <w:rFonts w:hint="eastAsia" w:ascii="宋体" w:hAnsi="宋体" w:eastAsia="宋体" w:cs="宋体"/>
          <w:b/>
          <w:bCs/>
          <w:color w:val="auto"/>
          <w:sz w:val="24"/>
          <w:szCs w:val="24"/>
        </w:rPr>
        <w:t>计划标准：</w:t>
      </w:r>
      <w:r>
        <w:rPr>
          <w:rFonts w:hint="eastAsia" w:ascii="宋体" w:hAnsi="宋体" w:eastAsia="宋体" w:cs="宋体"/>
          <w:color w:val="auto"/>
          <w:sz w:val="24"/>
          <w:szCs w:val="24"/>
        </w:rPr>
        <w:t>指以预先制定的目标、计划、预算、定额等作为评价标准。</w:t>
      </w:r>
      <w:bookmarkEnd w:id="7"/>
      <w:bookmarkEnd w:id="8"/>
    </w:p>
    <w:p w14:paraId="586DED00">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9" w:name="_Toc2318"/>
      <w:bookmarkStart w:id="10" w:name="_Toc5633"/>
      <w:r>
        <w:rPr>
          <w:rFonts w:hint="eastAsia" w:ascii="宋体" w:hAnsi="宋体" w:eastAsia="宋体" w:cs="宋体"/>
          <w:b/>
          <w:bCs/>
          <w:color w:val="auto"/>
          <w:sz w:val="24"/>
          <w:szCs w:val="24"/>
        </w:rPr>
        <w:t>行业标准：</w:t>
      </w:r>
      <w:r>
        <w:rPr>
          <w:rFonts w:hint="eastAsia" w:ascii="宋体" w:hAnsi="宋体" w:eastAsia="宋体" w:cs="宋体"/>
          <w:color w:val="auto"/>
          <w:sz w:val="24"/>
          <w:szCs w:val="24"/>
        </w:rPr>
        <w:t>指参照国家公布的行业指标数据制定的评价标准。</w:t>
      </w:r>
      <w:bookmarkEnd w:id="9"/>
      <w:bookmarkEnd w:id="10"/>
    </w:p>
    <w:p w14:paraId="002E9212">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11" w:name="_Toc430"/>
      <w:bookmarkStart w:id="12" w:name="_Toc16028"/>
      <w:r>
        <w:rPr>
          <w:rFonts w:hint="eastAsia" w:ascii="宋体" w:hAnsi="宋体" w:eastAsia="宋体" w:cs="宋体"/>
          <w:b/>
          <w:bCs/>
          <w:color w:val="auto"/>
          <w:sz w:val="24"/>
          <w:szCs w:val="24"/>
        </w:rPr>
        <w:t>历史标准：</w:t>
      </w:r>
      <w:r>
        <w:rPr>
          <w:rFonts w:hint="eastAsia" w:ascii="宋体" w:hAnsi="宋体" w:eastAsia="宋体" w:cs="宋体"/>
          <w:color w:val="auto"/>
          <w:sz w:val="24"/>
          <w:szCs w:val="24"/>
        </w:rPr>
        <w:t>指参照历史数据制定的评价标准，为体现绩效改进的原则，在可实现的条件下应当确定相对较高的评价标准。</w:t>
      </w:r>
      <w:bookmarkEnd w:id="11"/>
      <w:bookmarkEnd w:id="12"/>
    </w:p>
    <w:p w14:paraId="59A006FC">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（三）绩效评价工作过程</w:t>
      </w:r>
      <w:bookmarkEnd w:id="6"/>
    </w:p>
    <w:p w14:paraId="51ABAF69">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3" w:name="_Toc68364664"/>
      <w:r>
        <w:rPr>
          <w:rFonts w:hint="eastAsia" w:ascii="宋体" w:hAnsi="宋体" w:eastAsia="宋体" w:cs="宋体"/>
          <w:color w:val="auto"/>
          <w:sz w:val="24"/>
          <w:szCs w:val="24"/>
        </w:rPr>
        <w:t>1.前期准备</w:t>
      </w:r>
    </w:p>
    <w:p w14:paraId="36D22A3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6260655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姬少东</w:t>
      </w:r>
      <w:r>
        <w:rPr>
          <w:rFonts w:hint="eastAsia" w:ascii="宋体" w:hAnsi="宋体" w:eastAsia="宋体" w:cs="宋体"/>
          <w:color w:val="auto"/>
          <w:sz w:val="24"/>
          <w:szCs w:val="24"/>
        </w:rPr>
        <w:t>（评价小组组长）：主要负责</w:t>
      </w:r>
      <w:r>
        <w:rPr>
          <w:rFonts w:hint="eastAsia" w:ascii="宋体" w:hAnsi="宋体" w:eastAsia="宋体" w:cs="宋体"/>
          <w:color w:val="auto"/>
          <w:sz w:val="24"/>
          <w:szCs w:val="24"/>
          <w:lang w:val="en-US" w:eastAsia="zh-CN"/>
        </w:rPr>
        <w:t>组织安排绩效评价工作，</w:t>
      </w:r>
      <w:r>
        <w:rPr>
          <w:rFonts w:hint="eastAsia" w:ascii="宋体" w:hAnsi="宋体" w:eastAsia="宋体" w:cs="宋体"/>
          <w:color w:val="auto"/>
          <w:sz w:val="24"/>
          <w:szCs w:val="24"/>
        </w:rPr>
        <w:t>制定评价方案与计划，把控评价进度与方向，协调内外部资源，审核评价报告，对评价结果的准确性和有效性负责，确保评价工作符合相关政策法规与项目目标要求;</w:t>
      </w:r>
    </w:p>
    <w:p w14:paraId="3DDB04E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祁恒均</w:t>
      </w:r>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lang w:val="en-US" w:eastAsia="zh-CN"/>
        </w:rPr>
        <w:t>资料整理及信息汇总工作，</w:t>
      </w:r>
      <w:r>
        <w:rPr>
          <w:rFonts w:hint="eastAsia" w:ascii="宋体" w:hAnsi="宋体" w:eastAsia="宋体" w:cs="宋体"/>
          <w:color w:val="auto"/>
          <w:sz w:val="24"/>
          <w:szCs w:val="24"/>
        </w:rPr>
        <w:t>对数据进行初步整理与分析，协助组长开展实地调研，访谈相关工作人员，了解项目执行过程中的实际情况，为评价工作提供数据支撑与一线信息;</w:t>
      </w:r>
    </w:p>
    <w:p w14:paraId="50FCEBB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eastAsia="zh-CN"/>
        </w:rPr>
      </w:pPr>
    </w:p>
    <w:p w14:paraId="7239B90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海尼沙</w:t>
      </w:r>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lang w:val="en-US" w:eastAsia="zh-CN"/>
        </w:rPr>
        <w:t>出具项目绩效评价报告</w:t>
      </w:r>
      <w:r>
        <w:rPr>
          <w:rFonts w:hint="eastAsia" w:ascii="宋体" w:hAnsi="宋体" w:eastAsia="宋体" w:cs="宋体"/>
          <w:color w:val="auto"/>
          <w:sz w:val="24"/>
          <w:szCs w:val="24"/>
        </w:rPr>
        <w:t>，对收集的数据进行深入分析，构建评价指标体系并打分，撰写绩效评价报告初稿。同时，关注政策变动对项目的影响，从专业角度提出改进建议，为完善项目执行及后续决策提供参考。</w:t>
      </w:r>
    </w:p>
    <w:p w14:paraId="25214195">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2.组织实施</w:t>
      </w:r>
    </w:p>
    <w:p w14:paraId="1B4981A8">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337F7853">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3.分析评价</w:t>
      </w:r>
    </w:p>
    <w:p w14:paraId="057FE33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日，评价小组按照绩效评价的原则和规范，对取得的资料进行审查核实，对采集的数据进行分析，按照绩效评价指标评分表逐项进行打分、分析、汇总各方评价结果。</w:t>
      </w:r>
    </w:p>
    <w:p w14:paraId="1F7B550A">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4.撰写与提交评价报告</w:t>
      </w:r>
    </w:p>
    <w:p w14:paraId="1BE7D20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6B772F9B">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5.问题整改</w:t>
      </w:r>
    </w:p>
    <w:p w14:paraId="6F0594E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2CE8E26E">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6.档案整理</w:t>
      </w:r>
    </w:p>
    <w:p w14:paraId="3127F43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建立和落实档案管理制度，将项目相关资料存档，包括但不限于：评价项目基本情况和相关文件、评价实施方案、项目支付资料等相关档案。</w:t>
      </w:r>
    </w:p>
    <w:p w14:paraId="7F1115DB">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p>
    <w:p w14:paraId="13F15C6D">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三、综合评价情况及评价结论</w:t>
      </w:r>
      <w:bookmarkEnd w:id="13"/>
    </w:p>
    <w:p w14:paraId="5DD3985E">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4" w:name="_Toc68364665"/>
      <w:r>
        <w:rPr>
          <w:rFonts w:hint="eastAsia" w:ascii="宋体" w:hAnsi="宋体" w:eastAsia="宋体" w:cs="宋体"/>
          <w:color w:val="auto"/>
          <w:sz w:val="24"/>
          <w:szCs w:val="24"/>
        </w:rPr>
        <w:t>（一）综合评价情况</w:t>
      </w:r>
      <w:bookmarkEnd w:id="14"/>
    </w:p>
    <w:p w14:paraId="318717CB">
      <w:pPr>
        <w:pStyle w:val="5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bookmarkStart w:id="15" w:name="_Toc68364666"/>
      <w:r>
        <w:rPr>
          <w:rFonts w:hint="eastAsia" w:ascii="宋体" w:hAnsi="宋体" w:eastAsia="宋体" w:cs="宋体"/>
          <w:color w:val="auto"/>
          <w:sz w:val="24"/>
          <w:szCs w:val="24"/>
        </w:rPr>
        <w:t>通过实施</w:t>
      </w:r>
      <w:bookmarkStart w:id="16" w:name="OLE_LINK1"/>
      <w:r>
        <w:rPr>
          <w:rFonts w:hint="eastAsia" w:ascii="宋体" w:hAnsi="宋体" w:eastAsia="宋体" w:cs="宋体"/>
          <w:color w:val="auto"/>
          <w:kern w:val="0"/>
          <w:sz w:val="24"/>
          <w:szCs w:val="24"/>
          <w:highlight w:val="none"/>
          <w:lang w:val="en-US" w:eastAsia="zh-CN" w:bidi="ar-SA"/>
        </w:rPr>
        <w:t>洛浦县高级技工学校中央直达资金-和地财教[2023]59号：2024年学生资助补助经费-技工免学费及助学金</w:t>
      </w:r>
      <w:bookmarkEnd w:id="16"/>
      <w:r>
        <w:rPr>
          <w:rFonts w:hint="eastAsia" w:ascii="宋体" w:hAnsi="宋体" w:eastAsia="宋体" w:cs="宋体"/>
          <w:color w:val="auto"/>
          <w:sz w:val="24"/>
          <w:szCs w:val="24"/>
        </w:rPr>
        <w:t>项目产生</w:t>
      </w:r>
      <w:r>
        <w:rPr>
          <w:rFonts w:hint="eastAsia" w:ascii="宋体" w:hAnsi="宋体" w:eastAsia="宋体" w:cs="宋体"/>
          <w:color w:val="auto"/>
          <w:sz w:val="24"/>
          <w:szCs w:val="24"/>
          <w:lang w:eastAsia="zh-CN"/>
        </w:rPr>
        <w:t>社会</w:t>
      </w:r>
      <w:r>
        <w:rPr>
          <w:rFonts w:hint="eastAsia" w:ascii="宋体" w:hAnsi="宋体" w:eastAsia="宋体" w:cs="宋体"/>
          <w:color w:val="auto"/>
          <w:sz w:val="24"/>
          <w:szCs w:val="24"/>
        </w:rPr>
        <w:t>效益。项目实施主要通过项目决策、项目过程、项目产出以及项目效益等方面进行评价，其中：</w:t>
      </w:r>
    </w:p>
    <w:p w14:paraId="1CA1B230">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项目决策：该项目主要通过</w:t>
      </w:r>
      <w:r>
        <w:rPr>
          <w:rFonts w:hint="eastAsia" w:ascii="宋体" w:hAnsi="宋体" w:eastAsia="宋体" w:cs="宋体"/>
          <w:color w:val="auto"/>
          <w:kern w:val="0"/>
          <w:sz w:val="24"/>
          <w:szCs w:val="24"/>
          <w:highlight w:val="none"/>
          <w:lang w:val="en-US" w:eastAsia="zh-CN" w:bidi="ar-SA"/>
        </w:rPr>
        <w:t>和地财教[2023]59号</w:t>
      </w:r>
      <w:r>
        <w:rPr>
          <w:rFonts w:hint="eastAsia" w:ascii="宋体" w:hAnsi="宋体" w:eastAsia="宋体" w:cs="宋体"/>
          <w:color w:val="auto"/>
          <w:sz w:val="24"/>
          <w:szCs w:val="24"/>
        </w:rPr>
        <w:t>文件立项，项目实施符合</w:t>
      </w:r>
      <w:r>
        <w:rPr>
          <w:rFonts w:hint="eastAsia" w:ascii="宋体" w:hAnsi="宋体" w:eastAsia="宋体" w:cs="宋体"/>
          <w:color w:val="auto"/>
          <w:sz w:val="24"/>
          <w:szCs w:val="24"/>
          <w:lang w:eastAsia="zh-CN"/>
        </w:rPr>
        <w:t>学校的</w:t>
      </w:r>
      <w:r>
        <w:rPr>
          <w:rFonts w:hint="eastAsia" w:ascii="宋体" w:hAnsi="宋体" w:eastAsia="宋体" w:cs="宋体"/>
          <w:color w:val="auto"/>
          <w:sz w:val="24"/>
          <w:szCs w:val="24"/>
        </w:rPr>
        <w:t xml:space="preserve">要求，项目立项依据充分，立项程序规范。 </w:t>
      </w:r>
    </w:p>
    <w:p w14:paraId="69E829B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项目过程：</w:t>
      </w:r>
      <w:r>
        <w:rPr>
          <w:rFonts w:hint="eastAsia" w:ascii="宋体" w:hAnsi="宋体" w:eastAsia="宋体" w:cs="宋体"/>
          <w:color w:val="auto"/>
          <w:kern w:val="0"/>
          <w:sz w:val="24"/>
          <w:szCs w:val="24"/>
          <w:highlight w:val="none"/>
          <w:lang w:val="en-US" w:eastAsia="zh-CN" w:bidi="ar-SA"/>
        </w:rPr>
        <w:t>洛浦县高级技工学校中央直达资金-和地财教[2023]59号：2024年学生资助补助经费-技工免学费及助学金</w:t>
      </w:r>
      <w:r>
        <w:rPr>
          <w:rFonts w:hint="eastAsia" w:ascii="宋体" w:hAnsi="宋体" w:eastAsia="宋体" w:cs="宋体"/>
          <w:color w:val="auto"/>
          <w:sz w:val="24"/>
          <w:szCs w:val="24"/>
        </w:rPr>
        <w:t xml:space="preserve">项目预算安排 </w:t>
      </w:r>
      <w:r>
        <w:rPr>
          <w:rFonts w:hint="eastAsia" w:ascii="宋体" w:hAnsi="宋体" w:eastAsia="宋体" w:cs="宋体"/>
          <w:color w:val="auto"/>
          <w:sz w:val="24"/>
          <w:szCs w:val="24"/>
          <w:lang w:val="en-US" w:eastAsia="zh-CN"/>
        </w:rPr>
        <w:t>204.88</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204.88</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52DA3D1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项目产出：</w:t>
      </w:r>
      <w:r>
        <w:rPr>
          <w:rFonts w:hint="eastAsia" w:ascii="宋体" w:hAnsi="宋体" w:eastAsia="宋体" w:cs="宋体"/>
          <w:color w:val="auto"/>
          <w:sz w:val="24"/>
          <w:szCs w:val="24"/>
          <w:lang w:eastAsia="zh-CN"/>
        </w:rPr>
        <w:t>通过实施此项目产生的技工免学费及助学金数量指标</w:t>
      </w:r>
      <w:r>
        <w:rPr>
          <w:rFonts w:hint="eastAsia" w:ascii="宋体" w:hAnsi="宋体" w:eastAsia="宋体" w:cs="宋体"/>
          <w:color w:val="auto"/>
          <w:sz w:val="24"/>
          <w:szCs w:val="24"/>
          <w:lang w:val="en-US" w:eastAsia="zh-CN"/>
        </w:rPr>
        <w:t>1个，资金使用合规率100%，补助发放合格率100%，项目完成时间2024年12月，资金支付及时率100%。</w:t>
      </w:r>
    </w:p>
    <w:p w14:paraId="616CF3D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项目效益</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通过实施此项目</w:t>
      </w:r>
      <w:r>
        <w:rPr>
          <w:rFonts w:hint="eastAsia" w:ascii="宋体" w:hAnsi="宋体" w:eastAsia="宋体" w:cs="宋体"/>
          <w:color w:val="auto"/>
          <w:sz w:val="24"/>
          <w:szCs w:val="24"/>
          <w:highlight w:val="none"/>
          <w:lang w:val="en-US" w:eastAsia="zh-CN"/>
        </w:rPr>
        <w:t>有效保障了学生在校期间的正常学习生活，提升学校教育教学质量；学校收到免学费补助资金，可弥补因免除学费导致的运转经费缺口，有助于学校改善教学条件、加强师资队伍建设等，进而提高教育教学质量</w:t>
      </w:r>
      <w:r>
        <w:rPr>
          <w:rFonts w:hint="eastAsia" w:ascii="宋体" w:hAnsi="宋体" w:eastAsia="宋体" w:cs="宋体"/>
          <w:color w:val="auto"/>
          <w:kern w:val="0"/>
          <w:sz w:val="24"/>
          <w:szCs w:val="24"/>
          <w:highlight w:val="none"/>
          <w:lang w:val="en-US" w:eastAsia="zh-CN" w:bidi="ar-SA"/>
        </w:rPr>
        <w:t>，减轻了农民负担</w:t>
      </w:r>
      <w:r>
        <w:rPr>
          <w:rFonts w:hint="eastAsia" w:ascii="宋体" w:hAnsi="宋体" w:eastAsia="宋体" w:cs="宋体"/>
          <w:color w:val="auto"/>
          <w:sz w:val="24"/>
          <w:szCs w:val="24"/>
          <w:lang w:eastAsia="zh-CN"/>
        </w:rPr>
        <w:t>等</w:t>
      </w:r>
      <w:r>
        <w:rPr>
          <w:rFonts w:hint="eastAsia" w:ascii="宋体" w:hAnsi="宋体" w:eastAsia="宋体" w:cs="宋体"/>
          <w:color w:val="auto"/>
          <w:sz w:val="24"/>
          <w:szCs w:val="24"/>
        </w:rPr>
        <w:t>效益</w:t>
      </w:r>
      <w:r>
        <w:rPr>
          <w:rFonts w:hint="eastAsia" w:ascii="宋体" w:hAnsi="宋体" w:eastAsia="宋体" w:cs="宋体"/>
          <w:color w:val="auto"/>
          <w:sz w:val="24"/>
          <w:szCs w:val="24"/>
          <w:lang w:val="en-US" w:eastAsia="zh-CN"/>
        </w:rPr>
        <w:t>。</w:t>
      </w:r>
    </w:p>
    <w:p w14:paraId="2EA8DFF2">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（二）综合评价结论</w:t>
      </w:r>
    </w:p>
    <w:p w14:paraId="336001F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color w:val="auto"/>
          <w:kern w:val="0"/>
          <w:sz w:val="24"/>
          <w:szCs w:val="24"/>
          <w:highlight w:val="none"/>
          <w:lang w:val="en-US" w:eastAsia="zh-CN" w:bidi="ar-SA"/>
        </w:rPr>
        <w:t>洛浦县高级技工学校中央直达资金-和地财教[2023]59号：2024年学生资助补助经费-技工免学费及助学金</w:t>
      </w:r>
      <w:r>
        <w:rPr>
          <w:rFonts w:hint="eastAsia" w:ascii="宋体" w:hAnsi="宋体" w:eastAsia="宋体" w:cs="宋体"/>
          <w:color w:val="auto"/>
          <w:sz w:val="24"/>
          <w:szCs w:val="24"/>
        </w:rPr>
        <w:t>项目进行客观评价，最终评分结果：评价总分</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分，绩效等级为“</w:t>
      </w:r>
      <w:r>
        <w:rPr>
          <w:rFonts w:hint="eastAsia" w:ascii="宋体" w:hAnsi="宋体" w:eastAsia="宋体" w:cs="宋体"/>
          <w:color w:val="auto"/>
          <w:sz w:val="24"/>
          <w:szCs w:val="24"/>
          <w:lang w:eastAsia="zh-CN"/>
        </w:rPr>
        <w:t>优</w:t>
      </w:r>
      <w:r>
        <w:rPr>
          <w:rFonts w:hint="eastAsia" w:ascii="宋体" w:hAnsi="宋体" w:eastAsia="宋体" w:cs="宋体"/>
          <w:color w:val="auto"/>
          <w:sz w:val="24"/>
          <w:szCs w:val="24"/>
        </w:rPr>
        <w:t>”。</w:t>
      </w:r>
      <w:bookmarkEnd w:id="15"/>
      <w:bookmarkStart w:id="17" w:name="_Toc68364667"/>
    </w:p>
    <w:p w14:paraId="20C6E989">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p>
    <w:p w14:paraId="091C47EA">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四、绩效评价指标分析</w:t>
      </w:r>
      <w:bookmarkEnd w:id="17"/>
    </w:p>
    <w:p w14:paraId="6BE2A58B">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8" w:name="_Toc68364668"/>
      <w:r>
        <w:rPr>
          <w:rFonts w:hint="eastAsia" w:ascii="宋体" w:hAnsi="宋体" w:eastAsia="宋体" w:cs="宋体"/>
          <w:color w:val="auto"/>
          <w:sz w:val="24"/>
          <w:szCs w:val="24"/>
        </w:rPr>
        <w:t>（一）项目决策情况</w:t>
      </w:r>
    </w:p>
    <w:p w14:paraId="4FBE9D3E">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项目决策类指标包括项目立项、绩效目标和资金投入三方面的内容，由6个三级指标构成，权重分</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rPr>
        <w:t>，实际得分</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分，得分率为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635F1216">
      <w:pPr>
        <w:keepNext w:val="0"/>
        <w:keepLines w:val="0"/>
        <w:pageBreakBefore w:val="0"/>
        <w:widowControl w:val="0"/>
        <w:numPr>
          <w:ilvl w:val="0"/>
          <w:numId w:val="4"/>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立项依据充分性：</w:t>
      </w:r>
    </w:p>
    <w:p w14:paraId="0529F55E">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本项目立项符合</w:t>
      </w:r>
      <w:r>
        <w:rPr>
          <w:rFonts w:hint="eastAsia" w:ascii="宋体" w:hAnsi="宋体" w:eastAsia="宋体" w:cs="宋体"/>
          <w:color w:val="auto"/>
          <w:sz w:val="24"/>
          <w:szCs w:val="24"/>
          <w:lang w:eastAsia="zh-CN"/>
        </w:rPr>
        <w:t>《财政部</w:t>
      </w:r>
      <w:r>
        <w:rPr>
          <w:rFonts w:hint="eastAsia" w:ascii="宋体" w:hAnsi="宋体" w:eastAsia="宋体" w:cs="宋体"/>
          <w:color w:val="auto"/>
          <w:sz w:val="24"/>
          <w:szCs w:val="24"/>
          <w:lang w:val="en-US" w:eastAsia="zh-CN"/>
        </w:rPr>
        <w:t xml:space="preserve"> 国家发展改革委 </w:t>
      </w:r>
      <w:r>
        <w:rPr>
          <w:rFonts w:hint="eastAsia" w:ascii="宋体" w:hAnsi="宋体" w:eastAsia="宋体" w:cs="宋体"/>
          <w:color w:val="auto"/>
          <w:sz w:val="24"/>
          <w:szCs w:val="24"/>
          <w:lang w:eastAsia="zh-CN"/>
        </w:rPr>
        <w:t>教育部人力资源和社会保障部关于扩大中等职业教育免学费政策范围进一步完善国家助学金制度的意见》（财教【</w:t>
      </w:r>
      <w:r>
        <w:rPr>
          <w:rFonts w:hint="eastAsia" w:ascii="宋体" w:hAnsi="宋体" w:eastAsia="宋体" w:cs="宋体"/>
          <w:color w:val="auto"/>
          <w:sz w:val="24"/>
          <w:szCs w:val="24"/>
          <w:lang w:val="en-US" w:eastAsia="zh-CN"/>
        </w:rPr>
        <w:t>2012】376号</w:t>
      </w:r>
      <w:r>
        <w:rPr>
          <w:rFonts w:hint="eastAsia" w:ascii="宋体" w:hAnsi="宋体" w:eastAsia="宋体" w:cs="宋体"/>
          <w:color w:val="auto"/>
          <w:sz w:val="24"/>
          <w:szCs w:val="24"/>
          <w:lang w:eastAsia="zh-CN"/>
        </w:rPr>
        <w:t>）及《自治区财政厅、教育厅、人力资源和社会保障厅《关于印发新疆维吾尔自治区中等职业学校国家助学金管理办法的通知》（新财教【</w:t>
      </w:r>
      <w:r>
        <w:rPr>
          <w:rFonts w:hint="eastAsia" w:ascii="宋体" w:hAnsi="宋体" w:eastAsia="宋体" w:cs="宋体"/>
          <w:color w:val="auto"/>
          <w:sz w:val="24"/>
          <w:szCs w:val="24"/>
          <w:lang w:val="en-US" w:eastAsia="zh-CN"/>
        </w:rPr>
        <w:t>2018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262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颁发中</w:t>
      </w:r>
      <w:r>
        <w:rPr>
          <w:rFonts w:hint="eastAsia" w:ascii="宋体" w:hAnsi="宋体" w:eastAsia="宋体" w:cs="宋体"/>
          <w:color w:val="auto"/>
          <w:sz w:val="24"/>
          <w:szCs w:val="24"/>
          <w:lang w:eastAsia="zh-CN"/>
        </w:rPr>
        <w:t>的</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免学费政策的具体实施办法和管理要求</w:t>
      </w:r>
      <w:r>
        <w:rPr>
          <w:rFonts w:hint="eastAsia" w:ascii="宋体" w:hAnsi="宋体" w:eastAsia="宋体" w:cs="宋体"/>
          <w:color w:val="auto"/>
          <w:sz w:val="24"/>
          <w:szCs w:val="24"/>
        </w:rPr>
        <w:t>”；符合行业发展规划和政策要求；本项目立项符合《</w:t>
      </w:r>
      <w:r>
        <w:rPr>
          <w:rFonts w:hint="eastAsia" w:ascii="宋体" w:hAnsi="宋体" w:eastAsia="宋体" w:cs="宋体"/>
          <w:color w:val="auto"/>
          <w:sz w:val="24"/>
          <w:szCs w:val="24"/>
          <w:lang w:eastAsia="zh-CN"/>
        </w:rPr>
        <w:t>洛浦县高级技工学校</w:t>
      </w:r>
      <w:r>
        <w:rPr>
          <w:rFonts w:hint="eastAsia" w:ascii="宋体" w:hAnsi="宋体" w:eastAsia="宋体" w:cs="宋体"/>
          <w:color w:val="auto"/>
          <w:sz w:val="24"/>
          <w:szCs w:val="24"/>
        </w:rPr>
        <w:t>配置内设机构和人员编制规定》中职责范围中的“</w:t>
      </w:r>
      <w:r>
        <w:rPr>
          <w:rFonts w:hint="eastAsia" w:ascii="宋体" w:hAnsi="宋体" w:eastAsia="宋体" w:cs="宋体"/>
          <w:color w:val="auto"/>
          <w:sz w:val="24"/>
          <w:szCs w:val="24"/>
          <w:lang w:eastAsia="zh-CN"/>
        </w:rPr>
        <w:t>以培养中高级技能人才为核心，同时承担职业培训，满足产业升级对高技能人才的需求</w:t>
      </w:r>
      <w:r>
        <w:rPr>
          <w:rFonts w:hint="eastAsia" w:ascii="宋体" w:hAnsi="宋体" w:eastAsia="宋体" w:cs="宋体"/>
          <w:color w:val="auto"/>
          <w:sz w:val="24"/>
          <w:szCs w:val="24"/>
        </w:rPr>
        <w:t>”，属于我单位履职所需；根据《财政资金直接支付申请书》，本项目资金性质为“公共财政预算”功能分类为“</w:t>
      </w:r>
      <w:r>
        <w:rPr>
          <w:rFonts w:hint="eastAsia" w:ascii="宋体" w:hAnsi="宋体" w:eastAsia="宋体" w:cs="宋体"/>
          <w:color w:val="auto"/>
          <w:sz w:val="24"/>
          <w:szCs w:val="24"/>
          <w:lang w:val="en-US" w:eastAsia="zh-CN"/>
        </w:rPr>
        <w:t>2050303</w:t>
      </w:r>
      <w:r>
        <w:rPr>
          <w:rFonts w:hint="eastAsia" w:ascii="宋体" w:hAnsi="宋体" w:eastAsia="宋体" w:cs="宋体"/>
          <w:color w:val="auto"/>
          <w:sz w:val="24"/>
          <w:szCs w:val="24"/>
        </w:rPr>
        <w:t>”经济分类为“</w:t>
      </w:r>
      <w:r>
        <w:rPr>
          <w:rFonts w:hint="eastAsia" w:ascii="宋体" w:hAnsi="宋体" w:eastAsia="宋体" w:cs="宋体"/>
          <w:color w:val="auto"/>
          <w:sz w:val="24"/>
          <w:szCs w:val="24"/>
          <w:lang w:eastAsia="zh-CN"/>
        </w:rPr>
        <w:t>劳务费及助学金</w:t>
      </w:r>
      <w:r>
        <w:rPr>
          <w:rFonts w:hint="eastAsia" w:ascii="宋体" w:hAnsi="宋体" w:eastAsia="宋体" w:cs="宋体"/>
          <w:color w:val="auto"/>
          <w:sz w:val="24"/>
          <w:szCs w:val="24"/>
        </w:rPr>
        <w:t>”属</w:t>
      </w:r>
      <w:r>
        <w:rPr>
          <w:rFonts w:hint="eastAsia" w:ascii="宋体" w:hAnsi="宋体" w:eastAsia="宋体" w:cs="宋体"/>
          <w:color w:val="auto"/>
          <w:sz w:val="24"/>
          <w:szCs w:val="24"/>
          <w:highlight w:val="none"/>
        </w:rPr>
        <w:t>于公共财政支持范围，符合中央、地方事权支出责任划分原则；经检查我单位财政应用平台指标，本项目不存在重复。</w:t>
      </w:r>
    </w:p>
    <w:p w14:paraId="6E48A662">
      <w:pPr>
        <w:keepNext w:val="0"/>
        <w:keepLines w:val="0"/>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4BEB94C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（2）立项程序规范性：</w:t>
      </w:r>
    </w:p>
    <w:p w14:paraId="311682F3">
      <w:pPr>
        <w:pageBreakBefore w:val="0"/>
        <w:widowControl w:val="0"/>
        <w:kinsoku/>
        <w:wordWrap/>
        <w:topLinePunct w:val="0"/>
        <w:autoSpaceDE/>
        <w:autoSpaceDN/>
        <w:bidi w:val="0"/>
        <w:adjustRightInd/>
        <w:snapToGrid/>
        <w:spacing w:line="360" w:lineRule="auto"/>
        <w:ind w:left="0" w:leftChars="0" w:firstLine="480" w:firstLineChars="200"/>
        <w:textAlignment w:val="auto"/>
        <w:outlineLvl w:val="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本项目</w:t>
      </w:r>
      <w:r>
        <w:rPr>
          <w:rFonts w:hint="eastAsia" w:ascii="宋体" w:hAnsi="宋体" w:eastAsia="宋体" w:cs="宋体"/>
          <w:color w:val="auto"/>
          <w:sz w:val="24"/>
          <w:szCs w:val="24"/>
          <w:lang w:val="en-US" w:eastAsia="zh-CN"/>
        </w:rPr>
        <w:t>中央直达资金-和地财教[2023]59号：2024年学生资助补助经费-技工免学费及助学金</w:t>
      </w:r>
      <w:r>
        <w:rPr>
          <w:rFonts w:hint="eastAsia" w:ascii="宋体" w:hAnsi="宋体" w:eastAsia="宋体" w:cs="宋体"/>
          <w:color w:val="auto"/>
          <w:sz w:val="24"/>
          <w:szCs w:val="24"/>
        </w:rPr>
        <w:t>项目立项过程中产生的文件均符合相关要求。本项目为特定目标类项目，属于经常性项目，项目预算金额为</w:t>
      </w:r>
      <w:r>
        <w:rPr>
          <w:rFonts w:hint="eastAsia" w:ascii="宋体" w:hAnsi="宋体" w:eastAsia="宋体" w:cs="宋体"/>
          <w:color w:val="auto"/>
          <w:sz w:val="24"/>
          <w:szCs w:val="24"/>
          <w:lang w:val="en-US" w:eastAsia="zh-CN"/>
        </w:rPr>
        <w:t>204.88</w:t>
      </w:r>
      <w:r>
        <w:rPr>
          <w:rFonts w:hint="eastAsia" w:ascii="宋体" w:hAnsi="宋体" w:eastAsia="宋体" w:cs="宋体"/>
          <w:color w:val="auto"/>
          <w:sz w:val="24"/>
          <w:szCs w:val="24"/>
        </w:rPr>
        <w:t>万元，不涉及事前绩效评估和风险评估</w:t>
      </w:r>
      <w:r>
        <w:rPr>
          <w:rFonts w:hint="eastAsia" w:ascii="宋体" w:hAnsi="宋体" w:eastAsia="宋体" w:cs="宋体"/>
          <w:color w:val="auto"/>
          <w:sz w:val="24"/>
          <w:szCs w:val="24"/>
          <w:lang w:eastAsia="zh-CN"/>
        </w:rPr>
        <w:t>。</w:t>
      </w:r>
    </w:p>
    <w:p w14:paraId="1FBEB5A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r>
        <w:rPr>
          <w:rFonts w:hint="eastAsia" w:ascii="宋体" w:hAnsi="宋体" w:eastAsia="宋体" w:cs="宋体"/>
          <w:b/>
          <w:bCs/>
          <w:color w:val="auto"/>
          <w:sz w:val="24"/>
          <w:szCs w:val="24"/>
        </w:rPr>
        <w:t>（3）绩效目标合理性</w:t>
      </w:r>
      <w:r>
        <w:rPr>
          <w:rFonts w:hint="eastAsia" w:ascii="宋体" w:hAnsi="宋体" w:eastAsia="宋体" w:cs="宋体"/>
          <w:color w:val="auto"/>
          <w:sz w:val="24"/>
          <w:szCs w:val="24"/>
        </w:rPr>
        <w:t>：</w:t>
      </w:r>
    </w:p>
    <w:p w14:paraId="6653A7A5">
      <w:pPr>
        <w:pageBreakBefore w:val="0"/>
        <w:widowControl w:val="0"/>
        <w:kinsoku/>
        <w:wordWrap/>
        <w:topLinePunct w:val="0"/>
        <w:autoSpaceDE/>
        <w:autoSpaceDN/>
        <w:bidi w:val="0"/>
        <w:adjustRightInd/>
        <w:snapToGrid/>
        <w:spacing w:line="360" w:lineRule="auto"/>
        <w:ind w:left="0" w:leftChars="0" w:firstLine="480" w:firstLineChars="200"/>
        <w:textAlignment w:val="auto"/>
        <w:outlineLvl w:val="0"/>
        <w:rPr>
          <w:rFonts w:hint="eastAsia" w:ascii="宋体" w:hAnsi="宋体" w:eastAsia="宋体" w:cs="宋体"/>
          <w:color w:val="auto"/>
          <w:sz w:val="24"/>
          <w:szCs w:val="24"/>
        </w:rPr>
      </w:pPr>
      <w:r>
        <w:rPr>
          <w:rFonts w:hint="eastAsia" w:ascii="宋体" w:hAnsi="宋体" w:eastAsia="宋体" w:cs="宋体"/>
          <w:color w:val="auto"/>
          <w:sz w:val="24"/>
          <w:szCs w:val="24"/>
        </w:rPr>
        <w:t>①该项目已设置年度绩效目标，具体内容为“</w:t>
      </w:r>
      <w:r>
        <w:rPr>
          <w:rFonts w:hint="eastAsia" w:ascii="宋体" w:hAnsi="宋体" w:eastAsia="宋体" w:cs="宋体"/>
          <w:color w:val="auto"/>
          <w:sz w:val="24"/>
          <w:szCs w:val="24"/>
          <w:highlight w:val="none"/>
          <w:lang w:val="en-US" w:eastAsia="zh-CN"/>
        </w:rPr>
        <w:t>项目实施内容：根据《关于提前下达2023年自治区学生资助补助经费预算（中央直达资金）的通知》（和地财教【2023】59号）：2024年学生资助补助经费-技工免学费及助学金-洛财教【2024】14号实施此项目，为：自聘教师不少于14人，外聘后勤人员数量不少于8人，外聘保安人员数量不少于14人，外聘食堂人员数量不少于16人，外聘消防人员数量不少于2人，保证962名学制学生在校期间的正常学习生活；保证学制学生人数962人助学金，补助标准为2000元/年，项目将保证建档学生享受补助覆盖率达到100%。通过项目实施，可以有效保障学生在校期间的正常学习生活，提升学校教育教学质量。</w:t>
      </w:r>
    </w:p>
    <w:p w14:paraId="68E426F9">
      <w:pPr>
        <w:pageBreakBefore w:val="0"/>
        <w:widowControl w:val="0"/>
        <w:kinsoku/>
        <w:wordWrap/>
        <w:topLinePunct w:val="0"/>
        <w:autoSpaceDE/>
        <w:autoSpaceDN/>
        <w:bidi w:val="0"/>
        <w:adjustRightInd/>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w:t>
      </w:r>
      <w:r>
        <w:rPr>
          <w:rFonts w:hint="eastAsia" w:ascii="宋体" w:hAnsi="宋体" w:eastAsia="宋体" w:cs="宋体"/>
          <w:color w:val="auto"/>
          <w:sz w:val="24"/>
          <w:szCs w:val="24"/>
          <w:highlight w:val="none"/>
          <w:lang w:val="en-US" w:eastAsia="zh-CN"/>
        </w:rPr>
        <w:t>项目实施内容：根据《关于提前下达2023年自治区学生资助补助经费预算（中央直达资金）的通知》（和地财教【2023】59号）：2024年学生资助补助经费-技工免学费及助学金-洛财教【2024】14号实施此项目，为：自聘教师不少于14人，外聘后勤人员数量不少于8人，外聘保安人员数量不少于14人，外聘食堂人员数量不少于16人，外聘消防人员数量不少于2人，保证962名学制学生在校期间的正常学习生活；保证学制学生人数962人助学金，补助标准为2000元/年，项目将保证建档学生享受补助覆盖率达到100%。通过项目实施，可以有效保障学生在校期间的正常学习生活，提升学校教育教学质量</w:t>
      </w:r>
      <w:r>
        <w:rPr>
          <w:rFonts w:hint="eastAsia" w:ascii="宋体" w:hAnsi="宋体" w:eastAsia="宋体" w:cs="宋体"/>
          <w:color w:val="auto"/>
          <w:sz w:val="24"/>
          <w:szCs w:val="24"/>
          <w:highlight w:val="none"/>
        </w:rPr>
        <w:t>。绩效目标与实际工作内容一致，两者具有相关性。</w:t>
      </w:r>
    </w:p>
    <w:p w14:paraId="222A173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eastAsia="zh-CN"/>
        </w:rPr>
        <w:t>社会效益指标</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val="en-US" w:eastAsia="zh-CN"/>
        </w:rPr>
        <w:t>有效保障学生在校期间的正常学习生活，提升学校教育教学质量</w:t>
      </w:r>
      <w:r>
        <w:rPr>
          <w:rFonts w:hint="eastAsia" w:ascii="宋体" w:hAnsi="宋体" w:eastAsia="宋体" w:cs="宋体"/>
          <w:color w:val="auto"/>
          <w:sz w:val="24"/>
          <w:szCs w:val="24"/>
          <w:highlight w:val="none"/>
        </w:rPr>
        <w:t>效益，预期产出效益和效果是否符合正常的业绩水平。</w:t>
      </w:r>
    </w:p>
    <w:p w14:paraId="4E1B566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204.88</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204.88</w:t>
      </w:r>
      <w:r>
        <w:rPr>
          <w:rFonts w:hint="eastAsia" w:ascii="宋体" w:hAnsi="宋体" w:eastAsia="宋体" w:cs="宋体"/>
          <w:color w:val="auto"/>
          <w:sz w:val="24"/>
          <w:szCs w:val="24"/>
          <w:highlight w:val="none"/>
        </w:rPr>
        <w:t>万元，预算确定的项目资金与预算确定的项目投资额相匹配。</w:t>
      </w:r>
    </w:p>
    <w:p w14:paraId="1420B54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7FFCDAB4">
      <w:pPr>
        <w:pageBreakBefore w:val="0"/>
        <w:widowControl w:val="0"/>
        <w:numPr>
          <w:ilvl w:val="0"/>
          <w:numId w:val="5"/>
        </w:numPr>
        <w:tabs>
          <w:tab w:val="left" w:pos="5998"/>
        </w:tabs>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p>
    <w:p w14:paraId="28CE65CD">
      <w:pPr>
        <w:keepNext w:val="0"/>
        <w:keepLines w:val="0"/>
        <w:pageBreakBefore w:val="0"/>
        <w:widowControl w:val="0"/>
        <w:numPr>
          <w:ilvl w:val="0"/>
          <w:numId w:val="0"/>
        </w:numPr>
        <w:tabs>
          <w:tab w:val="left" w:pos="5998"/>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经检查我单位年初设置的《</w:t>
      </w:r>
      <w:r>
        <w:rPr>
          <w:rFonts w:hint="eastAsia" w:ascii="宋体" w:hAnsi="宋体" w:eastAsia="宋体" w:cs="宋体"/>
          <w:color w:val="auto"/>
          <w:sz w:val="24"/>
          <w:szCs w:val="24"/>
          <w:highlight w:val="none"/>
          <w:lang w:val="en-US" w:eastAsia="zh-CN"/>
        </w:rPr>
        <w:t>中央直达资金-和地财教[2023]59号：2024年学生资助补助经费-技工免学费及助学金</w:t>
      </w:r>
      <w:r>
        <w:rPr>
          <w:rFonts w:hint="eastAsia" w:ascii="宋体" w:hAnsi="宋体" w:eastAsia="宋体" w:cs="宋体"/>
          <w:color w:val="auto"/>
          <w:sz w:val="24"/>
          <w:szCs w:val="24"/>
          <w:highlight w:val="none"/>
        </w:rPr>
        <w:t>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，共设置一级指标3个，二级指标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86</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2025FF0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个，三级指标的年度指标值与年度绩效目标中任务数一致，已设置时效指标““</w:t>
      </w:r>
      <w:r>
        <w:rPr>
          <w:rFonts w:hint="eastAsia" w:ascii="宋体" w:hAnsi="宋体" w:eastAsia="宋体" w:cs="宋体"/>
          <w:color w:val="auto"/>
          <w:sz w:val="24"/>
          <w:szCs w:val="24"/>
          <w:highlight w:val="none"/>
          <w:lang w:val="en-US" w:eastAsia="zh-CN"/>
        </w:rPr>
        <w:t>项目完成时间，资金支付及时率</w:t>
      </w:r>
      <w:r>
        <w:rPr>
          <w:rFonts w:hint="eastAsia" w:ascii="宋体" w:hAnsi="宋体" w:eastAsia="宋体" w:cs="宋体"/>
          <w:color w:val="auto"/>
          <w:sz w:val="24"/>
          <w:szCs w:val="24"/>
          <w:highlight w:val="none"/>
        </w:rPr>
        <w:t>”。已设置的绩效目标具备明确性、可衡量性、可实现性、相关性、时限性。</w:t>
      </w:r>
    </w:p>
    <w:p w14:paraId="32342F4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16DE881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eastAsia="zh-CN"/>
        </w:rPr>
        <w:t>运用科学的方法</w:t>
      </w:r>
      <w:r>
        <w:rPr>
          <w:rFonts w:hint="eastAsia" w:ascii="宋体" w:hAnsi="宋体" w:eastAsia="宋体" w:cs="宋体"/>
          <w:color w:val="auto"/>
          <w:sz w:val="24"/>
          <w:szCs w:val="24"/>
          <w:highlight w:val="none"/>
        </w:rPr>
        <w:t>，即预算编制较科学且经过论证；</w:t>
      </w:r>
    </w:p>
    <w:p w14:paraId="07DDEC12">
      <w:pPr>
        <w:pageBreakBefore w:val="0"/>
        <w:widowControl w:val="0"/>
        <w:kinsoku/>
        <w:wordWrap/>
        <w:topLinePunct w:val="0"/>
        <w:autoSpaceDE/>
        <w:autoSpaceDN/>
        <w:bidi w:val="0"/>
        <w:adjustRightInd/>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预算申请内容为</w:t>
      </w:r>
      <w:r>
        <w:rPr>
          <w:rFonts w:hint="eastAsia" w:ascii="宋体" w:hAnsi="宋体" w:eastAsia="宋体" w:cs="宋体"/>
          <w:color w:val="auto"/>
          <w:sz w:val="24"/>
          <w:szCs w:val="24"/>
          <w:highlight w:val="none"/>
          <w:lang w:val="en-US" w:eastAsia="zh-CN"/>
        </w:rPr>
        <w:t>有效保障学生在校期间的正常学习生活，提升学校教育教学质量。</w:t>
      </w:r>
      <w:r>
        <w:rPr>
          <w:rFonts w:hint="eastAsia" w:ascii="宋体" w:hAnsi="宋体" w:eastAsia="宋体" w:cs="宋体"/>
          <w:color w:val="auto"/>
          <w:sz w:val="24"/>
          <w:szCs w:val="24"/>
          <w:highlight w:val="none"/>
        </w:rPr>
        <w:t>项目实际内容为</w:t>
      </w:r>
      <w:r>
        <w:rPr>
          <w:rFonts w:hint="eastAsia" w:ascii="宋体" w:hAnsi="宋体" w:eastAsia="宋体" w:cs="宋体"/>
          <w:color w:val="auto"/>
          <w:sz w:val="24"/>
          <w:szCs w:val="24"/>
          <w:highlight w:val="none"/>
          <w:lang w:val="en-US" w:eastAsia="zh-CN"/>
        </w:rPr>
        <w:t>有效保障学生在校期间的正常学习生活，提升学校教育教学质量。</w:t>
      </w:r>
      <w:r>
        <w:rPr>
          <w:rFonts w:hint="eastAsia" w:ascii="宋体" w:hAnsi="宋体" w:eastAsia="宋体" w:cs="宋体"/>
          <w:color w:val="auto"/>
          <w:sz w:val="24"/>
          <w:szCs w:val="24"/>
          <w:highlight w:val="none"/>
        </w:rPr>
        <w:t>预算申请与《</w:t>
      </w:r>
      <w:r>
        <w:rPr>
          <w:rFonts w:hint="eastAsia" w:ascii="宋体" w:hAnsi="宋体" w:eastAsia="宋体" w:cs="宋体"/>
          <w:color w:val="auto"/>
          <w:sz w:val="24"/>
          <w:szCs w:val="24"/>
          <w:highlight w:val="none"/>
          <w:lang w:val="en-US" w:eastAsia="zh-CN"/>
        </w:rPr>
        <w:t>中央直达资金-和地财教[2023]59号：2024年学生资助补助经费-技工免学费及助学金</w:t>
      </w:r>
      <w:r>
        <w:rPr>
          <w:rFonts w:hint="eastAsia" w:ascii="宋体" w:hAnsi="宋体" w:eastAsia="宋体" w:cs="宋体"/>
          <w:color w:val="auto"/>
          <w:sz w:val="24"/>
          <w:szCs w:val="24"/>
          <w:highlight w:val="none"/>
        </w:rPr>
        <w:t>项目实施方案》中涉及的项目内容匹配；</w:t>
      </w:r>
    </w:p>
    <w:p w14:paraId="4CCCDDB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本项目预算申请资金X</w:t>
      </w:r>
      <w:r>
        <w:rPr>
          <w:rFonts w:hint="eastAsia" w:ascii="宋体" w:hAnsi="宋体" w:eastAsia="宋体" w:cs="宋体"/>
          <w:color w:val="auto"/>
          <w:sz w:val="24"/>
          <w:szCs w:val="24"/>
          <w:highlight w:val="none"/>
          <w:lang w:val="en-US" w:eastAsia="zh-CN"/>
        </w:rPr>
        <w:t>204.88</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highlight w:val="none"/>
          <w:lang w:eastAsia="zh-CN"/>
        </w:rPr>
        <w:t>免学费</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125.10</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助学金</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79.78</w:t>
      </w:r>
      <w:r>
        <w:rPr>
          <w:rFonts w:hint="eastAsia" w:ascii="宋体" w:hAnsi="宋体" w:eastAsia="宋体" w:cs="宋体"/>
          <w:color w:val="auto"/>
          <w:sz w:val="24"/>
          <w:szCs w:val="24"/>
          <w:highlight w:val="none"/>
        </w:rPr>
        <w:t>万元。预算确定资金量与实际工作任务相匹配。本项目预算额度测算依据充分，严格按照标准编制，预算确定资金量与实际工作任务相匹配；根据评分标准，该指标不扣分，得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25B6F13D">
      <w:pPr>
        <w:pageBreakBefore w:val="0"/>
        <w:widowControl w:val="0"/>
        <w:numPr>
          <w:ilvl w:val="0"/>
          <w:numId w:val="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资金分配合理性：</w:t>
      </w:r>
    </w:p>
    <w:p w14:paraId="37CA78B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本项目实际分配资金以《关于申请</w:t>
      </w:r>
      <w:r>
        <w:rPr>
          <w:rFonts w:hint="eastAsia" w:ascii="宋体" w:hAnsi="宋体" w:eastAsia="宋体" w:cs="宋体"/>
          <w:color w:val="auto"/>
          <w:sz w:val="24"/>
          <w:szCs w:val="24"/>
          <w:highlight w:val="none"/>
          <w:lang w:val="en-US" w:eastAsia="zh-CN"/>
        </w:rPr>
        <w:t>中央直达资金：2024年学生资助补助经费-技工免学费及助学金</w:t>
      </w:r>
      <w:r>
        <w:rPr>
          <w:rFonts w:hint="eastAsia" w:ascii="宋体" w:hAnsi="宋体" w:eastAsia="宋体" w:cs="宋体"/>
          <w:color w:val="auto"/>
          <w:sz w:val="24"/>
          <w:szCs w:val="24"/>
          <w:highlight w:val="none"/>
        </w:rPr>
        <w:t>项目资金的请示》和《</w:t>
      </w:r>
      <w:r>
        <w:rPr>
          <w:rFonts w:hint="eastAsia" w:ascii="宋体" w:hAnsi="宋体" w:eastAsia="宋体" w:cs="宋体"/>
          <w:color w:val="auto"/>
          <w:sz w:val="24"/>
          <w:szCs w:val="24"/>
          <w:highlight w:val="none"/>
          <w:lang w:val="en-US" w:eastAsia="zh-CN"/>
        </w:rPr>
        <w:t>中央直达资金：2024年学生资助补助经费-技工免学费及助学金</w:t>
      </w:r>
      <w:r>
        <w:rPr>
          <w:rFonts w:hint="eastAsia" w:ascii="宋体" w:hAnsi="宋体" w:eastAsia="宋体" w:cs="宋体"/>
          <w:color w:val="auto"/>
          <w:sz w:val="24"/>
          <w:szCs w:val="24"/>
          <w:highlight w:val="none"/>
        </w:rPr>
        <w:t>项目实施方案》为依据进行资金分配，预算资金分配依据充分。根据《</w:t>
      </w:r>
      <w:r>
        <w:rPr>
          <w:rFonts w:hint="eastAsia" w:ascii="宋体" w:hAnsi="宋体" w:eastAsia="宋体" w:cs="宋体"/>
          <w:color w:val="auto"/>
          <w:sz w:val="24"/>
          <w:szCs w:val="24"/>
          <w:highlight w:val="none"/>
          <w:lang w:val="en-US" w:eastAsia="zh-CN"/>
        </w:rPr>
        <w:t>和地财教[2023]59号</w:t>
      </w:r>
      <w:r>
        <w:rPr>
          <w:rFonts w:hint="eastAsia" w:ascii="宋体" w:hAnsi="宋体" w:eastAsia="宋体" w:cs="宋体"/>
          <w:color w:val="auto"/>
          <w:sz w:val="24"/>
          <w:szCs w:val="24"/>
          <w:highlight w:val="none"/>
        </w:rPr>
        <w:t>》，本项目实际到位资金</w:t>
      </w:r>
      <w:r>
        <w:rPr>
          <w:rFonts w:hint="eastAsia" w:ascii="宋体" w:hAnsi="宋体" w:eastAsia="宋体" w:cs="宋体"/>
          <w:color w:val="auto"/>
          <w:sz w:val="24"/>
          <w:szCs w:val="24"/>
          <w:highlight w:val="none"/>
          <w:lang w:val="en-US" w:eastAsia="zh-CN"/>
        </w:rPr>
        <w:t>204.88</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万元，资金分配额度合理，与我单位实际需求相适应。资金分配与实际相适应，根据评分标准，该指标不扣分，得2分。</w:t>
      </w:r>
    </w:p>
    <w:p w14:paraId="1A3412EA">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1FAFC4A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5个三级指标构成，权重分为20分，实际得分</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A61694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（1）资金到位率：本项目预算资金为</w:t>
      </w:r>
      <w:r>
        <w:rPr>
          <w:rFonts w:hint="eastAsia" w:ascii="宋体" w:hAnsi="宋体" w:eastAsia="宋体" w:cs="宋体"/>
          <w:color w:val="auto"/>
          <w:sz w:val="24"/>
          <w:szCs w:val="24"/>
          <w:highlight w:val="none"/>
          <w:lang w:val="en-US" w:eastAsia="zh-CN"/>
        </w:rPr>
        <w:t>204.88</w:t>
      </w:r>
      <w:r>
        <w:rPr>
          <w:rFonts w:hint="eastAsia" w:ascii="宋体" w:hAnsi="宋体" w:eastAsia="宋体" w:cs="宋体"/>
          <w:color w:val="auto"/>
          <w:sz w:val="24"/>
          <w:szCs w:val="24"/>
          <w:highlight w:val="none"/>
        </w:rPr>
        <w:t>万元，其中：财政安排资金</w:t>
      </w:r>
      <w:r>
        <w:rPr>
          <w:rFonts w:hint="eastAsia" w:ascii="宋体" w:hAnsi="宋体" w:eastAsia="宋体" w:cs="宋体"/>
          <w:color w:val="auto"/>
          <w:sz w:val="24"/>
          <w:szCs w:val="24"/>
          <w:highlight w:val="none"/>
          <w:lang w:val="en-US" w:eastAsia="zh-CN"/>
        </w:rPr>
        <w:t>204.88</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万元，实际到位资金</w:t>
      </w:r>
      <w:r>
        <w:rPr>
          <w:rFonts w:hint="eastAsia" w:ascii="宋体" w:hAnsi="宋体" w:eastAsia="宋体" w:cs="宋体"/>
          <w:color w:val="auto"/>
          <w:sz w:val="24"/>
          <w:szCs w:val="24"/>
          <w:highlight w:val="none"/>
          <w:lang w:val="en-US" w:eastAsia="zh-CN"/>
        </w:rPr>
        <w:t>204.88</w:t>
      </w:r>
      <w:r>
        <w:rPr>
          <w:rFonts w:hint="eastAsia" w:ascii="宋体" w:hAnsi="宋体" w:eastAsia="宋体" w:cs="宋体"/>
          <w:color w:val="auto"/>
          <w:sz w:val="24"/>
          <w:szCs w:val="24"/>
          <w:highlight w:val="none"/>
        </w:rPr>
        <w:t>万元，资金到位率=</w:t>
      </w:r>
      <w:r>
        <w:rPr>
          <w:rFonts w:hint="eastAsia" w:ascii="宋体" w:hAnsi="宋体" w:eastAsia="宋体" w:cs="宋体"/>
          <w:color w:val="auto"/>
          <w:sz w:val="24"/>
          <w:szCs w:val="24"/>
          <w:highlight w:val="none"/>
          <w:lang w:val="en-US" w:eastAsia="zh-CN"/>
        </w:rPr>
        <w:t>100%；通过分析可知，该项目</w:t>
      </w:r>
      <w:r>
        <w:rPr>
          <w:rFonts w:hint="eastAsia" w:ascii="宋体" w:hAnsi="宋体" w:eastAsia="宋体" w:cs="宋体"/>
          <w:color w:val="auto"/>
          <w:sz w:val="24"/>
          <w:szCs w:val="24"/>
          <w:highlight w:val="none"/>
        </w:rPr>
        <w:t>财政资金足额拨付到位，能够及时足额</w:t>
      </w:r>
      <w:r>
        <w:rPr>
          <w:rFonts w:hint="eastAsia" w:ascii="宋体" w:hAnsi="宋体" w:eastAsia="宋体" w:cs="宋体"/>
          <w:color w:val="auto"/>
          <w:sz w:val="24"/>
          <w:szCs w:val="24"/>
          <w:highlight w:val="none"/>
          <w:lang w:val="en-US" w:eastAsia="zh-CN"/>
        </w:rPr>
        <w:t>支付</w:t>
      </w:r>
      <w:r>
        <w:rPr>
          <w:rFonts w:hint="eastAsia" w:ascii="宋体" w:hAnsi="宋体" w:eastAsia="宋体" w:cs="宋体"/>
          <w:color w:val="auto"/>
          <w:sz w:val="24"/>
          <w:szCs w:val="24"/>
          <w:highlight w:val="none"/>
        </w:rPr>
        <w:t>给</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根据</w:t>
      </w:r>
      <w:r>
        <w:rPr>
          <w:rFonts w:hint="eastAsia" w:ascii="宋体" w:hAnsi="宋体" w:eastAsia="宋体" w:cs="宋体"/>
          <w:b w:val="0"/>
          <w:bCs w:val="0"/>
          <w:color w:val="auto"/>
          <w:sz w:val="24"/>
          <w:szCs w:val="24"/>
          <w:highlight w:val="none"/>
        </w:rPr>
        <w:t xml:space="preserve">评分标准，该指标不扣分，得3分。   </w:t>
      </w:r>
    </w:p>
    <w:p w14:paraId="3A53AAC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204.88</w:t>
      </w:r>
      <w:r>
        <w:rPr>
          <w:rFonts w:hint="eastAsia" w:ascii="宋体" w:hAnsi="宋体" w:eastAsia="宋体" w:cs="宋体"/>
          <w:color w:val="auto"/>
          <w:sz w:val="24"/>
          <w:szCs w:val="24"/>
          <w:highlight w:val="none"/>
        </w:rPr>
        <w:t>万元，预算执行率=（实际支出资金/实际到位资金）×100.0%=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预算编制较为详细，项目资金支出总体能够按照预算执行，根据评分标准，该指标不扣分，得3分。</w:t>
      </w:r>
    </w:p>
    <w:p w14:paraId="33E76DF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eastAsia="zh-CN"/>
        </w:rPr>
        <w:t>洛浦县高级技工学校</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洛浦县高级技工学校</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制定了相关的制度和管理规定对经费使用进行规范管理，财务制度健全、执行严格，根据评分标准，该指标不扣分，得4分。</w:t>
      </w:r>
    </w:p>
    <w:p w14:paraId="3D30B46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洛浦县高级技工学校</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洛浦县高级技工学校</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eastAsia="zh-CN"/>
        </w:rPr>
        <w:t>洛浦县高级技工学校</w:t>
      </w:r>
      <w:r>
        <w:rPr>
          <w:rFonts w:hint="eastAsia" w:ascii="宋体" w:hAnsi="宋体" w:eastAsia="宋体" w:cs="宋体"/>
          <w:color w:val="auto"/>
          <w:sz w:val="24"/>
          <w:szCs w:val="24"/>
          <w:highlight w:val="none"/>
        </w:rPr>
        <w:t>政府采购业务管理制度》《</w:t>
      </w:r>
      <w:r>
        <w:rPr>
          <w:rFonts w:hint="eastAsia" w:ascii="宋体" w:hAnsi="宋体" w:eastAsia="宋体" w:cs="宋体"/>
          <w:color w:val="auto"/>
          <w:sz w:val="24"/>
          <w:szCs w:val="24"/>
          <w:highlight w:val="none"/>
          <w:lang w:eastAsia="zh-CN"/>
        </w:rPr>
        <w:t>洛浦县高级技工学校</w:t>
      </w:r>
      <w:r>
        <w:rPr>
          <w:rFonts w:hint="eastAsia" w:ascii="宋体" w:hAnsi="宋体" w:eastAsia="宋体" w:cs="宋体"/>
          <w:color w:val="auto"/>
          <w:sz w:val="24"/>
          <w:szCs w:val="24"/>
          <w:highlight w:val="none"/>
        </w:rPr>
        <w:t>合同管理制度》，</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制度均</w:t>
      </w:r>
      <w:r>
        <w:rPr>
          <w:rFonts w:hint="eastAsia" w:ascii="宋体" w:hAnsi="宋体" w:eastAsia="宋体" w:cs="宋体"/>
          <w:b w:val="0"/>
          <w:bCs w:val="0"/>
          <w:color w:val="auto"/>
          <w:sz w:val="24"/>
          <w:szCs w:val="24"/>
          <w:highlight w:val="none"/>
        </w:rPr>
        <w:t>符合行政事业单位内控管理要求，财务和业务管理制度合法、合规、完整，本项目执行符合上述制度规定。根据评分标准，该指标不扣分，得5分。</w:t>
      </w:r>
    </w:p>
    <w:p w14:paraId="5146759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w:t>
      </w:r>
      <w:r>
        <w:rPr>
          <w:rFonts w:hint="eastAsia" w:ascii="宋体" w:hAnsi="宋体" w:eastAsia="宋体" w:cs="宋体"/>
          <w:b w:val="0"/>
          <w:bCs w:val="0"/>
          <w:color w:val="auto"/>
          <w:sz w:val="24"/>
          <w:szCs w:val="24"/>
          <w:highlight w:val="none"/>
        </w:rPr>
        <w:t>资金管理</w:t>
      </w:r>
      <w:r>
        <w:rPr>
          <w:rFonts w:hint="eastAsia" w:ascii="宋体" w:hAnsi="宋体" w:eastAsia="宋体" w:cs="宋体"/>
          <w:color w:val="auto"/>
          <w:sz w:val="24"/>
          <w:szCs w:val="24"/>
          <w:highlight w:val="none"/>
        </w:rPr>
        <w:t>办法》《</w:t>
      </w:r>
      <w:r>
        <w:rPr>
          <w:rFonts w:hint="eastAsia" w:ascii="宋体" w:hAnsi="宋体" w:eastAsia="宋体" w:cs="宋体"/>
          <w:b w:val="0"/>
          <w:bCs w:val="0"/>
          <w:color w:val="auto"/>
          <w:sz w:val="24"/>
          <w:szCs w:val="24"/>
          <w:highlight w:val="none"/>
        </w:rPr>
        <w:t>收支业务</w:t>
      </w:r>
      <w:r>
        <w:rPr>
          <w:rFonts w:hint="eastAsia" w:ascii="宋体" w:hAnsi="宋体" w:eastAsia="宋体" w:cs="宋体"/>
          <w:color w:val="auto"/>
          <w:sz w:val="24"/>
          <w:szCs w:val="24"/>
          <w:highlight w:val="none"/>
        </w:rPr>
        <w:t>管理制度》《</w:t>
      </w:r>
      <w:r>
        <w:rPr>
          <w:rFonts w:hint="eastAsia" w:ascii="宋体" w:hAnsi="宋体" w:eastAsia="宋体" w:cs="宋体"/>
          <w:b w:val="0"/>
          <w:bCs w:val="0"/>
          <w:color w:val="auto"/>
          <w:sz w:val="24"/>
          <w:szCs w:val="24"/>
          <w:highlight w:val="none"/>
        </w:rPr>
        <w:t>政府</w:t>
      </w:r>
      <w:r>
        <w:rPr>
          <w:rFonts w:hint="eastAsia" w:ascii="宋体" w:hAnsi="宋体" w:eastAsia="宋体" w:cs="宋体"/>
          <w:color w:val="auto"/>
          <w:sz w:val="24"/>
          <w:szCs w:val="24"/>
          <w:highlight w:val="none"/>
        </w:rPr>
        <w:t>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39766A9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460AD28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365E96E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auto"/>
          <w:sz w:val="24"/>
          <w:szCs w:val="24"/>
          <w:highlight w:val="none"/>
          <w:lang w:val="en-US" w:eastAsia="zh-CN"/>
        </w:rPr>
        <w:t>中央直达资金-和地财教[2023]59号：2024年学生资助补助经费-技工免学费及助学金</w:t>
      </w:r>
      <w:r>
        <w:rPr>
          <w:rFonts w:hint="eastAsia" w:ascii="宋体" w:hAnsi="宋体" w:eastAsia="宋体" w:cs="宋体"/>
          <w:color w:val="auto"/>
          <w:sz w:val="24"/>
          <w:szCs w:val="24"/>
          <w:highlight w:val="none"/>
        </w:rPr>
        <w:t>项目工作领导小组，由</w:t>
      </w:r>
      <w:r>
        <w:rPr>
          <w:rFonts w:hint="eastAsia" w:ascii="宋体" w:hAnsi="宋体" w:eastAsia="宋体" w:cs="宋体"/>
          <w:color w:val="auto"/>
          <w:sz w:val="24"/>
          <w:szCs w:val="24"/>
          <w:highlight w:val="none"/>
          <w:lang w:eastAsia="zh-CN"/>
        </w:rPr>
        <w:t>姬小东</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eastAsia="zh-CN"/>
        </w:rPr>
        <w:t>祁恒军</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eastAsia="zh-CN"/>
        </w:rPr>
        <w:t>祁恒军</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海尼沙</w:t>
      </w:r>
      <w:r>
        <w:rPr>
          <w:rFonts w:hint="eastAsia" w:ascii="宋体" w:hAnsi="宋体" w:eastAsia="宋体" w:cs="宋体"/>
          <w:color w:val="auto"/>
          <w:sz w:val="24"/>
          <w:szCs w:val="24"/>
          <w:highlight w:val="none"/>
        </w:rPr>
        <w:t>，主要负责项目监督管理、验收以及资金核拨等工作。根据评分标准，该指标不扣分，得5分。</w:t>
      </w:r>
    </w:p>
    <w:p w14:paraId="4FE787AA">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327D73C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5A97406C">
      <w:pPr>
        <w:pageBreakBefore w:val="0"/>
        <w:widowControl w:val="0"/>
        <w:numPr>
          <w:ilvl w:val="0"/>
          <w:numId w:val="6"/>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54F6BDB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接受技工教育补助的建档学生人数</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sz w:val="24"/>
          <w:szCs w:val="24"/>
          <w:highlight w:val="none"/>
          <w:lang w:val="en-US" w:eastAsia="zh-CN"/>
        </w:rPr>
        <w:t>&gt;=962人</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962人</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1A0207B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自聘教师人数</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sz w:val="24"/>
          <w:szCs w:val="24"/>
          <w:highlight w:val="none"/>
          <w:lang w:val="en-US" w:eastAsia="zh-CN"/>
        </w:rPr>
        <w:t>&gt;=14人</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w:t>
      </w:r>
    </w:p>
    <w:p w14:paraId="3638789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外聘后勤人员数量</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sz w:val="24"/>
          <w:szCs w:val="24"/>
          <w:highlight w:val="none"/>
          <w:lang w:val="en-US" w:eastAsia="zh-CN"/>
        </w:rPr>
        <w:t>&gt;=8人</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8人</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w:t>
      </w:r>
    </w:p>
    <w:p w14:paraId="6440AFD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外聘保安人员数量</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sz w:val="24"/>
          <w:szCs w:val="24"/>
          <w:highlight w:val="none"/>
          <w:lang w:val="en-US" w:eastAsia="zh-CN"/>
        </w:rPr>
        <w:t>&gt;=14人</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14人</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w:t>
      </w:r>
    </w:p>
    <w:p w14:paraId="06A81C9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外聘食堂人员数量</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sz w:val="24"/>
          <w:szCs w:val="24"/>
          <w:highlight w:val="none"/>
          <w:lang w:val="en-US" w:eastAsia="zh-CN"/>
        </w:rPr>
        <w:t>&gt;=16人</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16人</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w:t>
      </w:r>
    </w:p>
    <w:p w14:paraId="3714C5F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外聘消防人员数量</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sz w:val="24"/>
          <w:szCs w:val="24"/>
          <w:highlight w:val="none"/>
          <w:lang w:val="en-US" w:eastAsia="zh-CN"/>
        </w:rPr>
        <w:t>&gt;=2人</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2人</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w:t>
      </w:r>
    </w:p>
    <w:p w14:paraId="16214B6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0336ACE5">
      <w:pPr>
        <w:pageBreakBefore w:val="0"/>
        <w:widowControl w:val="0"/>
        <w:numPr>
          <w:ilvl w:val="0"/>
          <w:numId w:val="6"/>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21AB83C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资金使用合规率</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，与预期目标一致，根据评分标准，该指标不扣分，得5分。</w:t>
      </w:r>
    </w:p>
    <w:p w14:paraId="07AA7BDB">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color w:val="auto"/>
          <w:kern w:val="2"/>
          <w:sz w:val="24"/>
          <w:szCs w:val="24"/>
          <w:highlight w:val="none"/>
          <w:lang w:val="en-US" w:eastAsia="zh-CN" w:bidi="ar-SA"/>
        </w:rPr>
        <w:t>补助发放合规率指</w:t>
      </w:r>
      <w:r>
        <w:rPr>
          <w:rFonts w:hint="eastAsia" w:ascii="宋体" w:hAnsi="宋体" w:eastAsia="宋体" w:cs="宋体"/>
          <w:b w:val="0"/>
          <w:color w:val="auto"/>
          <w:sz w:val="24"/>
          <w:szCs w:val="24"/>
          <w:highlight w:val="none"/>
        </w:rPr>
        <w:t>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b w:val="0"/>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b w:val="0"/>
          <w:color w:val="auto"/>
          <w:sz w:val="24"/>
          <w:szCs w:val="24"/>
          <w:highlight w:val="none"/>
        </w:rPr>
        <w:t>，指标完成率为**，与预期目标一致，根据评分标准，该指标不扣分，</w:t>
      </w:r>
      <w:r>
        <w:rPr>
          <w:rFonts w:hint="eastAsia" w:ascii="宋体" w:hAnsi="宋体" w:eastAsia="宋体" w:cs="宋体"/>
          <w:b w:val="0"/>
          <w:bCs/>
          <w:color w:val="auto"/>
          <w:sz w:val="24"/>
          <w:szCs w:val="24"/>
          <w:highlight w:val="none"/>
        </w:rPr>
        <w:t>得5分。</w:t>
      </w:r>
    </w:p>
    <w:p w14:paraId="618EF31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19FD3689">
      <w:pPr>
        <w:pStyle w:val="10"/>
        <w:pageBreakBefore w:val="0"/>
        <w:widowControl w:val="0"/>
        <w:numPr>
          <w:ilvl w:val="0"/>
          <w:numId w:val="6"/>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4F796E7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项目完成时间</w:t>
      </w:r>
      <w:r>
        <w:rPr>
          <w:rFonts w:hint="eastAsia" w:ascii="宋体" w:hAnsi="宋体" w:eastAsia="宋体" w:cs="宋体"/>
          <w:b w:val="0"/>
          <w:bCs/>
          <w:color w:val="auto"/>
          <w:sz w:val="24"/>
          <w:szCs w:val="24"/>
          <w:highlight w:val="none"/>
        </w:rPr>
        <w:t>指标，预期指标值为</w:t>
      </w:r>
      <w:r>
        <w:rPr>
          <w:rFonts w:hint="eastAsia" w:ascii="宋体" w:hAnsi="宋体" w:eastAsia="宋体" w:cs="宋体"/>
          <w:b w:val="0"/>
          <w:bCs/>
          <w:color w:val="auto"/>
          <w:sz w:val="24"/>
          <w:szCs w:val="24"/>
          <w:highlight w:val="none"/>
          <w:lang w:val="en-US" w:eastAsia="zh-CN"/>
        </w:rPr>
        <w:t>=2024年12月</w:t>
      </w:r>
      <w:r>
        <w:rPr>
          <w:rFonts w:hint="eastAsia" w:ascii="宋体" w:hAnsi="宋体" w:eastAsia="宋体" w:cs="宋体"/>
          <w:b w:val="0"/>
          <w:bCs/>
          <w:color w:val="auto"/>
          <w:sz w:val="24"/>
          <w:szCs w:val="24"/>
          <w:highlight w:val="none"/>
        </w:rPr>
        <w:t>，实际完成值为</w:t>
      </w:r>
      <w:r>
        <w:rPr>
          <w:rFonts w:hint="eastAsia" w:ascii="宋体" w:hAnsi="宋体" w:eastAsia="宋体" w:cs="宋体"/>
          <w:b w:val="0"/>
          <w:bCs/>
          <w:color w:val="auto"/>
          <w:sz w:val="24"/>
          <w:szCs w:val="24"/>
          <w:highlight w:val="none"/>
          <w:lang w:val="en-US" w:eastAsia="zh-CN"/>
        </w:rPr>
        <w:t>2024年12月</w:t>
      </w:r>
      <w:r>
        <w:rPr>
          <w:rFonts w:hint="eastAsia" w:ascii="宋体" w:hAnsi="宋体" w:eastAsia="宋体" w:cs="宋体"/>
          <w:b w:val="0"/>
          <w:bCs/>
          <w:color w:val="auto"/>
          <w:sz w:val="24"/>
          <w:szCs w:val="24"/>
          <w:highlight w:val="none"/>
        </w:rPr>
        <w:t>，指标完成率为</w:t>
      </w:r>
      <w:r>
        <w:rPr>
          <w:rFonts w:hint="eastAsia" w:ascii="宋体" w:hAnsi="宋体" w:eastAsia="宋体" w:cs="宋体"/>
          <w:b w:val="0"/>
          <w:bCs/>
          <w:color w:val="auto"/>
          <w:sz w:val="24"/>
          <w:szCs w:val="24"/>
          <w:highlight w:val="none"/>
          <w:lang w:val="en-US" w:eastAsia="zh-CN"/>
        </w:rPr>
        <w:t>100%</w:t>
      </w:r>
      <w:r>
        <w:rPr>
          <w:rFonts w:hint="eastAsia" w:ascii="宋体" w:hAnsi="宋体" w:eastAsia="宋体" w:cs="宋体"/>
          <w:b w:val="0"/>
          <w:bCs/>
          <w:color w:val="auto"/>
          <w:sz w:val="24"/>
          <w:szCs w:val="24"/>
          <w:highlight w:val="none"/>
        </w:rPr>
        <w:t>，与预期目标一致，根据评分标准，该指标不扣分，得</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rPr>
        <w:t>分</w:t>
      </w:r>
    </w:p>
    <w:p w14:paraId="210217D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资金支付及时率</w:t>
      </w:r>
      <w:r>
        <w:rPr>
          <w:rFonts w:hint="eastAsia" w:ascii="宋体" w:hAnsi="宋体" w:eastAsia="宋体" w:cs="宋体"/>
          <w:b w:val="0"/>
          <w:bCs/>
          <w:color w:val="auto"/>
          <w:sz w:val="24"/>
          <w:szCs w:val="24"/>
          <w:highlight w:val="none"/>
        </w:rPr>
        <w:t>指标</w:t>
      </w:r>
      <w:r>
        <w:rPr>
          <w:rFonts w:hint="eastAsia" w:ascii="宋体" w:hAnsi="宋体" w:eastAsia="宋体" w:cs="宋体"/>
          <w:color w:val="auto"/>
          <w:kern w:val="0"/>
          <w:sz w:val="24"/>
          <w:szCs w:val="24"/>
          <w:highlight w:val="none"/>
          <w:lang w:val="en-US" w:eastAsia="zh-CN" w:bidi="ar-SA"/>
        </w:rPr>
        <w:t>，</w:t>
      </w:r>
      <w:r>
        <w:rPr>
          <w:rFonts w:hint="eastAsia" w:ascii="宋体" w:hAnsi="宋体" w:eastAsia="宋体" w:cs="宋体"/>
          <w:b w:val="0"/>
          <w:bCs/>
          <w:color w:val="auto"/>
          <w:sz w:val="24"/>
          <w:szCs w:val="24"/>
          <w:highlight w:val="none"/>
        </w:rPr>
        <w:t>预期指标值为</w:t>
      </w:r>
      <w:r>
        <w:rPr>
          <w:rFonts w:hint="eastAsia" w:ascii="宋体" w:hAnsi="宋体" w:eastAsia="宋体" w:cs="宋体"/>
          <w:b w:val="0"/>
          <w:bCs/>
          <w:color w:val="auto"/>
          <w:sz w:val="24"/>
          <w:szCs w:val="24"/>
          <w:highlight w:val="none"/>
          <w:lang w:val="en-US" w:eastAsia="zh-CN"/>
        </w:rPr>
        <w:t>=100%</w:t>
      </w:r>
      <w:r>
        <w:rPr>
          <w:rFonts w:hint="eastAsia" w:ascii="宋体" w:hAnsi="宋体" w:eastAsia="宋体" w:cs="宋体"/>
          <w:b w:val="0"/>
          <w:bCs/>
          <w:color w:val="auto"/>
          <w:sz w:val="24"/>
          <w:szCs w:val="24"/>
          <w:highlight w:val="none"/>
        </w:rPr>
        <w:t>，实际完成值为</w:t>
      </w:r>
      <w:r>
        <w:rPr>
          <w:rFonts w:hint="eastAsia" w:ascii="宋体" w:hAnsi="宋体" w:eastAsia="宋体" w:cs="宋体"/>
          <w:b w:val="0"/>
          <w:bCs/>
          <w:color w:val="auto"/>
          <w:sz w:val="24"/>
          <w:szCs w:val="24"/>
          <w:highlight w:val="none"/>
          <w:lang w:val="en-US" w:eastAsia="zh-CN"/>
        </w:rPr>
        <w:t>100%</w:t>
      </w:r>
      <w:r>
        <w:rPr>
          <w:rFonts w:hint="eastAsia" w:ascii="宋体" w:hAnsi="宋体" w:eastAsia="宋体" w:cs="宋体"/>
          <w:b w:val="0"/>
          <w:bCs/>
          <w:color w:val="auto"/>
          <w:sz w:val="24"/>
          <w:szCs w:val="24"/>
          <w:highlight w:val="none"/>
        </w:rPr>
        <w:t>，指标完成率为</w:t>
      </w:r>
      <w:r>
        <w:rPr>
          <w:rFonts w:hint="eastAsia" w:ascii="宋体" w:hAnsi="宋体" w:eastAsia="宋体" w:cs="宋体"/>
          <w:b w:val="0"/>
          <w:bCs/>
          <w:color w:val="auto"/>
          <w:sz w:val="24"/>
          <w:szCs w:val="24"/>
          <w:highlight w:val="none"/>
          <w:lang w:val="en-US" w:eastAsia="zh-CN"/>
        </w:rPr>
        <w:t>100%</w:t>
      </w:r>
      <w:r>
        <w:rPr>
          <w:rFonts w:hint="eastAsia" w:ascii="宋体" w:hAnsi="宋体" w:eastAsia="宋体" w:cs="宋体"/>
          <w:b w:val="0"/>
          <w:bCs/>
          <w:color w:val="auto"/>
          <w:sz w:val="24"/>
          <w:szCs w:val="24"/>
          <w:highlight w:val="none"/>
        </w:rPr>
        <w:t>，与预期目标一致，根据评分标准，该指标不扣分，得</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rPr>
        <w:t>分</w:t>
      </w:r>
    </w:p>
    <w:p w14:paraId="4F5CD1D1">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32C247D7">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67B9F3D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SA"/>
        </w:rPr>
        <w:t>免学费补助</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kern w:val="0"/>
          <w:sz w:val="24"/>
          <w:szCs w:val="24"/>
          <w:highlight w:val="none"/>
          <w:lang w:val="en-US" w:eastAsia="zh-CN" w:bidi="ar-SA"/>
        </w:rPr>
        <w:t>125.1万元</w:t>
      </w:r>
      <w:r>
        <w:rPr>
          <w:rFonts w:hint="eastAsia" w:ascii="宋体" w:hAnsi="宋体" w:eastAsia="宋体" w:cs="宋体"/>
          <w:color w:val="auto"/>
          <w:sz w:val="24"/>
          <w:szCs w:val="24"/>
          <w:highlight w:val="none"/>
        </w:rPr>
        <w:t>，实际完成值为</w:t>
      </w:r>
      <w:r>
        <w:rPr>
          <w:rFonts w:hint="eastAsia" w:ascii="宋体" w:hAnsi="宋体" w:eastAsia="宋体" w:cs="宋体"/>
          <w:color w:val="auto"/>
          <w:kern w:val="0"/>
          <w:sz w:val="24"/>
          <w:szCs w:val="24"/>
          <w:highlight w:val="none"/>
          <w:lang w:val="en-US" w:eastAsia="zh-CN" w:bidi="ar-SA"/>
        </w:rPr>
        <w:t>125.1万元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p>
    <w:p w14:paraId="54D9D78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助学金补助</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kern w:val="0"/>
          <w:sz w:val="24"/>
          <w:szCs w:val="24"/>
          <w:highlight w:val="none"/>
          <w:lang w:val="en-US" w:eastAsia="zh-CN" w:bidi="ar-SA"/>
        </w:rPr>
        <w:t>79.78万元</w:t>
      </w:r>
      <w:r>
        <w:rPr>
          <w:rFonts w:hint="eastAsia" w:ascii="宋体" w:hAnsi="宋体" w:eastAsia="宋体" w:cs="宋体"/>
          <w:color w:val="auto"/>
          <w:sz w:val="24"/>
          <w:szCs w:val="24"/>
          <w:highlight w:val="none"/>
        </w:rPr>
        <w:t>，实际完成值为</w:t>
      </w:r>
      <w:r>
        <w:rPr>
          <w:rFonts w:hint="eastAsia" w:ascii="宋体" w:hAnsi="宋体" w:eastAsia="宋体" w:cs="宋体"/>
          <w:color w:val="auto"/>
          <w:kern w:val="0"/>
          <w:sz w:val="24"/>
          <w:szCs w:val="24"/>
          <w:highlight w:val="none"/>
          <w:lang w:val="en-US" w:eastAsia="zh-CN" w:bidi="ar-SA"/>
        </w:rPr>
        <w:t>79.78万元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本年支付</w:t>
      </w:r>
      <w:r>
        <w:rPr>
          <w:rFonts w:hint="eastAsia" w:ascii="宋体" w:hAnsi="宋体" w:eastAsia="宋体" w:cs="宋体"/>
          <w:color w:val="auto"/>
          <w:sz w:val="24"/>
          <w:szCs w:val="24"/>
          <w:highlight w:val="none"/>
          <w:lang w:eastAsia="zh-CN"/>
        </w:rPr>
        <w:t>免学费</w:t>
      </w:r>
      <w:r>
        <w:rPr>
          <w:rFonts w:hint="eastAsia" w:ascii="宋体" w:hAnsi="宋体" w:eastAsia="宋体" w:cs="宋体"/>
          <w:color w:val="auto"/>
          <w:sz w:val="24"/>
          <w:szCs w:val="24"/>
          <w:highlight w:val="none"/>
          <w:lang w:val="en-US" w:eastAsia="zh-CN"/>
        </w:rPr>
        <w:t>125.1</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助学金</w:t>
      </w:r>
      <w:r>
        <w:rPr>
          <w:rFonts w:hint="eastAsia" w:ascii="宋体" w:hAnsi="宋体" w:eastAsia="宋体" w:cs="宋体"/>
          <w:color w:val="auto"/>
          <w:sz w:val="24"/>
          <w:szCs w:val="24"/>
          <w:highlight w:val="none"/>
          <w:lang w:val="en-US" w:eastAsia="zh-CN"/>
        </w:rPr>
        <w:t>79.78万元，</w:t>
      </w:r>
      <w:r>
        <w:rPr>
          <w:rFonts w:hint="eastAsia" w:ascii="宋体" w:hAnsi="宋体" w:eastAsia="宋体" w:cs="宋体"/>
          <w:color w:val="auto"/>
          <w:sz w:val="24"/>
          <w:szCs w:val="24"/>
          <w:highlight w:val="none"/>
        </w:rPr>
        <w:t>项目经费都能控制绩效目标范围内，根据评分标准，该指标不扣分，得1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19594DFE">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1CF0537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项目效益类指标包括项目效益1个方面的内容，由2个三级指标构成，权重分为</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分，得分率为100%。</w:t>
      </w:r>
    </w:p>
    <w:p w14:paraId="3911D98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（1）对于“社会效益指标”：</w:t>
      </w:r>
    </w:p>
    <w:p w14:paraId="4A11457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改善教学质量</w:t>
      </w:r>
      <w:r>
        <w:rPr>
          <w:rFonts w:hint="eastAsia" w:ascii="宋体" w:hAnsi="宋体" w:eastAsia="宋体" w:cs="宋体"/>
          <w:color w:val="auto"/>
          <w:sz w:val="24"/>
          <w:szCs w:val="24"/>
        </w:rPr>
        <w:t>指标，该指标预期指标值为</w:t>
      </w:r>
      <w:r>
        <w:rPr>
          <w:rFonts w:hint="eastAsia" w:ascii="宋体" w:hAnsi="宋体" w:eastAsia="宋体" w:cs="宋体"/>
          <w:color w:val="auto"/>
          <w:sz w:val="24"/>
          <w:szCs w:val="24"/>
          <w:lang w:val="en-US" w:eastAsia="zh-CN"/>
        </w:rPr>
        <w:t>有效改善</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有效改善</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，与预期指标一致，根据评分标准，该指标不扣分，得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5分。</w:t>
      </w:r>
    </w:p>
    <w:p w14:paraId="7F24CCC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（2）对于“经济效益指标”：</w:t>
      </w:r>
    </w:p>
    <w:p w14:paraId="2C7573ED">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该项目无经济效益指标；</w:t>
      </w:r>
    </w:p>
    <w:p w14:paraId="079E786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（3）对于“生态效益指标”：</w:t>
      </w:r>
    </w:p>
    <w:p w14:paraId="3D21E50F">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该项目无生态效益指标；</w:t>
      </w:r>
    </w:p>
    <w:p w14:paraId="396692C4">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（4）满意度指标分析</w:t>
      </w:r>
    </w:p>
    <w:p w14:paraId="279D5661">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对于“满意度指标：</w:t>
      </w:r>
      <w:r>
        <w:rPr>
          <w:rFonts w:hint="eastAsia" w:ascii="宋体" w:hAnsi="宋体" w:eastAsia="宋体" w:cs="宋体"/>
          <w:color w:val="auto"/>
          <w:sz w:val="24"/>
          <w:szCs w:val="24"/>
          <w:lang w:val="en-US" w:eastAsia="zh-CN"/>
        </w:rPr>
        <w:t>群众</w:t>
      </w:r>
      <w:r>
        <w:rPr>
          <w:rFonts w:hint="eastAsia" w:ascii="宋体" w:hAnsi="宋体" w:eastAsia="宋体" w:cs="宋体"/>
          <w:color w:val="auto"/>
          <w:sz w:val="24"/>
          <w:szCs w:val="24"/>
        </w:rPr>
        <w:t>满意度，该指标预期指标值为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，与预期目标一致，根据评分标准，该指标不扣分,得10分。</w:t>
      </w:r>
      <w:bookmarkEnd w:id="18"/>
    </w:p>
    <w:p w14:paraId="5D0CA581">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五、预算执行进度与绩效指标偏差情况</w:t>
      </w:r>
    </w:p>
    <w:p w14:paraId="45CA8984">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204.88</w:t>
      </w:r>
      <w:r>
        <w:rPr>
          <w:rFonts w:hint="eastAsia" w:ascii="宋体" w:hAnsi="宋体" w:eastAsia="宋体" w:cs="宋体"/>
          <w:color w:val="auto"/>
          <w:sz w:val="24"/>
          <w:szCs w:val="24"/>
        </w:rPr>
        <w:t>万元，全年预算数</w:t>
      </w:r>
      <w:r>
        <w:rPr>
          <w:rFonts w:hint="eastAsia" w:ascii="宋体" w:hAnsi="宋体" w:eastAsia="宋体" w:cs="宋体"/>
          <w:color w:val="auto"/>
          <w:sz w:val="24"/>
          <w:szCs w:val="24"/>
          <w:lang w:val="en-US" w:eastAsia="zh-CN"/>
        </w:rPr>
        <w:t>204.88</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204.88</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11289EA">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761F4ACA">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综上所述本项目预算执行率与总体完成率之间的偏差为</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w:t>
      </w:r>
    </w:p>
    <w:p w14:paraId="18B2E5FC">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bookmarkStart w:id="19" w:name="_Toc68364673"/>
    </w:p>
    <w:p w14:paraId="0CC40087">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六、主要经验及做法、存在的问题及原因分析</w:t>
      </w:r>
    </w:p>
    <w:p w14:paraId="08007107">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rPr>
        <w:t>（一）主要经验及做法</w:t>
      </w:r>
      <w:bookmarkEnd w:id="19"/>
    </w:p>
    <w:p w14:paraId="1589B0C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bookmarkStart w:id="20" w:name="_Toc68364674"/>
      <w:r>
        <w:rPr>
          <w:rFonts w:hint="eastAsia" w:ascii="宋体" w:hAnsi="宋体" w:eastAsia="宋体" w:cs="宋体"/>
          <w:b w:val="0"/>
          <w:bCs w:val="0"/>
          <w:color w:val="auto"/>
          <w:sz w:val="24"/>
          <w:szCs w:val="24"/>
          <w:highlight w:val="none"/>
          <w:lang w:val="en-US" w:eastAsia="zh-CN"/>
        </w:rPr>
        <w:t>一是按照注重绩效、利于管理、优化程序、提高效率的原则，在充分调查研究、广泛征求意见的基础上进一步规范项目管理，提高项目管理的科学性和有效性。</w:t>
      </w:r>
    </w:p>
    <w:p w14:paraId="524111AE">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二是实事求是，真实反映情况，项目管理部门对当年项目绩效进行自评，分析好评价项目的完成情况，分析工作难点，查找原因，改进措施。</w:t>
      </w:r>
    </w:p>
    <w:p w14:paraId="6BF6CE3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三是加强绩效目标管理，规范预算编制流程，增强预算控制力和执行力，强化职能监督，抓好未落实的工作。</w:t>
      </w:r>
    </w:p>
    <w:p w14:paraId="477C1B40">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rPr>
        <w:t>（二）存在问题及原因分析</w:t>
      </w:r>
      <w:bookmarkEnd w:id="20"/>
    </w:p>
    <w:p w14:paraId="7316799B">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一是对各项指标和指标值要进一步优化、完善，主要在细化、量化上改进</w:t>
      </w:r>
      <w:r>
        <w:rPr>
          <w:rFonts w:hint="eastAsia" w:ascii="宋体" w:hAnsi="宋体" w:eastAsia="宋体" w:cs="宋体"/>
          <w:color w:val="auto"/>
          <w:sz w:val="24"/>
          <w:szCs w:val="24"/>
          <w:lang w:eastAsia="zh-CN"/>
        </w:rPr>
        <w:t>；</w:t>
      </w:r>
    </w:p>
    <w:p w14:paraId="61269469">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二是</w:t>
      </w:r>
      <w:r>
        <w:rPr>
          <w:rFonts w:hint="eastAsia" w:ascii="宋体" w:hAnsi="宋体" w:eastAsia="宋体" w:cs="宋体"/>
          <w:color w:val="auto"/>
          <w:sz w:val="24"/>
          <w:szCs w:val="24"/>
          <w:lang w:val="en-US" w:eastAsia="zh-CN"/>
        </w:rPr>
        <w:t>部门</w:t>
      </w:r>
      <w:r>
        <w:rPr>
          <w:rFonts w:hint="eastAsia" w:ascii="宋体" w:hAnsi="宋体" w:eastAsia="宋体" w:cs="宋体"/>
          <w:color w:val="auto"/>
          <w:sz w:val="24"/>
          <w:szCs w:val="24"/>
        </w:rPr>
        <w:t>评价工作还存在自我审定的局限性，会影响评价质量，容易造成问题的疏漏，在客观性和公正性上说服力不强</w:t>
      </w:r>
      <w:r>
        <w:rPr>
          <w:rFonts w:hint="eastAsia" w:ascii="宋体" w:hAnsi="宋体" w:eastAsia="宋体" w:cs="宋体"/>
          <w:color w:val="auto"/>
          <w:sz w:val="24"/>
          <w:szCs w:val="24"/>
          <w:lang w:eastAsia="zh-CN"/>
        </w:rPr>
        <w:t>；</w:t>
      </w:r>
    </w:p>
    <w:p w14:paraId="09B49048">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三是缺少带着问题去评价的意识</w:t>
      </w:r>
      <w:r>
        <w:rPr>
          <w:rFonts w:hint="eastAsia" w:ascii="宋体" w:hAnsi="宋体" w:eastAsia="宋体" w:cs="宋体"/>
          <w:color w:val="auto"/>
          <w:sz w:val="24"/>
          <w:szCs w:val="24"/>
          <w:lang w:eastAsia="zh-CN"/>
        </w:rPr>
        <w:t>；</w:t>
      </w:r>
    </w:p>
    <w:p w14:paraId="7A454DB2">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rPr>
        <w:t>四是现场评价的工作</w:t>
      </w:r>
      <w:r>
        <w:rPr>
          <w:rFonts w:hint="eastAsia" w:ascii="宋体" w:hAnsi="宋体" w:eastAsia="宋体" w:cs="宋体"/>
          <w:color w:val="auto"/>
          <w:sz w:val="24"/>
          <w:szCs w:val="24"/>
          <w:highlight w:val="none"/>
        </w:rPr>
        <w:t>量少，后续效益评价具体措施和方法较少。</w:t>
      </w:r>
      <w:bookmarkStart w:id="21" w:name="_Toc68364675"/>
    </w:p>
    <w:p w14:paraId="5F16F64B">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七、有关建议</w:t>
      </w:r>
      <w:bookmarkEnd w:id="21"/>
    </w:p>
    <w:p w14:paraId="28D6375E">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2F90BD89">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2.项目评价资料有待进一步完善</w:t>
      </w:r>
      <w:r>
        <w:rPr>
          <w:rFonts w:hint="eastAsia" w:ascii="宋体" w:hAnsi="宋体" w:eastAsia="宋体" w:cs="宋体"/>
          <w:color w:val="auto"/>
          <w:sz w:val="24"/>
          <w:szCs w:val="24"/>
        </w:rPr>
        <w:t>。项目启动时同步做好档案的归纳与整理，及时整理、收集、汇总，健全档案资料。项目后续管理有待进一步加强和跟踪。</w:t>
      </w:r>
    </w:p>
    <w:p w14:paraId="035BDE6E">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3.通过绩效管理，发现实施中存在漏洞，以后加强管理，及时掌握与之相关的各类信息，减少成本，使资金效益最大化。</w:t>
      </w:r>
    </w:p>
    <w:p w14:paraId="591D459F">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4．评价工作应从项目实施方案源头抓起，评价工作和意识应贯穿项目整个过程。</w:t>
      </w:r>
      <w:bookmarkStart w:id="22" w:name="_Toc68364676"/>
    </w:p>
    <w:p w14:paraId="6B7B11D8">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p>
    <w:p w14:paraId="68D1165D">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八、其他需要说明的问题</w:t>
      </w:r>
      <w:bookmarkEnd w:id="22"/>
    </w:p>
    <w:p w14:paraId="323BD189">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我单位对上述项目支出绩效评价报告内反映内容的真实性、完整性负责，</w:t>
      </w:r>
      <w:r>
        <w:rPr>
          <w:rFonts w:hint="eastAsia" w:ascii="宋体" w:hAnsi="宋体" w:eastAsia="宋体" w:cs="宋体"/>
          <w:color w:val="auto"/>
          <w:sz w:val="24"/>
          <w:szCs w:val="24"/>
          <w:lang w:val="en-US" w:eastAsia="zh-CN"/>
        </w:rPr>
        <w:t>愿</w:t>
      </w:r>
      <w:r>
        <w:rPr>
          <w:rFonts w:hint="eastAsia" w:ascii="宋体" w:hAnsi="宋体" w:eastAsia="宋体" w:cs="宋体"/>
          <w:color w:val="auto"/>
          <w:sz w:val="24"/>
          <w:szCs w:val="24"/>
        </w:rPr>
        <w:t>接受上级部门及社会公众监督。</w:t>
      </w:r>
    </w:p>
    <w:p w14:paraId="5128541A">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附件1：中央直达资金-和地财教[2023]59号：2024年学生资助补助经费-技工免学费及助学金项目绩效评价指标体系</w:t>
      </w:r>
    </w:p>
    <w:p w14:paraId="69C8D2A4">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附件2：中央直达资金-和地财教[2023]59号：2024年学生资助补助经费-技工免学费及助学金项目综合得分表</w:t>
      </w:r>
    </w:p>
    <w:p w14:paraId="3E759FED">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附件3：满意度调查问分析情况</w:t>
      </w:r>
    </w:p>
    <w:p w14:paraId="7DF2DABD">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rPr>
      </w:pPr>
    </w:p>
    <w:p w14:paraId="0A0F49F6">
      <w:pPr>
        <w:pStyle w:val="10"/>
        <w:ind w:left="0" w:leftChars="0" w:firstLine="0" w:firstLineChars="0"/>
        <w:jc w:val="both"/>
        <w:rPr>
          <w:rFonts w:hint="eastAsia" w:ascii="宋体" w:hAnsi="宋体" w:eastAsia="宋体" w:cs="宋体"/>
          <w:color w:val="auto"/>
          <w:sz w:val="24"/>
          <w:szCs w:val="24"/>
        </w:rPr>
      </w:pPr>
    </w:p>
    <w:p w14:paraId="515BCE2E">
      <w:pPr>
        <w:pStyle w:val="10"/>
        <w:ind w:left="0" w:leftChars="0" w:firstLine="0" w:firstLineChars="0"/>
        <w:jc w:val="both"/>
        <w:rPr>
          <w:rFonts w:hint="eastAsia" w:ascii="宋体" w:hAnsi="宋体" w:eastAsia="宋体" w:cs="宋体"/>
          <w:color w:val="auto"/>
          <w:sz w:val="24"/>
          <w:szCs w:val="24"/>
        </w:rPr>
        <w:sectPr>
          <w:footerReference r:id="rId7" w:type="default"/>
          <w:pgSz w:w="11906" w:h="16838"/>
          <w:pgMar w:top="1985" w:right="1531" w:bottom="1701" w:left="1531" w:header="851" w:footer="992" w:gutter="0"/>
          <w:pgBorders w:offsetFrom="page">
            <w:top w:val="none" w:sz="0" w:space="0"/>
            <w:left w:val="none" w:sz="0" w:space="0"/>
            <w:bottom w:val="none" w:sz="0" w:space="0"/>
            <w:right w:val="none" w:sz="0" w:space="0"/>
          </w:pgBorders>
          <w:pgNumType w:fmt="decimal" w:start="1"/>
          <w:cols w:space="720" w:num="1"/>
          <w:docGrid w:type="linesAndChars" w:linePitch="386" w:charSpace="0"/>
        </w:sectPr>
      </w:pPr>
    </w:p>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7"/>
        <w:gridCol w:w="550"/>
        <w:gridCol w:w="746"/>
        <w:gridCol w:w="595"/>
        <w:gridCol w:w="725"/>
        <w:gridCol w:w="420"/>
        <w:gridCol w:w="2475"/>
        <w:gridCol w:w="1118"/>
        <w:gridCol w:w="4272"/>
        <w:gridCol w:w="952"/>
        <w:gridCol w:w="508"/>
      </w:tblGrid>
      <w:tr w14:paraId="26FA5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07" w:type="dxa"/>
            <w:tcBorders>
              <w:top w:val="nil"/>
              <w:left w:val="nil"/>
              <w:bottom w:val="nil"/>
              <w:right w:val="nil"/>
            </w:tcBorders>
            <w:noWrap/>
            <w:vAlign w:val="center"/>
          </w:tcPr>
          <w:p w14:paraId="766C79FB">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附件1：</w:t>
            </w:r>
          </w:p>
        </w:tc>
        <w:tc>
          <w:tcPr>
            <w:tcW w:w="550" w:type="dxa"/>
            <w:tcBorders>
              <w:top w:val="nil"/>
              <w:left w:val="nil"/>
              <w:bottom w:val="nil"/>
              <w:right w:val="nil"/>
            </w:tcBorders>
            <w:noWrap/>
            <w:vAlign w:val="center"/>
          </w:tcPr>
          <w:p w14:paraId="07730057">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highlight w:val="none"/>
                <w:u w:val="none"/>
              </w:rPr>
            </w:pPr>
          </w:p>
        </w:tc>
        <w:tc>
          <w:tcPr>
            <w:tcW w:w="746" w:type="dxa"/>
            <w:tcBorders>
              <w:top w:val="nil"/>
              <w:left w:val="nil"/>
              <w:bottom w:val="nil"/>
              <w:right w:val="nil"/>
            </w:tcBorders>
            <w:noWrap/>
            <w:vAlign w:val="center"/>
          </w:tcPr>
          <w:p w14:paraId="7A2AAEE4">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highlight w:val="none"/>
                <w:u w:val="none"/>
              </w:rPr>
            </w:pPr>
          </w:p>
        </w:tc>
        <w:tc>
          <w:tcPr>
            <w:tcW w:w="595" w:type="dxa"/>
            <w:tcBorders>
              <w:top w:val="nil"/>
              <w:left w:val="nil"/>
              <w:bottom w:val="nil"/>
              <w:right w:val="nil"/>
            </w:tcBorders>
            <w:noWrap/>
            <w:vAlign w:val="center"/>
          </w:tcPr>
          <w:p w14:paraId="0DF46969">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highlight w:val="none"/>
                <w:u w:val="none"/>
              </w:rPr>
            </w:pPr>
          </w:p>
        </w:tc>
        <w:tc>
          <w:tcPr>
            <w:tcW w:w="725" w:type="dxa"/>
            <w:tcBorders>
              <w:top w:val="nil"/>
              <w:left w:val="nil"/>
              <w:bottom w:val="nil"/>
              <w:right w:val="nil"/>
            </w:tcBorders>
            <w:noWrap/>
            <w:vAlign w:val="center"/>
          </w:tcPr>
          <w:p w14:paraId="6A5F779C">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highlight w:val="none"/>
                <w:u w:val="none"/>
              </w:rPr>
            </w:pPr>
          </w:p>
        </w:tc>
        <w:tc>
          <w:tcPr>
            <w:tcW w:w="420" w:type="dxa"/>
            <w:tcBorders>
              <w:top w:val="nil"/>
              <w:left w:val="nil"/>
              <w:bottom w:val="nil"/>
              <w:right w:val="nil"/>
            </w:tcBorders>
            <w:noWrap/>
            <w:vAlign w:val="center"/>
          </w:tcPr>
          <w:p w14:paraId="2798287E">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highlight w:val="none"/>
                <w:u w:val="none"/>
              </w:rPr>
            </w:pPr>
          </w:p>
        </w:tc>
        <w:tc>
          <w:tcPr>
            <w:tcW w:w="2475" w:type="dxa"/>
            <w:tcBorders>
              <w:top w:val="nil"/>
              <w:left w:val="nil"/>
              <w:bottom w:val="nil"/>
              <w:right w:val="nil"/>
            </w:tcBorders>
            <w:noWrap/>
            <w:vAlign w:val="center"/>
          </w:tcPr>
          <w:p w14:paraId="3A24CDB4">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highlight w:val="none"/>
                <w:u w:val="none"/>
              </w:rPr>
            </w:pPr>
          </w:p>
        </w:tc>
        <w:tc>
          <w:tcPr>
            <w:tcW w:w="1118" w:type="dxa"/>
            <w:tcBorders>
              <w:top w:val="nil"/>
              <w:left w:val="nil"/>
              <w:bottom w:val="nil"/>
              <w:right w:val="nil"/>
            </w:tcBorders>
            <w:noWrap/>
            <w:vAlign w:val="center"/>
          </w:tcPr>
          <w:p w14:paraId="5E51E21A">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highlight w:val="none"/>
                <w:u w:val="none"/>
              </w:rPr>
            </w:pPr>
          </w:p>
        </w:tc>
        <w:tc>
          <w:tcPr>
            <w:tcW w:w="4272" w:type="dxa"/>
            <w:tcBorders>
              <w:top w:val="nil"/>
              <w:left w:val="nil"/>
              <w:bottom w:val="nil"/>
              <w:right w:val="nil"/>
            </w:tcBorders>
            <w:noWrap/>
            <w:vAlign w:val="center"/>
          </w:tcPr>
          <w:p w14:paraId="3ABA3336">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highlight w:val="none"/>
                <w:u w:val="none"/>
              </w:rPr>
            </w:pPr>
          </w:p>
        </w:tc>
        <w:tc>
          <w:tcPr>
            <w:tcW w:w="952" w:type="dxa"/>
            <w:tcBorders>
              <w:top w:val="nil"/>
              <w:left w:val="nil"/>
              <w:bottom w:val="nil"/>
              <w:right w:val="nil"/>
            </w:tcBorders>
            <w:noWrap/>
            <w:vAlign w:val="center"/>
          </w:tcPr>
          <w:p w14:paraId="7FCEF5A7">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highlight w:val="none"/>
                <w:u w:val="none"/>
              </w:rPr>
            </w:pPr>
          </w:p>
        </w:tc>
        <w:tc>
          <w:tcPr>
            <w:tcW w:w="508" w:type="dxa"/>
            <w:tcBorders>
              <w:top w:val="nil"/>
              <w:left w:val="nil"/>
              <w:bottom w:val="nil"/>
              <w:right w:val="nil"/>
            </w:tcBorders>
            <w:noWrap/>
            <w:vAlign w:val="center"/>
          </w:tcPr>
          <w:p w14:paraId="55EA0FF8">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highlight w:val="none"/>
                <w:u w:val="none"/>
              </w:rPr>
            </w:pPr>
          </w:p>
        </w:tc>
      </w:tr>
      <w:tr w14:paraId="35B68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3368" w:type="dxa"/>
            <w:gridSpan w:val="11"/>
            <w:tcBorders>
              <w:top w:val="nil"/>
              <w:left w:val="nil"/>
              <w:bottom w:val="nil"/>
              <w:right w:val="nil"/>
            </w:tcBorders>
            <w:noWrap w:val="0"/>
            <w:vAlign w:val="center"/>
          </w:tcPr>
          <w:p w14:paraId="50ADC2C0">
            <w:pPr>
              <w:tabs>
                <w:tab w:val="left" w:pos="5998"/>
              </w:tabs>
              <w:bidi w:val="0"/>
              <w:jc w:val="left"/>
              <w:rPr>
                <w:rFonts w:hint="eastAsia" w:ascii="宋体" w:hAnsi="宋体" w:eastAsia="宋体" w:cs="宋体"/>
                <w:b/>
                <w:bCs/>
                <w:i w:val="0"/>
                <w:iCs w:val="0"/>
                <w:color w:val="auto"/>
                <w:sz w:val="21"/>
                <w:szCs w:val="21"/>
                <w:highlight w:val="none"/>
                <w:u w:val="none"/>
              </w:rPr>
            </w:pPr>
            <w:r>
              <w:rPr>
                <w:rStyle w:val="45"/>
                <w:rFonts w:hint="eastAsia" w:ascii="宋体" w:hAnsi="宋体" w:eastAsia="宋体" w:cs="宋体"/>
                <w:i w:val="0"/>
                <w:iCs w:val="0"/>
                <w:color w:val="auto"/>
                <w:sz w:val="21"/>
                <w:szCs w:val="21"/>
                <w:highlight w:val="none"/>
                <w:lang w:val="en-US" w:eastAsia="zh-CN"/>
              </w:rPr>
              <w:t>中央直达资金-和地财教[2023]59号：2024年学生资助补助经费-技工免学费及助学金项目绩</w:t>
            </w:r>
            <w:r>
              <w:rPr>
                <w:rStyle w:val="45"/>
                <w:rFonts w:hint="eastAsia" w:ascii="宋体" w:hAnsi="宋体" w:eastAsia="宋体" w:cs="宋体"/>
                <w:color w:val="auto"/>
                <w:sz w:val="21"/>
                <w:szCs w:val="21"/>
                <w:highlight w:val="none"/>
                <w:lang w:val="en-US" w:eastAsia="zh-CN"/>
              </w:rPr>
              <w:t>效评价指标体系综合评分表</w:t>
            </w:r>
          </w:p>
        </w:tc>
      </w:tr>
      <w:tr w14:paraId="65D98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07" w:type="dxa"/>
            <w:tcBorders>
              <w:top w:val="single" w:color="auto" w:sz="4" w:space="0"/>
              <w:left w:val="single" w:color="auto" w:sz="4" w:space="0"/>
              <w:bottom w:val="single" w:color="auto" w:sz="4" w:space="0"/>
              <w:right w:val="single" w:color="auto" w:sz="4" w:space="0"/>
            </w:tcBorders>
            <w:noWrap w:val="0"/>
            <w:vAlign w:val="center"/>
          </w:tcPr>
          <w:p w14:paraId="752090D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一级指标</w:t>
            </w:r>
          </w:p>
        </w:tc>
        <w:tc>
          <w:tcPr>
            <w:tcW w:w="550" w:type="dxa"/>
            <w:tcBorders>
              <w:top w:val="single" w:color="auto" w:sz="4" w:space="0"/>
              <w:left w:val="single" w:color="auto" w:sz="4" w:space="0"/>
              <w:bottom w:val="single" w:color="auto" w:sz="4" w:space="0"/>
              <w:right w:val="single" w:color="auto" w:sz="4" w:space="0"/>
            </w:tcBorders>
            <w:noWrap w:val="0"/>
            <w:vAlign w:val="center"/>
          </w:tcPr>
          <w:p w14:paraId="0F6C007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分值</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3BA4182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二级指标</w:t>
            </w:r>
          </w:p>
        </w:tc>
        <w:tc>
          <w:tcPr>
            <w:tcW w:w="595" w:type="dxa"/>
            <w:tcBorders>
              <w:top w:val="single" w:color="auto" w:sz="4" w:space="0"/>
              <w:left w:val="single" w:color="auto" w:sz="4" w:space="0"/>
              <w:bottom w:val="single" w:color="auto" w:sz="4" w:space="0"/>
              <w:right w:val="single" w:color="auto" w:sz="4" w:space="0"/>
            </w:tcBorders>
            <w:noWrap w:val="0"/>
            <w:vAlign w:val="center"/>
          </w:tcPr>
          <w:p w14:paraId="4603F0F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分值</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436D11D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三级指标</w:t>
            </w:r>
          </w:p>
        </w:tc>
        <w:tc>
          <w:tcPr>
            <w:tcW w:w="420" w:type="dxa"/>
            <w:tcBorders>
              <w:top w:val="single" w:color="auto" w:sz="4" w:space="0"/>
              <w:left w:val="single" w:color="auto" w:sz="4" w:space="0"/>
              <w:bottom w:val="single" w:color="auto" w:sz="4" w:space="0"/>
              <w:right w:val="single" w:color="auto" w:sz="4" w:space="0"/>
            </w:tcBorders>
            <w:noWrap w:val="0"/>
            <w:vAlign w:val="center"/>
          </w:tcPr>
          <w:p w14:paraId="2480034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分值</w:t>
            </w:r>
          </w:p>
        </w:tc>
        <w:tc>
          <w:tcPr>
            <w:tcW w:w="2475" w:type="dxa"/>
            <w:tcBorders>
              <w:top w:val="single" w:color="auto" w:sz="4" w:space="0"/>
              <w:left w:val="single" w:color="auto" w:sz="4" w:space="0"/>
              <w:bottom w:val="single" w:color="auto" w:sz="4" w:space="0"/>
              <w:right w:val="single" w:color="auto" w:sz="4" w:space="0"/>
            </w:tcBorders>
            <w:noWrap w:val="0"/>
            <w:vAlign w:val="center"/>
          </w:tcPr>
          <w:p w14:paraId="2868244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指标解释</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2D02A8B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标杆值</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4B9201E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评分标准</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0E07A2F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完成值</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1715C5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得分</w:t>
            </w:r>
          </w:p>
        </w:tc>
      </w:tr>
      <w:tr w14:paraId="2AD8F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2" w:hRule="atLeast"/>
        </w:trPr>
        <w:tc>
          <w:tcPr>
            <w:tcW w:w="1007" w:type="dxa"/>
            <w:vMerge w:val="restart"/>
            <w:tcBorders>
              <w:top w:val="single" w:color="auto" w:sz="4" w:space="0"/>
              <w:left w:val="single" w:color="auto" w:sz="4" w:space="0"/>
              <w:bottom w:val="single" w:color="auto" w:sz="4" w:space="0"/>
              <w:right w:val="single" w:color="auto" w:sz="4" w:space="0"/>
            </w:tcBorders>
            <w:noWrap w:val="0"/>
            <w:vAlign w:val="center"/>
          </w:tcPr>
          <w:p w14:paraId="35750E0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项目决策</w:t>
            </w:r>
          </w:p>
        </w:tc>
        <w:tc>
          <w:tcPr>
            <w:tcW w:w="550" w:type="dxa"/>
            <w:vMerge w:val="restart"/>
            <w:tcBorders>
              <w:top w:val="single" w:color="auto" w:sz="4" w:space="0"/>
              <w:left w:val="single" w:color="auto" w:sz="4" w:space="0"/>
              <w:bottom w:val="single" w:color="auto" w:sz="4" w:space="0"/>
              <w:right w:val="single" w:color="auto" w:sz="4" w:space="0"/>
            </w:tcBorders>
            <w:noWrap w:val="0"/>
            <w:vAlign w:val="center"/>
          </w:tcPr>
          <w:p w14:paraId="1D78993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23</w:t>
            </w:r>
          </w:p>
        </w:tc>
        <w:tc>
          <w:tcPr>
            <w:tcW w:w="746" w:type="dxa"/>
            <w:vMerge w:val="restart"/>
            <w:tcBorders>
              <w:top w:val="single" w:color="auto" w:sz="4" w:space="0"/>
              <w:left w:val="single" w:color="auto" w:sz="4" w:space="0"/>
              <w:bottom w:val="single" w:color="auto" w:sz="4" w:space="0"/>
              <w:right w:val="single" w:color="auto" w:sz="4" w:space="0"/>
            </w:tcBorders>
            <w:noWrap w:val="0"/>
            <w:vAlign w:val="center"/>
          </w:tcPr>
          <w:p w14:paraId="284280B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项目立项</w:t>
            </w:r>
          </w:p>
        </w:tc>
        <w:tc>
          <w:tcPr>
            <w:tcW w:w="595" w:type="dxa"/>
            <w:vMerge w:val="restart"/>
            <w:tcBorders>
              <w:top w:val="single" w:color="auto" w:sz="4" w:space="0"/>
              <w:left w:val="single" w:color="auto" w:sz="4" w:space="0"/>
              <w:bottom w:val="single" w:color="auto" w:sz="4" w:space="0"/>
              <w:right w:val="single" w:color="auto" w:sz="4" w:space="0"/>
            </w:tcBorders>
            <w:noWrap w:val="0"/>
            <w:vAlign w:val="center"/>
          </w:tcPr>
          <w:p w14:paraId="0509531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5</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1B9A264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立项依据充分性</w:t>
            </w:r>
          </w:p>
        </w:tc>
        <w:tc>
          <w:tcPr>
            <w:tcW w:w="420" w:type="dxa"/>
            <w:tcBorders>
              <w:top w:val="single" w:color="auto" w:sz="4" w:space="0"/>
              <w:left w:val="single" w:color="auto" w:sz="4" w:space="0"/>
              <w:bottom w:val="single" w:color="auto" w:sz="4" w:space="0"/>
              <w:right w:val="single" w:color="auto" w:sz="4" w:space="0"/>
            </w:tcBorders>
            <w:noWrap w:val="0"/>
            <w:vAlign w:val="center"/>
          </w:tcPr>
          <w:p w14:paraId="7FF8E3C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2</w:t>
            </w:r>
          </w:p>
        </w:tc>
        <w:tc>
          <w:tcPr>
            <w:tcW w:w="2475" w:type="dxa"/>
            <w:tcBorders>
              <w:top w:val="single" w:color="auto" w:sz="4" w:space="0"/>
              <w:left w:val="single" w:color="auto" w:sz="4" w:space="0"/>
              <w:bottom w:val="single" w:color="auto" w:sz="4" w:space="0"/>
              <w:right w:val="single" w:color="auto" w:sz="4" w:space="0"/>
            </w:tcBorders>
            <w:noWrap w:val="0"/>
            <w:vAlign w:val="center"/>
          </w:tcPr>
          <w:p w14:paraId="150446F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项目立项是否符合法律法规、相关政策、发展规划以及部门职责，用以反映和考核项目立项依据情况。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5A20DFB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充分</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7EA9E374">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w:t>
            </w:r>
          </w:p>
          <w:p w14:paraId="66C3884B">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⑤项目是否与相关部门同类项目或部门内部相关项目重复。以上每条要素占权重分的20%，每有一条不符合，扣除对应权重分，扣完为止。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12A391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充分</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00F15BE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2</w:t>
            </w:r>
          </w:p>
        </w:tc>
      </w:tr>
      <w:tr w14:paraId="43BEC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4B4192D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3897966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46" w:type="dxa"/>
            <w:vMerge w:val="continue"/>
            <w:tcBorders>
              <w:top w:val="single" w:color="auto" w:sz="4" w:space="0"/>
              <w:left w:val="single" w:color="auto" w:sz="4" w:space="0"/>
              <w:bottom w:val="single" w:color="auto" w:sz="4" w:space="0"/>
              <w:right w:val="single" w:color="auto" w:sz="4" w:space="0"/>
            </w:tcBorders>
            <w:noWrap w:val="0"/>
            <w:vAlign w:val="center"/>
          </w:tcPr>
          <w:p w14:paraId="302D3CE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95" w:type="dxa"/>
            <w:vMerge w:val="continue"/>
            <w:tcBorders>
              <w:top w:val="single" w:color="auto" w:sz="4" w:space="0"/>
              <w:left w:val="single" w:color="auto" w:sz="4" w:space="0"/>
              <w:bottom w:val="single" w:color="auto" w:sz="4" w:space="0"/>
              <w:right w:val="single" w:color="auto" w:sz="4" w:space="0"/>
            </w:tcBorders>
            <w:noWrap w:val="0"/>
            <w:vAlign w:val="center"/>
          </w:tcPr>
          <w:p w14:paraId="49B6DAF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4CD3A79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立项程序规范性</w:t>
            </w:r>
          </w:p>
        </w:tc>
        <w:tc>
          <w:tcPr>
            <w:tcW w:w="420" w:type="dxa"/>
            <w:tcBorders>
              <w:top w:val="single" w:color="auto" w:sz="4" w:space="0"/>
              <w:left w:val="single" w:color="auto" w:sz="4" w:space="0"/>
              <w:bottom w:val="single" w:color="auto" w:sz="4" w:space="0"/>
              <w:right w:val="single" w:color="auto" w:sz="4" w:space="0"/>
            </w:tcBorders>
            <w:noWrap w:val="0"/>
            <w:vAlign w:val="center"/>
          </w:tcPr>
          <w:p w14:paraId="18E46D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3</w:t>
            </w:r>
          </w:p>
        </w:tc>
        <w:tc>
          <w:tcPr>
            <w:tcW w:w="2475" w:type="dxa"/>
            <w:tcBorders>
              <w:top w:val="single" w:color="auto" w:sz="4" w:space="0"/>
              <w:left w:val="single" w:color="auto" w:sz="4" w:space="0"/>
              <w:bottom w:val="single" w:color="auto" w:sz="4" w:space="0"/>
              <w:right w:val="single" w:color="auto" w:sz="4" w:space="0"/>
            </w:tcBorders>
            <w:noWrap w:val="0"/>
            <w:vAlign w:val="center"/>
          </w:tcPr>
          <w:p w14:paraId="1360386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项目申请、设立过程是否符合相关要求，用以反映和考核项目立项的规范情况。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18CCF5D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规范</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219E8AB1">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①项目是否按照规定的程序申请设立；</w:t>
            </w:r>
          </w:p>
          <w:p w14:paraId="4226A15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②审批文件、材料是否符合相关要求；</w:t>
            </w:r>
          </w:p>
          <w:p w14:paraId="52FE8C8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③事前是否已经过必要的可行性研究、专家论证、风险评估、绩效评估、集体决策。</w:t>
            </w:r>
          </w:p>
          <w:p w14:paraId="5DEACE7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①②③齐全得权重分的100%，缺①扣权重分的40%，缺②扣权重分的30%，缺③扣权重分的30%。</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5443FA9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规范</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584C7A5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3</w:t>
            </w:r>
          </w:p>
        </w:tc>
      </w:tr>
      <w:tr w14:paraId="7A240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8"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71C21DB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5804207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46" w:type="dxa"/>
            <w:vMerge w:val="restart"/>
            <w:tcBorders>
              <w:top w:val="single" w:color="auto" w:sz="4" w:space="0"/>
              <w:left w:val="single" w:color="auto" w:sz="4" w:space="0"/>
              <w:bottom w:val="single" w:color="auto" w:sz="4" w:space="0"/>
              <w:right w:val="single" w:color="auto" w:sz="4" w:space="0"/>
            </w:tcBorders>
            <w:noWrap w:val="0"/>
            <w:vAlign w:val="center"/>
          </w:tcPr>
          <w:p w14:paraId="7F733B0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绩效目标</w:t>
            </w:r>
          </w:p>
        </w:tc>
        <w:tc>
          <w:tcPr>
            <w:tcW w:w="595" w:type="dxa"/>
            <w:vMerge w:val="restart"/>
            <w:tcBorders>
              <w:top w:val="single" w:color="auto" w:sz="4" w:space="0"/>
              <w:left w:val="single" w:color="auto" w:sz="4" w:space="0"/>
              <w:bottom w:val="single" w:color="auto" w:sz="4" w:space="0"/>
              <w:right w:val="single" w:color="auto" w:sz="4" w:space="0"/>
            </w:tcBorders>
            <w:noWrap w:val="0"/>
            <w:vAlign w:val="center"/>
          </w:tcPr>
          <w:p w14:paraId="5DF7B85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10</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44B7BB9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绩效目标合理性</w:t>
            </w:r>
          </w:p>
        </w:tc>
        <w:tc>
          <w:tcPr>
            <w:tcW w:w="420" w:type="dxa"/>
            <w:tcBorders>
              <w:top w:val="single" w:color="auto" w:sz="4" w:space="0"/>
              <w:left w:val="single" w:color="auto" w:sz="4" w:space="0"/>
              <w:bottom w:val="single" w:color="auto" w:sz="4" w:space="0"/>
              <w:right w:val="single" w:color="auto" w:sz="4" w:space="0"/>
            </w:tcBorders>
            <w:noWrap w:val="0"/>
            <w:vAlign w:val="center"/>
          </w:tcPr>
          <w:p w14:paraId="58CB682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5</w:t>
            </w:r>
          </w:p>
        </w:tc>
        <w:tc>
          <w:tcPr>
            <w:tcW w:w="2475" w:type="dxa"/>
            <w:tcBorders>
              <w:top w:val="single" w:color="auto" w:sz="4" w:space="0"/>
              <w:left w:val="single" w:color="auto" w:sz="4" w:space="0"/>
              <w:bottom w:val="single" w:color="auto" w:sz="4" w:space="0"/>
              <w:right w:val="single" w:color="auto" w:sz="4" w:space="0"/>
            </w:tcBorders>
            <w:noWrap w:val="0"/>
            <w:vAlign w:val="center"/>
          </w:tcPr>
          <w:p w14:paraId="0F333C2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项目所设定的绩效目标是否依据充分，是否符合客观实际，用以反映和考核项目绩效目标与项目实施的相符情况。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24B71E1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合理</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1C268805">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①项目是否有绩效目标；②项目绩效目标与实际工作内容是否具有相关性；③项目预期产出效益和效果是否符合正常的业绩水平；④是否与预算确定的项目投资额或资金量相匹配。以上每条要素各占权重的25%，每有一条不符合，扣除对应的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04429DE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合理</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2819710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5</w:t>
            </w:r>
          </w:p>
        </w:tc>
      </w:tr>
      <w:tr w14:paraId="68062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0"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5B01499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5A02537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46" w:type="dxa"/>
            <w:vMerge w:val="continue"/>
            <w:tcBorders>
              <w:top w:val="single" w:color="auto" w:sz="4" w:space="0"/>
              <w:left w:val="single" w:color="auto" w:sz="4" w:space="0"/>
              <w:bottom w:val="single" w:color="auto" w:sz="4" w:space="0"/>
              <w:right w:val="single" w:color="auto" w:sz="4" w:space="0"/>
            </w:tcBorders>
            <w:noWrap w:val="0"/>
            <w:vAlign w:val="center"/>
          </w:tcPr>
          <w:p w14:paraId="7A75E59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95" w:type="dxa"/>
            <w:vMerge w:val="continue"/>
            <w:tcBorders>
              <w:top w:val="single" w:color="auto" w:sz="4" w:space="0"/>
              <w:left w:val="single" w:color="auto" w:sz="4" w:space="0"/>
              <w:bottom w:val="single" w:color="auto" w:sz="4" w:space="0"/>
              <w:right w:val="single" w:color="auto" w:sz="4" w:space="0"/>
            </w:tcBorders>
            <w:noWrap w:val="0"/>
            <w:vAlign w:val="center"/>
          </w:tcPr>
          <w:p w14:paraId="5661C08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EB776D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绩效指标明确性</w:t>
            </w:r>
          </w:p>
        </w:tc>
        <w:tc>
          <w:tcPr>
            <w:tcW w:w="420" w:type="dxa"/>
            <w:tcBorders>
              <w:top w:val="single" w:color="auto" w:sz="4" w:space="0"/>
              <w:left w:val="single" w:color="auto" w:sz="4" w:space="0"/>
              <w:bottom w:val="single" w:color="auto" w:sz="4" w:space="0"/>
              <w:right w:val="single" w:color="auto" w:sz="4" w:space="0"/>
            </w:tcBorders>
            <w:noWrap w:val="0"/>
            <w:vAlign w:val="center"/>
          </w:tcPr>
          <w:p w14:paraId="5939463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5</w:t>
            </w:r>
          </w:p>
        </w:tc>
        <w:tc>
          <w:tcPr>
            <w:tcW w:w="2475" w:type="dxa"/>
            <w:tcBorders>
              <w:top w:val="single" w:color="auto" w:sz="4" w:space="0"/>
              <w:left w:val="single" w:color="auto" w:sz="4" w:space="0"/>
              <w:bottom w:val="single" w:color="auto" w:sz="4" w:space="0"/>
              <w:right w:val="single" w:color="auto" w:sz="4" w:space="0"/>
            </w:tcBorders>
            <w:noWrap w:val="0"/>
            <w:vAlign w:val="center"/>
          </w:tcPr>
          <w:p w14:paraId="6E86306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依据绩效目标设定的绩效指标是否清晰、细化、可衡量等，用以反映和考核项目绩效目标的明细化情况。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224F412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明确</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5028073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①是否将项目绩效目标细化分解为具体的绩效指标；</w:t>
            </w:r>
          </w:p>
          <w:p w14:paraId="3C49D14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②是否通过清晰、可衡量的指标值予以体现；</w:t>
            </w:r>
          </w:p>
          <w:p w14:paraId="06A05536">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③是否与项目目标任务数或计划数相对应。</w:t>
            </w:r>
          </w:p>
          <w:p w14:paraId="3369C41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①②③齐全得权重分的100%，缺①扣权重分的20%，缺②扣权重分的50%，缺③扣权重分的30%。</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150562A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明确</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672FEC1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5</w:t>
            </w:r>
          </w:p>
        </w:tc>
      </w:tr>
      <w:tr w14:paraId="211CF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4"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496C419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76266B5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46" w:type="dxa"/>
            <w:vMerge w:val="restart"/>
            <w:tcBorders>
              <w:top w:val="single" w:color="auto" w:sz="4" w:space="0"/>
              <w:left w:val="single" w:color="auto" w:sz="4" w:space="0"/>
              <w:bottom w:val="single" w:color="auto" w:sz="4" w:space="0"/>
              <w:right w:val="single" w:color="auto" w:sz="4" w:space="0"/>
            </w:tcBorders>
            <w:noWrap w:val="0"/>
            <w:vAlign w:val="center"/>
          </w:tcPr>
          <w:p w14:paraId="41B94D2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资金投入</w:t>
            </w:r>
          </w:p>
        </w:tc>
        <w:tc>
          <w:tcPr>
            <w:tcW w:w="595" w:type="dxa"/>
            <w:vMerge w:val="restart"/>
            <w:tcBorders>
              <w:top w:val="single" w:color="auto" w:sz="4" w:space="0"/>
              <w:left w:val="single" w:color="auto" w:sz="4" w:space="0"/>
              <w:bottom w:val="single" w:color="auto" w:sz="4" w:space="0"/>
              <w:right w:val="single" w:color="auto" w:sz="4" w:space="0"/>
            </w:tcBorders>
            <w:noWrap w:val="0"/>
            <w:vAlign w:val="center"/>
          </w:tcPr>
          <w:p w14:paraId="02E5AD7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8</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771430D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预算编制科学性</w:t>
            </w:r>
          </w:p>
        </w:tc>
        <w:tc>
          <w:tcPr>
            <w:tcW w:w="420" w:type="dxa"/>
            <w:tcBorders>
              <w:top w:val="single" w:color="auto" w:sz="4" w:space="0"/>
              <w:left w:val="single" w:color="auto" w:sz="4" w:space="0"/>
              <w:bottom w:val="single" w:color="auto" w:sz="4" w:space="0"/>
              <w:right w:val="single" w:color="auto" w:sz="4" w:space="0"/>
            </w:tcBorders>
            <w:noWrap w:val="0"/>
            <w:vAlign w:val="center"/>
          </w:tcPr>
          <w:p w14:paraId="56F02EF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4</w:t>
            </w:r>
          </w:p>
        </w:tc>
        <w:tc>
          <w:tcPr>
            <w:tcW w:w="2475" w:type="dxa"/>
            <w:tcBorders>
              <w:top w:val="single" w:color="auto" w:sz="4" w:space="0"/>
              <w:left w:val="single" w:color="auto" w:sz="4" w:space="0"/>
              <w:bottom w:val="single" w:color="auto" w:sz="4" w:space="0"/>
              <w:right w:val="single" w:color="auto" w:sz="4" w:space="0"/>
            </w:tcBorders>
            <w:noWrap w:val="0"/>
            <w:vAlign w:val="center"/>
          </w:tcPr>
          <w:p w14:paraId="040A2D0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项目预算编制是否经过科学论证、有明确标准，资金额度与年度目标是否相适应，用以反映和考核项目预算编制的科学性、合理性情况。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0200E36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科学</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4CA10CC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①预算编制是否经过科学论证；②预算内容与项目内容是否匹配；③预算额度测算依据是否充分，是否按照标准编制；④预算确定的项目投资额或资金量是否与工作任务相匹配。以上每条要素各占权重的25%，每有一条不符合，扣除对应的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7039A9D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科学</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26B685B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4</w:t>
            </w:r>
          </w:p>
        </w:tc>
      </w:tr>
      <w:tr w14:paraId="3C512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7"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3579113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0B745A2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46" w:type="dxa"/>
            <w:vMerge w:val="continue"/>
            <w:tcBorders>
              <w:top w:val="single" w:color="auto" w:sz="4" w:space="0"/>
              <w:left w:val="single" w:color="auto" w:sz="4" w:space="0"/>
              <w:bottom w:val="single" w:color="auto" w:sz="4" w:space="0"/>
              <w:right w:val="single" w:color="auto" w:sz="4" w:space="0"/>
            </w:tcBorders>
            <w:noWrap w:val="0"/>
            <w:vAlign w:val="center"/>
          </w:tcPr>
          <w:p w14:paraId="200E921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95" w:type="dxa"/>
            <w:vMerge w:val="continue"/>
            <w:tcBorders>
              <w:top w:val="single" w:color="auto" w:sz="4" w:space="0"/>
              <w:left w:val="single" w:color="auto" w:sz="4" w:space="0"/>
              <w:bottom w:val="single" w:color="auto" w:sz="4" w:space="0"/>
              <w:right w:val="single" w:color="auto" w:sz="4" w:space="0"/>
            </w:tcBorders>
            <w:noWrap w:val="0"/>
            <w:vAlign w:val="center"/>
          </w:tcPr>
          <w:p w14:paraId="23B3EC2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2E1B10E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资金分配合理性</w:t>
            </w:r>
          </w:p>
        </w:tc>
        <w:tc>
          <w:tcPr>
            <w:tcW w:w="420" w:type="dxa"/>
            <w:tcBorders>
              <w:top w:val="single" w:color="auto" w:sz="4" w:space="0"/>
              <w:left w:val="single" w:color="auto" w:sz="4" w:space="0"/>
              <w:bottom w:val="single" w:color="auto" w:sz="4" w:space="0"/>
              <w:right w:val="single" w:color="auto" w:sz="4" w:space="0"/>
            </w:tcBorders>
            <w:noWrap w:val="0"/>
            <w:vAlign w:val="center"/>
          </w:tcPr>
          <w:p w14:paraId="322622C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4</w:t>
            </w:r>
          </w:p>
        </w:tc>
        <w:tc>
          <w:tcPr>
            <w:tcW w:w="2475" w:type="dxa"/>
            <w:tcBorders>
              <w:top w:val="single" w:color="auto" w:sz="4" w:space="0"/>
              <w:left w:val="single" w:color="auto" w:sz="4" w:space="0"/>
              <w:bottom w:val="single" w:color="auto" w:sz="4" w:space="0"/>
              <w:right w:val="single" w:color="auto" w:sz="4" w:space="0"/>
            </w:tcBorders>
            <w:noWrap w:val="0"/>
            <w:vAlign w:val="center"/>
          </w:tcPr>
          <w:p w14:paraId="4D0B3D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项目预算资金分配是否有测算依据，与补助单位或地方实际是否相适应，用以反映和考核项目预算资金分配的科学性、合理性情况。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6570F7F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合理</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5D0B37C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①预算资金分配依据是否充分；</w:t>
            </w:r>
          </w:p>
          <w:p w14:paraId="30B62FE1">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②资金分配额度是否合理，与项目单位或地方实际是否相适应。</w:t>
            </w:r>
          </w:p>
          <w:p w14:paraId="3AD6025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以上每条要素各占权重的50%，每有一条不符合，扣除对应的权重分，扣完为止。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4527483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合理</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31941A9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4</w:t>
            </w:r>
          </w:p>
        </w:tc>
      </w:tr>
      <w:tr w14:paraId="397F5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2" w:hRule="atLeast"/>
        </w:trPr>
        <w:tc>
          <w:tcPr>
            <w:tcW w:w="1007" w:type="dxa"/>
            <w:vMerge w:val="restart"/>
            <w:tcBorders>
              <w:top w:val="single" w:color="auto" w:sz="4" w:space="0"/>
              <w:left w:val="single" w:color="auto" w:sz="4" w:space="0"/>
              <w:bottom w:val="single" w:color="auto" w:sz="4" w:space="0"/>
              <w:right w:val="single" w:color="auto" w:sz="4" w:space="0"/>
            </w:tcBorders>
            <w:noWrap w:val="0"/>
            <w:vAlign w:val="center"/>
          </w:tcPr>
          <w:p w14:paraId="485E8E0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项目过程</w:t>
            </w:r>
          </w:p>
        </w:tc>
        <w:tc>
          <w:tcPr>
            <w:tcW w:w="550" w:type="dxa"/>
            <w:vMerge w:val="restart"/>
            <w:tcBorders>
              <w:top w:val="single" w:color="auto" w:sz="4" w:space="0"/>
              <w:left w:val="single" w:color="auto" w:sz="4" w:space="0"/>
              <w:bottom w:val="single" w:color="auto" w:sz="4" w:space="0"/>
              <w:right w:val="single" w:color="auto" w:sz="4" w:space="0"/>
            </w:tcBorders>
            <w:noWrap w:val="0"/>
            <w:vAlign w:val="center"/>
          </w:tcPr>
          <w:p w14:paraId="49D5925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12</w:t>
            </w:r>
          </w:p>
        </w:tc>
        <w:tc>
          <w:tcPr>
            <w:tcW w:w="746" w:type="dxa"/>
            <w:vMerge w:val="restart"/>
            <w:tcBorders>
              <w:top w:val="single" w:color="auto" w:sz="4" w:space="0"/>
              <w:left w:val="single" w:color="auto" w:sz="4" w:space="0"/>
              <w:bottom w:val="single" w:color="auto" w:sz="4" w:space="0"/>
              <w:right w:val="single" w:color="auto" w:sz="4" w:space="0"/>
            </w:tcBorders>
            <w:noWrap w:val="0"/>
            <w:vAlign w:val="center"/>
          </w:tcPr>
          <w:p w14:paraId="360A356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资金管理</w:t>
            </w:r>
          </w:p>
        </w:tc>
        <w:tc>
          <w:tcPr>
            <w:tcW w:w="595" w:type="dxa"/>
            <w:vMerge w:val="restart"/>
            <w:tcBorders>
              <w:top w:val="single" w:color="auto" w:sz="4" w:space="0"/>
              <w:left w:val="single" w:color="auto" w:sz="4" w:space="0"/>
              <w:bottom w:val="single" w:color="auto" w:sz="4" w:space="0"/>
              <w:right w:val="single" w:color="auto" w:sz="4" w:space="0"/>
            </w:tcBorders>
            <w:noWrap w:val="0"/>
            <w:vAlign w:val="center"/>
          </w:tcPr>
          <w:p w14:paraId="765A24C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6</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91B32B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资金到位率</w:t>
            </w:r>
          </w:p>
        </w:tc>
        <w:tc>
          <w:tcPr>
            <w:tcW w:w="420" w:type="dxa"/>
            <w:tcBorders>
              <w:top w:val="single" w:color="auto" w:sz="4" w:space="0"/>
              <w:left w:val="single" w:color="auto" w:sz="4" w:space="0"/>
              <w:bottom w:val="single" w:color="auto" w:sz="4" w:space="0"/>
              <w:right w:val="single" w:color="auto" w:sz="4" w:space="0"/>
            </w:tcBorders>
            <w:noWrap w:val="0"/>
            <w:vAlign w:val="center"/>
          </w:tcPr>
          <w:p w14:paraId="7A2F9D2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w:t>
            </w:r>
          </w:p>
        </w:tc>
        <w:tc>
          <w:tcPr>
            <w:tcW w:w="2475" w:type="dxa"/>
            <w:tcBorders>
              <w:top w:val="single" w:color="auto" w:sz="4" w:space="0"/>
              <w:left w:val="single" w:color="auto" w:sz="4" w:space="0"/>
              <w:bottom w:val="single" w:color="auto" w:sz="4" w:space="0"/>
              <w:right w:val="single" w:color="auto" w:sz="4" w:space="0"/>
            </w:tcBorders>
            <w:noWrap w:val="0"/>
            <w:vAlign w:val="center"/>
          </w:tcPr>
          <w:p w14:paraId="16D04A5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实际到位资金与预算资金的比率，用以反映和考核资金落实情况对项目实施的总体保障程度。</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20E8614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100%</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151DCF2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资金到位率=（实际到位资金/预算资金）×100%。</w:t>
            </w:r>
          </w:p>
          <w:p w14:paraId="7E502FAB">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资金到位率=100%，得权重分满分，每降低1%，扣除5%权重分，扣完为止。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5F2B87A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100%</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3D2F2D5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w:t>
            </w:r>
          </w:p>
        </w:tc>
      </w:tr>
      <w:tr w14:paraId="2DFA0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9"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44E6452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0645CC9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46" w:type="dxa"/>
            <w:vMerge w:val="continue"/>
            <w:tcBorders>
              <w:top w:val="single" w:color="auto" w:sz="4" w:space="0"/>
              <w:left w:val="single" w:color="auto" w:sz="4" w:space="0"/>
              <w:bottom w:val="single" w:color="auto" w:sz="4" w:space="0"/>
              <w:right w:val="single" w:color="auto" w:sz="4" w:space="0"/>
            </w:tcBorders>
            <w:noWrap w:val="0"/>
            <w:vAlign w:val="center"/>
          </w:tcPr>
          <w:p w14:paraId="202740E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95" w:type="dxa"/>
            <w:vMerge w:val="continue"/>
            <w:tcBorders>
              <w:top w:val="single" w:color="auto" w:sz="4" w:space="0"/>
              <w:left w:val="single" w:color="auto" w:sz="4" w:space="0"/>
              <w:bottom w:val="single" w:color="auto" w:sz="4" w:space="0"/>
              <w:right w:val="single" w:color="auto" w:sz="4" w:space="0"/>
            </w:tcBorders>
            <w:noWrap w:val="0"/>
            <w:vAlign w:val="center"/>
          </w:tcPr>
          <w:p w14:paraId="59C7E23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310963B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预算执行率</w:t>
            </w:r>
          </w:p>
        </w:tc>
        <w:tc>
          <w:tcPr>
            <w:tcW w:w="420" w:type="dxa"/>
            <w:tcBorders>
              <w:top w:val="single" w:color="auto" w:sz="4" w:space="0"/>
              <w:left w:val="single" w:color="auto" w:sz="4" w:space="0"/>
              <w:bottom w:val="single" w:color="auto" w:sz="4" w:space="0"/>
              <w:right w:val="single" w:color="auto" w:sz="4" w:space="0"/>
            </w:tcBorders>
            <w:noWrap w:val="0"/>
            <w:vAlign w:val="center"/>
          </w:tcPr>
          <w:p w14:paraId="15B44E5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2</w:t>
            </w:r>
          </w:p>
        </w:tc>
        <w:tc>
          <w:tcPr>
            <w:tcW w:w="2475" w:type="dxa"/>
            <w:tcBorders>
              <w:top w:val="single" w:color="auto" w:sz="4" w:space="0"/>
              <w:left w:val="single" w:color="auto" w:sz="4" w:space="0"/>
              <w:bottom w:val="single" w:color="auto" w:sz="4" w:space="0"/>
              <w:right w:val="single" w:color="auto" w:sz="4" w:space="0"/>
            </w:tcBorders>
            <w:noWrap w:val="0"/>
            <w:vAlign w:val="center"/>
          </w:tcPr>
          <w:p w14:paraId="12C9FD7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项目预算资金是否按照计划执行，用以反映或考核项目预算执行情况。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64ED642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100%</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383C8E8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预算执行率=（实际支出资金/实际到位资金）×100%。</w:t>
            </w:r>
          </w:p>
          <w:p w14:paraId="0255DFB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预算执行率=100%，得权重分满分；若预算执行率＜100%，得分=预算执行率*分值；若执行率≤60%，则不得分。</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6D119A5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和预算执行率保持一致</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21C3679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2</w:t>
            </w:r>
          </w:p>
        </w:tc>
      </w:tr>
      <w:tr w14:paraId="71512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1"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5ED53FD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6F6CC98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46" w:type="dxa"/>
            <w:vMerge w:val="continue"/>
            <w:tcBorders>
              <w:top w:val="single" w:color="auto" w:sz="4" w:space="0"/>
              <w:left w:val="single" w:color="auto" w:sz="4" w:space="0"/>
              <w:bottom w:val="single" w:color="auto" w:sz="4" w:space="0"/>
              <w:right w:val="single" w:color="auto" w:sz="4" w:space="0"/>
            </w:tcBorders>
            <w:noWrap w:val="0"/>
            <w:vAlign w:val="center"/>
          </w:tcPr>
          <w:p w14:paraId="1ACF8EA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95" w:type="dxa"/>
            <w:vMerge w:val="continue"/>
            <w:tcBorders>
              <w:top w:val="single" w:color="auto" w:sz="4" w:space="0"/>
              <w:left w:val="single" w:color="auto" w:sz="4" w:space="0"/>
              <w:bottom w:val="single" w:color="auto" w:sz="4" w:space="0"/>
              <w:right w:val="single" w:color="auto" w:sz="4" w:space="0"/>
            </w:tcBorders>
            <w:noWrap w:val="0"/>
            <w:vAlign w:val="center"/>
          </w:tcPr>
          <w:p w14:paraId="1B1B207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06E3F19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资金使用合规性</w:t>
            </w:r>
          </w:p>
        </w:tc>
        <w:tc>
          <w:tcPr>
            <w:tcW w:w="420" w:type="dxa"/>
            <w:tcBorders>
              <w:top w:val="single" w:color="auto" w:sz="4" w:space="0"/>
              <w:left w:val="single" w:color="auto" w:sz="4" w:space="0"/>
              <w:bottom w:val="single" w:color="auto" w:sz="4" w:space="0"/>
              <w:right w:val="single" w:color="auto" w:sz="4" w:space="0"/>
            </w:tcBorders>
            <w:noWrap w:val="0"/>
            <w:vAlign w:val="center"/>
          </w:tcPr>
          <w:p w14:paraId="0AAD37A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3</w:t>
            </w:r>
          </w:p>
        </w:tc>
        <w:tc>
          <w:tcPr>
            <w:tcW w:w="2475" w:type="dxa"/>
            <w:tcBorders>
              <w:top w:val="single" w:color="auto" w:sz="4" w:space="0"/>
              <w:left w:val="single" w:color="auto" w:sz="4" w:space="0"/>
              <w:bottom w:val="single" w:color="auto" w:sz="4" w:space="0"/>
              <w:right w:val="single" w:color="auto" w:sz="4" w:space="0"/>
            </w:tcBorders>
            <w:noWrap w:val="0"/>
            <w:vAlign w:val="center"/>
          </w:tcPr>
          <w:p w14:paraId="37A9804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项目资金使用是否符合相关的财务管理制度规定，用以反映和考核项目资金的规范运行情况。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6920668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合规</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44752BA8">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①否符合国家财经法规和财务管理制度以及有关专项资金管理办法的规定；</w:t>
            </w:r>
          </w:p>
          <w:p w14:paraId="4CEC864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②资金的拨付是否有完整的审批程序和手续；</w:t>
            </w:r>
          </w:p>
          <w:p w14:paraId="3EC95680">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③是否符合项目预算批复或合同规定的用途；</w:t>
            </w:r>
          </w:p>
          <w:p w14:paraId="6AC07C40">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④是否存在截留、挤占、挪用、虚列支出等情况。</w:t>
            </w:r>
          </w:p>
          <w:p w14:paraId="7267C55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以上每条指标各占权重分的25%，要素①②不符合，扣除对应权重分；要素③④不符合属于重大违纪，该指标不得分。</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7FF091C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合规</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63467D4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3</w:t>
            </w:r>
          </w:p>
        </w:tc>
      </w:tr>
      <w:tr w14:paraId="7E20F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2"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37DF606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0E39230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46" w:type="dxa"/>
            <w:vMerge w:val="restart"/>
            <w:tcBorders>
              <w:top w:val="single" w:color="auto" w:sz="4" w:space="0"/>
              <w:left w:val="single" w:color="auto" w:sz="4" w:space="0"/>
              <w:bottom w:val="single" w:color="auto" w:sz="4" w:space="0"/>
              <w:right w:val="single" w:color="auto" w:sz="4" w:space="0"/>
            </w:tcBorders>
            <w:noWrap w:val="0"/>
            <w:vAlign w:val="center"/>
          </w:tcPr>
          <w:p w14:paraId="4195028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组织实施</w:t>
            </w:r>
          </w:p>
        </w:tc>
        <w:tc>
          <w:tcPr>
            <w:tcW w:w="595" w:type="dxa"/>
            <w:vMerge w:val="restart"/>
            <w:tcBorders>
              <w:top w:val="single" w:color="auto" w:sz="4" w:space="0"/>
              <w:left w:val="single" w:color="auto" w:sz="4" w:space="0"/>
              <w:bottom w:val="single" w:color="auto" w:sz="4" w:space="0"/>
              <w:right w:val="single" w:color="auto" w:sz="4" w:space="0"/>
            </w:tcBorders>
            <w:noWrap w:val="0"/>
            <w:vAlign w:val="center"/>
          </w:tcPr>
          <w:p w14:paraId="3BBA692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6</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7899868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管理制度健全性</w:t>
            </w:r>
          </w:p>
        </w:tc>
        <w:tc>
          <w:tcPr>
            <w:tcW w:w="420" w:type="dxa"/>
            <w:tcBorders>
              <w:top w:val="single" w:color="auto" w:sz="4" w:space="0"/>
              <w:left w:val="single" w:color="auto" w:sz="4" w:space="0"/>
              <w:bottom w:val="single" w:color="auto" w:sz="4" w:space="0"/>
              <w:right w:val="single" w:color="auto" w:sz="4" w:space="0"/>
            </w:tcBorders>
            <w:noWrap w:val="0"/>
            <w:vAlign w:val="center"/>
          </w:tcPr>
          <w:p w14:paraId="442FE9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3</w:t>
            </w:r>
          </w:p>
        </w:tc>
        <w:tc>
          <w:tcPr>
            <w:tcW w:w="2475" w:type="dxa"/>
            <w:tcBorders>
              <w:top w:val="single" w:color="auto" w:sz="4" w:space="0"/>
              <w:left w:val="single" w:color="auto" w:sz="4" w:space="0"/>
              <w:bottom w:val="single" w:color="auto" w:sz="4" w:space="0"/>
              <w:right w:val="single" w:color="auto" w:sz="4" w:space="0"/>
            </w:tcBorders>
            <w:noWrap w:val="0"/>
            <w:vAlign w:val="center"/>
          </w:tcPr>
          <w:p w14:paraId="056FFEF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项目实施单位的财务和业务管理制度是否健全，用以反映和考核财务和业务管理制度对项目顺利实施的保障情况。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5344D68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健全</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48CDB62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①是否已制定或具有相应的财务和业务管理制度；</w:t>
            </w:r>
          </w:p>
          <w:p w14:paraId="39F3664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②财务和业务管理制度是否合法、合规、完整。</w:t>
            </w:r>
          </w:p>
          <w:p w14:paraId="3821287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以上每条要素各占权重的50%，每有一条不符合，扣除对应的权重分，扣完为止。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7691E96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健全</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1BFD3FB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3</w:t>
            </w:r>
          </w:p>
        </w:tc>
      </w:tr>
      <w:tr w14:paraId="63C87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66B8C88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371CAD2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46" w:type="dxa"/>
            <w:vMerge w:val="continue"/>
            <w:tcBorders>
              <w:top w:val="single" w:color="auto" w:sz="4" w:space="0"/>
              <w:left w:val="single" w:color="auto" w:sz="4" w:space="0"/>
              <w:bottom w:val="single" w:color="auto" w:sz="4" w:space="0"/>
              <w:right w:val="single" w:color="auto" w:sz="4" w:space="0"/>
            </w:tcBorders>
            <w:noWrap w:val="0"/>
            <w:vAlign w:val="center"/>
          </w:tcPr>
          <w:p w14:paraId="26D7025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95" w:type="dxa"/>
            <w:vMerge w:val="continue"/>
            <w:tcBorders>
              <w:top w:val="single" w:color="auto" w:sz="4" w:space="0"/>
              <w:left w:val="single" w:color="auto" w:sz="4" w:space="0"/>
              <w:bottom w:val="single" w:color="auto" w:sz="4" w:space="0"/>
              <w:right w:val="single" w:color="auto" w:sz="4" w:space="0"/>
            </w:tcBorders>
            <w:noWrap w:val="0"/>
            <w:vAlign w:val="center"/>
          </w:tcPr>
          <w:p w14:paraId="4F7B436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A69B18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制度执行有效性</w:t>
            </w:r>
          </w:p>
        </w:tc>
        <w:tc>
          <w:tcPr>
            <w:tcW w:w="420" w:type="dxa"/>
            <w:tcBorders>
              <w:top w:val="single" w:color="auto" w:sz="4" w:space="0"/>
              <w:left w:val="single" w:color="auto" w:sz="4" w:space="0"/>
              <w:bottom w:val="single" w:color="auto" w:sz="4" w:space="0"/>
              <w:right w:val="single" w:color="auto" w:sz="4" w:space="0"/>
            </w:tcBorders>
            <w:noWrap w:val="0"/>
            <w:vAlign w:val="center"/>
          </w:tcPr>
          <w:p w14:paraId="15D15E0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3</w:t>
            </w:r>
          </w:p>
        </w:tc>
        <w:tc>
          <w:tcPr>
            <w:tcW w:w="2475" w:type="dxa"/>
            <w:tcBorders>
              <w:top w:val="single" w:color="auto" w:sz="4" w:space="0"/>
              <w:left w:val="single" w:color="auto" w:sz="4" w:space="0"/>
              <w:bottom w:val="single" w:color="auto" w:sz="4" w:space="0"/>
              <w:right w:val="single" w:color="auto" w:sz="4" w:space="0"/>
            </w:tcBorders>
            <w:noWrap w:val="0"/>
            <w:vAlign w:val="center"/>
          </w:tcPr>
          <w:p w14:paraId="0471FB8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项目实施是否符合相关管理规定，用以反映和考核相关管理制度的有效执行情况。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25C0855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有效</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18736D4B">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①否遵守相关法律法规和相关管理规定；</w:t>
            </w:r>
          </w:p>
          <w:p w14:paraId="6156148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②项目调整及支出调整手续是否完备；</w:t>
            </w:r>
          </w:p>
          <w:p w14:paraId="32B76D08">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③项目资料是否齐全并及时归档。</w:t>
            </w:r>
          </w:p>
          <w:p w14:paraId="45A6CD28">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①②③齐全得权重分的100%，缺①扣权重分的30%，缺②扣权重分的40%，缺③扣权重分的30%。</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6B06533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有效</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309E0DD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3</w:t>
            </w:r>
          </w:p>
        </w:tc>
      </w:tr>
      <w:tr w14:paraId="30517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1007" w:type="dxa"/>
            <w:vMerge w:val="restart"/>
            <w:tcBorders>
              <w:top w:val="single" w:color="auto" w:sz="4" w:space="0"/>
              <w:left w:val="single" w:color="auto" w:sz="4" w:space="0"/>
              <w:bottom w:val="single" w:color="auto" w:sz="4" w:space="0"/>
              <w:right w:val="single" w:color="auto" w:sz="4" w:space="0"/>
            </w:tcBorders>
            <w:noWrap w:val="0"/>
            <w:vAlign w:val="center"/>
          </w:tcPr>
          <w:p w14:paraId="2E4844C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项目产出</w:t>
            </w:r>
          </w:p>
        </w:tc>
        <w:tc>
          <w:tcPr>
            <w:tcW w:w="550" w:type="dxa"/>
            <w:vMerge w:val="restart"/>
            <w:tcBorders>
              <w:top w:val="single" w:color="auto" w:sz="4" w:space="0"/>
              <w:left w:val="single" w:color="auto" w:sz="4" w:space="0"/>
              <w:bottom w:val="single" w:color="auto" w:sz="4" w:space="0"/>
              <w:right w:val="single" w:color="auto" w:sz="4" w:space="0"/>
            </w:tcBorders>
            <w:noWrap w:val="0"/>
            <w:vAlign w:val="center"/>
          </w:tcPr>
          <w:p w14:paraId="330D573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40</w:t>
            </w:r>
          </w:p>
        </w:tc>
        <w:tc>
          <w:tcPr>
            <w:tcW w:w="746" w:type="dxa"/>
            <w:vMerge w:val="restart"/>
            <w:tcBorders>
              <w:top w:val="single" w:color="auto" w:sz="4" w:space="0"/>
              <w:left w:val="single" w:color="auto" w:sz="4" w:space="0"/>
              <w:right w:val="single" w:color="auto" w:sz="4" w:space="0"/>
            </w:tcBorders>
            <w:noWrap w:val="0"/>
            <w:vAlign w:val="center"/>
          </w:tcPr>
          <w:p w14:paraId="43CB437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产出数量</w:t>
            </w:r>
          </w:p>
        </w:tc>
        <w:tc>
          <w:tcPr>
            <w:tcW w:w="595" w:type="dxa"/>
            <w:vMerge w:val="restart"/>
            <w:tcBorders>
              <w:top w:val="single" w:color="auto" w:sz="4" w:space="0"/>
              <w:left w:val="single" w:color="auto" w:sz="4" w:space="0"/>
              <w:right w:val="single" w:color="auto" w:sz="4" w:space="0"/>
            </w:tcBorders>
            <w:noWrap w:val="0"/>
            <w:vAlign w:val="center"/>
          </w:tcPr>
          <w:p w14:paraId="19802EE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10</w:t>
            </w:r>
          </w:p>
        </w:tc>
        <w:tc>
          <w:tcPr>
            <w:tcW w:w="725" w:type="dxa"/>
            <w:vMerge w:val="restart"/>
            <w:tcBorders>
              <w:top w:val="single" w:color="auto" w:sz="4" w:space="0"/>
              <w:left w:val="single" w:color="auto" w:sz="4" w:space="0"/>
              <w:right w:val="single" w:color="auto" w:sz="4" w:space="0"/>
            </w:tcBorders>
            <w:noWrap w:val="0"/>
            <w:vAlign w:val="center"/>
          </w:tcPr>
          <w:p w14:paraId="6D1FD84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实际完成率</w:t>
            </w:r>
          </w:p>
        </w:tc>
        <w:tc>
          <w:tcPr>
            <w:tcW w:w="420" w:type="dxa"/>
            <w:vMerge w:val="restart"/>
            <w:tcBorders>
              <w:top w:val="single" w:color="auto" w:sz="4" w:space="0"/>
              <w:left w:val="single" w:color="auto" w:sz="4" w:space="0"/>
              <w:right w:val="single" w:color="auto" w:sz="4" w:space="0"/>
            </w:tcBorders>
            <w:noWrap w:val="0"/>
            <w:vAlign w:val="center"/>
          </w:tcPr>
          <w:p w14:paraId="4447F32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2475" w:type="dxa"/>
            <w:tcBorders>
              <w:top w:val="single" w:color="auto" w:sz="4" w:space="0"/>
              <w:left w:val="single" w:color="auto" w:sz="4" w:space="0"/>
              <w:bottom w:val="single" w:color="auto" w:sz="4" w:space="0"/>
              <w:right w:val="single" w:color="auto" w:sz="4" w:space="0"/>
            </w:tcBorders>
            <w:noWrap w:val="0"/>
            <w:vAlign w:val="center"/>
          </w:tcPr>
          <w:p w14:paraId="4FF2CDD8">
            <w:pPr>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rPr>
              <w:t>接受技工教育补助的建档学生人数</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38BF089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&gt;=962人</w:t>
            </w:r>
          </w:p>
        </w:tc>
        <w:tc>
          <w:tcPr>
            <w:tcW w:w="4272" w:type="dxa"/>
            <w:vMerge w:val="restart"/>
            <w:tcBorders>
              <w:top w:val="single" w:color="auto" w:sz="4" w:space="0"/>
              <w:left w:val="single" w:color="auto" w:sz="4" w:space="0"/>
              <w:right w:val="single" w:color="auto" w:sz="4" w:space="0"/>
            </w:tcBorders>
            <w:noWrap w:val="0"/>
            <w:vAlign w:val="center"/>
          </w:tcPr>
          <w:p w14:paraId="269AD237">
            <w:pPr>
              <w:keepNext w:val="0"/>
              <w:keepLines w:val="0"/>
              <w:pageBreakBefore w:val="0"/>
              <w:widowControl/>
              <w:numPr>
                <w:ilvl w:val="0"/>
                <w:numId w:val="6"/>
              </w:numPr>
              <w:suppressLineNumbers w:val="0"/>
              <w:kinsoku/>
              <w:wordWrap/>
              <w:overflowPunct/>
              <w:topLinePunct w:val="0"/>
              <w:autoSpaceDE/>
              <w:autoSpaceDN/>
              <w:bidi w:val="0"/>
              <w:adjustRightInd/>
              <w:snapToGrid/>
              <w:ind w:left="0" w:leftChars="0" w:firstLine="0" w:firstLineChars="0"/>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实际完成率=（实际完成/预期完成）×100%。</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①实际完成率≥100%，且偏离程度＜20%，得满分；</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②实际完成率≥100%，偏离程度≥20%，得0分；</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③实际完成率×100%＜100%，得分=实际完成率×指标分值。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779EA4F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962人</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59E980A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2.5</w:t>
            </w:r>
          </w:p>
        </w:tc>
      </w:tr>
      <w:tr w14:paraId="5DA04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0" w:hRule="atLeast"/>
        </w:trPr>
        <w:tc>
          <w:tcPr>
            <w:tcW w:w="1007" w:type="dxa"/>
            <w:vMerge w:val="continue"/>
            <w:tcBorders>
              <w:left w:val="single" w:color="auto" w:sz="4" w:space="0"/>
              <w:right w:val="single" w:color="auto" w:sz="4" w:space="0"/>
            </w:tcBorders>
            <w:noWrap w:val="0"/>
            <w:vAlign w:val="center"/>
          </w:tcPr>
          <w:p w14:paraId="275D084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550" w:type="dxa"/>
            <w:vMerge w:val="continue"/>
            <w:tcBorders>
              <w:left w:val="single" w:color="auto" w:sz="4" w:space="0"/>
              <w:right w:val="single" w:color="auto" w:sz="4" w:space="0"/>
            </w:tcBorders>
            <w:noWrap w:val="0"/>
            <w:vAlign w:val="center"/>
          </w:tcPr>
          <w:p w14:paraId="5C12F57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746" w:type="dxa"/>
            <w:vMerge w:val="continue"/>
            <w:tcBorders>
              <w:left w:val="single" w:color="auto" w:sz="4" w:space="0"/>
              <w:bottom w:val="single" w:color="auto" w:sz="4" w:space="0"/>
              <w:right w:val="single" w:color="auto" w:sz="4" w:space="0"/>
            </w:tcBorders>
            <w:noWrap w:val="0"/>
            <w:vAlign w:val="center"/>
          </w:tcPr>
          <w:p w14:paraId="0A8DD40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595" w:type="dxa"/>
            <w:vMerge w:val="continue"/>
            <w:tcBorders>
              <w:left w:val="single" w:color="auto" w:sz="4" w:space="0"/>
              <w:bottom w:val="single" w:color="auto" w:sz="4" w:space="0"/>
              <w:right w:val="single" w:color="auto" w:sz="4" w:space="0"/>
            </w:tcBorders>
            <w:noWrap w:val="0"/>
            <w:vAlign w:val="center"/>
          </w:tcPr>
          <w:p w14:paraId="5F0609B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725" w:type="dxa"/>
            <w:vMerge w:val="continue"/>
            <w:tcBorders>
              <w:left w:val="single" w:color="auto" w:sz="4" w:space="0"/>
              <w:bottom w:val="single" w:color="auto" w:sz="4" w:space="0"/>
              <w:right w:val="single" w:color="auto" w:sz="4" w:space="0"/>
            </w:tcBorders>
            <w:noWrap w:val="0"/>
            <w:vAlign w:val="center"/>
          </w:tcPr>
          <w:p w14:paraId="5644950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420" w:type="dxa"/>
            <w:vMerge w:val="continue"/>
            <w:tcBorders>
              <w:left w:val="single" w:color="auto" w:sz="4" w:space="0"/>
              <w:bottom w:val="single" w:color="auto" w:sz="4" w:space="0"/>
              <w:right w:val="single" w:color="auto" w:sz="4" w:space="0"/>
            </w:tcBorders>
            <w:noWrap w:val="0"/>
            <w:vAlign w:val="center"/>
          </w:tcPr>
          <w:p w14:paraId="37E2418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2475" w:type="dxa"/>
            <w:tcBorders>
              <w:top w:val="single" w:color="auto" w:sz="4" w:space="0"/>
              <w:left w:val="single" w:color="auto" w:sz="4" w:space="0"/>
              <w:bottom w:val="single" w:color="auto" w:sz="4" w:space="0"/>
              <w:right w:val="single" w:color="auto" w:sz="4" w:space="0"/>
            </w:tcBorders>
            <w:noWrap w:val="0"/>
            <w:vAlign w:val="center"/>
          </w:tcPr>
          <w:p w14:paraId="2947F31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自聘教师人数</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00C5F65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&gt;=14人</w:t>
            </w:r>
          </w:p>
        </w:tc>
        <w:tc>
          <w:tcPr>
            <w:tcW w:w="4272" w:type="dxa"/>
            <w:vMerge w:val="continue"/>
            <w:tcBorders>
              <w:left w:val="single" w:color="auto" w:sz="4" w:space="0"/>
              <w:bottom w:val="single" w:color="auto" w:sz="4" w:space="0"/>
              <w:right w:val="single" w:color="auto" w:sz="4" w:space="0"/>
            </w:tcBorders>
            <w:noWrap w:val="0"/>
            <w:vAlign w:val="center"/>
          </w:tcPr>
          <w:p w14:paraId="72C7DC6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p>
        </w:tc>
        <w:tc>
          <w:tcPr>
            <w:tcW w:w="952" w:type="dxa"/>
            <w:tcBorders>
              <w:top w:val="single" w:color="auto" w:sz="4" w:space="0"/>
              <w:left w:val="single" w:color="auto" w:sz="4" w:space="0"/>
              <w:bottom w:val="single" w:color="auto" w:sz="4" w:space="0"/>
              <w:right w:val="single" w:color="auto" w:sz="4" w:space="0"/>
            </w:tcBorders>
            <w:noWrap w:val="0"/>
            <w:vAlign w:val="center"/>
          </w:tcPr>
          <w:p w14:paraId="02574D3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14人</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745E8FF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1.5</w:t>
            </w:r>
          </w:p>
        </w:tc>
      </w:tr>
      <w:tr w14:paraId="0F6DA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1007" w:type="dxa"/>
            <w:vMerge w:val="continue"/>
            <w:tcBorders>
              <w:left w:val="single" w:color="auto" w:sz="4" w:space="0"/>
              <w:right w:val="single" w:color="auto" w:sz="4" w:space="0"/>
            </w:tcBorders>
            <w:noWrap w:val="0"/>
            <w:vAlign w:val="center"/>
          </w:tcPr>
          <w:p w14:paraId="3B9A22C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550" w:type="dxa"/>
            <w:vMerge w:val="continue"/>
            <w:tcBorders>
              <w:left w:val="single" w:color="auto" w:sz="4" w:space="0"/>
              <w:right w:val="single" w:color="auto" w:sz="4" w:space="0"/>
            </w:tcBorders>
            <w:noWrap w:val="0"/>
            <w:vAlign w:val="center"/>
          </w:tcPr>
          <w:p w14:paraId="5C98F13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746" w:type="dxa"/>
            <w:vMerge w:val="continue"/>
            <w:tcBorders>
              <w:left w:val="single" w:color="auto" w:sz="4" w:space="0"/>
              <w:bottom w:val="single" w:color="auto" w:sz="4" w:space="0"/>
              <w:right w:val="single" w:color="auto" w:sz="4" w:space="0"/>
            </w:tcBorders>
            <w:noWrap w:val="0"/>
            <w:vAlign w:val="center"/>
          </w:tcPr>
          <w:p w14:paraId="29D0EF7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595" w:type="dxa"/>
            <w:vMerge w:val="continue"/>
            <w:tcBorders>
              <w:left w:val="single" w:color="auto" w:sz="4" w:space="0"/>
              <w:bottom w:val="single" w:color="auto" w:sz="4" w:space="0"/>
              <w:right w:val="single" w:color="auto" w:sz="4" w:space="0"/>
            </w:tcBorders>
            <w:noWrap w:val="0"/>
            <w:vAlign w:val="center"/>
          </w:tcPr>
          <w:p w14:paraId="3F09573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725" w:type="dxa"/>
            <w:vMerge w:val="continue"/>
            <w:tcBorders>
              <w:left w:val="single" w:color="auto" w:sz="4" w:space="0"/>
              <w:bottom w:val="single" w:color="auto" w:sz="4" w:space="0"/>
              <w:right w:val="single" w:color="auto" w:sz="4" w:space="0"/>
            </w:tcBorders>
            <w:noWrap w:val="0"/>
            <w:vAlign w:val="center"/>
          </w:tcPr>
          <w:p w14:paraId="073970E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420" w:type="dxa"/>
            <w:vMerge w:val="continue"/>
            <w:tcBorders>
              <w:left w:val="single" w:color="auto" w:sz="4" w:space="0"/>
              <w:bottom w:val="single" w:color="auto" w:sz="4" w:space="0"/>
              <w:right w:val="single" w:color="auto" w:sz="4" w:space="0"/>
            </w:tcBorders>
            <w:noWrap w:val="0"/>
            <w:vAlign w:val="center"/>
          </w:tcPr>
          <w:p w14:paraId="4726EFA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2475" w:type="dxa"/>
            <w:tcBorders>
              <w:top w:val="single" w:color="auto" w:sz="4" w:space="0"/>
              <w:left w:val="single" w:color="auto" w:sz="4" w:space="0"/>
              <w:bottom w:val="single" w:color="auto" w:sz="4" w:space="0"/>
              <w:right w:val="single" w:color="auto" w:sz="4" w:space="0"/>
            </w:tcBorders>
            <w:noWrap w:val="0"/>
            <w:vAlign w:val="center"/>
          </w:tcPr>
          <w:p w14:paraId="02F0987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外聘后勤人员数量</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429F0B2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&gt;=8人</w:t>
            </w:r>
          </w:p>
        </w:tc>
        <w:tc>
          <w:tcPr>
            <w:tcW w:w="4272" w:type="dxa"/>
            <w:vMerge w:val="continue"/>
            <w:tcBorders>
              <w:left w:val="single" w:color="auto" w:sz="4" w:space="0"/>
              <w:bottom w:val="single" w:color="auto" w:sz="4" w:space="0"/>
              <w:right w:val="single" w:color="auto" w:sz="4" w:space="0"/>
            </w:tcBorders>
            <w:noWrap w:val="0"/>
            <w:vAlign w:val="center"/>
          </w:tcPr>
          <w:p w14:paraId="02049C3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p>
        </w:tc>
        <w:tc>
          <w:tcPr>
            <w:tcW w:w="952" w:type="dxa"/>
            <w:tcBorders>
              <w:top w:val="single" w:color="auto" w:sz="4" w:space="0"/>
              <w:left w:val="single" w:color="auto" w:sz="4" w:space="0"/>
              <w:bottom w:val="single" w:color="auto" w:sz="4" w:space="0"/>
              <w:right w:val="single" w:color="auto" w:sz="4" w:space="0"/>
            </w:tcBorders>
            <w:noWrap w:val="0"/>
            <w:vAlign w:val="center"/>
          </w:tcPr>
          <w:p w14:paraId="3570971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8人</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67818B8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1.5</w:t>
            </w:r>
          </w:p>
        </w:tc>
      </w:tr>
      <w:tr w14:paraId="5B97D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1007" w:type="dxa"/>
            <w:vMerge w:val="continue"/>
            <w:tcBorders>
              <w:left w:val="single" w:color="auto" w:sz="4" w:space="0"/>
              <w:right w:val="single" w:color="auto" w:sz="4" w:space="0"/>
            </w:tcBorders>
            <w:noWrap w:val="0"/>
            <w:vAlign w:val="center"/>
          </w:tcPr>
          <w:p w14:paraId="4390F19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550" w:type="dxa"/>
            <w:vMerge w:val="continue"/>
            <w:tcBorders>
              <w:left w:val="single" w:color="auto" w:sz="4" w:space="0"/>
              <w:right w:val="single" w:color="auto" w:sz="4" w:space="0"/>
            </w:tcBorders>
            <w:noWrap w:val="0"/>
            <w:vAlign w:val="center"/>
          </w:tcPr>
          <w:p w14:paraId="04C9CCD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746" w:type="dxa"/>
            <w:vMerge w:val="continue"/>
            <w:tcBorders>
              <w:left w:val="single" w:color="auto" w:sz="4" w:space="0"/>
              <w:bottom w:val="single" w:color="auto" w:sz="4" w:space="0"/>
              <w:right w:val="single" w:color="auto" w:sz="4" w:space="0"/>
            </w:tcBorders>
            <w:noWrap w:val="0"/>
            <w:vAlign w:val="center"/>
          </w:tcPr>
          <w:p w14:paraId="3C0AF29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595" w:type="dxa"/>
            <w:vMerge w:val="continue"/>
            <w:tcBorders>
              <w:left w:val="single" w:color="auto" w:sz="4" w:space="0"/>
              <w:bottom w:val="single" w:color="auto" w:sz="4" w:space="0"/>
              <w:right w:val="single" w:color="auto" w:sz="4" w:space="0"/>
            </w:tcBorders>
            <w:noWrap w:val="0"/>
            <w:vAlign w:val="center"/>
          </w:tcPr>
          <w:p w14:paraId="721E7BA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725" w:type="dxa"/>
            <w:vMerge w:val="continue"/>
            <w:tcBorders>
              <w:left w:val="single" w:color="auto" w:sz="4" w:space="0"/>
              <w:bottom w:val="single" w:color="auto" w:sz="4" w:space="0"/>
              <w:right w:val="single" w:color="auto" w:sz="4" w:space="0"/>
            </w:tcBorders>
            <w:noWrap w:val="0"/>
            <w:vAlign w:val="center"/>
          </w:tcPr>
          <w:p w14:paraId="0CC74DF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420" w:type="dxa"/>
            <w:vMerge w:val="continue"/>
            <w:tcBorders>
              <w:left w:val="single" w:color="auto" w:sz="4" w:space="0"/>
              <w:bottom w:val="single" w:color="auto" w:sz="4" w:space="0"/>
              <w:right w:val="single" w:color="auto" w:sz="4" w:space="0"/>
            </w:tcBorders>
            <w:noWrap w:val="0"/>
            <w:vAlign w:val="center"/>
          </w:tcPr>
          <w:p w14:paraId="6736EB2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2475" w:type="dxa"/>
            <w:vMerge w:val="restart"/>
            <w:tcBorders>
              <w:top w:val="single" w:color="auto" w:sz="4" w:space="0"/>
              <w:left w:val="single" w:color="auto" w:sz="4" w:space="0"/>
              <w:right w:val="single" w:color="auto" w:sz="4" w:space="0"/>
            </w:tcBorders>
            <w:noWrap w:val="0"/>
            <w:vAlign w:val="center"/>
          </w:tcPr>
          <w:p w14:paraId="18D0E22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外聘保安人员数量</w:t>
            </w:r>
          </w:p>
        </w:tc>
        <w:tc>
          <w:tcPr>
            <w:tcW w:w="1118" w:type="dxa"/>
            <w:vMerge w:val="restart"/>
            <w:tcBorders>
              <w:top w:val="single" w:color="auto" w:sz="4" w:space="0"/>
              <w:left w:val="single" w:color="auto" w:sz="4" w:space="0"/>
              <w:right w:val="single" w:color="auto" w:sz="4" w:space="0"/>
            </w:tcBorders>
            <w:noWrap w:val="0"/>
            <w:vAlign w:val="center"/>
          </w:tcPr>
          <w:p w14:paraId="0BE9577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&gt;=14人</w:t>
            </w:r>
          </w:p>
        </w:tc>
        <w:tc>
          <w:tcPr>
            <w:tcW w:w="4272" w:type="dxa"/>
            <w:vMerge w:val="continue"/>
            <w:tcBorders>
              <w:left w:val="single" w:color="auto" w:sz="4" w:space="0"/>
              <w:bottom w:val="single" w:color="auto" w:sz="4" w:space="0"/>
              <w:right w:val="single" w:color="auto" w:sz="4" w:space="0"/>
            </w:tcBorders>
            <w:noWrap w:val="0"/>
            <w:vAlign w:val="center"/>
          </w:tcPr>
          <w:p w14:paraId="35DD10F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p>
        </w:tc>
        <w:tc>
          <w:tcPr>
            <w:tcW w:w="952" w:type="dxa"/>
            <w:tcBorders>
              <w:top w:val="single" w:color="auto" w:sz="4" w:space="0"/>
              <w:left w:val="single" w:color="auto" w:sz="4" w:space="0"/>
              <w:bottom w:val="single" w:color="auto" w:sz="4" w:space="0"/>
              <w:right w:val="single" w:color="auto" w:sz="4" w:space="0"/>
            </w:tcBorders>
            <w:noWrap w:val="0"/>
            <w:vAlign w:val="center"/>
          </w:tcPr>
          <w:p w14:paraId="6B9D809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14人</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42FC180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1.5</w:t>
            </w:r>
          </w:p>
        </w:tc>
      </w:tr>
      <w:tr w14:paraId="2B153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07" w:type="dxa"/>
            <w:vMerge w:val="continue"/>
            <w:tcBorders>
              <w:left w:val="single" w:color="auto" w:sz="4" w:space="0"/>
              <w:right w:val="single" w:color="auto" w:sz="4" w:space="0"/>
            </w:tcBorders>
            <w:noWrap w:val="0"/>
            <w:vAlign w:val="center"/>
          </w:tcPr>
          <w:p w14:paraId="3DB60D4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550" w:type="dxa"/>
            <w:vMerge w:val="continue"/>
            <w:tcBorders>
              <w:left w:val="single" w:color="auto" w:sz="4" w:space="0"/>
              <w:right w:val="single" w:color="auto" w:sz="4" w:space="0"/>
            </w:tcBorders>
            <w:noWrap w:val="0"/>
            <w:vAlign w:val="center"/>
          </w:tcPr>
          <w:p w14:paraId="264A0A3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746" w:type="dxa"/>
            <w:vMerge w:val="continue"/>
            <w:tcBorders>
              <w:left w:val="single" w:color="auto" w:sz="4" w:space="0"/>
              <w:bottom w:val="single" w:color="auto" w:sz="4" w:space="0"/>
              <w:right w:val="single" w:color="auto" w:sz="4" w:space="0"/>
            </w:tcBorders>
            <w:noWrap w:val="0"/>
            <w:vAlign w:val="center"/>
          </w:tcPr>
          <w:p w14:paraId="447F5D1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595" w:type="dxa"/>
            <w:vMerge w:val="continue"/>
            <w:tcBorders>
              <w:left w:val="single" w:color="auto" w:sz="4" w:space="0"/>
              <w:bottom w:val="single" w:color="auto" w:sz="4" w:space="0"/>
              <w:right w:val="single" w:color="auto" w:sz="4" w:space="0"/>
            </w:tcBorders>
            <w:noWrap w:val="0"/>
            <w:vAlign w:val="center"/>
          </w:tcPr>
          <w:p w14:paraId="704D149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725" w:type="dxa"/>
            <w:vMerge w:val="continue"/>
            <w:tcBorders>
              <w:left w:val="single" w:color="auto" w:sz="4" w:space="0"/>
              <w:bottom w:val="single" w:color="auto" w:sz="4" w:space="0"/>
              <w:right w:val="single" w:color="auto" w:sz="4" w:space="0"/>
            </w:tcBorders>
            <w:noWrap w:val="0"/>
            <w:vAlign w:val="center"/>
          </w:tcPr>
          <w:p w14:paraId="49AF004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420" w:type="dxa"/>
            <w:vMerge w:val="continue"/>
            <w:tcBorders>
              <w:left w:val="single" w:color="auto" w:sz="4" w:space="0"/>
              <w:bottom w:val="single" w:color="auto" w:sz="4" w:space="0"/>
              <w:right w:val="single" w:color="auto" w:sz="4" w:space="0"/>
            </w:tcBorders>
            <w:noWrap w:val="0"/>
            <w:vAlign w:val="center"/>
          </w:tcPr>
          <w:p w14:paraId="47CC93F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2475" w:type="dxa"/>
            <w:vMerge w:val="continue"/>
            <w:tcBorders>
              <w:left w:val="single" w:color="auto" w:sz="4" w:space="0"/>
              <w:bottom w:val="single" w:color="auto" w:sz="4" w:space="0"/>
              <w:right w:val="single" w:color="auto" w:sz="4" w:space="0"/>
            </w:tcBorders>
            <w:noWrap w:val="0"/>
            <w:vAlign w:val="center"/>
          </w:tcPr>
          <w:p w14:paraId="59DBEC47">
            <w:pPr>
              <w:rPr>
                <w:rFonts w:hint="eastAsia" w:ascii="宋体" w:hAnsi="宋体" w:eastAsia="宋体" w:cs="宋体"/>
                <w:color w:val="auto"/>
                <w:sz w:val="21"/>
                <w:szCs w:val="21"/>
                <w:highlight w:val="none"/>
              </w:rPr>
            </w:pPr>
          </w:p>
        </w:tc>
        <w:tc>
          <w:tcPr>
            <w:tcW w:w="1118" w:type="dxa"/>
            <w:vMerge w:val="continue"/>
            <w:tcBorders>
              <w:left w:val="single" w:color="auto" w:sz="4" w:space="0"/>
              <w:bottom w:val="single" w:color="auto" w:sz="4" w:space="0"/>
              <w:right w:val="single" w:color="auto" w:sz="4" w:space="0"/>
            </w:tcBorders>
            <w:noWrap w:val="0"/>
            <w:vAlign w:val="center"/>
          </w:tcPr>
          <w:p w14:paraId="33BC239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p>
        </w:tc>
        <w:tc>
          <w:tcPr>
            <w:tcW w:w="4272" w:type="dxa"/>
            <w:vMerge w:val="continue"/>
            <w:tcBorders>
              <w:left w:val="single" w:color="auto" w:sz="4" w:space="0"/>
              <w:bottom w:val="single" w:color="auto" w:sz="4" w:space="0"/>
              <w:right w:val="single" w:color="auto" w:sz="4" w:space="0"/>
            </w:tcBorders>
            <w:noWrap w:val="0"/>
            <w:vAlign w:val="center"/>
          </w:tcPr>
          <w:p w14:paraId="7167B85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p>
        </w:tc>
        <w:tc>
          <w:tcPr>
            <w:tcW w:w="952" w:type="dxa"/>
            <w:vMerge w:val="restart"/>
            <w:tcBorders>
              <w:top w:val="single" w:color="auto" w:sz="4" w:space="0"/>
              <w:left w:val="single" w:color="auto" w:sz="4" w:space="0"/>
              <w:right w:val="single" w:color="auto" w:sz="4" w:space="0"/>
            </w:tcBorders>
            <w:noWrap w:val="0"/>
            <w:vAlign w:val="center"/>
          </w:tcPr>
          <w:p w14:paraId="79A9CAE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16人</w:t>
            </w:r>
          </w:p>
        </w:tc>
        <w:tc>
          <w:tcPr>
            <w:tcW w:w="508" w:type="dxa"/>
            <w:vMerge w:val="restart"/>
            <w:tcBorders>
              <w:top w:val="single" w:color="auto" w:sz="4" w:space="0"/>
              <w:left w:val="single" w:color="auto" w:sz="4" w:space="0"/>
              <w:right w:val="single" w:color="auto" w:sz="4" w:space="0"/>
            </w:tcBorders>
            <w:noWrap w:val="0"/>
            <w:vAlign w:val="center"/>
          </w:tcPr>
          <w:p w14:paraId="43CEB59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1.5</w:t>
            </w:r>
          </w:p>
        </w:tc>
      </w:tr>
      <w:tr w14:paraId="445F4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07" w:type="dxa"/>
            <w:vMerge w:val="continue"/>
            <w:tcBorders>
              <w:left w:val="single" w:color="auto" w:sz="4" w:space="0"/>
              <w:right w:val="single" w:color="auto" w:sz="4" w:space="0"/>
            </w:tcBorders>
            <w:noWrap w:val="0"/>
            <w:vAlign w:val="center"/>
          </w:tcPr>
          <w:p w14:paraId="048C3EF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550" w:type="dxa"/>
            <w:vMerge w:val="continue"/>
            <w:tcBorders>
              <w:left w:val="single" w:color="auto" w:sz="4" w:space="0"/>
              <w:right w:val="single" w:color="auto" w:sz="4" w:space="0"/>
            </w:tcBorders>
            <w:noWrap w:val="0"/>
            <w:vAlign w:val="center"/>
          </w:tcPr>
          <w:p w14:paraId="71948CE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746" w:type="dxa"/>
            <w:vMerge w:val="continue"/>
            <w:tcBorders>
              <w:left w:val="single" w:color="auto" w:sz="4" w:space="0"/>
              <w:bottom w:val="single" w:color="auto" w:sz="4" w:space="0"/>
              <w:right w:val="single" w:color="auto" w:sz="4" w:space="0"/>
            </w:tcBorders>
            <w:noWrap w:val="0"/>
            <w:vAlign w:val="center"/>
          </w:tcPr>
          <w:p w14:paraId="511BC54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595" w:type="dxa"/>
            <w:vMerge w:val="continue"/>
            <w:tcBorders>
              <w:left w:val="single" w:color="auto" w:sz="4" w:space="0"/>
              <w:bottom w:val="single" w:color="auto" w:sz="4" w:space="0"/>
              <w:right w:val="single" w:color="auto" w:sz="4" w:space="0"/>
            </w:tcBorders>
            <w:noWrap w:val="0"/>
            <w:vAlign w:val="center"/>
          </w:tcPr>
          <w:p w14:paraId="7609726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725" w:type="dxa"/>
            <w:vMerge w:val="continue"/>
            <w:tcBorders>
              <w:left w:val="single" w:color="auto" w:sz="4" w:space="0"/>
              <w:bottom w:val="single" w:color="auto" w:sz="4" w:space="0"/>
              <w:right w:val="single" w:color="auto" w:sz="4" w:space="0"/>
            </w:tcBorders>
            <w:noWrap w:val="0"/>
            <w:vAlign w:val="center"/>
          </w:tcPr>
          <w:p w14:paraId="490F9DD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420" w:type="dxa"/>
            <w:vMerge w:val="continue"/>
            <w:tcBorders>
              <w:left w:val="single" w:color="auto" w:sz="4" w:space="0"/>
              <w:bottom w:val="single" w:color="auto" w:sz="4" w:space="0"/>
              <w:right w:val="single" w:color="auto" w:sz="4" w:space="0"/>
            </w:tcBorders>
            <w:noWrap w:val="0"/>
            <w:vAlign w:val="center"/>
          </w:tcPr>
          <w:p w14:paraId="2FB428A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2475" w:type="dxa"/>
            <w:tcBorders>
              <w:top w:val="single" w:color="auto" w:sz="4" w:space="0"/>
              <w:left w:val="single" w:color="auto" w:sz="4" w:space="0"/>
              <w:bottom w:val="single" w:color="auto" w:sz="4" w:space="0"/>
              <w:right w:val="single" w:color="auto" w:sz="4" w:space="0"/>
            </w:tcBorders>
            <w:noWrap w:val="0"/>
            <w:vAlign w:val="center"/>
          </w:tcPr>
          <w:p w14:paraId="662A7B5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外聘食堂人员数量</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69C30A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&gt;=16人</w:t>
            </w:r>
          </w:p>
        </w:tc>
        <w:tc>
          <w:tcPr>
            <w:tcW w:w="4272" w:type="dxa"/>
            <w:vMerge w:val="continue"/>
            <w:tcBorders>
              <w:left w:val="single" w:color="auto" w:sz="4" w:space="0"/>
              <w:bottom w:val="single" w:color="auto" w:sz="4" w:space="0"/>
              <w:right w:val="single" w:color="auto" w:sz="4" w:space="0"/>
            </w:tcBorders>
            <w:noWrap w:val="0"/>
            <w:vAlign w:val="center"/>
          </w:tcPr>
          <w:p w14:paraId="45FE04D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p>
        </w:tc>
        <w:tc>
          <w:tcPr>
            <w:tcW w:w="952" w:type="dxa"/>
            <w:vMerge w:val="continue"/>
            <w:tcBorders>
              <w:left w:val="single" w:color="auto" w:sz="4" w:space="0"/>
              <w:right w:val="single" w:color="auto" w:sz="4" w:space="0"/>
            </w:tcBorders>
            <w:noWrap w:val="0"/>
            <w:vAlign w:val="center"/>
          </w:tcPr>
          <w:p w14:paraId="2E86ACD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08" w:type="dxa"/>
            <w:vMerge w:val="continue"/>
            <w:tcBorders>
              <w:left w:val="single" w:color="auto" w:sz="4" w:space="0"/>
              <w:right w:val="single" w:color="auto" w:sz="4" w:space="0"/>
            </w:tcBorders>
            <w:noWrap w:val="0"/>
            <w:vAlign w:val="center"/>
          </w:tcPr>
          <w:p w14:paraId="16B77DC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r>
      <w:tr w14:paraId="5392A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07" w:type="dxa"/>
            <w:vMerge w:val="continue"/>
            <w:tcBorders>
              <w:left w:val="single" w:color="auto" w:sz="4" w:space="0"/>
              <w:right w:val="single" w:color="auto" w:sz="4" w:space="0"/>
            </w:tcBorders>
            <w:noWrap w:val="0"/>
            <w:vAlign w:val="center"/>
          </w:tcPr>
          <w:p w14:paraId="47E4CC2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550" w:type="dxa"/>
            <w:vMerge w:val="continue"/>
            <w:tcBorders>
              <w:left w:val="single" w:color="auto" w:sz="4" w:space="0"/>
              <w:right w:val="single" w:color="auto" w:sz="4" w:space="0"/>
            </w:tcBorders>
            <w:noWrap w:val="0"/>
            <w:vAlign w:val="center"/>
          </w:tcPr>
          <w:p w14:paraId="2D5E99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746" w:type="dxa"/>
            <w:vMerge w:val="continue"/>
            <w:tcBorders>
              <w:left w:val="single" w:color="auto" w:sz="4" w:space="0"/>
              <w:bottom w:val="single" w:color="auto" w:sz="4" w:space="0"/>
              <w:right w:val="single" w:color="auto" w:sz="4" w:space="0"/>
            </w:tcBorders>
            <w:noWrap w:val="0"/>
            <w:vAlign w:val="center"/>
          </w:tcPr>
          <w:p w14:paraId="363933F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595" w:type="dxa"/>
            <w:vMerge w:val="continue"/>
            <w:tcBorders>
              <w:left w:val="single" w:color="auto" w:sz="4" w:space="0"/>
              <w:bottom w:val="single" w:color="auto" w:sz="4" w:space="0"/>
              <w:right w:val="single" w:color="auto" w:sz="4" w:space="0"/>
            </w:tcBorders>
            <w:noWrap w:val="0"/>
            <w:vAlign w:val="center"/>
          </w:tcPr>
          <w:p w14:paraId="7D224AD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725" w:type="dxa"/>
            <w:vMerge w:val="continue"/>
            <w:tcBorders>
              <w:left w:val="single" w:color="auto" w:sz="4" w:space="0"/>
              <w:bottom w:val="single" w:color="auto" w:sz="4" w:space="0"/>
              <w:right w:val="single" w:color="auto" w:sz="4" w:space="0"/>
            </w:tcBorders>
            <w:noWrap w:val="0"/>
            <w:vAlign w:val="center"/>
          </w:tcPr>
          <w:p w14:paraId="0D33F4E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420" w:type="dxa"/>
            <w:vMerge w:val="continue"/>
            <w:tcBorders>
              <w:left w:val="single" w:color="auto" w:sz="4" w:space="0"/>
              <w:bottom w:val="single" w:color="auto" w:sz="4" w:space="0"/>
              <w:right w:val="single" w:color="auto" w:sz="4" w:space="0"/>
            </w:tcBorders>
            <w:noWrap w:val="0"/>
            <w:vAlign w:val="center"/>
          </w:tcPr>
          <w:p w14:paraId="577D13E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2475" w:type="dxa"/>
            <w:vMerge w:val="restart"/>
            <w:tcBorders>
              <w:top w:val="single" w:color="auto" w:sz="4" w:space="0"/>
              <w:left w:val="single" w:color="auto" w:sz="4" w:space="0"/>
              <w:right w:val="single" w:color="auto" w:sz="4" w:space="0"/>
            </w:tcBorders>
            <w:noWrap w:val="0"/>
            <w:vAlign w:val="center"/>
          </w:tcPr>
          <w:p w14:paraId="75B4FE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外聘消防人员数量</w:t>
            </w:r>
          </w:p>
        </w:tc>
        <w:tc>
          <w:tcPr>
            <w:tcW w:w="1118" w:type="dxa"/>
            <w:vMerge w:val="restart"/>
            <w:tcBorders>
              <w:top w:val="single" w:color="auto" w:sz="4" w:space="0"/>
              <w:left w:val="single" w:color="auto" w:sz="4" w:space="0"/>
              <w:right w:val="single" w:color="auto" w:sz="4" w:space="0"/>
            </w:tcBorders>
            <w:noWrap w:val="0"/>
            <w:vAlign w:val="center"/>
          </w:tcPr>
          <w:p w14:paraId="28BA5C4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&gt;=2人</w:t>
            </w:r>
          </w:p>
        </w:tc>
        <w:tc>
          <w:tcPr>
            <w:tcW w:w="4272" w:type="dxa"/>
            <w:vMerge w:val="continue"/>
            <w:tcBorders>
              <w:left w:val="single" w:color="auto" w:sz="4" w:space="0"/>
              <w:bottom w:val="single" w:color="auto" w:sz="4" w:space="0"/>
              <w:right w:val="single" w:color="auto" w:sz="4" w:space="0"/>
            </w:tcBorders>
            <w:noWrap w:val="0"/>
            <w:vAlign w:val="center"/>
          </w:tcPr>
          <w:p w14:paraId="4877BEE5">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p>
        </w:tc>
        <w:tc>
          <w:tcPr>
            <w:tcW w:w="952" w:type="dxa"/>
            <w:vMerge w:val="continue"/>
            <w:tcBorders>
              <w:left w:val="single" w:color="auto" w:sz="4" w:space="0"/>
              <w:bottom w:val="single" w:color="auto" w:sz="4" w:space="0"/>
              <w:right w:val="single" w:color="auto" w:sz="4" w:space="0"/>
            </w:tcBorders>
            <w:noWrap w:val="0"/>
            <w:vAlign w:val="center"/>
          </w:tcPr>
          <w:p w14:paraId="5359645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08" w:type="dxa"/>
            <w:vMerge w:val="continue"/>
            <w:tcBorders>
              <w:left w:val="single" w:color="auto" w:sz="4" w:space="0"/>
              <w:bottom w:val="single" w:color="auto" w:sz="4" w:space="0"/>
              <w:right w:val="single" w:color="auto" w:sz="4" w:space="0"/>
            </w:tcBorders>
            <w:noWrap w:val="0"/>
            <w:vAlign w:val="center"/>
          </w:tcPr>
          <w:p w14:paraId="5F225DA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r>
      <w:tr w14:paraId="18D57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07" w:type="dxa"/>
            <w:vMerge w:val="continue"/>
            <w:tcBorders>
              <w:left w:val="single" w:color="auto" w:sz="4" w:space="0"/>
              <w:right w:val="single" w:color="auto" w:sz="4" w:space="0"/>
            </w:tcBorders>
            <w:noWrap w:val="0"/>
            <w:vAlign w:val="center"/>
          </w:tcPr>
          <w:p w14:paraId="26D0862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550" w:type="dxa"/>
            <w:vMerge w:val="continue"/>
            <w:tcBorders>
              <w:left w:val="single" w:color="auto" w:sz="4" w:space="0"/>
              <w:right w:val="single" w:color="auto" w:sz="4" w:space="0"/>
            </w:tcBorders>
            <w:noWrap w:val="0"/>
            <w:vAlign w:val="center"/>
          </w:tcPr>
          <w:p w14:paraId="447844A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746" w:type="dxa"/>
            <w:vMerge w:val="continue"/>
            <w:tcBorders>
              <w:left w:val="single" w:color="auto" w:sz="4" w:space="0"/>
              <w:bottom w:val="single" w:color="auto" w:sz="4" w:space="0"/>
              <w:right w:val="single" w:color="auto" w:sz="4" w:space="0"/>
            </w:tcBorders>
            <w:noWrap w:val="0"/>
            <w:vAlign w:val="center"/>
          </w:tcPr>
          <w:p w14:paraId="048B7B0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595" w:type="dxa"/>
            <w:vMerge w:val="continue"/>
            <w:tcBorders>
              <w:left w:val="single" w:color="auto" w:sz="4" w:space="0"/>
              <w:bottom w:val="single" w:color="auto" w:sz="4" w:space="0"/>
              <w:right w:val="single" w:color="auto" w:sz="4" w:space="0"/>
            </w:tcBorders>
            <w:noWrap w:val="0"/>
            <w:vAlign w:val="center"/>
          </w:tcPr>
          <w:p w14:paraId="7A575E2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725" w:type="dxa"/>
            <w:vMerge w:val="continue"/>
            <w:tcBorders>
              <w:left w:val="single" w:color="auto" w:sz="4" w:space="0"/>
              <w:bottom w:val="single" w:color="auto" w:sz="4" w:space="0"/>
              <w:right w:val="single" w:color="auto" w:sz="4" w:space="0"/>
            </w:tcBorders>
            <w:noWrap w:val="0"/>
            <w:vAlign w:val="center"/>
          </w:tcPr>
          <w:p w14:paraId="59E6292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420" w:type="dxa"/>
            <w:vMerge w:val="continue"/>
            <w:tcBorders>
              <w:left w:val="single" w:color="auto" w:sz="4" w:space="0"/>
              <w:bottom w:val="single" w:color="auto" w:sz="4" w:space="0"/>
              <w:right w:val="single" w:color="auto" w:sz="4" w:space="0"/>
            </w:tcBorders>
            <w:noWrap w:val="0"/>
            <w:vAlign w:val="center"/>
          </w:tcPr>
          <w:p w14:paraId="304AA27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2475" w:type="dxa"/>
            <w:vMerge w:val="continue"/>
            <w:tcBorders>
              <w:left w:val="single" w:color="auto" w:sz="4" w:space="0"/>
              <w:bottom w:val="single" w:color="auto" w:sz="4" w:space="0"/>
              <w:right w:val="single" w:color="auto" w:sz="4" w:space="0"/>
            </w:tcBorders>
            <w:noWrap w:val="0"/>
            <w:vAlign w:val="center"/>
          </w:tcPr>
          <w:p w14:paraId="7721BF22">
            <w:pPr>
              <w:rPr>
                <w:rFonts w:hint="eastAsia" w:ascii="宋体" w:hAnsi="宋体" w:eastAsia="宋体" w:cs="宋体"/>
                <w:color w:val="auto"/>
                <w:sz w:val="21"/>
                <w:szCs w:val="21"/>
                <w:highlight w:val="none"/>
              </w:rPr>
            </w:pPr>
          </w:p>
        </w:tc>
        <w:tc>
          <w:tcPr>
            <w:tcW w:w="1118" w:type="dxa"/>
            <w:vMerge w:val="continue"/>
            <w:tcBorders>
              <w:left w:val="single" w:color="auto" w:sz="4" w:space="0"/>
              <w:bottom w:val="single" w:color="auto" w:sz="4" w:space="0"/>
              <w:right w:val="single" w:color="auto" w:sz="4" w:space="0"/>
            </w:tcBorders>
            <w:noWrap w:val="0"/>
            <w:vAlign w:val="center"/>
          </w:tcPr>
          <w:p w14:paraId="7798FF6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p>
        </w:tc>
        <w:tc>
          <w:tcPr>
            <w:tcW w:w="4272" w:type="dxa"/>
            <w:vMerge w:val="continue"/>
            <w:tcBorders>
              <w:left w:val="single" w:color="auto" w:sz="4" w:space="0"/>
              <w:bottom w:val="single" w:color="auto" w:sz="4" w:space="0"/>
              <w:right w:val="single" w:color="auto" w:sz="4" w:space="0"/>
            </w:tcBorders>
            <w:noWrap w:val="0"/>
            <w:vAlign w:val="center"/>
          </w:tcPr>
          <w:p w14:paraId="0E731A8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p>
        </w:tc>
        <w:tc>
          <w:tcPr>
            <w:tcW w:w="952" w:type="dxa"/>
            <w:tcBorders>
              <w:top w:val="single" w:color="auto" w:sz="4" w:space="0"/>
              <w:left w:val="single" w:color="auto" w:sz="4" w:space="0"/>
              <w:bottom w:val="single" w:color="auto" w:sz="4" w:space="0"/>
              <w:right w:val="single" w:color="auto" w:sz="4" w:space="0"/>
            </w:tcBorders>
            <w:noWrap w:val="0"/>
            <w:vAlign w:val="center"/>
          </w:tcPr>
          <w:p w14:paraId="719DEFD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2人</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4A3EA52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1.5</w:t>
            </w:r>
          </w:p>
        </w:tc>
      </w:tr>
      <w:tr w14:paraId="3F821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1"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2AFD1D5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66CDAFB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46" w:type="dxa"/>
            <w:vMerge w:val="restart"/>
            <w:tcBorders>
              <w:top w:val="single" w:color="auto" w:sz="4" w:space="0"/>
              <w:left w:val="single" w:color="auto" w:sz="4" w:space="0"/>
              <w:right w:val="single" w:color="auto" w:sz="4" w:space="0"/>
            </w:tcBorders>
            <w:noWrap w:val="0"/>
            <w:vAlign w:val="center"/>
          </w:tcPr>
          <w:p w14:paraId="3CA1F9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产出质量</w:t>
            </w:r>
          </w:p>
        </w:tc>
        <w:tc>
          <w:tcPr>
            <w:tcW w:w="595" w:type="dxa"/>
            <w:vMerge w:val="restart"/>
            <w:tcBorders>
              <w:top w:val="single" w:color="auto" w:sz="4" w:space="0"/>
              <w:left w:val="single" w:color="auto" w:sz="4" w:space="0"/>
              <w:right w:val="single" w:color="auto" w:sz="4" w:space="0"/>
            </w:tcBorders>
            <w:noWrap w:val="0"/>
            <w:vAlign w:val="center"/>
          </w:tcPr>
          <w:p w14:paraId="7E90E48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10</w:t>
            </w:r>
          </w:p>
        </w:tc>
        <w:tc>
          <w:tcPr>
            <w:tcW w:w="725" w:type="dxa"/>
            <w:vMerge w:val="restart"/>
            <w:tcBorders>
              <w:top w:val="single" w:color="auto" w:sz="4" w:space="0"/>
              <w:left w:val="single" w:color="auto" w:sz="4" w:space="0"/>
              <w:right w:val="single" w:color="auto" w:sz="4" w:space="0"/>
            </w:tcBorders>
            <w:noWrap w:val="0"/>
            <w:vAlign w:val="center"/>
          </w:tcPr>
          <w:p w14:paraId="3DCE7A6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质量达标率</w:t>
            </w:r>
          </w:p>
        </w:tc>
        <w:tc>
          <w:tcPr>
            <w:tcW w:w="420" w:type="dxa"/>
            <w:vMerge w:val="restart"/>
            <w:tcBorders>
              <w:top w:val="single" w:color="auto" w:sz="4" w:space="0"/>
              <w:left w:val="single" w:color="auto" w:sz="4" w:space="0"/>
              <w:right w:val="single" w:color="auto" w:sz="4" w:space="0"/>
            </w:tcBorders>
            <w:noWrap w:val="0"/>
            <w:vAlign w:val="center"/>
          </w:tcPr>
          <w:p w14:paraId="49A8DA6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2475" w:type="dxa"/>
            <w:tcBorders>
              <w:top w:val="single" w:color="auto" w:sz="4" w:space="0"/>
              <w:left w:val="single" w:color="auto" w:sz="4" w:space="0"/>
              <w:bottom w:val="single" w:color="auto" w:sz="4" w:space="0"/>
              <w:right w:val="single" w:color="auto" w:sz="4" w:space="0"/>
            </w:tcBorders>
            <w:noWrap w:val="0"/>
            <w:vAlign w:val="center"/>
          </w:tcPr>
          <w:p w14:paraId="4BB3188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资金使用合规率</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DC8EB1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=100%</w:t>
            </w:r>
          </w:p>
        </w:tc>
        <w:tc>
          <w:tcPr>
            <w:tcW w:w="4272" w:type="dxa"/>
            <w:vMerge w:val="restart"/>
            <w:tcBorders>
              <w:top w:val="single" w:color="auto" w:sz="4" w:space="0"/>
              <w:left w:val="single" w:color="auto" w:sz="4" w:space="0"/>
              <w:right w:val="single" w:color="auto" w:sz="4" w:space="0"/>
            </w:tcBorders>
            <w:noWrap w:val="0"/>
            <w:vAlign w:val="center"/>
          </w:tcPr>
          <w:p w14:paraId="623E47A0">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若指标达到标杆值，则得100%权重分；否则，得分=（实际完成/预期完成）×100%×指标分值。</w:t>
            </w:r>
          </w:p>
          <w:p w14:paraId="5D8EF6F1">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若指标完成值达到标杆值，则得100%权重分；否则，不得分。</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241B747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100%</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692CD57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5</w:t>
            </w:r>
          </w:p>
        </w:tc>
      </w:tr>
      <w:tr w14:paraId="2D0DE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9"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0E65C36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3D63781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46" w:type="dxa"/>
            <w:vMerge w:val="continue"/>
            <w:tcBorders>
              <w:left w:val="single" w:color="auto" w:sz="4" w:space="0"/>
              <w:bottom w:val="single" w:color="auto" w:sz="4" w:space="0"/>
              <w:right w:val="single" w:color="auto" w:sz="4" w:space="0"/>
            </w:tcBorders>
            <w:noWrap w:val="0"/>
            <w:vAlign w:val="center"/>
          </w:tcPr>
          <w:p w14:paraId="6CD19F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595" w:type="dxa"/>
            <w:vMerge w:val="continue"/>
            <w:tcBorders>
              <w:left w:val="single" w:color="auto" w:sz="4" w:space="0"/>
              <w:bottom w:val="single" w:color="auto" w:sz="4" w:space="0"/>
              <w:right w:val="single" w:color="auto" w:sz="4" w:space="0"/>
            </w:tcBorders>
            <w:noWrap w:val="0"/>
            <w:vAlign w:val="center"/>
          </w:tcPr>
          <w:p w14:paraId="759B0EE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725" w:type="dxa"/>
            <w:vMerge w:val="continue"/>
            <w:tcBorders>
              <w:left w:val="single" w:color="auto" w:sz="4" w:space="0"/>
              <w:bottom w:val="single" w:color="auto" w:sz="4" w:space="0"/>
              <w:right w:val="single" w:color="auto" w:sz="4" w:space="0"/>
            </w:tcBorders>
            <w:noWrap w:val="0"/>
            <w:vAlign w:val="center"/>
          </w:tcPr>
          <w:p w14:paraId="38A1983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420" w:type="dxa"/>
            <w:vMerge w:val="continue"/>
            <w:tcBorders>
              <w:left w:val="single" w:color="auto" w:sz="4" w:space="0"/>
              <w:bottom w:val="single" w:color="auto" w:sz="4" w:space="0"/>
              <w:right w:val="single" w:color="auto" w:sz="4" w:space="0"/>
            </w:tcBorders>
            <w:noWrap w:val="0"/>
            <w:vAlign w:val="center"/>
          </w:tcPr>
          <w:p w14:paraId="5AFA669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2475" w:type="dxa"/>
            <w:tcBorders>
              <w:top w:val="single" w:color="auto" w:sz="4" w:space="0"/>
              <w:left w:val="single" w:color="auto" w:sz="4" w:space="0"/>
              <w:bottom w:val="single" w:color="auto" w:sz="4" w:space="0"/>
              <w:right w:val="single" w:color="auto" w:sz="4" w:space="0"/>
            </w:tcBorders>
            <w:noWrap w:val="0"/>
            <w:vAlign w:val="center"/>
          </w:tcPr>
          <w:p w14:paraId="572E6F0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补助发放合规率</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055616B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=100%</w:t>
            </w:r>
          </w:p>
        </w:tc>
        <w:tc>
          <w:tcPr>
            <w:tcW w:w="4272" w:type="dxa"/>
            <w:vMerge w:val="continue"/>
            <w:tcBorders>
              <w:left w:val="single" w:color="auto" w:sz="4" w:space="0"/>
              <w:right w:val="single" w:color="auto" w:sz="4" w:space="0"/>
            </w:tcBorders>
            <w:noWrap w:val="0"/>
            <w:vAlign w:val="center"/>
          </w:tcPr>
          <w:p w14:paraId="3159DE5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p>
        </w:tc>
        <w:tc>
          <w:tcPr>
            <w:tcW w:w="952" w:type="dxa"/>
            <w:tcBorders>
              <w:top w:val="single" w:color="auto" w:sz="4" w:space="0"/>
              <w:left w:val="single" w:color="auto" w:sz="4" w:space="0"/>
              <w:bottom w:val="single" w:color="auto" w:sz="4" w:space="0"/>
              <w:right w:val="single" w:color="auto" w:sz="4" w:space="0"/>
            </w:tcBorders>
            <w:noWrap w:val="0"/>
            <w:vAlign w:val="center"/>
          </w:tcPr>
          <w:p w14:paraId="0BF6032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100%</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1B9B80D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5</w:t>
            </w:r>
          </w:p>
        </w:tc>
      </w:tr>
      <w:tr w14:paraId="401B8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3553625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4780CEE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46" w:type="dxa"/>
            <w:vMerge w:val="restart"/>
            <w:tcBorders>
              <w:top w:val="single" w:color="auto" w:sz="4" w:space="0"/>
              <w:left w:val="single" w:color="auto" w:sz="4" w:space="0"/>
              <w:right w:val="single" w:color="auto" w:sz="4" w:space="0"/>
            </w:tcBorders>
            <w:noWrap w:val="0"/>
            <w:vAlign w:val="center"/>
          </w:tcPr>
          <w:p w14:paraId="2C17DE7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产出时效</w:t>
            </w:r>
          </w:p>
        </w:tc>
        <w:tc>
          <w:tcPr>
            <w:tcW w:w="595" w:type="dxa"/>
            <w:vMerge w:val="restart"/>
            <w:tcBorders>
              <w:top w:val="single" w:color="auto" w:sz="4" w:space="0"/>
              <w:left w:val="single" w:color="auto" w:sz="4" w:space="0"/>
              <w:right w:val="single" w:color="auto" w:sz="4" w:space="0"/>
            </w:tcBorders>
            <w:noWrap w:val="0"/>
            <w:vAlign w:val="center"/>
          </w:tcPr>
          <w:p w14:paraId="3F630AC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10</w:t>
            </w:r>
          </w:p>
        </w:tc>
        <w:tc>
          <w:tcPr>
            <w:tcW w:w="725" w:type="dxa"/>
            <w:vMerge w:val="restart"/>
            <w:tcBorders>
              <w:top w:val="single" w:color="auto" w:sz="4" w:space="0"/>
              <w:left w:val="single" w:color="auto" w:sz="4" w:space="0"/>
              <w:right w:val="single" w:color="auto" w:sz="4" w:space="0"/>
            </w:tcBorders>
            <w:noWrap w:val="0"/>
            <w:vAlign w:val="center"/>
          </w:tcPr>
          <w:p w14:paraId="18F09FF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完成及时率</w:t>
            </w:r>
          </w:p>
        </w:tc>
        <w:tc>
          <w:tcPr>
            <w:tcW w:w="420" w:type="dxa"/>
            <w:vMerge w:val="restart"/>
            <w:tcBorders>
              <w:top w:val="single" w:color="auto" w:sz="4" w:space="0"/>
              <w:left w:val="single" w:color="auto" w:sz="4" w:space="0"/>
              <w:right w:val="single" w:color="auto" w:sz="4" w:space="0"/>
            </w:tcBorders>
            <w:noWrap w:val="0"/>
            <w:vAlign w:val="center"/>
          </w:tcPr>
          <w:p w14:paraId="4B31129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2475" w:type="dxa"/>
            <w:tcBorders>
              <w:top w:val="single" w:color="auto" w:sz="4" w:space="0"/>
              <w:left w:val="single" w:color="auto" w:sz="4" w:space="0"/>
              <w:bottom w:val="single" w:color="auto" w:sz="4" w:space="0"/>
              <w:right w:val="single" w:color="auto" w:sz="4" w:space="0"/>
            </w:tcBorders>
            <w:noWrap w:val="0"/>
            <w:vAlign w:val="center"/>
          </w:tcPr>
          <w:p w14:paraId="45A8024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项目完成时间</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6E0D97C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2024年12月</w:t>
            </w:r>
          </w:p>
        </w:tc>
        <w:tc>
          <w:tcPr>
            <w:tcW w:w="4272" w:type="dxa"/>
            <w:vMerge w:val="restart"/>
            <w:tcBorders>
              <w:top w:val="single" w:color="auto" w:sz="4" w:space="0"/>
              <w:left w:val="single" w:color="auto" w:sz="4" w:space="0"/>
              <w:right w:val="single" w:color="auto" w:sz="4" w:space="0"/>
            </w:tcBorders>
            <w:noWrap w:val="0"/>
            <w:vAlign w:val="center"/>
          </w:tcPr>
          <w:p w14:paraId="58857F21">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若指标完成值达到标杆值，则得100%权重分；否则，得分=（实际完成/预期完成）×100%×指标分值。</w:t>
            </w:r>
          </w:p>
          <w:p w14:paraId="1CA420F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若在规定时间内完成，得100%权重分；若未在规定的时间内完成，得分=（1-未在规定时间内完成工作数/实际完成工作总数）×分值。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29CA0F7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2024年12月</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3131FCF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5</w:t>
            </w:r>
          </w:p>
        </w:tc>
      </w:tr>
      <w:tr w14:paraId="6CFC4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1"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2E8AABE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0D78E66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46" w:type="dxa"/>
            <w:vMerge w:val="continue"/>
            <w:tcBorders>
              <w:left w:val="single" w:color="auto" w:sz="4" w:space="0"/>
              <w:right w:val="single" w:color="auto" w:sz="4" w:space="0"/>
            </w:tcBorders>
            <w:noWrap w:val="0"/>
            <w:vAlign w:val="center"/>
          </w:tcPr>
          <w:p w14:paraId="6660C14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595" w:type="dxa"/>
            <w:vMerge w:val="continue"/>
            <w:tcBorders>
              <w:left w:val="single" w:color="auto" w:sz="4" w:space="0"/>
              <w:right w:val="single" w:color="auto" w:sz="4" w:space="0"/>
            </w:tcBorders>
            <w:noWrap w:val="0"/>
            <w:vAlign w:val="center"/>
          </w:tcPr>
          <w:p w14:paraId="5EFAE36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725" w:type="dxa"/>
            <w:vMerge w:val="continue"/>
            <w:tcBorders>
              <w:left w:val="single" w:color="auto" w:sz="4" w:space="0"/>
              <w:right w:val="single" w:color="auto" w:sz="4" w:space="0"/>
            </w:tcBorders>
            <w:noWrap w:val="0"/>
            <w:vAlign w:val="center"/>
          </w:tcPr>
          <w:p w14:paraId="25DF8C2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420" w:type="dxa"/>
            <w:vMerge w:val="continue"/>
            <w:tcBorders>
              <w:left w:val="single" w:color="auto" w:sz="4" w:space="0"/>
              <w:right w:val="single" w:color="auto" w:sz="4" w:space="0"/>
            </w:tcBorders>
            <w:noWrap w:val="0"/>
            <w:vAlign w:val="center"/>
          </w:tcPr>
          <w:p w14:paraId="4FACC8F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2475" w:type="dxa"/>
            <w:tcBorders>
              <w:top w:val="single" w:color="auto" w:sz="4" w:space="0"/>
              <w:left w:val="single" w:color="auto" w:sz="4" w:space="0"/>
              <w:right w:val="single" w:color="auto" w:sz="4" w:space="0"/>
            </w:tcBorders>
            <w:noWrap w:val="0"/>
            <w:vAlign w:val="center"/>
          </w:tcPr>
          <w:p w14:paraId="55E92F3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资金支付及时率</w:t>
            </w:r>
          </w:p>
        </w:tc>
        <w:tc>
          <w:tcPr>
            <w:tcW w:w="1118" w:type="dxa"/>
            <w:tcBorders>
              <w:top w:val="single" w:color="auto" w:sz="4" w:space="0"/>
              <w:left w:val="single" w:color="auto" w:sz="4" w:space="0"/>
              <w:right w:val="single" w:color="auto" w:sz="4" w:space="0"/>
            </w:tcBorders>
            <w:noWrap w:val="0"/>
            <w:vAlign w:val="center"/>
          </w:tcPr>
          <w:p w14:paraId="0979F33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=100%</w:t>
            </w:r>
          </w:p>
        </w:tc>
        <w:tc>
          <w:tcPr>
            <w:tcW w:w="4272" w:type="dxa"/>
            <w:vMerge w:val="continue"/>
            <w:tcBorders>
              <w:left w:val="single" w:color="auto" w:sz="4" w:space="0"/>
              <w:right w:val="single" w:color="auto" w:sz="4" w:space="0"/>
            </w:tcBorders>
            <w:noWrap w:val="0"/>
            <w:vAlign w:val="center"/>
          </w:tcPr>
          <w:p w14:paraId="0C2DE922">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p>
        </w:tc>
        <w:tc>
          <w:tcPr>
            <w:tcW w:w="952" w:type="dxa"/>
            <w:tcBorders>
              <w:top w:val="single" w:color="auto" w:sz="4" w:space="0"/>
              <w:left w:val="single" w:color="auto" w:sz="4" w:space="0"/>
              <w:bottom w:val="single" w:color="auto" w:sz="4" w:space="0"/>
              <w:right w:val="single" w:color="auto" w:sz="4" w:space="0"/>
            </w:tcBorders>
            <w:noWrap w:val="0"/>
            <w:vAlign w:val="center"/>
          </w:tcPr>
          <w:p w14:paraId="29BA303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100%</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0BCDE46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5</w:t>
            </w:r>
          </w:p>
        </w:tc>
      </w:tr>
      <w:tr w14:paraId="25589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8"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36B7EB4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2F1E42A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46" w:type="dxa"/>
            <w:vMerge w:val="restart"/>
            <w:tcBorders>
              <w:top w:val="single" w:color="auto" w:sz="4" w:space="0"/>
              <w:left w:val="single" w:color="auto" w:sz="4" w:space="0"/>
              <w:right w:val="single" w:color="auto" w:sz="4" w:space="0"/>
            </w:tcBorders>
            <w:noWrap w:val="0"/>
            <w:vAlign w:val="center"/>
          </w:tcPr>
          <w:p w14:paraId="4EFF784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产出成本</w:t>
            </w:r>
          </w:p>
        </w:tc>
        <w:tc>
          <w:tcPr>
            <w:tcW w:w="595" w:type="dxa"/>
            <w:vMerge w:val="restart"/>
            <w:tcBorders>
              <w:top w:val="single" w:color="auto" w:sz="4" w:space="0"/>
              <w:left w:val="single" w:color="auto" w:sz="4" w:space="0"/>
              <w:right w:val="single" w:color="auto" w:sz="4" w:space="0"/>
            </w:tcBorders>
            <w:noWrap w:val="0"/>
            <w:vAlign w:val="center"/>
          </w:tcPr>
          <w:p w14:paraId="082E81B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10</w:t>
            </w:r>
          </w:p>
        </w:tc>
        <w:tc>
          <w:tcPr>
            <w:tcW w:w="725" w:type="dxa"/>
            <w:vMerge w:val="restart"/>
            <w:tcBorders>
              <w:top w:val="single" w:color="auto" w:sz="4" w:space="0"/>
              <w:left w:val="single" w:color="auto" w:sz="4" w:space="0"/>
              <w:right w:val="single" w:color="auto" w:sz="4" w:space="0"/>
            </w:tcBorders>
            <w:noWrap w:val="0"/>
            <w:vAlign w:val="center"/>
          </w:tcPr>
          <w:p w14:paraId="56CB4F0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成本节约率</w:t>
            </w:r>
          </w:p>
        </w:tc>
        <w:tc>
          <w:tcPr>
            <w:tcW w:w="420" w:type="dxa"/>
            <w:vMerge w:val="restart"/>
            <w:tcBorders>
              <w:top w:val="single" w:color="auto" w:sz="4" w:space="0"/>
              <w:left w:val="single" w:color="auto" w:sz="4" w:space="0"/>
              <w:right w:val="single" w:color="auto" w:sz="4" w:space="0"/>
            </w:tcBorders>
            <w:noWrap w:val="0"/>
            <w:vAlign w:val="center"/>
          </w:tcPr>
          <w:p w14:paraId="40D572E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10</w:t>
            </w:r>
          </w:p>
        </w:tc>
        <w:tc>
          <w:tcPr>
            <w:tcW w:w="2475" w:type="dxa"/>
            <w:tcBorders>
              <w:top w:val="single" w:color="auto" w:sz="4" w:space="0"/>
              <w:left w:val="single" w:color="auto" w:sz="4" w:space="0"/>
              <w:bottom w:val="single" w:color="auto" w:sz="4" w:space="0"/>
              <w:right w:val="single" w:color="auto" w:sz="4" w:space="0"/>
            </w:tcBorders>
            <w:noWrap w:val="0"/>
            <w:vAlign w:val="center"/>
          </w:tcPr>
          <w:p w14:paraId="3F97DC0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免学费补助</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503A2F4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&gt;=125.10万元</w:t>
            </w:r>
          </w:p>
        </w:tc>
        <w:tc>
          <w:tcPr>
            <w:tcW w:w="4272" w:type="dxa"/>
            <w:vMerge w:val="restart"/>
            <w:tcBorders>
              <w:top w:val="single" w:color="auto" w:sz="4" w:space="0"/>
              <w:left w:val="single" w:color="auto" w:sz="4" w:space="0"/>
              <w:right w:val="single" w:color="auto" w:sz="4" w:space="0"/>
            </w:tcBorders>
            <w:noWrap w:val="0"/>
            <w:vAlign w:val="center"/>
          </w:tcPr>
          <w:p w14:paraId="45E4840E">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实际完成率=（实际支付资金数/计划应支付资金数）×100%。</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①实际完成率＞年度指标值，得0得分；</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②实际完成率≤年度指标值，且偏离程度＜20%，得满分；</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③实际完成率＜年度指标值，且偏离程度≥20%，得分=实际完成率×分值。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109B7E2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125.10万元</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2CA3929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5</w:t>
            </w:r>
          </w:p>
        </w:tc>
      </w:tr>
      <w:tr w14:paraId="3BFB9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4" w:hRule="atLeast"/>
        </w:trPr>
        <w:tc>
          <w:tcPr>
            <w:tcW w:w="1007" w:type="dxa"/>
            <w:vMerge w:val="continue"/>
            <w:tcBorders>
              <w:left w:val="single" w:color="auto" w:sz="4" w:space="0"/>
              <w:bottom w:val="single" w:color="auto" w:sz="4" w:space="0"/>
              <w:right w:val="single" w:color="auto" w:sz="4" w:space="0"/>
            </w:tcBorders>
            <w:noWrap w:val="0"/>
            <w:vAlign w:val="center"/>
          </w:tcPr>
          <w:p w14:paraId="7FAFE66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50" w:type="dxa"/>
            <w:vMerge w:val="continue"/>
            <w:tcBorders>
              <w:left w:val="single" w:color="auto" w:sz="4" w:space="0"/>
              <w:bottom w:val="single" w:color="auto" w:sz="4" w:space="0"/>
              <w:right w:val="single" w:color="auto" w:sz="4" w:space="0"/>
            </w:tcBorders>
            <w:noWrap w:val="0"/>
            <w:vAlign w:val="center"/>
          </w:tcPr>
          <w:p w14:paraId="2A77C09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46" w:type="dxa"/>
            <w:vMerge w:val="continue"/>
            <w:tcBorders>
              <w:left w:val="single" w:color="auto" w:sz="4" w:space="0"/>
              <w:bottom w:val="single" w:color="auto" w:sz="4" w:space="0"/>
              <w:right w:val="single" w:color="auto" w:sz="4" w:space="0"/>
            </w:tcBorders>
            <w:noWrap w:val="0"/>
            <w:vAlign w:val="center"/>
          </w:tcPr>
          <w:p w14:paraId="02B1042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595" w:type="dxa"/>
            <w:vMerge w:val="continue"/>
            <w:tcBorders>
              <w:left w:val="single" w:color="auto" w:sz="4" w:space="0"/>
              <w:bottom w:val="single" w:color="auto" w:sz="4" w:space="0"/>
              <w:right w:val="single" w:color="auto" w:sz="4" w:space="0"/>
            </w:tcBorders>
            <w:noWrap w:val="0"/>
            <w:vAlign w:val="center"/>
          </w:tcPr>
          <w:p w14:paraId="36FFFEE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725" w:type="dxa"/>
            <w:vMerge w:val="continue"/>
            <w:tcBorders>
              <w:left w:val="single" w:color="auto" w:sz="4" w:space="0"/>
              <w:bottom w:val="single" w:color="auto" w:sz="4" w:space="0"/>
              <w:right w:val="single" w:color="auto" w:sz="4" w:space="0"/>
            </w:tcBorders>
            <w:noWrap w:val="0"/>
            <w:vAlign w:val="center"/>
          </w:tcPr>
          <w:p w14:paraId="151AE48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p>
        </w:tc>
        <w:tc>
          <w:tcPr>
            <w:tcW w:w="420" w:type="dxa"/>
            <w:vMerge w:val="continue"/>
            <w:tcBorders>
              <w:left w:val="single" w:color="auto" w:sz="4" w:space="0"/>
              <w:bottom w:val="single" w:color="auto" w:sz="4" w:space="0"/>
              <w:right w:val="single" w:color="auto" w:sz="4" w:space="0"/>
            </w:tcBorders>
            <w:noWrap w:val="0"/>
            <w:vAlign w:val="center"/>
          </w:tcPr>
          <w:p w14:paraId="1787E99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2475" w:type="dxa"/>
            <w:tcBorders>
              <w:top w:val="single" w:color="auto" w:sz="4" w:space="0"/>
              <w:left w:val="single" w:color="auto" w:sz="4" w:space="0"/>
              <w:bottom w:val="single" w:color="auto" w:sz="4" w:space="0"/>
              <w:right w:val="single" w:color="auto" w:sz="4" w:space="0"/>
            </w:tcBorders>
            <w:noWrap w:val="0"/>
            <w:vAlign w:val="center"/>
          </w:tcPr>
          <w:p w14:paraId="14C432E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助学金补助</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1B0A5A6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&gt;=79.78万元</w:t>
            </w:r>
          </w:p>
        </w:tc>
        <w:tc>
          <w:tcPr>
            <w:tcW w:w="4272" w:type="dxa"/>
            <w:vMerge w:val="continue"/>
            <w:tcBorders>
              <w:left w:val="single" w:color="auto" w:sz="4" w:space="0"/>
              <w:bottom w:val="single" w:color="auto" w:sz="4" w:space="0"/>
              <w:right w:val="single" w:color="auto" w:sz="4" w:space="0"/>
            </w:tcBorders>
            <w:noWrap w:val="0"/>
            <w:vAlign w:val="center"/>
          </w:tcPr>
          <w:p w14:paraId="0FB49A4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p>
        </w:tc>
        <w:tc>
          <w:tcPr>
            <w:tcW w:w="952" w:type="dxa"/>
            <w:tcBorders>
              <w:top w:val="single" w:color="auto" w:sz="4" w:space="0"/>
              <w:left w:val="single" w:color="auto" w:sz="4" w:space="0"/>
              <w:bottom w:val="single" w:color="auto" w:sz="4" w:space="0"/>
              <w:right w:val="single" w:color="auto" w:sz="4" w:space="0"/>
            </w:tcBorders>
            <w:noWrap w:val="0"/>
            <w:vAlign w:val="center"/>
          </w:tcPr>
          <w:p w14:paraId="5C18CC7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79.78万元</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506ECD1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5</w:t>
            </w:r>
          </w:p>
        </w:tc>
      </w:tr>
      <w:tr w14:paraId="4F863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1007" w:type="dxa"/>
            <w:vMerge w:val="restart"/>
            <w:tcBorders>
              <w:top w:val="single" w:color="auto" w:sz="4" w:space="0"/>
              <w:left w:val="single" w:color="auto" w:sz="4" w:space="0"/>
              <w:bottom w:val="single" w:color="auto" w:sz="4" w:space="0"/>
              <w:right w:val="single" w:color="auto" w:sz="4" w:space="0"/>
            </w:tcBorders>
            <w:noWrap w:val="0"/>
            <w:vAlign w:val="center"/>
          </w:tcPr>
          <w:p w14:paraId="5FA350C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项目效益</w:t>
            </w:r>
          </w:p>
        </w:tc>
        <w:tc>
          <w:tcPr>
            <w:tcW w:w="550" w:type="dxa"/>
            <w:vMerge w:val="restart"/>
            <w:tcBorders>
              <w:top w:val="single" w:color="auto" w:sz="4" w:space="0"/>
              <w:left w:val="single" w:color="auto" w:sz="4" w:space="0"/>
              <w:bottom w:val="single" w:color="auto" w:sz="4" w:space="0"/>
              <w:right w:val="single" w:color="auto" w:sz="4" w:space="0"/>
            </w:tcBorders>
            <w:noWrap w:val="0"/>
            <w:vAlign w:val="center"/>
          </w:tcPr>
          <w:p w14:paraId="094F52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25</w:t>
            </w:r>
          </w:p>
        </w:tc>
        <w:tc>
          <w:tcPr>
            <w:tcW w:w="746" w:type="dxa"/>
            <w:vMerge w:val="restart"/>
            <w:tcBorders>
              <w:top w:val="single" w:color="auto" w:sz="4" w:space="0"/>
              <w:left w:val="single" w:color="auto" w:sz="4" w:space="0"/>
              <w:bottom w:val="single" w:color="auto" w:sz="4" w:space="0"/>
              <w:right w:val="single" w:color="auto" w:sz="4" w:space="0"/>
            </w:tcBorders>
            <w:noWrap w:val="0"/>
            <w:vAlign w:val="center"/>
          </w:tcPr>
          <w:p w14:paraId="0F6CCE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项目效益</w:t>
            </w:r>
          </w:p>
        </w:tc>
        <w:tc>
          <w:tcPr>
            <w:tcW w:w="595" w:type="dxa"/>
            <w:vMerge w:val="restart"/>
            <w:tcBorders>
              <w:top w:val="single" w:color="auto" w:sz="4" w:space="0"/>
              <w:left w:val="single" w:color="auto" w:sz="4" w:space="0"/>
              <w:bottom w:val="single" w:color="auto" w:sz="4" w:space="0"/>
              <w:right w:val="single" w:color="auto" w:sz="4" w:space="0"/>
            </w:tcBorders>
            <w:noWrap w:val="0"/>
            <w:vAlign w:val="center"/>
          </w:tcPr>
          <w:p w14:paraId="4A3C6FA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25</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612A1FE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社会效益</w:t>
            </w:r>
          </w:p>
        </w:tc>
        <w:tc>
          <w:tcPr>
            <w:tcW w:w="420" w:type="dxa"/>
            <w:tcBorders>
              <w:top w:val="single" w:color="auto" w:sz="4" w:space="0"/>
              <w:left w:val="single" w:color="auto" w:sz="4" w:space="0"/>
              <w:bottom w:val="single" w:color="auto" w:sz="4" w:space="0"/>
              <w:right w:val="single" w:color="auto" w:sz="4" w:space="0"/>
            </w:tcBorders>
            <w:noWrap w:val="0"/>
            <w:vAlign w:val="center"/>
          </w:tcPr>
          <w:p w14:paraId="77F17D1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15</w:t>
            </w:r>
          </w:p>
        </w:tc>
        <w:tc>
          <w:tcPr>
            <w:tcW w:w="2475" w:type="dxa"/>
            <w:tcBorders>
              <w:top w:val="single" w:color="auto" w:sz="4" w:space="0"/>
              <w:left w:val="single" w:color="auto" w:sz="4" w:space="0"/>
              <w:bottom w:val="single" w:color="auto" w:sz="4" w:space="0"/>
              <w:right w:val="single" w:color="auto" w:sz="4" w:space="0"/>
            </w:tcBorders>
            <w:noWrap w:val="0"/>
            <w:vAlign w:val="center"/>
          </w:tcPr>
          <w:p w14:paraId="77F0868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改善教学质量</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51F81A7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lang w:eastAsia="zh-CN"/>
              </w:rPr>
              <w:t>有效改善</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2D576A6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按评判等级赋分。分为基本达成目标、部分实现目标、实现目标程度较低三个档次，并分别按照该指标对应分值区间100%-80%（含）、80%-60%（含）、60%-0%合理确定分值。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5FA6D8C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eastAsia="zh-CN"/>
              </w:rPr>
              <w:t>有效改善</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10E7C16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15</w:t>
            </w:r>
          </w:p>
        </w:tc>
      </w:tr>
      <w:tr w14:paraId="0025E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3CB9E51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190DA0B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46" w:type="dxa"/>
            <w:vMerge w:val="continue"/>
            <w:tcBorders>
              <w:top w:val="single" w:color="auto" w:sz="4" w:space="0"/>
              <w:left w:val="single" w:color="auto" w:sz="4" w:space="0"/>
              <w:bottom w:val="single" w:color="auto" w:sz="4" w:space="0"/>
              <w:right w:val="single" w:color="auto" w:sz="4" w:space="0"/>
            </w:tcBorders>
            <w:noWrap w:val="0"/>
            <w:vAlign w:val="center"/>
          </w:tcPr>
          <w:p w14:paraId="1278AFD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95" w:type="dxa"/>
            <w:vMerge w:val="continue"/>
            <w:tcBorders>
              <w:top w:val="single" w:color="auto" w:sz="4" w:space="0"/>
              <w:left w:val="single" w:color="auto" w:sz="4" w:space="0"/>
              <w:bottom w:val="single" w:color="auto" w:sz="4" w:space="0"/>
              <w:right w:val="single" w:color="auto" w:sz="4" w:space="0"/>
            </w:tcBorders>
            <w:noWrap w:val="0"/>
            <w:vAlign w:val="center"/>
          </w:tcPr>
          <w:p w14:paraId="19655E3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1E85047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服务对象满意度</w:t>
            </w:r>
          </w:p>
        </w:tc>
        <w:tc>
          <w:tcPr>
            <w:tcW w:w="420" w:type="dxa"/>
            <w:tcBorders>
              <w:top w:val="single" w:color="auto" w:sz="4" w:space="0"/>
              <w:left w:val="single" w:color="auto" w:sz="4" w:space="0"/>
              <w:bottom w:val="single" w:color="auto" w:sz="4" w:space="0"/>
              <w:right w:val="single" w:color="auto" w:sz="4" w:space="0"/>
            </w:tcBorders>
            <w:noWrap w:val="0"/>
            <w:vAlign w:val="center"/>
          </w:tcPr>
          <w:p w14:paraId="657301C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10</w:t>
            </w:r>
          </w:p>
        </w:tc>
        <w:tc>
          <w:tcPr>
            <w:tcW w:w="2475" w:type="dxa"/>
            <w:tcBorders>
              <w:top w:val="single" w:color="auto" w:sz="4" w:space="0"/>
              <w:left w:val="single" w:color="auto" w:sz="4" w:space="0"/>
              <w:bottom w:val="single" w:color="auto" w:sz="4" w:space="0"/>
              <w:right w:val="single" w:color="auto" w:sz="4" w:space="0"/>
            </w:tcBorders>
            <w:noWrap w:val="0"/>
            <w:vAlign w:val="center"/>
          </w:tcPr>
          <w:p w14:paraId="3324740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lang w:eastAsia="zh-CN"/>
              </w:rPr>
              <w:t>师生满意度</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5923F2E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&gt;=95%</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6BDAC10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根据问卷调查，满意度达到标杆值，得权重分的100%；否则低于95%，得分=实际满意度*指标分值。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46EEC71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rPr>
              <w:t>=95%</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12E45D2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10</w:t>
            </w:r>
          </w:p>
        </w:tc>
      </w:tr>
      <w:tr w14:paraId="3B30C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07" w:type="dxa"/>
            <w:tcBorders>
              <w:top w:val="single" w:color="auto" w:sz="4" w:space="0"/>
              <w:left w:val="single" w:color="auto" w:sz="4" w:space="0"/>
              <w:bottom w:val="single" w:color="auto" w:sz="4" w:space="0"/>
              <w:right w:val="single" w:color="auto" w:sz="4" w:space="0"/>
            </w:tcBorders>
            <w:noWrap w:val="0"/>
            <w:vAlign w:val="center"/>
          </w:tcPr>
          <w:p w14:paraId="1E10E74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总分</w:t>
            </w:r>
          </w:p>
        </w:tc>
        <w:tc>
          <w:tcPr>
            <w:tcW w:w="550" w:type="dxa"/>
            <w:tcBorders>
              <w:top w:val="single" w:color="auto" w:sz="4" w:space="0"/>
              <w:left w:val="single" w:color="auto" w:sz="4" w:space="0"/>
              <w:bottom w:val="single" w:color="auto" w:sz="4" w:space="0"/>
              <w:right w:val="single" w:color="auto" w:sz="4" w:space="0"/>
            </w:tcBorders>
            <w:noWrap w:val="0"/>
            <w:vAlign w:val="center"/>
          </w:tcPr>
          <w:p w14:paraId="71F79A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100</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2111061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95" w:type="dxa"/>
            <w:tcBorders>
              <w:top w:val="single" w:color="auto" w:sz="4" w:space="0"/>
              <w:left w:val="single" w:color="auto" w:sz="4" w:space="0"/>
              <w:bottom w:val="single" w:color="auto" w:sz="4" w:space="0"/>
              <w:right w:val="single" w:color="auto" w:sz="4" w:space="0"/>
            </w:tcBorders>
            <w:noWrap w:val="0"/>
            <w:vAlign w:val="center"/>
          </w:tcPr>
          <w:p w14:paraId="473895E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100</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6CCF2AA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14:paraId="6A556A6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100</w:t>
            </w:r>
          </w:p>
        </w:tc>
        <w:tc>
          <w:tcPr>
            <w:tcW w:w="2475" w:type="dxa"/>
            <w:tcBorders>
              <w:top w:val="single" w:color="auto" w:sz="4" w:space="0"/>
              <w:left w:val="single" w:color="auto" w:sz="4" w:space="0"/>
              <w:bottom w:val="single" w:color="auto" w:sz="4" w:space="0"/>
              <w:right w:val="single" w:color="auto" w:sz="4" w:space="0"/>
            </w:tcBorders>
            <w:noWrap w:val="0"/>
            <w:vAlign w:val="center"/>
          </w:tcPr>
          <w:p w14:paraId="18A6AEE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14:paraId="0D6DDB1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046FE49A">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highlight w:val="none"/>
                <w:u w:val="none"/>
              </w:rPr>
            </w:pPr>
          </w:p>
        </w:tc>
        <w:tc>
          <w:tcPr>
            <w:tcW w:w="952" w:type="dxa"/>
            <w:tcBorders>
              <w:top w:val="single" w:color="auto" w:sz="4" w:space="0"/>
              <w:left w:val="single" w:color="auto" w:sz="4" w:space="0"/>
              <w:bottom w:val="single" w:color="auto" w:sz="4" w:space="0"/>
              <w:right w:val="single" w:color="auto" w:sz="4" w:space="0"/>
            </w:tcBorders>
            <w:noWrap w:val="0"/>
            <w:vAlign w:val="center"/>
          </w:tcPr>
          <w:p w14:paraId="16F2EA8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508" w:type="dxa"/>
            <w:tcBorders>
              <w:top w:val="single" w:color="auto" w:sz="4" w:space="0"/>
              <w:left w:val="single" w:color="auto" w:sz="4" w:space="0"/>
              <w:bottom w:val="single" w:color="auto" w:sz="4" w:space="0"/>
              <w:right w:val="single" w:color="auto" w:sz="4" w:space="0"/>
            </w:tcBorders>
            <w:noWrap w:val="0"/>
            <w:vAlign w:val="center"/>
          </w:tcPr>
          <w:p w14:paraId="7DC66AA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100</w:t>
            </w:r>
          </w:p>
        </w:tc>
      </w:tr>
    </w:tbl>
    <w:p w14:paraId="3EF4343C">
      <w:pPr>
        <w:pStyle w:val="10"/>
        <w:ind w:left="0" w:leftChars="0" w:firstLine="0" w:firstLineChars="0"/>
        <w:jc w:val="both"/>
        <w:rPr>
          <w:rFonts w:hint="eastAsia" w:ascii="宋体" w:hAnsi="宋体" w:eastAsia="宋体" w:cs="宋体"/>
          <w:color w:val="auto"/>
          <w:sz w:val="24"/>
          <w:szCs w:val="24"/>
          <w:lang w:eastAsia="zh-CN"/>
        </w:rPr>
      </w:pPr>
    </w:p>
    <w:p w14:paraId="25351911">
      <w:pPr>
        <w:pStyle w:val="10"/>
        <w:ind w:left="0" w:leftChars="0" w:firstLine="0" w:firstLineChars="0"/>
        <w:jc w:val="both"/>
        <w:rPr>
          <w:rFonts w:hint="eastAsia" w:ascii="宋体" w:hAnsi="宋体" w:eastAsia="宋体" w:cs="宋体"/>
          <w:color w:val="auto"/>
          <w:sz w:val="24"/>
          <w:szCs w:val="24"/>
          <w:lang w:eastAsia="zh-CN"/>
        </w:rPr>
      </w:pPr>
    </w:p>
    <w:p w14:paraId="30EE0E9F">
      <w:pPr>
        <w:pStyle w:val="10"/>
        <w:ind w:left="0" w:leftChars="0" w:firstLine="0" w:firstLineChars="0"/>
        <w:jc w:val="both"/>
        <w:rPr>
          <w:rFonts w:hint="eastAsia" w:ascii="宋体" w:hAnsi="宋体" w:eastAsia="宋体" w:cs="宋体"/>
          <w:color w:val="auto"/>
          <w:sz w:val="24"/>
          <w:szCs w:val="24"/>
          <w:lang w:eastAsia="zh-CN"/>
        </w:rPr>
      </w:pPr>
    </w:p>
    <w:p w14:paraId="10AB2E38">
      <w:pPr>
        <w:pStyle w:val="10"/>
        <w:ind w:left="0" w:leftChars="0" w:firstLine="0" w:firstLineChars="0"/>
        <w:jc w:val="both"/>
        <w:rPr>
          <w:rFonts w:hint="eastAsia" w:ascii="宋体" w:hAnsi="宋体" w:eastAsia="宋体" w:cs="宋体"/>
          <w:color w:val="auto"/>
          <w:sz w:val="24"/>
          <w:szCs w:val="24"/>
          <w:lang w:eastAsia="zh-CN"/>
        </w:rPr>
      </w:pPr>
    </w:p>
    <w:p w14:paraId="48F8D2E3">
      <w:pPr>
        <w:pStyle w:val="10"/>
        <w:ind w:left="0" w:leftChars="0" w:firstLine="0" w:firstLineChars="0"/>
        <w:jc w:val="both"/>
        <w:rPr>
          <w:rFonts w:hint="eastAsia" w:ascii="宋体" w:hAnsi="宋体" w:eastAsia="宋体" w:cs="宋体"/>
          <w:color w:val="auto"/>
          <w:sz w:val="24"/>
          <w:szCs w:val="24"/>
          <w:lang w:eastAsia="zh-CN"/>
        </w:rPr>
      </w:pPr>
    </w:p>
    <w:p w14:paraId="778D4B87">
      <w:pPr>
        <w:pStyle w:val="10"/>
        <w:ind w:left="0" w:leftChars="0" w:firstLine="0" w:firstLineChars="0"/>
        <w:jc w:val="both"/>
        <w:rPr>
          <w:rFonts w:hint="eastAsia" w:ascii="宋体" w:hAnsi="宋体" w:eastAsia="宋体" w:cs="宋体"/>
          <w:color w:val="auto"/>
          <w:sz w:val="24"/>
          <w:szCs w:val="24"/>
          <w:lang w:eastAsia="zh-CN"/>
        </w:rPr>
      </w:pPr>
    </w:p>
    <w:p w14:paraId="222F136E">
      <w:pPr>
        <w:pStyle w:val="10"/>
        <w:ind w:left="0" w:leftChars="0" w:firstLine="0" w:firstLineChars="0"/>
        <w:jc w:val="both"/>
        <w:rPr>
          <w:rFonts w:hint="eastAsia" w:ascii="宋体" w:hAnsi="宋体" w:eastAsia="宋体" w:cs="宋体"/>
          <w:color w:val="auto"/>
          <w:sz w:val="24"/>
          <w:szCs w:val="24"/>
          <w:lang w:eastAsia="zh-CN"/>
        </w:rPr>
      </w:pPr>
    </w:p>
    <w:p w14:paraId="1E5CD98D">
      <w:pPr>
        <w:pStyle w:val="10"/>
        <w:ind w:left="0" w:leftChars="0" w:firstLine="0" w:firstLineChars="0"/>
        <w:jc w:val="both"/>
        <w:rPr>
          <w:rFonts w:hint="eastAsia" w:ascii="宋体" w:hAnsi="宋体" w:eastAsia="宋体" w:cs="宋体"/>
          <w:color w:val="auto"/>
          <w:sz w:val="24"/>
          <w:szCs w:val="24"/>
          <w:lang w:eastAsia="zh-CN"/>
        </w:rPr>
      </w:pPr>
    </w:p>
    <w:p w14:paraId="070B61B6">
      <w:pPr>
        <w:pStyle w:val="10"/>
        <w:ind w:left="0" w:leftChars="0" w:firstLine="0" w:firstLineChars="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2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5CA1A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740149E1">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sz w:val="22"/>
                <w:szCs w:val="22"/>
                <w:u w:val="none"/>
              </w:rPr>
            </w:pPr>
          </w:p>
        </w:tc>
        <w:tc>
          <w:tcPr>
            <w:tcW w:w="1778" w:type="dxa"/>
            <w:tcBorders>
              <w:top w:val="nil"/>
              <w:left w:val="nil"/>
              <w:bottom w:val="nil"/>
              <w:right w:val="nil"/>
            </w:tcBorders>
            <w:noWrap/>
            <w:vAlign w:val="center"/>
          </w:tcPr>
          <w:p w14:paraId="6787DFC4">
            <w:pPr>
              <w:rPr>
                <w:rFonts w:hint="eastAsia" w:ascii="宋体" w:hAnsi="宋体" w:eastAsia="宋体" w:cs="宋体"/>
                <w:i w:val="0"/>
                <w:iCs w:val="0"/>
                <w:color w:val="auto"/>
                <w:sz w:val="22"/>
                <w:szCs w:val="22"/>
                <w:u w:val="none"/>
              </w:rPr>
            </w:pPr>
          </w:p>
        </w:tc>
        <w:tc>
          <w:tcPr>
            <w:tcW w:w="2786" w:type="dxa"/>
            <w:tcBorders>
              <w:top w:val="nil"/>
              <w:left w:val="nil"/>
              <w:bottom w:val="nil"/>
              <w:right w:val="nil"/>
            </w:tcBorders>
            <w:noWrap/>
            <w:vAlign w:val="center"/>
          </w:tcPr>
          <w:p w14:paraId="051EBD52">
            <w:pPr>
              <w:rPr>
                <w:rFonts w:hint="eastAsia" w:ascii="宋体" w:hAnsi="宋体" w:eastAsia="宋体" w:cs="宋体"/>
                <w:i w:val="0"/>
                <w:iCs w:val="0"/>
                <w:color w:val="auto"/>
                <w:sz w:val="22"/>
                <w:szCs w:val="22"/>
                <w:u w:val="none"/>
              </w:rPr>
            </w:pPr>
          </w:p>
        </w:tc>
        <w:tc>
          <w:tcPr>
            <w:tcW w:w="2314" w:type="dxa"/>
            <w:tcBorders>
              <w:top w:val="nil"/>
              <w:left w:val="nil"/>
              <w:bottom w:val="nil"/>
              <w:right w:val="nil"/>
            </w:tcBorders>
            <w:noWrap/>
            <w:vAlign w:val="center"/>
          </w:tcPr>
          <w:p w14:paraId="43386CC7">
            <w:pPr>
              <w:rPr>
                <w:rFonts w:hint="eastAsia" w:ascii="宋体" w:hAnsi="宋体" w:eastAsia="宋体" w:cs="宋体"/>
                <w:i w:val="0"/>
                <w:iCs w:val="0"/>
                <w:color w:val="auto"/>
                <w:sz w:val="22"/>
                <w:szCs w:val="22"/>
                <w:u w:val="none"/>
              </w:rPr>
            </w:pPr>
          </w:p>
        </w:tc>
        <w:tc>
          <w:tcPr>
            <w:tcW w:w="3449" w:type="dxa"/>
            <w:tcBorders>
              <w:top w:val="nil"/>
              <w:left w:val="nil"/>
              <w:bottom w:val="nil"/>
              <w:right w:val="nil"/>
            </w:tcBorders>
            <w:noWrap/>
            <w:vAlign w:val="center"/>
          </w:tcPr>
          <w:p w14:paraId="5FA03115">
            <w:pPr>
              <w:rPr>
                <w:rFonts w:hint="eastAsia" w:ascii="宋体" w:hAnsi="宋体" w:eastAsia="宋体" w:cs="宋体"/>
                <w:i w:val="0"/>
                <w:iCs w:val="0"/>
                <w:color w:val="auto"/>
                <w:sz w:val="22"/>
                <w:szCs w:val="22"/>
                <w:u w:val="none"/>
              </w:rPr>
            </w:pPr>
          </w:p>
        </w:tc>
        <w:tc>
          <w:tcPr>
            <w:tcW w:w="1331" w:type="dxa"/>
            <w:tcBorders>
              <w:top w:val="nil"/>
              <w:left w:val="nil"/>
              <w:bottom w:val="nil"/>
              <w:right w:val="nil"/>
            </w:tcBorders>
            <w:noWrap/>
            <w:vAlign w:val="center"/>
          </w:tcPr>
          <w:p w14:paraId="06B269E4">
            <w:pPr>
              <w:rPr>
                <w:rFonts w:hint="eastAsia" w:ascii="宋体" w:hAnsi="宋体" w:eastAsia="宋体" w:cs="宋体"/>
                <w:i w:val="0"/>
                <w:iCs w:val="0"/>
                <w:color w:val="auto"/>
                <w:sz w:val="22"/>
                <w:szCs w:val="22"/>
                <w:u w:val="none"/>
              </w:rPr>
            </w:pPr>
          </w:p>
        </w:tc>
      </w:tr>
      <w:tr w14:paraId="6E7A0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70023723">
            <w:pPr>
              <w:tabs>
                <w:tab w:val="left" w:pos="5998"/>
              </w:tabs>
              <w:bidi w:val="0"/>
              <w:jc w:val="left"/>
              <w:rPr>
                <w:rFonts w:hint="eastAsia" w:ascii="宋体" w:hAnsi="宋体" w:eastAsia="宋体" w:cs="宋体"/>
                <w:b/>
                <w:bCs/>
                <w:i w:val="0"/>
                <w:iCs w:val="0"/>
                <w:color w:val="auto"/>
                <w:sz w:val="36"/>
                <w:szCs w:val="36"/>
                <w:u w:val="none"/>
              </w:rPr>
            </w:pPr>
            <w:r>
              <w:rPr>
                <w:rFonts w:hint="eastAsia" w:ascii="宋体" w:hAnsi="宋体" w:eastAsia="宋体" w:cs="宋体"/>
                <w:b/>
                <w:bCs/>
                <w:i w:val="0"/>
                <w:iCs w:val="0"/>
                <w:color w:val="auto"/>
                <w:kern w:val="0"/>
                <w:sz w:val="24"/>
                <w:szCs w:val="24"/>
                <w:u w:val="none"/>
                <w:lang w:val="en-US" w:eastAsia="zh-CN"/>
              </w:rPr>
              <w:t>中央直达资金-和地财教[2023]59号：2024年学生资助补助经费-技工免学费及助学金项目综合得分表</w:t>
            </w:r>
          </w:p>
        </w:tc>
      </w:tr>
      <w:tr w14:paraId="145B3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5762949">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21A92EF">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14027BD">
            <w:pPr>
              <w:keepNext w:val="0"/>
              <w:keepLines w:val="0"/>
              <w:widowControl/>
              <w:suppressLineNumbers w:val="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F1AE5A1">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0C9985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FBF1F96">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合计</w:t>
            </w:r>
          </w:p>
        </w:tc>
      </w:tr>
      <w:tr w14:paraId="0DD73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CDE3B22">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EFBDCC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23.00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35991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12.00 </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7FAB32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40.00 </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02BC9FE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25.00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7B0D4B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100.00 </w:t>
            </w:r>
          </w:p>
        </w:tc>
      </w:tr>
      <w:tr w14:paraId="2E6A8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E200C84">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6241FA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F641A64">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12</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2AD3212">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40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F401EEE">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25</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C797146">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100</w:t>
            </w:r>
          </w:p>
        </w:tc>
      </w:tr>
      <w:tr w14:paraId="5ED10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49C6D76">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4B33F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38547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21890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4A8A91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213027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r>
    </w:tbl>
    <w:p w14:paraId="152B3879">
      <w:pPr>
        <w:pStyle w:val="10"/>
        <w:ind w:left="0" w:leftChars="0" w:firstLine="0" w:firstLineChars="0"/>
        <w:jc w:val="both"/>
        <w:rPr>
          <w:rFonts w:hint="default" w:ascii="宋体" w:hAnsi="宋体" w:eastAsia="宋体" w:cs="宋体"/>
          <w:color w:val="auto"/>
          <w:sz w:val="24"/>
          <w:szCs w:val="24"/>
          <w:lang w:val="en-US" w:eastAsia="zh-CN"/>
        </w:rPr>
      </w:pPr>
    </w:p>
    <w:p w14:paraId="0C39F9BB">
      <w:pPr>
        <w:pStyle w:val="10"/>
        <w:ind w:left="0" w:leftChars="0" w:firstLine="0" w:firstLineChars="0"/>
        <w:jc w:val="both"/>
        <w:rPr>
          <w:rFonts w:hint="eastAsia" w:ascii="宋体" w:hAnsi="宋体" w:eastAsia="宋体" w:cs="宋体"/>
          <w:color w:val="auto"/>
          <w:sz w:val="24"/>
          <w:szCs w:val="24"/>
          <w:lang w:eastAsia="zh-CN"/>
        </w:rPr>
        <w:sectPr>
          <w:pgSz w:w="16838" w:h="11906" w:orient="landscape"/>
          <w:pgMar w:top="1531" w:right="1985" w:bottom="1531" w:left="1701" w:header="851" w:footer="992" w:gutter="0"/>
          <w:pgBorders w:offsetFrom="page">
            <w:top w:val="none" w:sz="0" w:space="0"/>
            <w:left w:val="none" w:sz="0" w:space="0"/>
            <w:bottom w:val="none" w:sz="0" w:space="0"/>
            <w:right w:val="none" w:sz="0" w:space="0"/>
          </w:pgBorders>
          <w:pgNumType w:fmt="decimal"/>
          <w:cols w:space="720" w:num="1"/>
          <w:docGrid w:type="linesAndChars" w:linePitch="386" w:charSpace="0"/>
        </w:sectPr>
      </w:pPr>
    </w:p>
    <w:p w14:paraId="4219047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6A112C9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中央直达资金-和地财教[2023]59号：2024年学生资助补助经费-技工免学费及助学金项目满意度</w:t>
      </w:r>
      <w:r>
        <w:rPr>
          <w:rFonts w:hint="eastAsia" w:ascii="宋体" w:hAnsi="宋体" w:eastAsia="宋体" w:cs="宋体"/>
          <w:b/>
          <w:bCs/>
          <w:color w:val="auto"/>
          <w:sz w:val="24"/>
          <w:szCs w:val="24"/>
          <w:highlight w:val="none"/>
        </w:rPr>
        <w:t>调查问卷</w:t>
      </w:r>
      <w:r>
        <w:rPr>
          <w:rFonts w:hint="eastAsia" w:ascii="宋体" w:hAnsi="宋体" w:eastAsia="宋体" w:cs="宋体"/>
          <w:b/>
          <w:bCs/>
          <w:color w:val="auto"/>
          <w:sz w:val="24"/>
          <w:szCs w:val="24"/>
          <w:highlight w:val="none"/>
          <w:lang w:val="en-US" w:eastAsia="zh-CN"/>
        </w:rPr>
        <w:t>分析报告</w:t>
      </w:r>
    </w:p>
    <w:p w14:paraId="2372404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p>
    <w:p w14:paraId="2E0E1DE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224EBD2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p>
    <w:p w14:paraId="7469443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该问卷调查从202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日开始至202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日结束，调查问卷共设置</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道题目。</w:t>
      </w:r>
    </w:p>
    <w:p w14:paraId="4522ED55">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185A2EE2">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color w:val="auto"/>
          <w:sz w:val="24"/>
          <w:szCs w:val="24"/>
          <w:highlight w:val="none"/>
        </w:rPr>
        <w:t>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的受益对象为</w:t>
      </w:r>
      <w:r>
        <w:rPr>
          <w:rFonts w:hint="eastAsia" w:ascii="宋体" w:hAnsi="宋体" w:eastAsia="宋体" w:cs="宋体"/>
          <w:color w:val="auto"/>
          <w:sz w:val="24"/>
          <w:szCs w:val="24"/>
          <w:highlight w:val="none"/>
          <w:lang w:val="en-US" w:eastAsia="zh-CN"/>
        </w:rPr>
        <w:t>师生</w:t>
      </w:r>
      <w:r>
        <w:rPr>
          <w:rFonts w:hint="eastAsia" w:ascii="宋体" w:hAnsi="宋体" w:eastAsia="宋体" w:cs="宋体"/>
          <w:color w:val="auto"/>
          <w:sz w:val="24"/>
          <w:szCs w:val="24"/>
          <w:highlight w:val="none"/>
        </w:rPr>
        <w:t>。</w:t>
      </w:r>
    </w:p>
    <w:p w14:paraId="347A9EB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olor w:val="auto"/>
          <w:sz w:val="24"/>
          <w:szCs w:val="24"/>
          <w:highlight w:val="none"/>
        </w:rPr>
        <w:t>2.</w:t>
      </w:r>
      <w:r>
        <w:rPr>
          <w:rFonts w:hint="eastAsia" w:ascii="宋体" w:hAnsi="宋体" w:eastAsia="宋体" w:cs="宋体"/>
          <w:b/>
          <w:bCs/>
          <w:i w:val="0"/>
          <w:iCs w:val="0"/>
          <w:color w:val="auto"/>
          <w:sz w:val="24"/>
          <w:szCs w:val="24"/>
          <w:highlight w:val="none"/>
          <w:lang w:eastAsia="zh-CN"/>
        </w:rPr>
        <w:t>调查</w:t>
      </w:r>
      <w:r>
        <w:rPr>
          <w:rFonts w:hint="eastAsia" w:ascii="宋体" w:hAnsi="宋体" w:eastAsia="宋体" w:cs="宋体"/>
          <w:b/>
          <w:bCs/>
          <w:i w:val="0"/>
          <w:iCs w:val="0"/>
          <w:color w:val="auto"/>
          <w:sz w:val="24"/>
          <w:szCs w:val="24"/>
          <w:highlight w:val="none"/>
        </w:rPr>
        <w:t>内容</w:t>
      </w:r>
    </w:p>
    <w:p w14:paraId="157EF4B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①您对中央直达资金-和地财教[2023]59号：2024年学生资助补助经费-技工免学费及助学金项目的完工的及时性是否满意?</w:t>
      </w:r>
    </w:p>
    <w:p w14:paraId="4D177B3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②您对中央直达资金-和地财教[2023]59号：2024年学生资助补助经费-技工免学费及助学金项目的改善教学质量是否满意？</w:t>
      </w:r>
    </w:p>
    <w:p w14:paraId="241D8E5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③总的来说，您对目前中央直达资金-和地财教[2023]59号：2024年学生资助补助经费-技工免学费及助学金项目实施后的整体满意程度如何？</w:t>
      </w:r>
    </w:p>
    <w:p w14:paraId="1BC69CB6">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方法</w:t>
      </w:r>
    </w:p>
    <w:p w14:paraId="4E349B0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分层</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随机抽样相结合</w:t>
      </w:r>
      <w:r>
        <w:rPr>
          <w:rFonts w:hint="eastAsia" w:ascii="宋体" w:hAnsi="宋体" w:eastAsia="宋体" w:cs="宋体"/>
          <w:color w:val="auto"/>
          <w:sz w:val="24"/>
          <w:szCs w:val="24"/>
          <w:highlight w:val="none"/>
        </w:rPr>
        <w:t>的方式进行。在全面</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开展之前会先进行论证，依据论证结果对问卷和抽样方案再进行一次修改和调整</w:t>
      </w:r>
      <w:r>
        <w:rPr>
          <w:rFonts w:hint="eastAsia" w:ascii="宋体" w:hAnsi="宋体" w:eastAsia="宋体" w:cs="宋体"/>
          <w:color w:val="auto"/>
          <w:sz w:val="24"/>
          <w:szCs w:val="24"/>
          <w:highlight w:val="none"/>
          <w:lang w:val="en-US" w:eastAsia="zh-CN"/>
        </w:rPr>
        <w:t>之后再付诸实施</w:t>
      </w:r>
      <w:r>
        <w:rPr>
          <w:rFonts w:hint="eastAsia" w:ascii="宋体" w:hAnsi="宋体" w:eastAsia="宋体" w:cs="宋体"/>
          <w:color w:val="auto"/>
          <w:sz w:val="24"/>
          <w:szCs w:val="24"/>
          <w:highlight w:val="none"/>
        </w:rPr>
        <w:t>。</w:t>
      </w:r>
    </w:p>
    <w:p w14:paraId="03948A62">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抽样方式</w:t>
      </w:r>
    </w:p>
    <w:p w14:paraId="6E0C41B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为确保问卷</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的全面性和代表性，本次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随机</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分层抽样相结合</w:t>
      </w:r>
      <w:r>
        <w:rPr>
          <w:rFonts w:hint="eastAsia" w:ascii="宋体" w:hAnsi="宋体" w:eastAsia="宋体" w:cs="宋体"/>
          <w:color w:val="auto"/>
          <w:sz w:val="24"/>
          <w:szCs w:val="24"/>
          <w:highlight w:val="none"/>
        </w:rPr>
        <w:t>方式进行。</w:t>
      </w:r>
    </w:p>
    <w:p w14:paraId="5EF62B4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5.问卷的发放和回收</w:t>
      </w:r>
    </w:p>
    <w:p w14:paraId="535D1C8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1CC1C76C">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6.问卷调查分析结果</w:t>
      </w:r>
    </w:p>
    <w:p w14:paraId="0A71A14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本次调查过程中，评价小组实际发放问卷30份，回收问卷30份，问卷回收率为100.00%，有效问卷30份，有效回收率100.00%，本次调查的整体情况如下：</w:t>
      </w:r>
    </w:p>
    <w:p w14:paraId="731ABE1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6AD40E7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1E5B60B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6756734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p>
    <w:p w14:paraId="05D9BCE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二、调查结果统计</w:t>
      </w:r>
    </w:p>
    <w:p w14:paraId="7F201FE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中央直达资金-和地财教[2023]59号：2024年学生资助补助经费-技工免学费及助学金项目针对受益人员发放30份调查问卷，最终统计受益人群满意度为100%。</w:t>
      </w:r>
    </w:p>
    <w:p w14:paraId="732CE7F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p>
    <w:p w14:paraId="25549AF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洛浦县高级技工学校</w:t>
      </w:r>
    </w:p>
    <w:p w14:paraId="3C315E7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2025年3月5日</w:t>
      </w:r>
    </w:p>
    <w:p w14:paraId="64872B67">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lang w:eastAsia="zh-CN"/>
        </w:rPr>
      </w:pPr>
    </w:p>
    <w:sectPr>
      <w:pgSz w:w="11906" w:h="16838"/>
      <w:pgMar w:top="1985" w:right="1531" w:bottom="1701" w:left="1531" w:header="851" w:footer="992" w:gutter="0"/>
      <w:pgBorders w:offsetFrom="page">
        <w:top w:val="none" w:sz="0" w:space="0"/>
        <w:left w:val="none" w:sz="0" w:space="0"/>
        <w:bottom w:val="none" w:sz="0" w:space="0"/>
        <w:right w:val="none" w:sz="0" w:space="0"/>
      </w:pgBorders>
      <w:pgNumType w:fmt="decimal"/>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4AA24B1-8BF9-4DCC-BF36-E11B2A3D226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682C577F-A35B-483D-9143-4448B0C49286}"/>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embedRegular r:id="rId3" w:fontKey="{51AE2A5E-E63D-487F-BE73-0DE24AE52F95}"/>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91A94">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0D032">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053E5318">
                <w:pPr>
                  <w:pStyle w:val="15"/>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33</w:t>
                </w:r>
                <w: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49087">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4"/>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03D62ECE"/>
    <w:multiLevelType w:val="singleLevel"/>
    <w:tmpl w:val="03D62ECE"/>
    <w:lvl w:ilvl="0" w:tentative="0">
      <w:start w:val="1"/>
      <w:numFmt w:val="decimal"/>
      <w:suff w:val="nothing"/>
      <w:lvlText w:val="（%1）"/>
      <w:lvlJc w:val="left"/>
    </w:lvl>
  </w:abstractNum>
  <w:abstractNum w:abstractNumId="5">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6FF618F9"/>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qFormat/>
    <w:uiPriority w:val="0"/>
    <w:pPr>
      <w:ind w:firstLine="420"/>
    </w:pPr>
  </w:style>
  <w:style w:type="paragraph" w:styleId="3">
    <w:name w:val="Body Text Indent"/>
    <w:basedOn w:val="1"/>
    <w:link w:val="30"/>
    <w:unhideWhenUsed/>
    <w:qFormat/>
    <w:uiPriority w:val="99"/>
    <w:pPr>
      <w:spacing w:after="120"/>
      <w:ind w:left="420" w:leftChars="200"/>
    </w:pPr>
    <w:rPr>
      <w:rFonts w:cs="Times New Roman"/>
      <w:kern w:val="0"/>
      <w:szCs w:val="20"/>
    </w:rPr>
  </w:style>
  <w:style w:type="paragraph" w:styleId="8">
    <w:name w:val="toc 7"/>
    <w:basedOn w:val="1"/>
    <w:next w:val="1"/>
    <w:unhideWhenUsed/>
    <w:qFormat/>
    <w:uiPriority w:val="39"/>
    <w:pPr>
      <w:ind w:left="1680"/>
      <w:jc w:val="left"/>
    </w:pPr>
    <w:rPr>
      <w:rFonts w:ascii="Calibri" w:hAnsi="Calibri" w:cs="Calibri"/>
      <w:sz w:val="18"/>
      <w:szCs w:val="18"/>
    </w:rPr>
  </w:style>
  <w:style w:type="paragraph" w:styleId="9">
    <w:name w:val="Document Map"/>
    <w:basedOn w:val="1"/>
    <w:link w:val="36"/>
    <w:unhideWhenUsed/>
    <w:qFormat/>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qFormat/>
    <w:uiPriority w:val="39"/>
    <w:pPr>
      <w:ind w:left="1120"/>
      <w:jc w:val="left"/>
    </w:pPr>
    <w:rPr>
      <w:rFonts w:ascii="Calibri" w:hAnsi="Calibri" w:cs="Calibri"/>
      <w:sz w:val="18"/>
      <w:szCs w:val="18"/>
    </w:rPr>
  </w:style>
  <w:style w:type="paragraph" w:styleId="12">
    <w:name w:val="toc 3"/>
    <w:basedOn w:val="1"/>
    <w:next w:val="1"/>
    <w:unhideWhenUsed/>
    <w:qFormat/>
    <w:uiPriority w:val="39"/>
    <w:pPr>
      <w:ind w:left="560"/>
      <w:jc w:val="left"/>
    </w:pPr>
    <w:rPr>
      <w:rFonts w:ascii="Calibri" w:hAnsi="Calibri" w:cs="Calibri"/>
      <w:i/>
      <w:iCs/>
      <w:sz w:val="20"/>
      <w:szCs w:val="20"/>
    </w:rPr>
  </w:style>
  <w:style w:type="paragraph" w:styleId="13">
    <w:name w:val="toc 8"/>
    <w:basedOn w:val="1"/>
    <w:next w:val="1"/>
    <w:unhideWhenUsed/>
    <w:qFormat/>
    <w:uiPriority w:val="39"/>
    <w:pPr>
      <w:ind w:left="1960"/>
      <w:jc w:val="left"/>
    </w:pPr>
    <w:rPr>
      <w:rFonts w:ascii="Calibri" w:hAnsi="Calibri" w:cs="Calibri"/>
      <w:sz w:val="18"/>
      <w:szCs w:val="18"/>
    </w:rPr>
  </w:style>
  <w:style w:type="paragraph" w:styleId="14">
    <w:name w:val="Balloon Text"/>
    <w:basedOn w:val="1"/>
    <w:link w:val="38"/>
    <w:unhideWhenUsed/>
    <w:qFormat/>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qFormat/>
    <w:uiPriority w:val="39"/>
    <w:pPr>
      <w:spacing w:before="120" w:after="120"/>
      <w:jc w:val="left"/>
    </w:pPr>
    <w:rPr>
      <w:rFonts w:ascii="Calibri" w:hAnsi="Calibri" w:cs="Calibri"/>
      <w:b/>
      <w:bCs/>
      <w:caps/>
      <w:sz w:val="20"/>
      <w:szCs w:val="20"/>
    </w:rPr>
  </w:style>
  <w:style w:type="paragraph" w:styleId="18">
    <w:name w:val="toc 4"/>
    <w:basedOn w:val="1"/>
    <w:next w:val="1"/>
    <w:unhideWhenUsed/>
    <w:qFormat/>
    <w:uiPriority w:val="39"/>
    <w:pPr>
      <w:ind w:left="840"/>
      <w:jc w:val="left"/>
    </w:pPr>
    <w:rPr>
      <w:rFonts w:ascii="Calibri" w:hAnsi="Calibri" w:cs="Calibri"/>
      <w:sz w:val="18"/>
      <w:szCs w:val="18"/>
    </w:rPr>
  </w:style>
  <w:style w:type="paragraph" w:styleId="19">
    <w:name w:val="toc 6"/>
    <w:basedOn w:val="1"/>
    <w:next w:val="1"/>
    <w:unhideWhenUsed/>
    <w:qFormat/>
    <w:uiPriority w:val="39"/>
    <w:pPr>
      <w:ind w:left="1400"/>
      <w:jc w:val="left"/>
    </w:pPr>
    <w:rPr>
      <w:rFonts w:ascii="Calibri" w:hAnsi="Calibri" w:cs="Calibri"/>
      <w:sz w:val="18"/>
      <w:szCs w:val="18"/>
    </w:rPr>
  </w:style>
  <w:style w:type="paragraph" w:styleId="20">
    <w:name w:val="toc 2"/>
    <w:basedOn w:val="1"/>
    <w:next w:val="1"/>
    <w:unhideWhenUsed/>
    <w:qFormat/>
    <w:uiPriority w:val="39"/>
    <w:pPr>
      <w:ind w:left="280"/>
      <w:jc w:val="left"/>
    </w:pPr>
    <w:rPr>
      <w:rFonts w:ascii="Calibri" w:hAnsi="Calibri" w:cs="Calibri"/>
      <w:smallCaps/>
      <w:sz w:val="20"/>
      <w:szCs w:val="20"/>
    </w:rPr>
  </w:style>
  <w:style w:type="paragraph" w:styleId="21">
    <w:name w:val="toc 9"/>
    <w:basedOn w:val="1"/>
    <w:next w:val="1"/>
    <w:unhideWhenUsed/>
    <w:qFormat/>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qFormat/>
    <w:uiPriority w:val="99"/>
    <w:rPr>
      <w:color w:val="0000FF"/>
      <w:u w:val="single"/>
    </w:rPr>
  </w:style>
  <w:style w:type="paragraph" w:customStyle="1" w:styleId="27">
    <w:name w:val="Comment Text"/>
    <w:basedOn w:val="1"/>
    <w:link w:val="37"/>
    <w:unhideWhenUsed/>
    <w:qFormat/>
    <w:uiPriority w:val="99"/>
    <w:rPr>
      <w:rFonts w:cs="Times New Roman"/>
      <w:kern w:val="0"/>
      <w:sz w:val="20"/>
      <w:szCs w:val="20"/>
    </w:rPr>
  </w:style>
  <w:style w:type="paragraph" w:customStyle="1" w:styleId="28">
    <w:name w:val="Comment Subject"/>
    <w:basedOn w:val="27"/>
    <w:next w:val="27"/>
    <w:link w:val="42"/>
    <w:unhideWhenUsed/>
    <w:qFormat/>
    <w:uiPriority w:val="99"/>
    <w:rPr>
      <w:b/>
      <w:bCs/>
    </w:rPr>
  </w:style>
  <w:style w:type="character" w:customStyle="1" w:styleId="29">
    <w:name w:val="Comment Reference"/>
    <w:unhideWhenUsed/>
    <w:qFormat/>
    <w:uiPriority w:val="99"/>
    <w:rPr>
      <w:sz w:val="16"/>
      <w:szCs w:val="16"/>
    </w:rPr>
  </w:style>
  <w:style w:type="character" w:customStyle="1" w:styleId="30">
    <w:name w:val="正文文本缩进 Char"/>
    <w:link w:val="3"/>
    <w:semiHidden/>
    <w:qFormat/>
    <w:uiPriority w:val="99"/>
    <w:rPr>
      <w:rFonts w:ascii="Calibri" w:hAnsi="Calibri" w:eastAsia="仿宋_GB2312" w:cs="黑体"/>
      <w:sz w:val="28"/>
    </w:rPr>
  </w:style>
  <w:style w:type="character" w:customStyle="1" w:styleId="31">
    <w:name w:val="正文首行缩进 2 Char"/>
    <w:link w:val="2"/>
    <w:qFormat/>
    <w:uiPriority w:val="0"/>
    <w:rPr>
      <w:rFonts w:ascii="Calibri" w:hAnsi="Calibri" w:eastAsia="仿宋_GB2312" w:cs="黑体"/>
      <w:sz w:val="28"/>
    </w:rPr>
  </w:style>
  <w:style w:type="character" w:customStyle="1" w:styleId="32">
    <w:name w:val="标题 1 Char"/>
    <w:link w:val="4"/>
    <w:qFormat/>
    <w:uiPriority w:val="9"/>
    <w:rPr>
      <w:rFonts w:ascii="Times New Roman" w:hAnsi="Times New Roman" w:eastAsia="仿宋_GB2312" w:cs="Times New Roman"/>
      <w:b/>
      <w:bCs/>
      <w:kern w:val="44"/>
      <w:sz w:val="32"/>
      <w:szCs w:val="44"/>
    </w:rPr>
  </w:style>
  <w:style w:type="character" w:customStyle="1" w:styleId="33">
    <w:name w:val="标题 2 Char"/>
    <w:link w:val="5"/>
    <w:qFormat/>
    <w:uiPriority w:val="0"/>
    <w:rPr>
      <w:rFonts w:ascii="Cambria" w:hAnsi="Cambria" w:eastAsia="仿宋_GB2312" w:cs="Times New Roman"/>
      <w:b/>
      <w:bCs/>
      <w:kern w:val="0"/>
      <w:sz w:val="30"/>
      <w:szCs w:val="32"/>
    </w:rPr>
  </w:style>
  <w:style w:type="character" w:customStyle="1" w:styleId="34">
    <w:name w:val="标题 3 Char"/>
    <w:link w:val="6"/>
    <w:qFormat/>
    <w:uiPriority w:val="9"/>
    <w:rPr>
      <w:rFonts w:ascii="Calibri" w:hAnsi="Calibri" w:eastAsia="仿宋_GB2312" w:cs="黑体"/>
      <w:bCs/>
      <w:sz w:val="28"/>
      <w:szCs w:val="32"/>
    </w:rPr>
  </w:style>
  <w:style w:type="character" w:customStyle="1" w:styleId="35">
    <w:name w:val="标题 4 Char"/>
    <w:link w:val="7"/>
    <w:semiHidden/>
    <w:qFormat/>
    <w:uiPriority w:val="9"/>
    <w:rPr>
      <w:rFonts w:ascii="Cambria" w:hAnsi="Cambria" w:eastAsia="宋体" w:cs="Times New Roman"/>
      <w:b/>
      <w:bCs/>
      <w:sz w:val="28"/>
      <w:szCs w:val="28"/>
    </w:rPr>
  </w:style>
  <w:style w:type="character" w:customStyle="1" w:styleId="36">
    <w:name w:val="文档结构图 Char"/>
    <w:link w:val="9"/>
    <w:semiHidden/>
    <w:qFormat/>
    <w:uiPriority w:val="99"/>
    <w:rPr>
      <w:rFonts w:ascii="宋体" w:hAnsi="Calibri" w:eastAsia="宋体" w:cs="黑体"/>
      <w:sz w:val="18"/>
      <w:szCs w:val="18"/>
    </w:rPr>
  </w:style>
  <w:style w:type="character" w:customStyle="1" w:styleId="37">
    <w:name w:val="批注文字 Char"/>
    <w:link w:val="27"/>
    <w:semiHidden/>
    <w:qFormat/>
    <w:uiPriority w:val="99"/>
    <w:rPr>
      <w:rFonts w:ascii="Calibri" w:hAnsi="Calibri" w:eastAsia="仿宋_GB2312" w:cs="黑体"/>
      <w:sz w:val="20"/>
      <w:szCs w:val="20"/>
    </w:rPr>
  </w:style>
  <w:style w:type="character" w:customStyle="1" w:styleId="38">
    <w:name w:val="批注框文本 Char"/>
    <w:link w:val="14"/>
    <w:semiHidden/>
    <w:qFormat/>
    <w:uiPriority w:val="99"/>
    <w:rPr>
      <w:rFonts w:ascii="Calibri" w:hAnsi="Calibri" w:eastAsia="仿宋_GB2312" w:cs="黑体"/>
      <w:sz w:val="18"/>
      <w:szCs w:val="18"/>
    </w:rPr>
  </w:style>
  <w:style w:type="character" w:customStyle="1" w:styleId="39">
    <w:name w:val="页脚 Char"/>
    <w:link w:val="15"/>
    <w:qFormat/>
    <w:uiPriority w:val="99"/>
    <w:rPr>
      <w:rFonts w:ascii="Calibri" w:hAnsi="Calibri" w:eastAsia="仿宋_GB2312" w:cs="黑体"/>
      <w:sz w:val="18"/>
      <w:szCs w:val="18"/>
    </w:rPr>
  </w:style>
  <w:style w:type="character" w:customStyle="1" w:styleId="40">
    <w:name w:val="页眉 Char"/>
    <w:link w:val="16"/>
    <w:qFormat/>
    <w:uiPriority w:val="99"/>
    <w:rPr>
      <w:rFonts w:ascii="Calibri" w:hAnsi="Calibri" w:eastAsia="仿宋_GB2312" w:cs="黑体"/>
      <w:sz w:val="18"/>
      <w:szCs w:val="18"/>
    </w:rPr>
  </w:style>
  <w:style w:type="character" w:customStyle="1" w:styleId="41">
    <w:name w:val="标题 Char"/>
    <w:link w:val="22"/>
    <w:qFormat/>
    <w:uiPriority w:val="10"/>
    <w:rPr>
      <w:rFonts w:ascii="Cambria" w:hAnsi="Cambria"/>
      <w:b/>
      <w:bCs/>
      <w:kern w:val="2"/>
      <w:sz w:val="32"/>
      <w:szCs w:val="32"/>
    </w:rPr>
  </w:style>
  <w:style w:type="character" w:customStyle="1" w:styleId="42">
    <w:name w:val="批注主题 Char"/>
    <w:link w:val="28"/>
    <w:semiHidden/>
    <w:qFormat/>
    <w:uiPriority w:val="99"/>
    <w:rPr>
      <w:rFonts w:ascii="Calibri" w:hAnsi="Calibri" w:eastAsia="仿宋_GB2312" w:cs="黑体"/>
      <w:b/>
      <w:bCs/>
      <w:sz w:val="20"/>
      <w:szCs w:val="20"/>
    </w:rPr>
  </w:style>
  <w:style w:type="character" w:customStyle="1" w:styleId="43">
    <w:name w:val="font11"/>
    <w:qFormat/>
    <w:uiPriority w:val="0"/>
    <w:rPr>
      <w:rFonts w:hint="eastAsia" w:ascii="方正仿宋_GBK" w:hAnsi="方正仿宋_GBK" w:eastAsia="方正仿宋_GBK" w:cs="方正仿宋_GBK"/>
      <w:color w:val="000000"/>
      <w:sz w:val="24"/>
      <w:szCs w:val="24"/>
      <w:u w:val="none"/>
    </w:rPr>
  </w:style>
  <w:style w:type="character" w:customStyle="1" w:styleId="44">
    <w:name w:val="font21"/>
    <w:qFormat/>
    <w:uiPriority w:val="0"/>
    <w:rPr>
      <w:rFonts w:hint="default" w:ascii="Times New Roman" w:hAnsi="Times New Roman" w:cs="Times New Roman"/>
      <w:color w:val="000000"/>
      <w:sz w:val="24"/>
      <w:szCs w:val="24"/>
      <w:u w:val="none"/>
    </w:rPr>
  </w:style>
  <w:style w:type="character" w:customStyle="1" w:styleId="45">
    <w:name w:val="font71"/>
    <w:basedOn w:val="25"/>
    <w:qFormat/>
    <w:uiPriority w:val="0"/>
    <w:rPr>
      <w:rFonts w:hint="eastAsia" w:ascii="微软雅黑" w:hAnsi="微软雅黑" w:eastAsia="微软雅黑" w:cs="微软雅黑"/>
      <w:b/>
      <w:bCs/>
      <w:color w:val="000000"/>
      <w:sz w:val="32"/>
      <w:szCs w:val="32"/>
      <w:u w:val="none"/>
    </w:rPr>
  </w:style>
  <w:style w:type="character" w:customStyle="1" w:styleId="46">
    <w:name w:val="闻政-正文一级标题 Char"/>
    <w:link w:val="47"/>
    <w:qFormat/>
    <w:uiPriority w:val="3"/>
    <w:rPr>
      <w:rFonts w:ascii="黑体" w:hAnsi="黑体" w:eastAsia="黑体"/>
      <w:bCs/>
      <w:sz w:val="32"/>
      <w:szCs w:val="32"/>
    </w:rPr>
  </w:style>
  <w:style w:type="paragraph" w:customStyle="1" w:styleId="47">
    <w:name w:val="闻政-正文一级标题"/>
    <w:basedOn w:val="6"/>
    <w:next w:val="48"/>
    <w:link w:val="46"/>
    <w:qFormat/>
    <w:uiPriority w:val="3"/>
    <w:pPr>
      <w:spacing w:before="120" w:after="60" w:line="500" w:lineRule="exact"/>
      <w:ind w:firstLine="0" w:firstLineChars="0"/>
      <w:outlineLvl w:val="0"/>
    </w:pPr>
    <w:rPr>
      <w:rFonts w:ascii="黑体" w:hAnsi="黑体" w:eastAsia="黑体"/>
      <w:sz w:val="32"/>
    </w:rPr>
  </w:style>
  <w:style w:type="paragraph" w:customStyle="1" w:styleId="48">
    <w:name w:val="闻政-正文段落文字"/>
    <w:basedOn w:val="1"/>
    <w:link w:val="49"/>
    <w:qFormat/>
    <w:uiPriority w:val="3"/>
    <w:pPr>
      <w:spacing w:line="500" w:lineRule="exact"/>
      <w:ind w:firstLine="200"/>
    </w:pPr>
    <w:rPr>
      <w:rFonts w:ascii="Times New Roman" w:hAnsi="Times New Roman" w:cs="Times New Roman"/>
      <w:kern w:val="0"/>
      <w:szCs w:val="28"/>
    </w:rPr>
  </w:style>
  <w:style w:type="character" w:customStyle="1" w:styleId="49">
    <w:name w:val="闻政-正文段落文字 Char"/>
    <w:link w:val="48"/>
    <w:qFormat/>
    <w:uiPriority w:val="3"/>
    <w:rPr>
      <w:rFonts w:ascii="Times New Roman" w:hAnsi="Times New Roman" w:eastAsia="仿宋_GB2312"/>
      <w:sz w:val="28"/>
      <w:szCs w:val="28"/>
    </w:rPr>
  </w:style>
  <w:style w:type="character" w:customStyle="1" w:styleId="50">
    <w:name w:val="无间隔 Char"/>
    <w:link w:val="51"/>
    <w:qFormat/>
    <w:uiPriority w:val="1"/>
    <w:rPr>
      <w:rFonts w:eastAsia="仿宋_GB2312" w:cs="黑体"/>
      <w:kern w:val="2"/>
      <w:sz w:val="28"/>
      <w:szCs w:val="22"/>
      <w:lang w:val="en-US" w:eastAsia="zh-CN" w:bidi="ar-SA"/>
    </w:rPr>
  </w:style>
  <w:style w:type="paragraph" w:styleId="51">
    <w:name w:val="No Spacing"/>
    <w:link w:val="50"/>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character" w:customStyle="1" w:styleId="52">
    <w:name w:val="52"/>
    <w:qFormat/>
    <w:uiPriority w:val="0"/>
    <w:rPr>
      <w:b/>
      <w:bCs/>
      <w:smallCaps/>
      <w:color w:val="C0504D"/>
      <w:spacing w:val="5"/>
      <w:u w:val="single"/>
    </w:rPr>
  </w:style>
  <w:style w:type="character" w:customStyle="1" w:styleId="53">
    <w:name w:val="闻政-正文三级标题 Char"/>
    <w:link w:val="54"/>
    <w:qFormat/>
    <w:uiPriority w:val="3"/>
    <w:rPr>
      <w:rFonts w:ascii="Times New Roman" w:hAnsi="Times New Roman" w:eastAsia="仿宋_GB2312"/>
      <w:b/>
      <w:snapToGrid w:val="0"/>
      <w:sz w:val="28"/>
      <w:szCs w:val="28"/>
    </w:rPr>
  </w:style>
  <w:style w:type="paragraph" w:customStyle="1" w:styleId="54">
    <w:name w:val="闻政-正文三级标题"/>
    <w:basedOn w:val="1"/>
    <w:next w:val="48"/>
    <w:link w:val="5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5">
    <w:name w:val="闻政-正文二级标题 Char"/>
    <w:link w:val="56"/>
    <w:qFormat/>
    <w:uiPriority w:val="3"/>
    <w:rPr>
      <w:rFonts w:ascii="Times New Roman" w:hAnsi="Times New Roman" w:eastAsia="仿宋_GB2312"/>
      <w:b/>
      <w:bCs/>
      <w:sz w:val="28"/>
      <w:szCs w:val="32"/>
    </w:rPr>
  </w:style>
  <w:style w:type="paragraph" w:customStyle="1" w:styleId="56">
    <w:name w:val="闻政-正文二级标题"/>
    <w:basedOn w:val="5"/>
    <w:next w:val="48"/>
    <w:link w:val="55"/>
    <w:qFormat/>
    <w:uiPriority w:val="3"/>
    <w:pPr>
      <w:spacing w:before="120" w:after="60" w:line="500" w:lineRule="exact"/>
      <w:ind w:left="200" w:leftChars="200" w:firstLine="0" w:firstLineChars="0"/>
    </w:pPr>
    <w:rPr>
      <w:rFonts w:ascii="Times New Roman" w:hAnsi="Times New Roman"/>
      <w:sz w:val="28"/>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0203110F42F64B8E949FB75B16C56480_13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041fd4-937c-431b-bd88-701235387fa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15630</Words>
  <Characters>16831</Characters>
  <Lines>44</Lines>
  <Paragraphs>12</Paragraphs>
  <TotalTime>9</TotalTime>
  <ScaleCrop>false</ScaleCrop>
  <LinksUpToDate>false</LinksUpToDate>
  <CharactersWithSpaces>16871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2025-10-10T10:40:20Z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0203110F42F64B8E949FB75B16C56480_13</vt:lpwstr>
  </property>
  <property fmtid="{D5CDD505-2E9C-101B-9397-08002B2CF9AE}" pid="4" name="KSOTemplateDocerSaveRecord">
    <vt:lpwstr>eyJoZGlkIjoiZDE5MGZhMTJhZDM2OTQwYzkzYWVjM2FhZDUxN2Q0M2IiLCJ1c2VySWQiOiI2NTE5NDIwMjYifQ_x003D__x003D_</vt:lpwstr>
  </property>
</Properties>
</file>