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DBA45"/>
    <w:p w14:paraId="7A7ACA25">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1970832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和田地区洛浦县2024年生态护林员</w:t>
      </w:r>
      <w:bookmarkStart w:id="0" w:name="_Toc23035"/>
      <w:bookmarkStart w:id="1" w:name="_Toc1395"/>
      <w:bookmarkStart w:id="2" w:name="_Toc28953"/>
      <w:bookmarkStart w:id="3" w:name="_Toc30962"/>
      <w:bookmarkStart w:id="4" w:name="_Toc21471"/>
      <w:r>
        <w:rPr>
          <w:rFonts w:hint="eastAsia" w:ascii="黑体" w:hAnsi="黑体" w:eastAsia="黑体" w:cs="黑体"/>
          <w:b/>
          <w:color w:val="auto"/>
          <w:sz w:val="36"/>
          <w:szCs w:val="36"/>
          <w:highlight w:val="none"/>
          <w:lang w:val="en-US" w:eastAsia="zh-CN"/>
        </w:rPr>
        <w:t>选（续）聘</w:t>
      </w:r>
    </w:p>
    <w:p w14:paraId="524DCC1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补助项目</w:t>
      </w:r>
      <w:bookmarkEnd w:id="0"/>
      <w:bookmarkEnd w:id="1"/>
      <w:bookmarkEnd w:id="2"/>
      <w:bookmarkEnd w:id="3"/>
      <w:bookmarkEnd w:id="4"/>
      <w:r>
        <w:rPr>
          <w:rFonts w:hint="eastAsia" w:ascii="黑体" w:hAnsi="黑体" w:eastAsia="黑体" w:cs="黑体"/>
          <w:b/>
          <w:color w:val="auto"/>
          <w:sz w:val="36"/>
          <w:szCs w:val="36"/>
          <w:highlight w:val="none"/>
          <w:lang w:val="en-US" w:eastAsia="zh-CN"/>
        </w:rPr>
        <w:t>支出绩效评价报告</w:t>
      </w:r>
    </w:p>
    <w:p w14:paraId="456BCCBF">
      <w:pPr>
        <w:pStyle w:val="6"/>
        <w:ind w:left="0" w:leftChars="0" w:firstLine="0" w:firstLineChars="0"/>
        <w:jc w:val="center"/>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（2024年度）</w:t>
      </w:r>
    </w:p>
    <w:p w14:paraId="5CD17C5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08FA05E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42B8CE12">
      <w:pPr>
        <w:pStyle w:val="6"/>
        <w:rPr>
          <w:rFonts w:hint="eastAsia" w:eastAsia="方正仿宋_GBK" w:cs="方正仿宋_GBK"/>
          <w:b/>
          <w:color w:val="auto"/>
          <w:kern w:val="0"/>
          <w:sz w:val="32"/>
          <w:szCs w:val="32"/>
          <w:lang w:bidi="en-US"/>
        </w:rPr>
      </w:pPr>
    </w:p>
    <w:p w14:paraId="1A71EFF2">
      <w:pPr>
        <w:rPr>
          <w:rFonts w:hint="eastAsia" w:eastAsia="方正仿宋_GBK" w:cs="方正仿宋_GBK"/>
          <w:b/>
          <w:color w:val="auto"/>
          <w:kern w:val="0"/>
          <w:sz w:val="32"/>
          <w:szCs w:val="32"/>
          <w:lang w:bidi="en-US"/>
        </w:rPr>
      </w:pPr>
    </w:p>
    <w:p w14:paraId="40F5D8B1">
      <w:pPr>
        <w:pStyle w:val="6"/>
        <w:rPr>
          <w:rFonts w:hint="eastAsia"/>
          <w:color w:val="auto"/>
        </w:rPr>
      </w:pPr>
    </w:p>
    <w:p w14:paraId="2B3FB3A5">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206B83E7">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2813C3BC">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0308540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val="en-US" w:eastAsia="zh-CN" w:bidi="en-US"/>
        </w:rPr>
      </w:pPr>
      <w:r>
        <w:rPr>
          <w:rFonts w:hint="eastAsia" w:ascii="宋体" w:hAnsi="宋体" w:eastAsia="宋体" w:cs="宋体"/>
          <w:b/>
          <w:bCs/>
          <w:color w:val="auto"/>
          <w:kern w:val="0"/>
          <w:sz w:val="28"/>
          <w:szCs w:val="28"/>
          <w:highlight w:val="none"/>
          <w:lang w:bidi="en-US"/>
        </w:rPr>
        <w:t>项目名称：</w:t>
      </w:r>
      <w:r>
        <w:rPr>
          <w:rFonts w:hint="eastAsia" w:ascii="宋体" w:hAnsi="宋体" w:eastAsia="宋体" w:cs="宋体"/>
          <w:b/>
          <w:bCs/>
          <w:color w:val="auto"/>
          <w:kern w:val="0"/>
          <w:sz w:val="28"/>
          <w:szCs w:val="28"/>
          <w:highlight w:val="none"/>
          <w:lang w:val="en-US" w:eastAsia="zh-CN" w:bidi="en-US"/>
        </w:rPr>
        <w:t>洛浦县2024年生态护林员选（续）聘补助</w:t>
      </w:r>
    </w:p>
    <w:p w14:paraId="0B8635A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项目单位：</w:t>
      </w:r>
      <w:r>
        <w:rPr>
          <w:rFonts w:hint="eastAsia" w:ascii="宋体" w:hAnsi="宋体" w:eastAsia="宋体" w:cs="宋体"/>
          <w:b/>
          <w:bCs/>
          <w:color w:val="auto"/>
          <w:kern w:val="0"/>
          <w:sz w:val="28"/>
          <w:szCs w:val="28"/>
          <w:highlight w:val="none"/>
          <w:lang w:eastAsia="zh-CN" w:bidi="en-US"/>
        </w:rPr>
        <w:t>洛浦县林业和草原局</w:t>
      </w:r>
    </w:p>
    <w:p w14:paraId="2BB45CB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主管部门：</w:t>
      </w:r>
      <w:r>
        <w:rPr>
          <w:rFonts w:hint="eastAsia" w:ascii="宋体" w:hAnsi="宋体" w:eastAsia="宋体" w:cs="宋体"/>
          <w:b/>
          <w:bCs/>
          <w:color w:val="auto"/>
          <w:kern w:val="0"/>
          <w:sz w:val="28"/>
          <w:szCs w:val="28"/>
          <w:highlight w:val="none"/>
          <w:lang w:eastAsia="zh-CN" w:bidi="en-US"/>
        </w:rPr>
        <w:t>洛浦县林业和草原局</w:t>
      </w:r>
    </w:p>
    <w:p w14:paraId="0E524F9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项目负责人：</w:t>
      </w:r>
      <w:r>
        <w:rPr>
          <w:rFonts w:hint="eastAsia" w:ascii="宋体" w:hAnsi="宋体" w:eastAsia="宋体" w:cs="宋体"/>
          <w:b/>
          <w:bCs/>
          <w:color w:val="auto"/>
          <w:kern w:val="0"/>
          <w:sz w:val="28"/>
          <w:szCs w:val="28"/>
          <w:highlight w:val="none"/>
          <w:lang w:eastAsia="zh-CN" w:bidi="en-US"/>
        </w:rPr>
        <w:t>吐</w:t>
      </w:r>
      <w:r>
        <w:rPr>
          <w:rFonts w:hint="eastAsia" w:ascii="宋体" w:hAnsi="宋体" w:eastAsia="宋体" w:cs="宋体"/>
          <w:b/>
          <w:bCs/>
          <w:color w:val="auto"/>
          <w:kern w:val="0"/>
          <w:sz w:val="28"/>
          <w:szCs w:val="28"/>
          <w:highlight w:val="none"/>
          <w:lang w:val="en-US" w:eastAsia="zh-CN" w:bidi="en-US"/>
        </w:rPr>
        <w:t>送</w:t>
      </w:r>
      <w:r>
        <w:rPr>
          <w:rFonts w:hint="eastAsia" w:ascii="宋体" w:hAnsi="宋体" w:eastAsia="宋体" w:cs="宋体"/>
          <w:b/>
          <w:bCs/>
          <w:color w:val="auto"/>
          <w:kern w:val="0"/>
          <w:sz w:val="28"/>
          <w:szCs w:val="28"/>
          <w:highlight w:val="none"/>
          <w:lang w:eastAsia="zh-CN" w:bidi="en-US"/>
        </w:rPr>
        <w:t>江</w:t>
      </w:r>
      <w:r>
        <w:rPr>
          <w:rFonts w:hint="eastAsia" w:ascii="宋体" w:hAnsi="宋体" w:eastAsia="宋体" w:cs="宋体"/>
          <w:b/>
          <w:bCs/>
          <w:color w:val="auto"/>
          <w:kern w:val="0"/>
          <w:sz w:val="28"/>
          <w:szCs w:val="28"/>
          <w:highlight w:val="none"/>
          <w:lang w:val="en-US" w:eastAsia="zh-CN" w:bidi="en-US"/>
        </w:rPr>
        <w:t>·阿卜杜拉</w:t>
      </w:r>
    </w:p>
    <w:p w14:paraId="3DDA981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填报时间：20</w:t>
      </w:r>
      <w:r>
        <w:rPr>
          <w:rFonts w:hint="eastAsia" w:ascii="宋体" w:hAnsi="宋体" w:eastAsia="宋体" w:cs="宋体"/>
          <w:b/>
          <w:bCs/>
          <w:color w:val="auto"/>
          <w:kern w:val="0"/>
          <w:sz w:val="28"/>
          <w:szCs w:val="28"/>
          <w:highlight w:val="none"/>
          <w:lang w:val="en-US" w:eastAsia="zh-CN" w:bidi="en-US"/>
        </w:rPr>
        <w:t>25</w:t>
      </w:r>
      <w:r>
        <w:rPr>
          <w:rFonts w:hint="eastAsia" w:ascii="宋体" w:hAnsi="宋体" w:eastAsia="宋体" w:cs="宋体"/>
          <w:b/>
          <w:bCs/>
          <w:color w:val="auto"/>
          <w:kern w:val="0"/>
          <w:sz w:val="28"/>
          <w:szCs w:val="28"/>
          <w:highlight w:val="none"/>
          <w:lang w:bidi="en-US"/>
        </w:rPr>
        <w:t>年</w:t>
      </w:r>
      <w:r>
        <w:rPr>
          <w:rFonts w:hint="eastAsia" w:ascii="宋体" w:hAnsi="宋体" w:eastAsia="宋体" w:cs="宋体"/>
          <w:b/>
          <w:bCs/>
          <w:color w:val="auto"/>
          <w:kern w:val="0"/>
          <w:sz w:val="28"/>
          <w:szCs w:val="28"/>
          <w:highlight w:val="none"/>
          <w:lang w:val="en-US" w:eastAsia="zh-CN" w:bidi="en-US"/>
        </w:rPr>
        <w:t>3</w:t>
      </w:r>
      <w:r>
        <w:rPr>
          <w:rFonts w:hint="eastAsia" w:ascii="宋体" w:hAnsi="宋体" w:eastAsia="宋体" w:cs="宋体"/>
          <w:b/>
          <w:bCs/>
          <w:color w:val="auto"/>
          <w:kern w:val="0"/>
          <w:sz w:val="28"/>
          <w:szCs w:val="28"/>
          <w:highlight w:val="none"/>
          <w:lang w:bidi="en-US"/>
        </w:rPr>
        <w:t>月</w:t>
      </w:r>
      <w:r>
        <w:rPr>
          <w:rFonts w:hint="eastAsia" w:ascii="宋体" w:hAnsi="宋体" w:eastAsia="宋体" w:cs="宋体"/>
          <w:b/>
          <w:bCs/>
          <w:color w:val="auto"/>
          <w:kern w:val="0"/>
          <w:sz w:val="28"/>
          <w:szCs w:val="28"/>
          <w:highlight w:val="none"/>
          <w:lang w:val="en-US" w:eastAsia="zh-CN" w:bidi="en-US"/>
        </w:rPr>
        <w:t>31</w:t>
      </w:r>
      <w:r>
        <w:rPr>
          <w:rFonts w:hint="eastAsia" w:ascii="宋体" w:hAnsi="宋体" w:eastAsia="宋体" w:cs="宋体"/>
          <w:b/>
          <w:bCs/>
          <w:color w:val="auto"/>
          <w:kern w:val="0"/>
          <w:sz w:val="28"/>
          <w:szCs w:val="28"/>
          <w:highlight w:val="none"/>
          <w:lang w:bidi="en-US"/>
        </w:rPr>
        <w:t>日</w:t>
      </w:r>
    </w:p>
    <w:p w14:paraId="44C7CFC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p>
    <w:p w14:paraId="090ED9A6">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bookmarkStart w:id="5" w:name="_Toc68364657"/>
    </w:p>
    <w:p w14:paraId="1E5C0869">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5"/>
    </w:p>
    <w:p w14:paraId="4CCAE0B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6"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6"/>
    </w:p>
    <w:p w14:paraId="1E5139D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1.项目背景</w:t>
      </w:r>
    </w:p>
    <w:p w14:paraId="6BC5BFD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生态环境是维系人类生存和确保经济社会发展的最根本的基础。改善和保护生态环境是造福子孙后代、确保社会稳定的千秋大业，也是我国实现社会主义现代化和实施西部大开发战略的重要内容之一。</w:t>
      </w:r>
    </w:p>
    <w:p w14:paraId="1A84F79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生态护林员是国家和自治区原集中连片特殊困难地区，原国家扶贫开发工作重点县及重点生态功能区转移支付补助县的脱贫人口，利用财政资金向有劳动能力的贫困人口购买劳务，受聘参加森林资源管护服务，对壮大我县护林队伍，保护森林资源，维护生态环境，增加社会投入，促进经济发展有作十分重要的意义，特别是对我县农村巩固脱贫攻坚，全面小康有作巨大的推动作用。</w:t>
      </w:r>
    </w:p>
    <w:p w14:paraId="2B39336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7C9ECBC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1）主要内容</w:t>
      </w:r>
    </w:p>
    <w:p w14:paraId="2ED53A6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脱贫人口中选聘生态护林员按人均10000元/年计算，我县2024年选（续）聘生态护林员1635人，原则上人均管护面积每人不少于300亩，对所属乡镇的经济林进行科学管理，提质增效。选（续）聘1635名生态护林员实施范围为洛浦县五镇四乡一园区，即布亚乡、恰尔巴格镇、纳瓦乡、山普鲁镇、杭桂镇、多鲁镇、拜什托格拉克乡、洛浦镇、阿其克乡、农业园区。实施对象是从脱贫人口中选（续）聘补助符合条件的共1635名生态护林员。其中：杭桂镇372人，山普鲁镇240人，布亚乡180人，洛浦镇75人，纳瓦乡175人，恰尔巴格镇300人，拜什托格拉克乡40人，多鲁镇190人，农业园区30人，阿其克乡33名。</w:t>
      </w:r>
    </w:p>
    <w:p w14:paraId="596A4B4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（2）实施情况</w:t>
      </w:r>
    </w:p>
    <w:p w14:paraId="5D40AB3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1）项目实施主体</w:t>
      </w:r>
    </w:p>
    <w:p w14:paraId="2762F13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本项目主管部门为洛浦县洛浦县林业和草原局，实施单位为洛浦县洛浦县林业和草原局</w:t>
      </w:r>
    </w:p>
    <w:p w14:paraId="129285C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2）项目实施时间</w:t>
      </w:r>
    </w:p>
    <w:p w14:paraId="7F51D50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2024年1月-2024年12月</w:t>
      </w:r>
    </w:p>
    <w:p w14:paraId="687AC0F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3）项目实施情况</w:t>
      </w:r>
    </w:p>
    <w:p w14:paraId="632D025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lang w:val="en-US" w:eastAsia="zh-CN"/>
        </w:rPr>
        <w:t>项目</w:t>
      </w:r>
      <w:r>
        <w:rPr>
          <w:rFonts w:hint="default" w:ascii="宋体" w:hAnsi="宋体" w:eastAsia="宋体" w:cs="宋体"/>
          <w:color w:val="auto"/>
          <w:sz w:val="24"/>
          <w:szCs w:val="24"/>
          <w:highlight w:val="none"/>
          <w:lang w:val="en-US" w:eastAsia="zh-CN"/>
        </w:rPr>
        <w:t>于202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年12月</w:t>
      </w:r>
      <w:r>
        <w:rPr>
          <w:rFonts w:hint="eastAsia" w:ascii="宋体" w:hAnsi="宋体" w:eastAsia="宋体" w:cs="宋体"/>
          <w:color w:val="auto"/>
          <w:sz w:val="24"/>
          <w:szCs w:val="24"/>
          <w:highlight w:val="none"/>
          <w:lang w:val="en-US" w:eastAsia="zh-CN"/>
        </w:rPr>
        <w:t>31</w:t>
      </w:r>
      <w:r>
        <w:rPr>
          <w:rFonts w:hint="default" w:ascii="宋体" w:hAnsi="宋体" w:eastAsia="宋体" w:cs="宋体"/>
          <w:color w:val="auto"/>
          <w:sz w:val="24"/>
          <w:szCs w:val="24"/>
          <w:highlight w:val="none"/>
          <w:lang w:val="en-US" w:eastAsia="zh-CN"/>
        </w:rPr>
        <w:t>日前全部完工。</w:t>
      </w:r>
    </w:p>
    <w:p w14:paraId="52B8116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实施范围为洛浦县五镇四乡一园区，即布亚乡、恰尔巴格镇、纳瓦乡、山普鲁镇、杭桂镇、多鲁镇、拜什托格拉克乡、洛浦镇、阿其克乡、农业园区。实施对象是从脱贫人口中选（续）聘补助符合条件的共1635名生态护林员。其中：杭桂镇372人，山普鲁镇240人，布亚乡180人，洛浦镇75人，纳瓦乡175人，恰尔巴格镇300人，拜什托格拉克乡40人，多鲁镇190人，农业园区30人，阿其克乡33名。</w:t>
      </w:r>
    </w:p>
    <w:p w14:paraId="2970C1B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3.资金投入和使用情况</w:t>
      </w:r>
    </w:p>
    <w:p w14:paraId="50515E9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（1）项目资金安排</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投入情况</w:t>
      </w:r>
    </w:p>
    <w:p w14:paraId="1317408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本项目预算安排总额为1635万元，资金来源为中央专项资金.其中：财政资金1635万元，2024年实际收到预算资金1635万元，预算资金到位率为100%。</w:t>
      </w:r>
    </w:p>
    <w:p w14:paraId="638A24C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（2）项目资金实际使用情况分析</w:t>
      </w:r>
    </w:p>
    <w:p w14:paraId="09A27F5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本项目实际支付资金1635万元，预算执行率100%。</w:t>
      </w:r>
    </w:p>
    <w:p w14:paraId="14E2D34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7" w:name="_Toc68364659"/>
      <w:r>
        <w:rPr>
          <w:rFonts w:hint="eastAsia" w:ascii="宋体" w:hAnsi="宋体" w:eastAsia="宋体" w:cs="宋体"/>
          <w:color w:val="auto"/>
          <w:sz w:val="24"/>
          <w:szCs w:val="24"/>
        </w:rPr>
        <w:t>（二）项目绩效目标</w:t>
      </w:r>
      <w:bookmarkEnd w:id="7"/>
    </w:p>
    <w:p w14:paraId="1AF8F93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23EABC2A">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64DF1E4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落实专项乡村振兴行动，实施富民产业，发展特色林果业，实施生态保护。产业发展一批，生态保护一批，依托全县优势产业、特色产业和新兴产业，坚持市场导向，大力发展特色林果、庭院经济、拓宽生态补偿脱贫渠道。2025年选（续）聘脱贫人口生态护林员1635名，原则上人均管护面积不少于300亩，</w:t>
      </w:r>
      <w:bookmarkStart w:id="8" w:name="OLE_LINK1"/>
      <w:r>
        <w:rPr>
          <w:rFonts w:hint="eastAsia" w:ascii="宋体" w:hAnsi="宋体" w:eastAsia="宋体" w:cs="宋体"/>
          <w:color w:val="auto"/>
          <w:sz w:val="24"/>
          <w:szCs w:val="24"/>
          <w:lang w:val="en-US" w:eastAsia="zh-CN"/>
        </w:rPr>
        <w:t>对洛浦县33.52万亩经济林、15.48万亩防护林进行管护巡护。要抓好森林、草原、湿地、荒漠、野生动物等的巡护和管护工作，坚持把生态建设与产业发展、农民增收紧密结合，有效改善绿洲人居环境、实现生态建设与林果业产业协调发展。积极争取更多的特色林果产业发展项目投资和惠民生项目落地，扶持壮大和做大做强特色林果产业，使林果产业在乡村振兴中发挥更加突出的作用。</w:t>
      </w:r>
      <w:bookmarkEnd w:id="8"/>
    </w:p>
    <w:p w14:paraId="4EE8BC31">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59B2709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9"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1263319">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B37CAA0">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A239B2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续聘生态护林员人数，</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&gt;=1635人</w:t>
      </w:r>
      <w:r>
        <w:rPr>
          <w:rFonts w:hint="eastAsia" w:ascii="宋体" w:hAnsi="宋体" w:eastAsia="宋体" w:cs="宋体"/>
          <w:color w:val="auto"/>
          <w:sz w:val="24"/>
          <w:szCs w:val="24"/>
        </w:rPr>
        <w:t>；</w:t>
      </w:r>
    </w:p>
    <w:p w14:paraId="1ADBE18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2C5388C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资金使用合规率，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1F2EE1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补助资金发放覆盖率，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38838A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auto"/>
          <w:sz w:val="24"/>
          <w:szCs w:val="24"/>
          <w:lang w:val="en-US" w:eastAsia="zh-CN"/>
        </w:rPr>
        <w:t>指标</w:t>
      </w:r>
      <w:r>
        <w:rPr>
          <w:rFonts w:hint="eastAsia" w:ascii="宋体" w:hAnsi="宋体" w:eastAsia="宋体" w:cs="宋体"/>
          <w:color w:val="auto"/>
          <w:sz w:val="24"/>
          <w:szCs w:val="24"/>
        </w:rPr>
        <w:t>：</w:t>
      </w:r>
    </w:p>
    <w:p w14:paraId="64F1EF4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项目完成时间，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4288E79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2：资金支付及时率，预期指标值=100%</w:t>
      </w:r>
      <w:r>
        <w:rPr>
          <w:rFonts w:hint="eastAsia" w:ascii="宋体" w:hAnsi="宋体" w:eastAsia="宋体" w:cs="宋体"/>
          <w:color w:val="auto"/>
          <w:sz w:val="24"/>
          <w:szCs w:val="24"/>
        </w:rPr>
        <w:t>；</w:t>
      </w:r>
    </w:p>
    <w:p w14:paraId="4BED682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15E15FC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4BFB30C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项目总成本，</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&lt;=1万元/人/年</w:t>
      </w:r>
      <w:r>
        <w:rPr>
          <w:rFonts w:hint="eastAsia" w:ascii="宋体" w:hAnsi="宋体" w:eastAsia="宋体" w:cs="宋体"/>
          <w:color w:val="auto"/>
          <w:sz w:val="24"/>
          <w:szCs w:val="24"/>
        </w:rPr>
        <w:t>；</w:t>
      </w:r>
    </w:p>
    <w:p w14:paraId="30E746B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6E588C8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1077C71A">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35F0562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该项目无生态成本指标；</w:t>
      </w:r>
    </w:p>
    <w:p w14:paraId="614240E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7899F4F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4E1E504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该项目无经济效益指标；</w:t>
      </w:r>
    </w:p>
    <w:p w14:paraId="09DFAF5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3CC4CA4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保护生态系统和生物多样性，</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有效保护</w:t>
      </w:r>
      <w:r>
        <w:rPr>
          <w:rFonts w:hint="eastAsia" w:ascii="宋体" w:hAnsi="宋体" w:eastAsia="宋体" w:cs="宋体"/>
          <w:color w:val="auto"/>
          <w:sz w:val="24"/>
          <w:szCs w:val="24"/>
        </w:rPr>
        <w:t>；</w:t>
      </w:r>
    </w:p>
    <w:p w14:paraId="559A947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3F51919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该项目无生态效益指标；</w:t>
      </w:r>
    </w:p>
    <w:p w14:paraId="6233B8D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1D8A3B5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受益人员满意度，</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95%。</w:t>
      </w:r>
    </w:p>
    <w:p w14:paraId="53EDB08B">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9"/>
    </w:p>
    <w:p w14:paraId="63EE343B">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0" w:name="_Toc68364661"/>
      <w:r>
        <w:rPr>
          <w:rFonts w:hint="eastAsia" w:ascii="宋体" w:hAnsi="宋体" w:eastAsia="宋体" w:cs="宋体"/>
          <w:color w:val="auto"/>
          <w:sz w:val="24"/>
          <w:szCs w:val="24"/>
        </w:rPr>
        <w:t>（一）绩效评价目的、对象和范围</w:t>
      </w:r>
      <w:bookmarkEnd w:id="10"/>
    </w:p>
    <w:p w14:paraId="4A1F6D34">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2EB090C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自治区林业和草原局新林规字【2024】200号《关于开展2025年中央财政林业草原项目储备工作的通知》要求，《自治区脱贫人口生态护林员动态管理办法》的通知（新林资字【2023】156号等相关政策文件与规定，对洛浦县2024年生态护林员选（续）聘补助项目项目开展本次部门项目支出绩效评价工作。全面了解洛浦县2024年生态护林员选（续）聘补助项目预算编制合理性、资金使用合规性、项目管理的规范性、项目目标的实情况、服务对象的满意度等项目实施前期、过程及实施效果情况。</w:t>
      </w:r>
    </w:p>
    <w:p w14:paraId="341176D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0D45C6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D8DB64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同时，通过部门项目支出绩效评价，可促进本单位发现预算项目管理中的问题、总结经验、改进工作，以提高财政预算资金使用的效率及效益。</w:t>
      </w:r>
    </w:p>
    <w:p w14:paraId="5D9B17B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3E77393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次绩效评价遵循财政部《项目支出绩效评价管理办法》（财预〔2020〕10号）和《自治区财政支出绩效评价管理暂行办法》（新财预〔2018〕189号）等政策文件规定，以洛浦县2024年生态护林员选（续）聘补助项目项目为评价对象，对该项目决策、项目资金管理、项目实施过程管理，以及项目实施所带来的产出和效果等内容，进行综合评价。</w:t>
      </w:r>
    </w:p>
    <w:p w14:paraId="2BAA126E">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3F3C30A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主要围绕洛浦县2024年生态护林员选（续）聘补助项目决策、项目资金管理、项目实施过程管理，以及项目实施所带来的产出和效果等内容，进行综合评价。范围涵盖项目总体绩效目标、各项绩效指标完成情况以及预算执行情况</w:t>
      </w:r>
      <w:bookmarkStart w:id="11" w:name="_Toc68364662"/>
      <w:r>
        <w:rPr>
          <w:rFonts w:hint="eastAsia" w:ascii="宋体" w:hAnsi="宋体" w:eastAsia="宋体" w:cs="宋体"/>
          <w:color w:val="auto"/>
          <w:sz w:val="24"/>
          <w:szCs w:val="24"/>
          <w:lang w:val="en-US" w:eastAsia="zh-CN"/>
        </w:rPr>
        <w:t>，覆盖预算资金支出项目的所有内容进行评价。</w:t>
      </w:r>
    </w:p>
    <w:p w14:paraId="7ED1841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11"/>
    </w:p>
    <w:p w14:paraId="1DD0EEF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127B00C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5F656A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（1）科学公正。绩效评价应当运用科学合理的方法，按照规范的程序，对项目绩效进行客观、公正的反映。</w:t>
      </w:r>
    </w:p>
    <w:p w14:paraId="626480D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091DCA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（3）激励约束。绩效评价结果应与预算安排、政策调整、改进管理实质性挂钩，体现奖优罚劣和激励相容导向，有效要安排、低效要压减、无效要问责。</w:t>
      </w:r>
    </w:p>
    <w:p w14:paraId="3F0FFE6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（4）公开透明。绩效评价结果应依法依规公开，并自觉接受社会监督。</w:t>
      </w:r>
    </w:p>
    <w:p w14:paraId="31F1310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根据以上原则，绩效评价应遵循如下要求:</w:t>
      </w:r>
    </w:p>
    <w:p w14:paraId="3D3176B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（1）在数据采集时，采取客观数据，主管部门审查、社会中介组织复查，与问卷调查相结合的形式，以保证各项指标的真实性。</w:t>
      </w:r>
    </w:p>
    <w:p w14:paraId="20F0ACB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（2）保证评价结果的真实性、公正性，提高评价报告的公信力。</w:t>
      </w:r>
    </w:p>
    <w:p w14:paraId="261138A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0041F3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2.绩效评价指标体系</w:t>
      </w:r>
    </w:p>
    <w:p w14:paraId="482B7A8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细指标体系见“附件1：项目支出绩效评价体系”。</w:t>
      </w:r>
    </w:p>
    <w:p w14:paraId="78F1287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139BC49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6D2E0B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0D4E717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5A0692B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11C25AB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1FA252A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5D42DCD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5F8E680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1B8A005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19F0655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59128D4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084B6F1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EA0162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7640E70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AF35A3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2E32714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35FE67B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bookmarkStart w:id="12" w:name="_Toc68364663"/>
      <w:r>
        <w:rPr>
          <w:rFonts w:hint="eastAsia" w:ascii="宋体" w:hAnsi="宋体" w:eastAsia="宋体" w:cs="宋体"/>
          <w:b w:val="0"/>
          <w:bCs/>
          <w:color w:val="auto"/>
          <w:sz w:val="24"/>
          <w:szCs w:val="24"/>
        </w:rPr>
        <w:t>绩效评价标准通常包括计划标准、行业标准、历史标准等，用于对绩效指标完成情况进行比较、分析、评价。本次评价主要采用了</w:t>
      </w:r>
      <w:bookmarkStart w:id="13" w:name="_Toc31464"/>
      <w:bookmarkStart w:id="14" w:name="_Toc17882"/>
      <w:r>
        <w:rPr>
          <w:rFonts w:hint="eastAsia" w:ascii="宋体" w:hAnsi="宋体" w:eastAsia="宋体" w:cs="宋体"/>
          <w:b w:val="0"/>
          <w:bCs/>
          <w:color w:val="auto"/>
          <w:sz w:val="24"/>
          <w:szCs w:val="24"/>
        </w:rPr>
        <w:t>计划标准</w:t>
      </w:r>
      <w:bookmarkEnd w:id="13"/>
      <w:bookmarkEnd w:id="14"/>
      <w:r>
        <w:rPr>
          <w:rFonts w:hint="eastAsia" w:ascii="宋体" w:hAnsi="宋体" w:eastAsia="宋体" w:cs="宋体"/>
          <w:b w:val="0"/>
          <w:bCs/>
          <w:color w:val="auto"/>
          <w:sz w:val="24"/>
          <w:szCs w:val="24"/>
          <w:lang w:eastAsia="zh-CN"/>
        </w:rPr>
        <w:t>。</w:t>
      </w:r>
    </w:p>
    <w:p w14:paraId="0517219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12"/>
    </w:p>
    <w:p w14:paraId="3E1E9A7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bookmarkStart w:id="15" w:name="_Toc68364664"/>
      <w:r>
        <w:rPr>
          <w:rFonts w:hint="eastAsia" w:ascii="宋体" w:hAnsi="宋体" w:eastAsia="宋体" w:cs="宋体"/>
          <w:b/>
          <w:bCs/>
          <w:color w:val="auto"/>
          <w:sz w:val="24"/>
          <w:szCs w:val="24"/>
          <w:highlight w:val="none"/>
        </w:rPr>
        <w:t>1.前期准备</w:t>
      </w:r>
    </w:p>
    <w:p w14:paraId="75426E0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E49AAF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杨官元</w:t>
      </w:r>
      <w:r>
        <w:rPr>
          <w:rFonts w:hint="eastAsia" w:ascii="宋体" w:hAnsi="宋体" w:eastAsia="宋体" w:cs="宋体"/>
          <w:b w:val="0"/>
          <w:bCs/>
          <w:color w:val="auto"/>
          <w:sz w:val="24"/>
          <w:szCs w:val="24"/>
        </w:rPr>
        <w:t>（评价小组组长）：主要负责</w:t>
      </w:r>
      <w:r>
        <w:rPr>
          <w:rFonts w:hint="eastAsia" w:ascii="宋体" w:hAnsi="宋体" w:eastAsia="宋体" w:cs="宋体"/>
          <w:b w:val="0"/>
          <w:bCs/>
          <w:color w:val="auto"/>
          <w:sz w:val="24"/>
          <w:szCs w:val="24"/>
          <w:lang w:val="en-US" w:eastAsia="zh-CN"/>
        </w:rPr>
        <w:t>项目绩效全过程实施协调</w:t>
      </w:r>
      <w:r>
        <w:rPr>
          <w:rFonts w:hint="eastAsia" w:ascii="宋体" w:hAnsi="宋体" w:eastAsia="宋体" w:cs="宋体"/>
          <w:b w:val="0"/>
          <w:bCs/>
          <w:color w:val="auto"/>
          <w:sz w:val="24"/>
          <w:szCs w:val="24"/>
        </w:rPr>
        <w:t>;</w:t>
      </w:r>
    </w:p>
    <w:p w14:paraId="67E581B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古丽加汗</w:t>
      </w:r>
      <w:r>
        <w:rPr>
          <w:rFonts w:hint="eastAsia" w:ascii="宋体" w:hAnsi="宋体" w:eastAsia="宋体" w:cs="宋体"/>
          <w:b w:val="0"/>
          <w:bCs/>
          <w:color w:val="auto"/>
          <w:sz w:val="24"/>
          <w:szCs w:val="24"/>
        </w:rPr>
        <w:t>（评价小组组员）：主要负责</w:t>
      </w:r>
      <w:r>
        <w:rPr>
          <w:rFonts w:hint="eastAsia" w:ascii="宋体" w:hAnsi="宋体" w:eastAsia="宋体" w:cs="宋体"/>
          <w:b w:val="0"/>
          <w:bCs/>
          <w:color w:val="auto"/>
          <w:sz w:val="24"/>
          <w:szCs w:val="24"/>
          <w:lang w:val="en-US" w:eastAsia="zh-CN"/>
        </w:rPr>
        <w:t>项目具体施工进度，目表完成情况考核</w:t>
      </w:r>
      <w:r>
        <w:rPr>
          <w:rFonts w:hint="eastAsia" w:ascii="宋体" w:hAnsi="宋体" w:eastAsia="宋体" w:cs="宋体"/>
          <w:b w:val="0"/>
          <w:bCs/>
          <w:color w:val="auto"/>
          <w:sz w:val="24"/>
          <w:szCs w:val="24"/>
        </w:rPr>
        <w:t>;</w:t>
      </w:r>
    </w:p>
    <w:p w14:paraId="04599FB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严秀琴</w:t>
      </w:r>
      <w:r>
        <w:rPr>
          <w:rFonts w:hint="eastAsia" w:ascii="宋体" w:hAnsi="宋体" w:eastAsia="宋体" w:cs="宋体"/>
          <w:b w:val="0"/>
          <w:bCs/>
          <w:color w:val="auto"/>
          <w:sz w:val="24"/>
          <w:szCs w:val="24"/>
        </w:rPr>
        <w:t>（评价小组组员）：主要负责</w:t>
      </w:r>
      <w:r>
        <w:rPr>
          <w:rFonts w:hint="eastAsia" w:ascii="宋体" w:hAnsi="宋体" w:eastAsia="宋体" w:cs="宋体"/>
          <w:b w:val="0"/>
          <w:bCs/>
          <w:color w:val="auto"/>
          <w:sz w:val="24"/>
          <w:szCs w:val="24"/>
          <w:lang w:val="en-US" w:eastAsia="zh-CN"/>
        </w:rPr>
        <w:t>项目资金支付，项目全过程监督</w:t>
      </w:r>
      <w:r>
        <w:rPr>
          <w:rFonts w:hint="eastAsia" w:ascii="宋体" w:hAnsi="宋体" w:eastAsia="宋体" w:cs="宋体"/>
          <w:b w:val="0"/>
          <w:bCs/>
          <w:color w:val="auto"/>
          <w:sz w:val="24"/>
          <w:szCs w:val="24"/>
        </w:rPr>
        <w:t>。</w:t>
      </w:r>
    </w:p>
    <w:p w14:paraId="277EE3F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2.组织实施</w:t>
      </w:r>
    </w:p>
    <w:p w14:paraId="5624456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2025年1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4E709D5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3.分析评价</w:t>
      </w:r>
    </w:p>
    <w:p w14:paraId="11FDEF0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51A766C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4.撰写与提交评价报告</w:t>
      </w:r>
    </w:p>
    <w:p w14:paraId="78A4BF6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68EF4AF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5.问题整改</w:t>
      </w:r>
    </w:p>
    <w:p w14:paraId="0C2ECE2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2AA703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6.档案整理</w:t>
      </w:r>
    </w:p>
    <w:p w14:paraId="2ABA48E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18523EEB">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5"/>
    </w:p>
    <w:p w14:paraId="078B587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6" w:name="_Toc68364665"/>
      <w:r>
        <w:rPr>
          <w:rFonts w:hint="eastAsia" w:ascii="宋体" w:hAnsi="宋体" w:eastAsia="宋体" w:cs="宋体"/>
          <w:color w:val="auto"/>
          <w:sz w:val="24"/>
          <w:szCs w:val="24"/>
        </w:rPr>
        <w:t>（一）综合评价情况</w:t>
      </w:r>
      <w:bookmarkEnd w:id="16"/>
    </w:p>
    <w:p w14:paraId="5120959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bookmarkStart w:id="17"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val="en-US" w:eastAsia="zh-CN"/>
        </w:rPr>
        <w:t>洛浦县2024年生态护林员选（续）聘补助项目，</w:t>
      </w:r>
      <w:r>
        <w:rPr>
          <w:rFonts w:hint="eastAsia" w:ascii="宋体" w:hAnsi="宋体" w:eastAsia="宋体" w:cs="宋体"/>
          <w:color w:val="auto"/>
          <w:sz w:val="24"/>
          <w:szCs w:val="24"/>
        </w:rPr>
        <w:t>保障50万亩经济林和防护林的日常保护和管理工作正常开展，提高野生动植物保护能力，保护生物多样性，促进林区经济社会发展由稳步复苏向进一步和谐发展转变，确保林区社会和谐稳定，加强生态护林员的选聘和管理。项目实施主要通过项目决策、项目过程、项目产出以及项目效益等方面进行评价，其中：</w:t>
      </w:r>
    </w:p>
    <w:p w14:paraId="66DE095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w:t>
      </w:r>
      <w:r>
        <w:rPr>
          <w:rFonts w:hint="eastAsia" w:ascii="宋体" w:hAnsi="宋体" w:eastAsia="宋体" w:cs="宋体"/>
          <w:color w:val="auto"/>
          <w:sz w:val="24"/>
          <w:szCs w:val="24"/>
          <w:lang w:val="en-US" w:eastAsia="zh-CN"/>
        </w:rPr>
        <w:t>该项目根据（和地财建[2023]95号）、（和地财建[2024]28号）文件实施该项目，</w:t>
      </w:r>
      <w:r>
        <w:rPr>
          <w:rFonts w:hint="eastAsia" w:ascii="宋体" w:hAnsi="宋体" w:eastAsia="宋体" w:cs="宋体"/>
          <w:color w:val="auto"/>
          <w:sz w:val="24"/>
          <w:szCs w:val="24"/>
        </w:rPr>
        <w:t>项目实施符合</w:t>
      </w:r>
      <w:r>
        <w:rPr>
          <w:rFonts w:hint="eastAsia" w:ascii="宋体" w:hAnsi="宋体" w:eastAsia="宋体" w:cs="宋体"/>
          <w:color w:val="auto"/>
          <w:sz w:val="24"/>
          <w:szCs w:val="24"/>
          <w:highlight w:val="none"/>
          <w:lang w:val="en-US" w:eastAsia="zh-CN"/>
        </w:rPr>
        <w:t>实施方案的</w:t>
      </w:r>
      <w:r>
        <w:rPr>
          <w:rFonts w:hint="eastAsia" w:ascii="宋体" w:hAnsi="宋体" w:eastAsia="宋体" w:cs="宋体"/>
          <w:color w:val="auto"/>
          <w:sz w:val="24"/>
          <w:szCs w:val="24"/>
        </w:rPr>
        <w:t>要求，项目立项依据充分，立项程序规范。</w:t>
      </w:r>
    </w:p>
    <w:p w14:paraId="3743F24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项目过程：洛浦县2024年生态护林员选（续）聘项目预算安排1635</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1635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6C1E5F3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val="en-US" w:eastAsia="zh-CN"/>
        </w:rPr>
        <w:t>该项目已</w:t>
      </w:r>
      <w:r>
        <w:rPr>
          <w:rFonts w:hint="eastAsia" w:ascii="宋体" w:hAnsi="宋体" w:eastAsia="宋体" w:cs="宋体"/>
          <w:color w:val="auto"/>
          <w:sz w:val="24"/>
          <w:szCs w:val="24"/>
        </w:rPr>
        <w:t>保障1635名续聘生态护林员补助正常发放</w:t>
      </w:r>
      <w:r>
        <w:rPr>
          <w:rFonts w:hint="eastAsia" w:ascii="宋体" w:hAnsi="宋体" w:eastAsia="宋体" w:cs="宋体"/>
          <w:color w:val="auto"/>
          <w:sz w:val="24"/>
          <w:szCs w:val="24"/>
          <w:lang w:val="en-US" w:eastAsia="zh-CN"/>
        </w:rPr>
        <w:t>。</w:t>
      </w:r>
    </w:p>
    <w:p w14:paraId="33D88442">
      <w:pPr>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保障50万亩经济林和防护林的日常保护和管理工作正常开展，提高野生动植物保护能力，保护生物多样性，促进林区经济社会发展由稳步复苏向进一步和谐发展转变，确保林区社会和谐稳定，加强生态护林员的选聘和管理</w:t>
      </w:r>
      <w:r>
        <w:rPr>
          <w:rFonts w:hint="eastAsia" w:ascii="宋体" w:hAnsi="宋体" w:eastAsia="宋体" w:cs="宋体"/>
          <w:color w:val="auto"/>
          <w:sz w:val="24"/>
          <w:szCs w:val="24"/>
          <w:lang w:val="en-US" w:eastAsia="zh-CN"/>
        </w:rPr>
        <w:t>。</w:t>
      </w:r>
    </w:p>
    <w:p w14:paraId="7ACF38C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294AE4E8">
      <w:pPr>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依据《中共中央国务院关于全面实施预算绩效管理的意见》《项目支出绩效评价管理办法》（财预〔2020〕10号）文件，绩效评价总分设置为100分，划分为四档：90（含）-100分为“优”、80（含）-90分为“良”、70（含）-80分为“中”、70分以下为“差”。经对洛浦县2024年生态护林员选（续）聘补助项目进行客观评价，最终评分结果：评价总分100分，绩效等级为“优”。</w:t>
      </w:r>
      <w:bookmarkEnd w:id="17"/>
      <w:bookmarkStart w:id="18" w:name="_Toc68364667"/>
    </w:p>
    <w:p w14:paraId="34C9C3F4">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8"/>
    </w:p>
    <w:p w14:paraId="00F59739">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9" w:name="_Toc68364668"/>
      <w:r>
        <w:rPr>
          <w:rFonts w:hint="eastAsia" w:ascii="宋体" w:hAnsi="宋体" w:eastAsia="宋体" w:cs="宋体"/>
          <w:color w:val="auto"/>
          <w:sz w:val="24"/>
          <w:szCs w:val="24"/>
        </w:rPr>
        <w:t>（一）项目决策情况</w:t>
      </w:r>
    </w:p>
    <w:p w14:paraId="52AD80E4">
      <w:pPr>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项目决策类指标包括项目立项、绩效目标和资金投入三方面的内容，由6个三级指标构成，权重分为23分，实际得分23分，得分率为100%。</w:t>
      </w:r>
    </w:p>
    <w:p w14:paraId="2AE2950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立项依据充分性</w:t>
      </w:r>
    </w:p>
    <w:p w14:paraId="14A2A323">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bidi="ar-SA"/>
        </w:rPr>
      </w:pPr>
      <w:r>
        <w:rPr>
          <w:rFonts w:hint="eastAsia" w:ascii="宋体" w:hAnsi="宋体" w:eastAsia="宋体" w:cs="宋体"/>
          <w:color w:val="auto"/>
          <w:kern w:val="0"/>
          <w:sz w:val="24"/>
          <w:szCs w:val="24"/>
          <w:lang w:val="en-US" w:eastAsia="zh-CN" w:bidi="ar-SA"/>
        </w:rPr>
        <w:t>本</w:t>
      </w:r>
      <w:r>
        <w:rPr>
          <w:rFonts w:hint="eastAsia" w:ascii="宋体" w:hAnsi="宋体" w:eastAsia="宋体" w:cs="宋体"/>
          <w:color w:val="auto"/>
          <w:kern w:val="0"/>
          <w:sz w:val="24"/>
          <w:szCs w:val="24"/>
          <w:lang w:val="en-US" w:bidi="ar-SA"/>
        </w:rPr>
        <w:t>项目立项符合</w:t>
      </w:r>
      <w:bookmarkStart w:id="20" w:name="OLE_LINK5"/>
      <w:r>
        <w:rPr>
          <w:rFonts w:hint="eastAsia" w:ascii="宋体" w:hAnsi="宋体" w:eastAsia="宋体" w:cs="宋体"/>
          <w:color w:val="auto"/>
          <w:kern w:val="0"/>
          <w:sz w:val="24"/>
          <w:szCs w:val="24"/>
          <w:lang w:val="en-US" w:eastAsia="zh-CN" w:bidi="ar-SA"/>
        </w:rPr>
        <w:t>自治区林业和草原局新林规字【2024】200号《关于开展2025年中央财政林业草原项目储备工作的通知》要求</w:t>
      </w:r>
      <w:bookmarkEnd w:id="20"/>
      <w:r>
        <w:rPr>
          <w:rFonts w:hint="eastAsia" w:ascii="宋体" w:hAnsi="宋体" w:eastAsia="宋体" w:cs="宋体"/>
          <w:color w:val="auto"/>
          <w:kern w:val="0"/>
          <w:sz w:val="24"/>
          <w:szCs w:val="24"/>
          <w:lang w:val="en-US" w:eastAsia="zh-CN" w:bidi="ar-SA"/>
        </w:rPr>
        <w:t>；本项目</w:t>
      </w:r>
      <w:r>
        <w:rPr>
          <w:rFonts w:hint="eastAsia" w:ascii="宋体" w:hAnsi="宋体" w:eastAsia="宋体" w:cs="宋体"/>
          <w:color w:val="auto"/>
          <w:kern w:val="0"/>
          <w:sz w:val="24"/>
          <w:szCs w:val="24"/>
          <w:lang w:val="en-US" w:bidi="ar-SA"/>
        </w:rPr>
        <w:t>立项符合</w:t>
      </w:r>
      <w:r>
        <w:rPr>
          <w:rFonts w:hint="eastAsia" w:ascii="宋体" w:hAnsi="宋体" w:eastAsia="宋体" w:cs="宋体"/>
          <w:color w:val="auto"/>
          <w:kern w:val="0"/>
          <w:sz w:val="24"/>
          <w:szCs w:val="24"/>
          <w:lang w:val="en-US" w:eastAsia="zh-CN" w:bidi="ar-SA"/>
        </w:rPr>
        <w:t>《自治区脱贫人口生态护林员动态管理办法》的通知（新林资字【2023】156号）</w:t>
      </w:r>
      <w:r>
        <w:rPr>
          <w:rFonts w:hint="eastAsia" w:ascii="宋体" w:hAnsi="宋体" w:eastAsia="宋体" w:cs="宋体"/>
          <w:color w:val="auto"/>
          <w:kern w:val="0"/>
          <w:sz w:val="24"/>
          <w:szCs w:val="24"/>
          <w:lang w:val="en-US" w:bidi="ar-SA"/>
        </w:rPr>
        <w:t>符合行业发展规划和政策要求</w:t>
      </w:r>
      <w:r>
        <w:rPr>
          <w:rFonts w:hint="eastAsia" w:ascii="宋体" w:hAnsi="宋体" w:eastAsia="宋体" w:cs="宋体"/>
          <w:color w:val="auto"/>
          <w:kern w:val="0"/>
          <w:sz w:val="24"/>
          <w:szCs w:val="24"/>
          <w:lang w:val="en-US" w:eastAsia="zh-CN" w:bidi="ar-SA"/>
        </w:rPr>
        <w:t>；</w:t>
      </w:r>
      <w:r>
        <w:rPr>
          <w:rFonts w:hint="eastAsia" w:ascii="宋体" w:hAnsi="宋体" w:eastAsia="宋体" w:cs="宋体"/>
          <w:color w:val="auto"/>
          <w:kern w:val="0"/>
          <w:sz w:val="24"/>
          <w:szCs w:val="24"/>
          <w:lang w:val="en-US" w:bidi="ar-SA"/>
        </w:rPr>
        <w:t>符合中央、地方事权支出责任划分原则</w:t>
      </w:r>
      <w:r>
        <w:rPr>
          <w:rFonts w:hint="eastAsia" w:ascii="宋体" w:hAnsi="宋体" w:eastAsia="宋体" w:cs="宋体"/>
          <w:color w:val="auto"/>
          <w:kern w:val="0"/>
          <w:sz w:val="24"/>
          <w:szCs w:val="24"/>
          <w:lang w:val="en-US" w:eastAsia="zh-CN" w:bidi="ar-SA"/>
        </w:rPr>
        <w:t>；经检查</w:t>
      </w:r>
      <w:r>
        <w:rPr>
          <w:rFonts w:hint="eastAsia" w:ascii="宋体" w:hAnsi="宋体" w:eastAsia="宋体" w:cs="宋体"/>
          <w:color w:val="auto"/>
          <w:kern w:val="0"/>
          <w:sz w:val="24"/>
          <w:szCs w:val="24"/>
          <w:lang w:val="en-US" w:bidi="ar-SA"/>
        </w:rPr>
        <w:t>我单位财政应用平台指标，</w:t>
      </w:r>
      <w:r>
        <w:rPr>
          <w:rFonts w:hint="eastAsia" w:ascii="宋体" w:hAnsi="宋体" w:eastAsia="宋体" w:cs="宋体"/>
          <w:color w:val="auto"/>
          <w:kern w:val="0"/>
          <w:sz w:val="24"/>
          <w:szCs w:val="24"/>
          <w:lang w:val="en-US" w:eastAsia="zh-CN" w:bidi="ar-SA"/>
        </w:rPr>
        <w:t>本</w:t>
      </w:r>
      <w:r>
        <w:rPr>
          <w:rFonts w:hint="eastAsia" w:ascii="宋体" w:hAnsi="宋体" w:eastAsia="宋体" w:cs="宋体"/>
          <w:color w:val="auto"/>
          <w:kern w:val="0"/>
          <w:sz w:val="24"/>
          <w:szCs w:val="24"/>
          <w:lang w:val="en-US" w:bidi="ar-SA"/>
        </w:rPr>
        <w:t>项目不存在重复。</w:t>
      </w:r>
    </w:p>
    <w:p w14:paraId="145727F1">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E71922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66D87D65">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本项目立项过程中产生的文件均符合相关要求。本项目为</w:t>
      </w:r>
      <w:r>
        <w:rPr>
          <w:rFonts w:hint="eastAsia" w:ascii="宋体" w:hAnsi="宋体" w:eastAsia="宋体" w:cs="宋体"/>
          <w:color w:val="auto"/>
          <w:sz w:val="24"/>
          <w:szCs w:val="24"/>
          <w:highlight w:val="none"/>
          <w:lang w:val="en-US" w:eastAsia="zh-CN"/>
        </w:rPr>
        <w:t>补助</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1635</w:t>
      </w:r>
      <w:r>
        <w:rPr>
          <w:rFonts w:hint="eastAsia" w:ascii="宋体" w:hAnsi="宋体" w:eastAsia="宋体" w:cs="宋体"/>
          <w:color w:val="auto"/>
          <w:sz w:val="24"/>
          <w:szCs w:val="24"/>
          <w:highlight w:val="none"/>
        </w:rPr>
        <w:t>万元，不涉及事前绩效评估和风险评估。</w:t>
      </w:r>
    </w:p>
    <w:p w14:paraId="343BE6E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71FF76B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b/>
          <w:bCs/>
          <w:color w:val="000000"/>
          <w:sz w:val="24"/>
          <w:szCs w:val="24"/>
          <w:highlight w:val="none"/>
          <w:lang w:val="en-US" w:eastAsia="zh-CN"/>
        </w:rPr>
        <w:t>3.绩效目标合理性</w:t>
      </w:r>
    </w:p>
    <w:p w14:paraId="283B1138">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根据（和地财建[2023]95号）、（和地财建[2024]28号）文件实施该项目。项目主要内容：保障1635名续聘生态护林员补助正常发放。通过项目实施，保障50万亩经济林和防护林的日常保护和管理工作正常开展，提高野生动植物保护能力，保护生物多样性，促进林区经济社会发展由稳步复苏向进一步和谐发展转变，确保林区社会和谐稳定，加强生态护林员的选聘和管理。</w:t>
      </w:r>
    </w:p>
    <w:p w14:paraId="6048311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741035E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0D7A4610">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000000"/>
          <w:sz w:val="24"/>
          <w:szCs w:val="24"/>
          <w:highlight w:val="none"/>
        </w:rPr>
        <w:t>经检查我单位年初设置的《洛浦县2024年乡村生态护林员续聘项目支出绩效目标表》，得出如下结论：本项目已将年度绩效目标进行细化为绩效指标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w:t>
      </w:r>
      <w:r>
        <w:rPr>
          <w:rFonts w:hint="eastAsia" w:ascii="宋体" w:hAnsi="宋体" w:eastAsia="宋体" w:cs="宋体"/>
          <w:color w:val="000000"/>
          <w:sz w:val="24"/>
          <w:szCs w:val="24"/>
          <w:highlight w:val="none"/>
          <w:lang w:val="en-US" w:eastAsia="zh-CN"/>
        </w:rPr>
        <w:t>一级指标4个，二级指标6个，三级指标8个，</w:t>
      </w:r>
      <w:r>
        <w:rPr>
          <w:rFonts w:hint="eastAsia" w:ascii="宋体" w:hAnsi="宋体" w:eastAsia="宋体" w:cs="宋体"/>
          <w:color w:val="auto"/>
          <w:sz w:val="24"/>
          <w:szCs w:val="24"/>
          <w:highlight w:val="none"/>
        </w:rPr>
        <w:t>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558CF75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该《洛浦县2024年乡村生态护林员续聘项目绩效目标申报表》中，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“续聘生态护林员人数”</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eastAsia="zh-CN"/>
        </w:rPr>
        <w:t>“项目完成时间、资金支付及时率”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1F7A790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0ABCA55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预算编制科学性</w:t>
      </w:r>
    </w:p>
    <w:p w14:paraId="015F55D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：根据（和地财建[2023]95号）、（和地财建[2024]28号）文件实施该项目。项目主要内容：保障1635名续聘生态护林员补助正常发放</w:t>
      </w:r>
      <w:r>
        <w:rPr>
          <w:rFonts w:hint="eastAsia" w:ascii="宋体" w:hAnsi="宋体" w:eastAsia="宋体" w:cs="宋体"/>
          <w:color w:val="000000"/>
          <w:sz w:val="24"/>
          <w:szCs w:val="24"/>
          <w:highlight w:val="none"/>
        </w:rPr>
        <w:t>，预算申请与项目实施方案中涉及的项目内容匹配；</w:t>
      </w:r>
    </w:p>
    <w:p w14:paraId="1F24554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1635</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val="en-US" w:eastAsia="zh-CN"/>
        </w:rPr>
        <w:t>人均10000元/年</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0778ED5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分，本项目预算编制科学。</w:t>
      </w:r>
    </w:p>
    <w:p w14:paraId="7334311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资金分配合理性</w:t>
      </w:r>
    </w:p>
    <w:p w14:paraId="76227BF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洛浦县2024年乡村生态护林员续聘项目实施方案》为依据进行资金分配，预算资金分配依据充分。本项目实际到位资金</w:t>
      </w:r>
      <w:bookmarkStart w:id="21" w:name="OLE_LINK6"/>
      <w:r>
        <w:rPr>
          <w:rFonts w:hint="eastAsia" w:ascii="宋体" w:hAnsi="宋体" w:eastAsia="宋体" w:cs="宋体"/>
          <w:color w:val="auto"/>
          <w:sz w:val="24"/>
          <w:szCs w:val="24"/>
          <w:highlight w:val="none"/>
          <w:lang w:val="en-US" w:eastAsia="zh-CN"/>
        </w:rPr>
        <w:t>1635</w:t>
      </w:r>
      <w:bookmarkEnd w:id="21"/>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4F653E5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分，本项目资金分配合理。</w:t>
      </w:r>
    </w:p>
    <w:p w14:paraId="10727DF4">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3B7AA6A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36B3D50">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58914B1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1635</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1635</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1635</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4FC9358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79803DF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预算执行率</w:t>
      </w:r>
    </w:p>
    <w:p w14:paraId="6558822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1635</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1D1FBA2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E1E12C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资金使用合规性</w:t>
      </w:r>
    </w:p>
    <w:p w14:paraId="0335D5E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097F8ED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B7F31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管理制度健全性</w:t>
      </w:r>
    </w:p>
    <w:p w14:paraId="3DD6DAC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年初本</w:t>
      </w:r>
      <w:r>
        <w:rPr>
          <w:rFonts w:hint="eastAsia" w:ascii="宋体" w:hAnsi="宋体" w:eastAsia="宋体" w:cs="宋体"/>
          <w:b w:val="0"/>
          <w:bCs w:val="0"/>
          <w:color w:val="auto"/>
          <w:sz w:val="24"/>
          <w:szCs w:val="24"/>
          <w:highlight w:val="none"/>
        </w:rPr>
        <w:t>单位已制定《</w:t>
      </w:r>
      <w:r>
        <w:rPr>
          <w:rFonts w:hint="eastAsia" w:ascii="宋体" w:hAnsi="宋体" w:eastAsia="宋体" w:cs="宋体"/>
          <w:color w:val="auto"/>
          <w:sz w:val="24"/>
          <w:szCs w:val="24"/>
          <w:highlight w:val="none"/>
        </w:rPr>
        <w:t>专项</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项目</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洛浦县林业和草原局</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洛浦县林业和草原局合同</w:t>
      </w:r>
      <w:r>
        <w:rPr>
          <w:rFonts w:hint="eastAsia" w:ascii="宋体" w:hAnsi="宋体" w:eastAsia="宋体" w:cs="宋体"/>
          <w:b w:val="0"/>
          <w:bCs w:val="0"/>
          <w:color w:val="auto"/>
          <w:sz w:val="24"/>
          <w:szCs w:val="24"/>
          <w:highlight w:val="none"/>
        </w:rPr>
        <w:t>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w:t>
      </w:r>
      <w:r>
        <w:rPr>
          <w:rFonts w:hint="eastAsia" w:ascii="宋体" w:hAnsi="宋体" w:eastAsia="宋体" w:cs="宋体"/>
          <w:color w:val="auto"/>
          <w:sz w:val="24"/>
          <w:szCs w:val="24"/>
          <w:highlight w:val="none"/>
        </w:rPr>
        <w:t>。</w:t>
      </w:r>
    </w:p>
    <w:p w14:paraId="0BB25FA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499552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制度执行有效性</w:t>
      </w:r>
    </w:p>
    <w:p w14:paraId="370A0D7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BA39D3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55B295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44EAF6C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项目工作领导小组，由</w:t>
      </w:r>
      <w:r>
        <w:rPr>
          <w:rFonts w:hint="eastAsia" w:ascii="宋体" w:hAnsi="宋体" w:eastAsia="宋体" w:cs="宋体"/>
          <w:color w:val="auto"/>
          <w:sz w:val="24"/>
          <w:szCs w:val="24"/>
          <w:highlight w:val="none"/>
          <w:lang w:val="en-US" w:eastAsia="zh-CN"/>
        </w:rPr>
        <w:t>杨官元</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古丽加汗</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严秀琴</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凯迪尔丁</w:t>
      </w:r>
      <w:r>
        <w:rPr>
          <w:rFonts w:hint="eastAsia" w:ascii="宋体" w:hAnsi="宋体" w:eastAsia="宋体" w:cs="宋体"/>
          <w:color w:val="auto"/>
          <w:sz w:val="24"/>
          <w:szCs w:val="24"/>
          <w:highlight w:val="none"/>
        </w:rPr>
        <w:t>，主要负责项目监督管理、验收以及资金核拨等工作。</w:t>
      </w:r>
    </w:p>
    <w:p w14:paraId="6F9CBD7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4BCD52A">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FEA334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BF44ABA">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对于“产出数量”</w:t>
      </w:r>
    </w:p>
    <w:p w14:paraId="453D716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续聘生态护林员人数，预期指标值</w:t>
      </w:r>
      <w:r>
        <w:rPr>
          <w:rFonts w:hint="eastAsia" w:ascii="宋体" w:hAnsi="宋体" w:eastAsia="宋体" w:cs="宋体"/>
          <w:color w:val="auto"/>
          <w:sz w:val="24"/>
          <w:szCs w:val="24"/>
          <w:highlight w:val="none"/>
          <w:lang w:val="en-US" w:eastAsia="zh-CN"/>
        </w:rPr>
        <w:t>大于等于1635人</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1635人</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22D089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275F4304">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对于“产出质量”</w:t>
      </w:r>
    </w:p>
    <w:p w14:paraId="7396A9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5F751B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补助资金发放覆盖率，预期指标值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9E4143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79B9685C">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对于“产出时效”</w:t>
      </w:r>
    </w:p>
    <w:p w14:paraId="3035FEF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w:t>
      </w:r>
      <w:r>
        <w:rPr>
          <w:rFonts w:hint="eastAsia" w:ascii="宋体" w:hAnsi="宋体" w:eastAsia="宋体" w:cs="宋体"/>
          <w:b w:val="0"/>
          <w:color w:val="auto"/>
          <w:sz w:val="24"/>
          <w:szCs w:val="24"/>
          <w:highlight w:val="none"/>
          <w:lang w:val="en-US" w:eastAsia="zh-CN"/>
        </w:rPr>
        <w:t>为2024年12月</w:t>
      </w:r>
      <w:r>
        <w:rPr>
          <w:rFonts w:hint="eastAsia" w:ascii="宋体" w:hAnsi="宋体" w:eastAsia="宋体" w:cs="宋体"/>
          <w:b w:val="0"/>
          <w:color w:val="auto"/>
          <w:sz w:val="24"/>
          <w:szCs w:val="24"/>
          <w:highlight w:val="none"/>
        </w:rPr>
        <w:t>，实际完成值</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，指标完成率100%，与预期目标一致，根据评分标准，该指标不扣分，得</w:t>
      </w:r>
      <w:r>
        <w:rPr>
          <w:rFonts w:hint="eastAsia" w:ascii="宋体" w:hAns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分。</w:t>
      </w:r>
    </w:p>
    <w:p w14:paraId="3A45ED2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4971C5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000000"/>
          <w:sz w:val="24"/>
          <w:szCs w:val="24"/>
          <w:highlight w:val="none"/>
        </w:rPr>
        <w:t>合计得10分。</w:t>
      </w:r>
    </w:p>
    <w:p w14:paraId="159CF1D2">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对于“产出成本”</w:t>
      </w:r>
    </w:p>
    <w:p w14:paraId="6EC8BBE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项目总成本，预期指标值</w:t>
      </w:r>
      <w:r>
        <w:rPr>
          <w:rFonts w:hint="eastAsia" w:ascii="宋体" w:hAnsi="宋体" w:eastAsia="宋体" w:cs="宋体"/>
          <w:color w:val="auto"/>
          <w:sz w:val="24"/>
          <w:szCs w:val="24"/>
          <w:highlight w:val="none"/>
          <w:lang w:val="en-US" w:eastAsia="zh-CN"/>
        </w:rPr>
        <w:t>小于等于1万元/人/年</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1万元/人/年</w:t>
      </w:r>
      <w:r>
        <w:rPr>
          <w:rFonts w:hint="eastAsia" w:ascii="宋体" w:hAnsi="宋体" w:eastAsia="宋体" w:cs="宋体"/>
          <w:color w:val="auto"/>
          <w:sz w:val="24"/>
          <w:szCs w:val="24"/>
          <w:highlight w:val="none"/>
        </w:rPr>
        <w:t>，指标完成率100%</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与预期目标一致，根据评分标准，该指标不扣分</w:t>
      </w:r>
      <w:r>
        <w:rPr>
          <w:rFonts w:hint="eastAsia" w:ascii="宋体" w:hAnsi="宋体" w:eastAsia="宋体" w:cs="宋体"/>
          <w:color w:val="auto"/>
          <w:sz w:val="24"/>
          <w:szCs w:val="24"/>
          <w:highlight w:val="none"/>
        </w:rPr>
        <w:t>，得1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1E9C1B4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000000"/>
          <w:sz w:val="24"/>
          <w:szCs w:val="24"/>
          <w:highlight w:val="none"/>
        </w:rPr>
        <w:t>合计得10分。</w:t>
      </w:r>
    </w:p>
    <w:p w14:paraId="13EA4C8A">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0AC9993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bookmarkEnd w:id="19"/>
    </w:p>
    <w:p w14:paraId="4A93B93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对于“社会效益指标”</w:t>
      </w:r>
    </w:p>
    <w:p w14:paraId="541D4BA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保护生态系统和生物多样性</w:t>
      </w:r>
      <w:r>
        <w:rPr>
          <w:rFonts w:hint="eastAsia" w:ascii="宋体" w:hAnsi="宋体" w:eastAsia="宋体" w:cs="宋体"/>
          <w:b w:val="0"/>
          <w:bCs w:val="0"/>
          <w:color w:val="auto"/>
          <w:sz w:val="24"/>
          <w:szCs w:val="24"/>
          <w:highlight w:val="none"/>
        </w:rPr>
        <w:t>，预期指标值为</w:t>
      </w:r>
      <w:r>
        <w:rPr>
          <w:rFonts w:hint="eastAsia" w:ascii="宋体" w:hAnsi="宋体" w:eastAsia="宋体" w:cs="宋体"/>
          <w:b w:val="0"/>
          <w:bCs w:val="0"/>
          <w:color w:val="auto"/>
          <w:sz w:val="24"/>
          <w:szCs w:val="24"/>
          <w:highlight w:val="none"/>
          <w:lang w:val="en-US" w:eastAsia="zh-CN"/>
        </w:rPr>
        <w:t>有效保护</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有效保护</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，与预期指标一致，根据评分标准，该指标不扣分，得</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分。</w:t>
      </w:r>
    </w:p>
    <w:p w14:paraId="1C0CFF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对于“经济效益指标”</w:t>
      </w:r>
    </w:p>
    <w:p w14:paraId="4DD8072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5832245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对于“生态效益指标”</w:t>
      </w:r>
    </w:p>
    <w:p w14:paraId="6B805BE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该项目不涉及生态效益指标。</w:t>
      </w:r>
    </w:p>
    <w:p w14:paraId="55B6AD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满意度指标分析</w:t>
      </w:r>
    </w:p>
    <w:p w14:paraId="23985D1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highlight w:val="none"/>
          <w:lang w:val="en-US" w:eastAsia="zh-CN"/>
        </w:rPr>
        <w:t>受益人员满意度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大于等于95%</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5901A96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749BAC24">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7AC20DCF">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1635</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1635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1635</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C7F453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3E32C02">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p>
    <w:p w14:paraId="5AF06FD4">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rPr>
      </w:pPr>
      <w:bookmarkStart w:id="22" w:name="_Toc68364673"/>
      <w:r>
        <w:rPr>
          <w:rFonts w:hint="eastAsia" w:ascii="黑体" w:hAnsi="黑体" w:eastAsia="黑体" w:cs="黑体"/>
          <w:b/>
          <w:bCs/>
          <w:color w:val="auto"/>
          <w:sz w:val="24"/>
          <w:szCs w:val="24"/>
        </w:rPr>
        <w:t>六、主要经验及做法、存在的问题及原因分析</w:t>
      </w:r>
    </w:p>
    <w:p w14:paraId="2AA39D7C">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bookmarkEnd w:id="22"/>
      <w:bookmarkStart w:id="23" w:name="_Toc68364675"/>
    </w:p>
    <w:p w14:paraId="4E489167">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w:t>
      </w:r>
    </w:p>
    <w:p w14:paraId="13312891">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color w:val="auto"/>
        </w:rPr>
      </w:pPr>
      <w:r>
        <w:rPr>
          <w:rFonts w:hint="eastAsia" w:ascii="黑体" w:hAnsi="黑体" w:eastAsia="黑体" w:cs="黑体"/>
          <w:color w:val="auto"/>
          <w:sz w:val="24"/>
          <w:szCs w:val="24"/>
        </w:rPr>
        <w:t>七、有关建议</w:t>
      </w:r>
      <w:bookmarkEnd w:id="23"/>
      <w:bookmarkStart w:id="24" w:name="_Toc68364676"/>
    </w:p>
    <w:p w14:paraId="5951948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w:t>
      </w:r>
    </w:p>
    <w:p w14:paraId="52BED7E8">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八、其他需要说明的问题</w:t>
      </w:r>
      <w:bookmarkEnd w:id="24"/>
    </w:p>
    <w:p w14:paraId="610D6FE6">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我单位对上述项目支出绩效评价报告内反映内容的真实性、完整性负责，愿接受上级部门及社会公众监督。</w:t>
      </w:r>
    </w:p>
    <w:p w14:paraId="48782E5E">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p>
    <w:p w14:paraId="28E7FE77">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附件1：洛浦县2024年乡村生态护林员续聘项目绩效评价指标体系</w:t>
      </w:r>
    </w:p>
    <w:p w14:paraId="1385F862">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附件2：洛浦县2024年乡村生态护林员续聘项目综合得分表</w:t>
      </w:r>
    </w:p>
    <w:p w14:paraId="211B8753">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447AA84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p>
    <w:p w14:paraId="655ACFAD">
      <w:pPr>
        <w:pStyle w:val="10"/>
        <w:ind w:left="0" w:leftChars="0" w:firstLine="0" w:firstLineChars="0"/>
        <w:jc w:val="both"/>
        <w:rPr>
          <w:rFonts w:hint="eastAsia" w:ascii="宋体" w:hAnsi="宋体" w:eastAsia="宋体" w:cs="宋体"/>
          <w:color w:val="auto"/>
          <w:sz w:val="24"/>
          <w:szCs w:val="24"/>
        </w:rPr>
      </w:pPr>
    </w:p>
    <w:p w14:paraId="25112695">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2"/>
        <w:gridCol w:w="500"/>
        <w:gridCol w:w="585"/>
        <w:gridCol w:w="553"/>
        <w:gridCol w:w="730"/>
        <w:gridCol w:w="553"/>
        <w:gridCol w:w="2875"/>
        <w:gridCol w:w="1118"/>
        <w:gridCol w:w="4272"/>
        <w:gridCol w:w="952"/>
        <w:gridCol w:w="508"/>
      </w:tblGrid>
      <w:tr w14:paraId="2D421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2" w:type="dxa"/>
            <w:tcBorders>
              <w:top w:val="nil"/>
              <w:left w:val="nil"/>
              <w:bottom w:val="nil"/>
              <w:right w:val="nil"/>
            </w:tcBorders>
            <w:noWrap/>
            <w:vAlign w:val="center"/>
          </w:tcPr>
          <w:p w14:paraId="4BAD789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附件1：</w:t>
            </w:r>
          </w:p>
        </w:tc>
        <w:tc>
          <w:tcPr>
            <w:tcW w:w="500" w:type="dxa"/>
            <w:tcBorders>
              <w:top w:val="nil"/>
              <w:left w:val="nil"/>
              <w:bottom w:val="nil"/>
              <w:right w:val="nil"/>
            </w:tcBorders>
            <w:noWrap/>
            <w:vAlign w:val="center"/>
          </w:tcPr>
          <w:p w14:paraId="08F4BB8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85" w:type="dxa"/>
            <w:tcBorders>
              <w:top w:val="nil"/>
              <w:left w:val="nil"/>
              <w:bottom w:val="nil"/>
              <w:right w:val="nil"/>
            </w:tcBorders>
            <w:noWrap/>
            <w:vAlign w:val="center"/>
          </w:tcPr>
          <w:p w14:paraId="6053194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53" w:type="dxa"/>
            <w:tcBorders>
              <w:top w:val="nil"/>
              <w:left w:val="nil"/>
              <w:bottom w:val="nil"/>
              <w:right w:val="nil"/>
            </w:tcBorders>
            <w:noWrap/>
            <w:vAlign w:val="center"/>
          </w:tcPr>
          <w:p w14:paraId="61A693CB">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730" w:type="dxa"/>
            <w:tcBorders>
              <w:top w:val="nil"/>
              <w:left w:val="nil"/>
              <w:bottom w:val="nil"/>
              <w:right w:val="nil"/>
            </w:tcBorders>
            <w:noWrap/>
            <w:vAlign w:val="center"/>
          </w:tcPr>
          <w:p w14:paraId="3AE158A3">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53" w:type="dxa"/>
            <w:tcBorders>
              <w:top w:val="nil"/>
              <w:left w:val="nil"/>
              <w:bottom w:val="nil"/>
              <w:right w:val="nil"/>
            </w:tcBorders>
            <w:noWrap/>
            <w:vAlign w:val="center"/>
          </w:tcPr>
          <w:p w14:paraId="5A52F22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2875" w:type="dxa"/>
            <w:tcBorders>
              <w:top w:val="nil"/>
              <w:left w:val="nil"/>
              <w:bottom w:val="nil"/>
              <w:right w:val="nil"/>
            </w:tcBorders>
            <w:noWrap/>
            <w:vAlign w:val="center"/>
          </w:tcPr>
          <w:p w14:paraId="4AF5D33E">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1118" w:type="dxa"/>
            <w:tcBorders>
              <w:top w:val="nil"/>
              <w:left w:val="nil"/>
              <w:bottom w:val="nil"/>
              <w:right w:val="nil"/>
            </w:tcBorders>
            <w:noWrap/>
            <w:vAlign w:val="center"/>
          </w:tcPr>
          <w:p w14:paraId="63DC1AD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4272" w:type="dxa"/>
            <w:tcBorders>
              <w:top w:val="nil"/>
              <w:left w:val="nil"/>
              <w:bottom w:val="nil"/>
              <w:right w:val="nil"/>
            </w:tcBorders>
            <w:noWrap/>
            <w:vAlign w:val="center"/>
          </w:tcPr>
          <w:p w14:paraId="3A7A6539">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952" w:type="dxa"/>
            <w:tcBorders>
              <w:top w:val="nil"/>
              <w:left w:val="nil"/>
              <w:bottom w:val="nil"/>
              <w:right w:val="nil"/>
            </w:tcBorders>
            <w:noWrap/>
            <w:vAlign w:val="center"/>
          </w:tcPr>
          <w:p w14:paraId="62AAC9C3">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08" w:type="dxa"/>
            <w:tcBorders>
              <w:top w:val="nil"/>
              <w:left w:val="nil"/>
              <w:bottom w:val="nil"/>
              <w:right w:val="nil"/>
            </w:tcBorders>
            <w:noWrap/>
            <w:vAlign w:val="center"/>
          </w:tcPr>
          <w:p w14:paraId="2F7FA41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r>
      <w:tr w14:paraId="331D2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18F8E5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4"/>
                <w:szCs w:val="24"/>
                <w:highlight w:val="none"/>
                <w:u w:val="none"/>
                <w:lang w:val="en-US" w:eastAsia="zh-CN"/>
              </w:rPr>
              <w:t>洛浦县2024年乡村生态护林员续聘项目绩效评价指标体系综合评分表</w:t>
            </w:r>
          </w:p>
        </w:tc>
      </w:tr>
      <w:tr w14:paraId="6330D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22" w:type="dxa"/>
            <w:tcBorders>
              <w:top w:val="single" w:color="auto" w:sz="4" w:space="0"/>
              <w:left w:val="single" w:color="auto" w:sz="4" w:space="0"/>
              <w:bottom w:val="single" w:color="auto" w:sz="4" w:space="0"/>
              <w:right w:val="single" w:color="auto" w:sz="4" w:space="0"/>
            </w:tcBorders>
            <w:noWrap w:val="0"/>
            <w:vAlign w:val="center"/>
          </w:tcPr>
          <w:p w14:paraId="19AC98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5E895E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290E02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62AF64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BF932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4FD8F7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78E1E3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AA866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07429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EFB1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017A6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568B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8" w:hRule="atLeast"/>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14:paraId="385ABD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500" w:type="dxa"/>
            <w:vMerge w:val="restart"/>
            <w:tcBorders>
              <w:top w:val="single" w:color="auto" w:sz="4" w:space="0"/>
              <w:left w:val="single" w:color="auto" w:sz="4" w:space="0"/>
              <w:bottom w:val="single" w:color="auto" w:sz="4" w:space="0"/>
              <w:right w:val="single" w:color="auto" w:sz="4" w:space="0"/>
            </w:tcBorders>
            <w:noWrap w:val="0"/>
            <w:vAlign w:val="center"/>
          </w:tcPr>
          <w:p w14:paraId="1EC25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5B3F19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28C689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EA931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1FCB27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2205F9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75E3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F0DBF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E38D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4DEF4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w:t>
            </w:r>
            <w:bookmarkStart w:id="28" w:name="_GoBack"/>
            <w:bookmarkEnd w:id="28"/>
            <w:r>
              <w:rPr>
                <w:rFonts w:hint="eastAsia" w:ascii="宋体" w:hAnsi="宋体" w:eastAsia="宋体" w:cs="宋体"/>
                <w:i w:val="0"/>
                <w:iCs w:val="0"/>
                <w:color w:val="000000"/>
                <w:kern w:val="0"/>
                <w:sz w:val="18"/>
                <w:szCs w:val="18"/>
                <w:highlight w:val="none"/>
                <w:u w:val="none"/>
                <w:lang w:val="en-US" w:eastAsia="zh-CN"/>
              </w:rPr>
              <w:t>属于部门履职所需；</w:t>
            </w:r>
          </w:p>
          <w:p w14:paraId="7BA061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2C53CA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0A8E7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24A4C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5B39C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52B5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79BED7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6DE039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770CE2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2EE8E3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706F17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1C3DC7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765370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7562D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5A883A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F6ABD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19CAC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78248F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45572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5DBFC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ABC6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6278C7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5B64C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35B7BE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6799E2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D47DE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18000C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2E6FB8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603A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1C613A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4E0F1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693FD2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3C2C23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0CB438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2036F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A5D1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BFE0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531FD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17C0E7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19C3F6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432850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47F345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202FDC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3308F7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F4B75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21EB8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777A6D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09127D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0AF1D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C188C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C22A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7501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728615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031F3A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03E5BD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53AA5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EEA7E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76B68B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583F5D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7B31B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29611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501DF9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56DC0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390DE9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415A2D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DB178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B21A3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3DAD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7E9055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0FADB8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03E5BA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16FE16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6C5385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392C11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60A2FA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1E429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54350B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5DEE21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44348A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D05A0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6DB51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095B7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14:paraId="1FE84F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500" w:type="dxa"/>
            <w:vMerge w:val="restart"/>
            <w:tcBorders>
              <w:top w:val="single" w:color="auto" w:sz="4" w:space="0"/>
              <w:left w:val="single" w:color="auto" w:sz="4" w:space="0"/>
              <w:bottom w:val="single" w:color="auto" w:sz="4" w:space="0"/>
              <w:right w:val="single" w:color="auto" w:sz="4" w:space="0"/>
            </w:tcBorders>
            <w:noWrap w:val="0"/>
            <w:vAlign w:val="center"/>
          </w:tcPr>
          <w:p w14:paraId="4FFB8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19BCF5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72E6B5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5097A9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0A7231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0582F8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82F6A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26BC9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68BE9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26E6B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086DE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5723A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1CBA1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1EFEC2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C1D8C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5F4A6F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62556F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4F551B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0DEF5B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1657C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237CA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44E207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741E4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A2D66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B55C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0D4B70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26A95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5E6D43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486A5E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3FB240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0ECF3C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1555A0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17D29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A52D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59B8C6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3D48FB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6F4CC0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45A0FE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CC2E1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86F25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12A9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4128D5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1696E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5593CF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04E040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0E742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3A7748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56A8E0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35637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7CF10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7B1FD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74BAE9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D490C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FBA3C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EE9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142CC6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52E240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0CC8E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0AE16F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183D98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75D3EB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276E75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CBED7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76E053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4771BA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17538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19E6B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CD201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05D0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55AD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14:paraId="2E5C8E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bookmarkStart w:id="25" w:name="OLE_LINK7" w:colFirst="0" w:colLast="10"/>
            <w:r>
              <w:rPr>
                <w:rFonts w:hint="eastAsia" w:ascii="宋体" w:hAnsi="宋体" w:eastAsia="宋体" w:cs="宋体"/>
                <w:i w:val="0"/>
                <w:iCs w:val="0"/>
                <w:color w:val="000000"/>
                <w:kern w:val="0"/>
                <w:sz w:val="18"/>
                <w:szCs w:val="18"/>
                <w:highlight w:val="none"/>
                <w:u w:val="none"/>
                <w:lang w:val="en-US" w:eastAsia="zh-CN"/>
              </w:rPr>
              <w:t>项目产出</w:t>
            </w:r>
          </w:p>
        </w:tc>
        <w:tc>
          <w:tcPr>
            <w:tcW w:w="500" w:type="dxa"/>
            <w:vMerge w:val="restart"/>
            <w:tcBorders>
              <w:top w:val="single" w:color="auto" w:sz="4" w:space="0"/>
              <w:left w:val="single" w:color="auto" w:sz="4" w:space="0"/>
              <w:bottom w:val="single" w:color="auto" w:sz="4" w:space="0"/>
              <w:right w:val="single" w:color="auto" w:sz="4" w:space="0"/>
            </w:tcBorders>
            <w:noWrap w:val="0"/>
            <w:vAlign w:val="center"/>
          </w:tcPr>
          <w:p w14:paraId="4A37BC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587583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528ED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B4AF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23F23C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14DB73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续聘生态护林员人数</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5D5AB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&gt;=1635人</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254AD9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CB1BC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1635人</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38BD9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24CD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7B0AC5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375CC1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restart"/>
            <w:tcBorders>
              <w:top w:val="single" w:color="auto" w:sz="4" w:space="0"/>
              <w:left w:val="single" w:color="auto" w:sz="4" w:space="0"/>
              <w:right w:val="single" w:color="auto" w:sz="4" w:space="0"/>
            </w:tcBorders>
            <w:noWrap w:val="0"/>
            <w:vAlign w:val="center"/>
          </w:tcPr>
          <w:p w14:paraId="46F3F3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553" w:type="dxa"/>
            <w:vMerge w:val="restart"/>
            <w:tcBorders>
              <w:top w:val="single" w:color="auto" w:sz="4" w:space="0"/>
              <w:left w:val="single" w:color="auto" w:sz="4" w:space="0"/>
              <w:right w:val="single" w:color="auto" w:sz="4" w:space="0"/>
            </w:tcBorders>
            <w:noWrap w:val="0"/>
            <w:vAlign w:val="center"/>
          </w:tcPr>
          <w:p w14:paraId="1BEA19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30" w:type="dxa"/>
            <w:vMerge w:val="restart"/>
            <w:tcBorders>
              <w:top w:val="single" w:color="auto" w:sz="4" w:space="0"/>
              <w:left w:val="single" w:color="auto" w:sz="4" w:space="0"/>
              <w:right w:val="single" w:color="auto" w:sz="4" w:space="0"/>
            </w:tcBorders>
            <w:noWrap w:val="0"/>
            <w:vAlign w:val="center"/>
          </w:tcPr>
          <w:p w14:paraId="64402C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77505E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0D373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F776A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vMerge w:val="restart"/>
            <w:tcBorders>
              <w:top w:val="single" w:color="auto" w:sz="4" w:space="0"/>
              <w:left w:val="single" w:color="auto" w:sz="4" w:space="0"/>
              <w:right w:val="single" w:color="auto" w:sz="4" w:space="0"/>
            </w:tcBorders>
            <w:noWrap w:val="0"/>
            <w:vAlign w:val="center"/>
          </w:tcPr>
          <w:p w14:paraId="397BA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1A5BAB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C9693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50B20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3A99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2" w:type="dxa"/>
            <w:vMerge w:val="continue"/>
            <w:tcBorders>
              <w:left w:val="single" w:color="auto" w:sz="4" w:space="0"/>
              <w:bottom w:val="single" w:color="auto" w:sz="4" w:space="0"/>
              <w:right w:val="single" w:color="auto" w:sz="4" w:space="0"/>
            </w:tcBorders>
            <w:noWrap w:val="0"/>
            <w:vAlign w:val="center"/>
          </w:tcPr>
          <w:p w14:paraId="1BEA0B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00" w:type="dxa"/>
            <w:vMerge w:val="continue"/>
            <w:tcBorders>
              <w:left w:val="single" w:color="auto" w:sz="4" w:space="0"/>
              <w:bottom w:val="single" w:color="auto" w:sz="4" w:space="0"/>
              <w:right w:val="single" w:color="auto" w:sz="4" w:space="0"/>
            </w:tcBorders>
            <w:noWrap w:val="0"/>
            <w:vAlign w:val="center"/>
          </w:tcPr>
          <w:p w14:paraId="06AE52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85" w:type="dxa"/>
            <w:vMerge w:val="continue"/>
            <w:tcBorders>
              <w:left w:val="single" w:color="auto" w:sz="4" w:space="0"/>
              <w:bottom w:val="single" w:color="auto" w:sz="4" w:space="0"/>
              <w:right w:val="single" w:color="auto" w:sz="4" w:space="0"/>
            </w:tcBorders>
            <w:noWrap w:val="0"/>
            <w:vAlign w:val="center"/>
          </w:tcPr>
          <w:p w14:paraId="6337F6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3" w:type="dxa"/>
            <w:vMerge w:val="continue"/>
            <w:tcBorders>
              <w:left w:val="single" w:color="auto" w:sz="4" w:space="0"/>
              <w:bottom w:val="single" w:color="auto" w:sz="4" w:space="0"/>
              <w:right w:val="single" w:color="auto" w:sz="4" w:space="0"/>
            </w:tcBorders>
            <w:noWrap w:val="0"/>
            <w:vAlign w:val="center"/>
          </w:tcPr>
          <w:p w14:paraId="342216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730" w:type="dxa"/>
            <w:vMerge w:val="continue"/>
            <w:tcBorders>
              <w:left w:val="single" w:color="auto" w:sz="4" w:space="0"/>
              <w:bottom w:val="single" w:color="auto" w:sz="4" w:space="0"/>
              <w:right w:val="single" w:color="auto" w:sz="4" w:space="0"/>
            </w:tcBorders>
            <w:noWrap w:val="0"/>
            <w:vAlign w:val="center"/>
          </w:tcPr>
          <w:p w14:paraId="50118F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3" w:type="dxa"/>
            <w:tcBorders>
              <w:top w:val="single" w:color="auto" w:sz="4" w:space="0"/>
              <w:left w:val="single" w:color="auto" w:sz="4" w:space="0"/>
              <w:bottom w:val="single" w:color="auto" w:sz="4" w:space="0"/>
              <w:right w:val="single" w:color="auto" w:sz="4" w:space="0"/>
            </w:tcBorders>
            <w:noWrap w:val="0"/>
            <w:vAlign w:val="center"/>
          </w:tcPr>
          <w:p w14:paraId="17494B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1C6D38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391EF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vMerge w:val="continue"/>
            <w:tcBorders>
              <w:left w:val="single" w:color="auto" w:sz="4" w:space="0"/>
              <w:right w:val="single" w:color="auto" w:sz="4" w:space="0"/>
            </w:tcBorders>
            <w:noWrap w:val="0"/>
            <w:vAlign w:val="center"/>
          </w:tcPr>
          <w:p w14:paraId="67F294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52BC1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8A6DF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47C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68DDD3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231DB3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restart"/>
            <w:tcBorders>
              <w:top w:val="single" w:color="auto" w:sz="4" w:space="0"/>
              <w:left w:val="single" w:color="auto" w:sz="4" w:space="0"/>
              <w:right w:val="single" w:color="auto" w:sz="4" w:space="0"/>
            </w:tcBorders>
            <w:noWrap w:val="0"/>
            <w:vAlign w:val="center"/>
          </w:tcPr>
          <w:p w14:paraId="11AA32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553" w:type="dxa"/>
            <w:vMerge w:val="restart"/>
            <w:tcBorders>
              <w:top w:val="single" w:color="auto" w:sz="4" w:space="0"/>
              <w:left w:val="single" w:color="auto" w:sz="4" w:space="0"/>
              <w:right w:val="single" w:color="auto" w:sz="4" w:space="0"/>
            </w:tcBorders>
            <w:noWrap w:val="0"/>
            <w:vAlign w:val="center"/>
          </w:tcPr>
          <w:p w14:paraId="12B77F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30" w:type="dxa"/>
            <w:vMerge w:val="restart"/>
            <w:tcBorders>
              <w:top w:val="single" w:color="auto" w:sz="4" w:space="0"/>
              <w:left w:val="single" w:color="auto" w:sz="4" w:space="0"/>
              <w:right w:val="single" w:color="auto" w:sz="4" w:space="0"/>
            </w:tcBorders>
            <w:noWrap w:val="0"/>
            <w:vAlign w:val="center"/>
          </w:tcPr>
          <w:p w14:paraId="5C2F71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1BC0C0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0FC8FD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AA9A8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4272" w:type="dxa"/>
            <w:vMerge w:val="restart"/>
            <w:tcBorders>
              <w:top w:val="single" w:color="auto" w:sz="4" w:space="0"/>
              <w:left w:val="single" w:color="auto" w:sz="4" w:space="0"/>
              <w:right w:val="single" w:color="auto" w:sz="4" w:space="0"/>
            </w:tcBorders>
            <w:noWrap w:val="0"/>
            <w:vAlign w:val="center"/>
          </w:tcPr>
          <w:p w14:paraId="6B580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1570F2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20DD1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27B34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AFF8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2" w:type="dxa"/>
            <w:vMerge w:val="continue"/>
            <w:tcBorders>
              <w:left w:val="single" w:color="auto" w:sz="4" w:space="0"/>
              <w:bottom w:val="single" w:color="auto" w:sz="4" w:space="0"/>
              <w:right w:val="single" w:color="auto" w:sz="4" w:space="0"/>
            </w:tcBorders>
            <w:noWrap w:val="0"/>
            <w:vAlign w:val="center"/>
          </w:tcPr>
          <w:p w14:paraId="48207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00" w:type="dxa"/>
            <w:vMerge w:val="continue"/>
            <w:tcBorders>
              <w:left w:val="single" w:color="auto" w:sz="4" w:space="0"/>
              <w:bottom w:val="single" w:color="auto" w:sz="4" w:space="0"/>
              <w:right w:val="single" w:color="auto" w:sz="4" w:space="0"/>
            </w:tcBorders>
            <w:noWrap w:val="0"/>
            <w:vAlign w:val="center"/>
          </w:tcPr>
          <w:p w14:paraId="510A60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85" w:type="dxa"/>
            <w:vMerge w:val="continue"/>
            <w:tcBorders>
              <w:left w:val="single" w:color="auto" w:sz="4" w:space="0"/>
              <w:bottom w:val="single" w:color="auto" w:sz="4" w:space="0"/>
              <w:right w:val="single" w:color="auto" w:sz="4" w:space="0"/>
            </w:tcBorders>
            <w:noWrap w:val="0"/>
            <w:vAlign w:val="center"/>
          </w:tcPr>
          <w:p w14:paraId="5671D9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3" w:type="dxa"/>
            <w:vMerge w:val="continue"/>
            <w:tcBorders>
              <w:left w:val="single" w:color="auto" w:sz="4" w:space="0"/>
              <w:bottom w:val="single" w:color="auto" w:sz="4" w:space="0"/>
              <w:right w:val="single" w:color="auto" w:sz="4" w:space="0"/>
            </w:tcBorders>
            <w:noWrap w:val="0"/>
            <w:vAlign w:val="center"/>
          </w:tcPr>
          <w:p w14:paraId="7C877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730" w:type="dxa"/>
            <w:vMerge w:val="continue"/>
            <w:tcBorders>
              <w:left w:val="single" w:color="auto" w:sz="4" w:space="0"/>
              <w:bottom w:val="single" w:color="auto" w:sz="4" w:space="0"/>
              <w:right w:val="single" w:color="auto" w:sz="4" w:space="0"/>
            </w:tcBorders>
            <w:noWrap w:val="0"/>
            <w:vAlign w:val="center"/>
          </w:tcPr>
          <w:p w14:paraId="1082FF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3" w:type="dxa"/>
            <w:tcBorders>
              <w:top w:val="single" w:color="auto" w:sz="4" w:space="0"/>
              <w:left w:val="single" w:color="auto" w:sz="4" w:space="0"/>
              <w:bottom w:val="single" w:color="auto" w:sz="4" w:space="0"/>
              <w:right w:val="single" w:color="auto" w:sz="4" w:space="0"/>
            </w:tcBorders>
            <w:noWrap w:val="0"/>
            <w:vAlign w:val="center"/>
          </w:tcPr>
          <w:p w14:paraId="730574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6B04E9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D2E47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vMerge w:val="continue"/>
            <w:tcBorders>
              <w:left w:val="single" w:color="auto" w:sz="4" w:space="0"/>
              <w:right w:val="single" w:color="auto" w:sz="4" w:space="0"/>
            </w:tcBorders>
            <w:noWrap w:val="0"/>
            <w:vAlign w:val="center"/>
          </w:tcPr>
          <w:p w14:paraId="28EE60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029556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17AC1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2CA1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3033AF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707B47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520724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17109A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22292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5200C3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3CDD7A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项目总成本</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B33AF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&lt;=1万元/人/年</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B2BCA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A3B7A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1万元/人/年</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5CCD3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bookmarkEnd w:id="25"/>
          </w:p>
        </w:tc>
      </w:tr>
      <w:tr w14:paraId="3E100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14:paraId="585198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00" w:type="dxa"/>
            <w:vMerge w:val="restart"/>
            <w:tcBorders>
              <w:top w:val="single" w:color="auto" w:sz="4" w:space="0"/>
              <w:left w:val="single" w:color="auto" w:sz="4" w:space="0"/>
              <w:bottom w:val="single" w:color="auto" w:sz="4" w:space="0"/>
              <w:right w:val="single" w:color="auto" w:sz="4" w:space="0"/>
            </w:tcBorders>
            <w:noWrap w:val="0"/>
            <w:vAlign w:val="center"/>
          </w:tcPr>
          <w:p w14:paraId="448D5D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14:paraId="3DEF61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53" w:type="dxa"/>
            <w:vMerge w:val="restart"/>
            <w:tcBorders>
              <w:top w:val="single" w:color="auto" w:sz="4" w:space="0"/>
              <w:left w:val="single" w:color="auto" w:sz="4" w:space="0"/>
              <w:bottom w:val="single" w:color="auto" w:sz="4" w:space="0"/>
              <w:right w:val="single" w:color="auto" w:sz="4" w:space="0"/>
            </w:tcBorders>
            <w:noWrap w:val="0"/>
            <w:vAlign w:val="center"/>
          </w:tcPr>
          <w:p w14:paraId="097C30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79FB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7574A5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486C1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保护生态系统和生物多样性</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9D83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有效保护</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8633A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EB183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有效保护</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ACB8C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15C2B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14:paraId="75CF89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0" w:type="dxa"/>
            <w:vMerge w:val="continue"/>
            <w:tcBorders>
              <w:top w:val="single" w:color="auto" w:sz="4" w:space="0"/>
              <w:left w:val="single" w:color="auto" w:sz="4" w:space="0"/>
              <w:bottom w:val="single" w:color="auto" w:sz="4" w:space="0"/>
              <w:right w:val="single" w:color="auto" w:sz="4" w:space="0"/>
            </w:tcBorders>
            <w:noWrap w:val="0"/>
            <w:vAlign w:val="center"/>
          </w:tcPr>
          <w:p w14:paraId="4388DB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14:paraId="69738E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vMerge w:val="continue"/>
            <w:tcBorders>
              <w:top w:val="single" w:color="auto" w:sz="4" w:space="0"/>
              <w:left w:val="single" w:color="auto" w:sz="4" w:space="0"/>
              <w:bottom w:val="single" w:color="auto" w:sz="4" w:space="0"/>
              <w:right w:val="single" w:color="auto" w:sz="4" w:space="0"/>
            </w:tcBorders>
            <w:noWrap w:val="0"/>
            <w:vAlign w:val="center"/>
          </w:tcPr>
          <w:p w14:paraId="7DCC9D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30" w:type="dxa"/>
            <w:tcBorders>
              <w:top w:val="single" w:color="auto" w:sz="4" w:space="0"/>
              <w:left w:val="single" w:color="auto" w:sz="4" w:space="0"/>
              <w:bottom w:val="single" w:color="auto" w:sz="4" w:space="0"/>
              <w:right w:val="single" w:color="auto" w:sz="4" w:space="0"/>
            </w:tcBorders>
            <w:noWrap w:val="0"/>
            <w:vAlign w:val="center"/>
          </w:tcPr>
          <w:p w14:paraId="0821DD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53" w:type="dxa"/>
            <w:tcBorders>
              <w:top w:val="single" w:color="auto" w:sz="4" w:space="0"/>
              <w:left w:val="single" w:color="auto" w:sz="4" w:space="0"/>
              <w:bottom w:val="single" w:color="auto" w:sz="4" w:space="0"/>
              <w:right w:val="single" w:color="auto" w:sz="4" w:space="0"/>
            </w:tcBorders>
            <w:noWrap w:val="0"/>
            <w:vAlign w:val="center"/>
          </w:tcPr>
          <w:p w14:paraId="3236AC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4FDABE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受益人员满意度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5AF8F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2D446E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A9CA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D4E48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AE02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2" w:type="dxa"/>
            <w:tcBorders>
              <w:top w:val="single" w:color="auto" w:sz="4" w:space="0"/>
              <w:left w:val="single" w:color="auto" w:sz="4" w:space="0"/>
              <w:bottom w:val="single" w:color="auto" w:sz="4" w:space="0"/>
              <w:right w:val="single" w:color="auto" w:sz="4" w:space="0"/>
            </w:tcBorders>
            <w:noWrap w:val="0"/>
            <w:vAlign w:val="center"/>
          </w:tcPr>
          <w:p w14:paraId="6C63AD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0CA8D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15AB1C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tcBorders>
              <w:top w:val="single" w:color="auto" w:sz="4" w:space="0"/>
              <w:left w:val="single" w:color="auto" w:sz="4" w:space="0"/>
              <w:bottom w:val="single" w:color="auto" w:sz="4" w:space="0"/>
              <w:right w:val="single" w:color="auto" w:sz="4" w:space="0"/>
            </w:tcBorders>
            <w:noWrap w:val="0"/>
            <w:vAlign w:val="center"/>
          </w:tcPr>
          <w:p w14:paraId="3D5912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85C8A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3" w:type="dxa"/>
            <w:tcBorders>
              <w:top w:val="single" w:color="auto" w:sz="4" w:space="0"/>
              <w:left w:val="single" w:color="auto" w:sz="4" w:space="0"/>
              <w:bottom w:val="single" w:color="auto" w:sz="4" w:space="0"/>
              <w:right w:val="single" w:color="auto" w:sz="4" w:space="0"/>
            </w:tcBorders>
            <w:noWrap w:val="0"/>
            <w:vAlign w:val="center"/>
          </w:tcPr>
          <w:p w14:paraId="5AABAF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875" w:type="dxa"/>
            <w:tcBorders>
              <w:top w:val="single" w:color="auto" w:sz="4" w:space="0"/>
              <w:left w:val="single" w:color="auto" w:sz="4" w:space="0"/>
              <w:bottom w:val="single" w:color="auto" w:sz="4" w:space="0"/>
              <w:right w:val="single" w:color="auto" w:sz="4" w:space="0"/>
            </w:tcBorders>
            <w:noWrap w:val="0"/>
            <w:vAlign w:val="center"/>
          </w:tcPr>
          <w:p w14:paraId="15F931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BFF38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16193B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7D0744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8" w:type="dxa"/>
            <w:tcBorders>
              <w:top w:val="single" w:color="auto" w:sz="4" w:space="0"/>
              <w:left w:val="single" w:color="auto" w:sz="4" w:space="0"/>
              <w:bottom w:val="single" w:color="auto" w:sz="4" w:space="0"/>
              <w:right w:val="single" w:color="auto" w:sz="4" w:space="0"/>
            </w:tcBorders>
            <w:noWrap w:val="0"/>
            <w:vAlign w:val="center"/>
          </w:tcPr>
          <w:p w14:paraId="409F43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566BDCEE">
      <w:pPr>
        <w:pStyle w:val="10"/>
        <w:rPr>
          <w:rFonts w:hint="eastAsia" w:ascii="宋体" w:hAnsi="宋体" w:eastAsia="宋体" w:cs="宋体"/>
          <w:color w:val="auto"/>
          <w:sz w:val="24"/>
          <w:szCs w:val="24"/>
          <w:lang w:eastAsia="zh-CN"/>
        </w:rPr>
      </w:pPr>
    </w:p>
    <w:p w14:paraId="78A781E2">
      <w:pPr>
        <w:pStyle w:val="10"/>
        <w:rPr>
          <w:rFonts w:hint="eastAsia" w:ascii="宋体" w:hAnsi="宋体" w:eastAsia="宋体" w:cs="宋体"/>
          <w:color w:val="auto"/>
          <w:sz w:val="24"/>
          <w:szCs w:val="24"/>
          <w:lang w:eastAsia="zh-CN"/>
        </w:rPr>
      </w:pPr>
    </w:p>
    <w:p w14:paraId="2FF78D83">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5101E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EC0307C">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洛浦县2024年乡村生态护林员续聘项目综合得分表</w:t>
            </w:r>
          </w:p>
        </w:tc>
      </w:tr>
      <w:tr w14:paraId="206E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B59EC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DF614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FBFE3D">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27FA1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615E0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E5A4C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3122E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DAF3C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4A772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9DF48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0CB03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E3BD8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8D7FFD4">
            <w:pPr>
              <w:keepNext w:val="0"/>
              <w:keepLines w:val="0"/>
              <w:widowControl/>
              <w:suppressLineNumbers w:val="0"/>
              <w:ind w:left="0" w:leftChars="0" w:firstLine="240" w:firstLineChars="1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60B7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037D70">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662D2E">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A39EFE">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179916">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F093B5">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B972E31">
            <w:pPr>
              <w:keepNext w:val="0"/>
              <w:keepLines w:val="0"/>
              <w:widowControl/>
              <w:suppressLineNumbers w:val="0"/>
              <w:ind w:left="0" w:leftChars="0" w:firstLine="240" w:firstLineChars="1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5165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B2157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579ED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bookmarkStart w:id="26" w:name="OLE_LINK8"/>
            <w:r>
              <w:rPr>
                <w:rFonts w:hint="eastAsia" w:ascii="宋体" w:hAnsi="宋体" w:eastAsia="宋体" w:cs="宋体"/>
                <w:i w:val="0"/>
                <w:iCs w:val="0"/>
                <w:color w:val="auto"/>
                <w:kern w:val="0"/>
                <w:sz w:val="24"/>
                <w:szCs w:val="24"/>
                <w:u w:val="none"/>
                <w:lang w:val="en-US" w:eastAsia="zh-CN"/>
              </w:rPr>
              <w:t>100%</w:t>
            </w:r>
            <w:bookmarkEnd w:id="26"/>
          </w:p>
        </w:tc>
        <w:tc>
          <w:tcPr>
            <w:tcW w:w="2786" w:type="dxa"/>
            <w:tcBorders>
              <w:top w:val="single" w:color="auto" w:sz="4" w:space="0"/>
              <w:left w:val="single" w:color="auto" w:sz="4" w:space="0"/>
              <w:bottom w:val="single" w:color="auto" w:sz="4" w:space="0"/>
              <w:right w:val="single" w:color="auto" w:sz="4" w:space="0"/>
            </w:tcBorders>
            <w:noWrap w:val="0"/>
            <w:vAlign w:val="center"/>
          </w:tcPr>
          <w:p w14:paraId="6A14B7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B04A3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2E0B3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276BE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350A9BCC">
      <w:pPr>
        <w:pStyle w:val="10"/>
        <w:ind w:left="0" w:leftChars="0" w:firstLine="0" w:firstLineChars="0"/>
        <w:jc w:val="both"/>
        <w:rPr>
          <w:rFonts w:hint="default" w:ascii="宋体" w:hAnsi="宋体" w:eastAsia="宋体" w:cs="宋体"/>
          <w:color w:val="auto"/>
          <w:sz w:val="24"/>
          <w:szCs w:val="24"/>
          <w:lang w:val="en-US" w:eastAsia="zh-CN"/>
        </w:rPr>
      </w:pPr>
    </w:p>
    <w:p w14:paraId="0A179807">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239B973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19B8C3A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洛浦县2024年乡村生态护林员续聘项目</w:t>
      </w:r>
    </w:p>
    <w:p w14:paraId="6E472FF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0EDB96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7EED8C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4877896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一、该问卷调查从2025年1月15日开始至2025年1月30日结束，调查问卷共设置3道题目。</w:t>
      </w:r>
    </w:p>
    <w:p w14:paraId="5B5D0C0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07557F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的受益对象为</w:t>
      </w:r>
      <w:r>
        <w:rPr>
          <w:rFonts w:hint="eastAsia" w:ascii="宋体" w:hAnsi="宋体" w:eastAsia="宋体" w:cs="宋体"/>
          <w:sz w:val="24"/>
          <w:szCs w:val="24"/>
          <w:highlight w:val="none"/>
          <w:lang w:val="en-US" w:eastAsia="zh-CN"/>
        </w:rPr>
        <w:t>生态护林员</w:t>
      </w:r>
      <w:r>
        <w:rPr>
          <w:rFonts w:hint="eastAsia" w:ascii="宋体" w:hAnsi="宋体" w:eastAsia="宋体" w:cs="宋体"/>
          <w:sz w:val="24"/>
          <w:szCs w:val="24"/>
          <w:highlight w:val="none"/>
        </w:rPr>
        <w:t>。</w:t>
      </w:r>
    </w:p>
    <w:p w14:paraId="2E263E67">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32413A2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①您对</w:t>
      </w:r>
      <w:bookmarkStart w:id="27" w:name="OLE_LINK9"/>
      <w:r>
        <w:rPr>
          <w:rFonts w:hint="eastAsia" w:ascii="宋体" w:hAnsi="宋体" w:eastAsia="宋体" w:cs="宋体"/>
          <w:sz w:val="24"/>
          <w:szCs w:val="24"/>
          <w:highlight w:val="none"/>
          <w:lang w:val="en-US" w:eastAsia="zh-CN"/>
        </w:rPr>
        <w:t>生态护林员</w:t>
      </w:r>
      <w:bookmarkEnd w:id="27"/>
      <w:r>
        <w:rPr>
          <w:rFonts w:hint="eastAsia" w:ascii="宋体" w:hAnsi="宋体" w:eastAsia="宋体" w:cs="宋体"/>
          <w:sz w:val="24"/>
          <w:szCs w:val="24"/>
          <w:highlight w:val="none"/>
          <w:lang w:val="en-US" w:eastAsia="zh-CN"/>
        </w:rPr>
        <w:t>项目的政策是否满意?</w:t>
      </w:r>
    </w:p>
    <w:p w14:paraId="085908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②您对生态护林员项目的补助标准是否满意？</w:t>
      </w:r>
    </w:p>
    <w:p w14:paraId="3AC38EC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③总的来说，您对目前生态护林员项目实施后的整体满意程度如何？</w:t>
      </w:r>
    </w:p>
    <w:p w14:paraId="7CADC8CD">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6ABCA51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ascii="宋体" w:hAnsi="宋体" w:eastAsia="宋体" w:cs="宋体"/>
          <w:sz w:val="24"/>
          <w:szCs w:val="24"/>
          <w:highlight w:val="none"/>
          <w:lang w:val="en-US" w:eastAsia="zh-CN"/>
        </w:rPr>
        <w:t>之后再付诸实施</w:t>
      </w:r>
      <w:r>
        <w:rPr>
          <w:rFonts w:hint="eastAsia" w:ascii="宋体" w:hAnsi="宋体" w:eastAsia="宋体" w:cs="宋体"/>
          <w:sz w:val="24"/>
          <w:szCs w:val="24"/>
          <w:highlight w:val="none"/>
        </w:rPr>
        <w:t>。</w:t>
      </w:r>
    </w:p>
    <w:p w14:paraId="15E84D9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3577CC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为确保问卷</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77F9DB0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7EF5FD3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6105F7F9">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741A65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74FE568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62B578C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第二个问题：该项统计有效问卷数量30份，选择非常满意的人数为28人。选择比较满意的人数为2人，选择一般的人数0人，选择不满意的人数0人，选择非常不满意的人数0人。</w:t>
      </w:r>
    </w:p>
    <w:p w14:paraId="1206E04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第三个问题：该项统计有效问卷数量30份，选择非常满意的人数为27人。选择比较满意的人数为3人，选择一般的人数0人，选择不满意的人数0人，选择非常不满意的人数0人。</w:t>
      </w:r>
    </w:p>
    <w:p w14:paraId="0850140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72F776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洛浦县2024年乡村生态护林员续聘项目针对受益人员发放30份调查问卷，最终统计受益人群满意度为100%。</w:t>
      </w:r>
    </w:p>
    <w:p w14:paraId="453F82F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03DC400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洛浦县林业和草原局</w:t>
      </w:r>
    </w:p>
    <w:p w14:paraId="340B1CF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2025年1月13日</w:t>
      </w:r>
    </w:p>
    <w:p w14:paraId="2AFEA6C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D2D48F-57D3-4952-86F3-9A12429EF2E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embedRegular r:id="rId2" w:fontKey="{F5E8C370-01D0-40FE-A3FF-DAB0B598C5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6B9A">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1930E">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1FBA2F41">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24</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8FCAD">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pPr>
        <w:tabs>
          <w:tab w:val="left" w:pos="312"/>
        </w:tabs>
      </w:pPr>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2"/>
      <w:numFmt w:val="decimal"/>
      <w:lvlText w:val="%1."/>
      <w:lvlJc w:val="left"/>
      <w:pPr>
        <w:tabs>
          <w:tab w:val="left" w:pos="312"/>
        </w:tabs>
      </w:pPr>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590C7B9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0"/>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2"/>
    <w:unhideWhenUsed/>
    <w:uiPriority w:val="0"/>
    <w:pPr>
      <w:ind w:firstLine="420"/>
    </w:pPr>
  </w:style>
  <w:style w:type="paragraph" w:styleId="4">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1 Char"/>
    <w:link w:val="2"/>
    <w:uiPriority w:val="9"/>
    <w:rPr>
      <w:rFonts w:ascii="Times New Roman" w:hAnsi="Times New Roman" w:eastAsia="仿宋_GB2312" w:cs="Times New Roman"/>
      <w:b/>
      <w:bCs/>
      <w:kern w:val="44"/>
      <w:sz w:val="32"/>
      <w:szCs w:val="44"/>
    </w:rPr>
  </w:style>
  <w:style w:type="character" w:customStyle="1" w:styleId="31">
    <w:name w:val="正文文本缩进 Char"/>
    <w:link w:val="4"/>
    <w:semiHidden/>
    <w:uiPriority w:val="99"/>
    <w:rPr>
      <w:rFonts w:ascii="Calibri" w:hAnsi="Calibri" w:eastAsia="仿宋_GB2312" w:cs="黑体"/>
      <w:sz w:val="28"/>
    </w:rPr>
  </w:style>
  <w:style w:type="character" w:customStyle="1" w:styleId="32">
    <w:name w:val="正文首行缩进 2 Char"/>
    <w:link w:val="3"/>
    <w:uiPriority w:val="0"/>
    <w:rPr>
      <w:rFonts w:ascii="Calibri" w:hAnsi="Calibri" w:eastAsia="仿宋_GB2312" w:cs="黑体"/>
      <w:sz w:val="28"/>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43"/>
    <w:qFormat/>
    <w:uiPriority w:val="0"/>
    <w:rPr>
      <w:b/>
      <w:bCs/>
      <w:smallCaps/>
      <w:color w:val="C0504D"/>
      <w:spacing w:val="5"/>
      <w:u w:val="single"/>
    </w:rPr>
  </w:style>
  <w:style w:type="character" w:customStyle="1" w:styleId="44">
    <w:name w:val="闻政-正文段落文字 Char"/>
    <w:link w:val="45"/>
    <w:uiPriority w:val="3"/>
    <w:rPr>
      <w:rFonts w:ascii="Times New Roman" w:hAnsi="Times New Roman" w:eastAsia="仿宋_GB2312"/>
      <w:sz w:val="28"/>
      <w:szCs w:val="28"/>
    </w:rPr>
  </w:style>
  <w:style w:type="paragraph" w:customStyle="1" w:styleId="45">
    <w:name w:val="闻政-正文段落文字"/>
    <w:basedOn w:val="1"/>
    <w:link w:val="44"/>
    <w:qFormat/>
    <w:uiPriority w:val="3"/>
    <w:pPr>
      <w:spacing w:line="500" w:lineRule="exact"/>
      <w:ind w:firstLine="200"/>
    </w:pPr>
    <w:rPr>
      <w:rFonts w:ascii="Times New Roman" w:hAnsi="Times New Roman" w:cs="Times New Roman"/>
      <w:kern w:val="0"/>
      <w:szCs w:val="28"/>
    </w:rPr>
  </w:style>
  <w:style w:type="character" w:customStyle="1" w:styleId="46">
    <w:name w:val="无间隔 Char"/>
    <w:link w:val="47"/>
    <w:uiPriority w:val="1"/>
    <w:rPr>
      <w:rFonts w:eastAsia="仿宋_GB2312" w:cs="黑体"/>
      <w:kern w:val="2"/>
      <w:sz w:val="28"/>
      <w:szCs w:val="22"/>
      <w:lang w:val="en-US" w:eastAsia="zh-CN" w:bidi="ar-SA"/>
    </w:rPr>
  </w:style>
  <w:style w:type="paragraph" w:styleId="47">
    <w:name w:val="No Spacing"/>
    <w:link w:val="4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5"/>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闻政-正文三级标题 Char"/>
    <w:link w:val="51"/>
    <w:uiPriority w:val="3"/>
    <w:rPr>
      <w:rFonts w:ascii="Times New Roman" w:hAnsi="Times New Roman" w:eastAsia="仿宋_GB2312"/>
      <w:b/>
      <w:snapToGrid w:val="0"/>
      <w:sz w:val="28"/>
      <w:szCs w:val="28"/>
    </w:rPr>
  </w:style>
  <w:style w:type="paragraph" w:customStyle="1" w:styleId="51">
    <w:name w:val="闻政-正文三级标题"/>
    <w:basedOn w:val="1"/>
    <w:next w:val="45"/>
    <w:link w:val="50"/>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2">
    <w:name w:val="font71"/>
    <w:basedOn w:val="25"/>
    <w:uiPriority w:val="0"/>
    <w:rPr>
      <w:rFonts w:hint="eastAsia" w:ascii="微软雅黑" w:hAnsi="微软雅黑" w:eastAsia="微软雅黑" w:cs="微软雅黑"/>
      <w:b/>
      <w:bCs/>
      <w:color w:val="000000"/>
      <w:sz w:val="32"/>
      <w:szCs w:val="32"/>
      <w:u w:val="none"/>
    </w:rPr>
  </w:style>
  <w:style w:type="character" w:customStyle="1" w:styleId="53">
    <w:name w:val="闻政-正文一级标题 Char"/>
    <w:link w:val="54"/>
    <w:uiPriority w:val="3"/>
    <w:rPr>
      <w:rFonts w:ascii="黑体" w:hAnsi="黑体" w:eastAsia="黑体"/>
      <w:bCs/>
      <w:sz w:val="32"/>
      <w:szCs w:val="32"/>
    </w:rPr>
  </w:style>
  <w:style w:type="paragraph" w:customStyle="1" w:styleId="54">
    <w:name w:val="闻政-正文一级标题"/>
    <w:basedOn w:val="6"/>
    <w:next w:val="45"/>
    <w:link w:val="53"/>
    <w:qFormat/>
    <w:uiPriority w:val="3"/>
    <w:pPr>
      <w:spacing w:before="120" w:after="60" w:line="500" w:lineRule="exact"/>
      <w:ind w:firstLine="0" w:firstLineChars="0"/>
      <w:outlineLvl w:val="0"/>
    </w:pPr>
    <w:rPr>
      <w:rFonts w:ascii="黑体" w:hAnsi="黑体" w:eastAsia="黑体"/>
      <w:sz w:val="32"/>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font11"/>
    <w:uiPriority w:val="0"/>
    <w:rPr>
      <w:rFonts w:hint="eastAsia" w:ascii="方正仿宋_GBK" w:hAnsi="方正仿宋_GBK" w:eastAsia="方正仿宋_GBK" w:cs="方正仿宋_GBK"/>
      <w:color w:val="000000"/>
      <w:sz w:val="24"/>
      <w:szCs w:val="24"/>
      <w:u w:val="none"/>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 w:type="paragraph" w:customStyle="1" w:styleId="59">
    <w:name w:val="Char"/>
    <w:basedOn w:val="1"/>
    <w:qFormat/>
    <w:uiPriority w:val="0"/>
    <w:rPr>
      <w:rFonts w:ascii="仿宋_GB2312" w:eastAsia="仿宋_GB2312" w:cs="黑体"/>
      <w:b/>
      <w:sz w:val="32"/>
      <w:szCs w:val="32"/>
    </w:rPr>
  </w:style>
  <w:style w:type="paragraph" w:customStyle="1" w:styleId="60">
    <w:name w:val="表格"/>
    <w:basedOn w:val="1"/>
    <w:next w:val="1"/>
    <w:qFormat/>
    <w:uiPriority w:val="0"/>
    <w:pPr>
      <w:spacing w:line="240" w:lineRule="auto"/>
      <w:ind w:firstLine="0" w:firstLineChars="0"/>
      <w:jc w:val="center"/>
    </w:pPr>
    <w:rPr>
      <w:rFonts w:hint="eastAsia" w:ascii="Times New Roman" w:hAnsi="Times New Roman"/>
      <w:sz w:val="24"/>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91473C6685A341478D6D0001A7A92D11_13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7e3c2-d2e5-4700-a275-6ff81694225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12901</Words>
  <Characters>13795</Characters>
  <Lines>44</Lines>
  <Paragraphs>12</Paragraphs>
  <TotalTime>0</TotalTime>
  <ScaleCrop>false</ScaleCrop>
  <LinksUpToDate>false</LinksUpToDate>
  <CharactersWithSpaces>13795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2025-10-10T08:19:47Z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91473C6685A341478D6D0001A7A92D11_13</vt:lpwstr>
  </property>
  <property fmtid="{D5CDD505-2E9C-101B-9397-08002B2CF9AE}" pid="4" name="KSOTemplateDocerSaveRecord">
    <vt:lpwstr>eyJoZGlkIjoiZDE5MGZhMTJhZDM2OTQwYzkzYWVjM2FhZDUxN2Q0M2IiLCJ1c2VySWQiOiI2NTE5NDIwMjYifQ_x003D__x003D_</vt:lpwstr>
  </property>
</Properties>
</file>