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CB161">
      <w:bookmarkStart w:id="18" w:name="_GoBack"/>
      <w:bookmarkEnd w:id="18"/>
    </w:p>
    <w:p w14:paraId="63E14F96">
      <w:pPr>
        <w:spacing w:line="560" w:lineRule="exact"/>
        <w:ind w:firstLine="0" w:firstLineChars="0"/>
        <w:rPr>
          <w:rFonts w:eastAsia="方正仿宋_GBK" w:cs="方正仿宋_GBK"/>
          <w:b/>
          <w:kern w:val="0"/>
          <w:sz w:val="32"/>
          <w:szCs w:val="32"/>
          <w:lang w:bidi="en-US"/>
        </w:rPr>
      </w:pPr>
    </w:p>
    <w:p w14:paraId="3A99FC0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360" w:leftChars="0" w:hanging="360" w:hangingChars="10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和田地区洛浦县2024年城乡义务教育补助经费项目</w:t>
      </w:r>
    </w:p>
    <w:p w14:paraId="0F52AC8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360" w:leftChars="0" w:hanging="360" w:hangingChars="10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支出绩效评价报告</w:t>
      </w:r>
    </w:p>
    <w:p w14:paraId="5CF24130">
      <w:pPr>
        <w:pStyle w:val="6"/>
        <w:jc w:val="center"/>
        <w:rPr>
          <w:rFonts w:hint="eastAsia" w:ascii="Times New Roman" w:hAnsi="Times New Roman" w:cs="Times New Roman"/>
          <w:bCs/>
          <w:lang w:eastAsia="zh-CN"/>
        </w:rPr>
      </w:pPr>
      <w:r>
        <w:rPr>
          <w:rFonts w:hint="eastAsia" w:ascii="Times New Roman" w:hAnsi="Times New Roman" w:cs="Times New Roman"/>
          <w:bCs/>
          <w:lang w:eastAsia="zh-CN"/>
        </w:rPr>
        <w:t>（</w:t>
      </w:r>
      <w:r>
        <w:rPr>
          <w:rFonts w:hint="eastAsia" w:ascii="Times New Roman" w:hAnsi="Times New Roman" w:cs="Times New Roman"/>
          <w:bCs/>
          <w:lang w:val="en-US" w:eastAsia="zh-CN"/>
        </w:rPr>
        <w:t>2024年度</w:t>
      </w:r>
      <w:r>
        <w:rPr>
          <w:rFonts w:hint="eastAsia" w:ascii="Times New Roman" w:hAnsi="Times New Roman" w:cs="Times New Roman"/>
          <w:bCs/>
          <w:lang w:eastAsia="zh-CN"/>
        </w:rPr>
        <w:t>）</w:t>
      </w:r>
    </w:p>
    <w:p w14:paraId="3EE0DFFB">
      <w:pPr>
        <w:spacing w:line="560" w:lineRule="exact"/>
        <w:ind w:firstLine="0" w:firstLineChars="0"/>
        <w:jc w:val="center"/>
        <w:rPr>
          <w:rFonts w:hint="eastAsia" w:eastAsia="方正仿宋_GBK" w:cs="方正仿宋_GBK"/>
          <w:b/>
          <w:kern w:val="0"/>
          <w:sz w:val="32"/>
          <w:szCs w:val="32"/>
          <w:lang w:bidi="en-US"/>
        </w:rPr>
      </w:pPr>
    </w:p>
    <w:p w14:paraId="36E92327">
      <w:pPr>
        <w:spacing w:line="560" w:lineRule="exact"/>
        <w:ind w:firstLine="0" w:firstLineChars="0"/>
        <w:jc w:val="center"/>
        <w:rPr>
          <w:rFonts w:hint="eastAsia" w:eastAsia="方正仿宋_GBK" w:cs="方正仿宋_GBK"/>
          <w:b/>
          <w:kern w:val="0"/>
          <w:sz w:val="32"/>
          <w:szCs w:val="32"/>
          <w:lang w:bidi="en-US"/>
        </w:rPr>
      </w:pPr>
    </w:p>
    <w:p w14:paraId="2650D101">
      <w:pPr>
        <w:pStyle w:val="6"/>
        <w:ind w:left="0" w:leftChars="0" w:firstLine="0" w:firstLineChars="0"/>
        <w:rPr>
          <w:rFonts w:hint="eastAsia"/>
        </w:rPr>
      </w:pPr>
    </w:p>
    <w:p w14:paraId="0F4A13A5">
      <w:pPr>
        <w:rPr>
          <w:rFonts w:hint="eastAsia"/>
        </w:rPr>
      </w:pPr>
    </w:p>
    <w:p w14:paraId="4575CFC1">
      <w:pPr>
        <w:pStyle w:val="6"/>
        <w:spacing w:before="0" w:after="0" w:line="560" w:lineRule="exact"/>
        <w:ind w:firstLine="640"/>
        <w:rPr>
          <w:rFonts w:hint="eastAsia" w:eastAsia="方正仿宋_GBK" w:cs="方正仿宋_GBK"/>
          <w:b/>
          <w:sz w:val="32"/>
          <w:lang w:bidi="en-US"/>
        </w:rPr>
      </w:pPr>
    </w:p>
    <w:p w14:paraId="31955301">
      <w:pPr>
        <w:spacing w:line="560" w:lineRule="exact"/>
        <w:ind w:firstLine="560"/>
        <w:rPr>
          <w:rFonts w:hint="eastAsia"/>
        </w:rPr>
      </w:pPr>
    </w:p>
    <w:p w14:paraId="27893307">
      <w:pPr>
        <w:spacing w:line="560" w:lineRule="exact"/>
        <w:ind w:firstLine="0" w:firstLineChars="0"/>
        <w:rPr>
          <w:rFonts w:hint="eastAsia" w:eastAsia="方正仿宋_GBK" w:cs="方正仿宋_GBK"/>
          <w:kern w:val="0"/>
          <w:sz w:val="32"/>
          <w:szCs w:val="32"/>
          <w:lang w:bidi="en-US"/>
        </w:rPr>
      </w:pPr>
    </w:p>
    <w:p w14:paraId="74C37354">
      <w:pPr>
        <w:spacing w:line="560" w:lineRule="exact"/>
        <w:ind w:firstLine="1234" w:firstLineChars="441"/>
        <w:jc w:val="left"/>
        <w:rPr>
          <w:rFonts w:hint="eastAsia" w:ascii="宋体" w:hAnsi="宋体" w:eastAsia="宋体" w:cs="宋体"/>
          <w:kern w:val="0"/>
          <w:szCs w:val="28"/>
          <w:lang w:bidi="en-US"/>
        </w:rPr>
      </w:pPr>
      <w:r>
        <w:rPr>
          <w:rFonts w:hint="eastAsia" w:ascii="宋体" w:hAnsi="宋体" w:eastAsia="宋体" w:cs="宋体"/>
          <w:kern w:val="0"/>
          <w:szCs w:val="28"/>
          <w:lang w:bidi="en-US"/>
        </w:rPr>
        <w:t>项目名称：</w:t>
      </w:r>
      <w:r>
        <w:rPr>
          <w:rFonts w:hint="eastAsia" w:ascii="宋体" w:hAnsi="宋体" w:eastAsia="宋体" w:cs="宋体"/>
          <w:kern w:val="0"/>
          <w:szCs w:val="28"/>
          <w:lang w:val="en-US" w:eastAsia="zh-CN" w:bidi="en-US"/>
        </w:rPr>
        <w:t>2024年城乡义务教育补助经费项目</w:t>
      </w:r>
    </w:p>
    <w:p w14:paraId="3CEF8F32">
      <w:pPr>
        <w:spacing w:line="560" w:lineRule="exact"/>
        <w:ind w:firstLine="1234" w:firstLineChars="441"/>
        <w:jc w:val="left"/>
        <w:rPr>
          <w:rFonts w:ascii="宋体" w:hAnsi="宋体" w:eastAsia="宋体" w:cs="宋体"/>
          <w:kern w:val="0"/>
          <w:szCs w:val="28"/>
          <w:lang w:bidi="en-US"/>
        </w:rPr>
      </w:pPr>
      <w:r>
        <w:rPr>
          <w:rFonts w:hint="eastAsia" w:ascii="宋体" w:hAnsi="宋体" w:eastAsia="宋体" w:cs="宋体"/>
          <w:kern w:val="0"/>
          <w:szCs w:val="28"/>
          <w:lang w:bidi="en-US"/>
        </w:rPr>
        <w:t>项目单位：洛浦县拜什托拉克乡中心小学</w:t>
      </w:r>
    </w:p>
    <w:p w14:paraId="3F09B2BB">
      <w:pPr>
        <w:spacing w:line="560" w:lineRule="exact"/>
        <w:ind w:firstLine="1234" w:firstLineChars="441"/>
        <w:jc w:val="left"/>
        <w:rPr>
          <w:rFonts w:ascii="宋体" w:hAnsi="宋体" w:eastAsia="宋体" w:cs="宋体"/>
          <w:kern w:val="0"/>
          <w:szCs w:val="28"/>
          <w:lang w:bidi="en-US"/>
        </w:rPr>
      </w:pPr>
      <w:r>
        <w:rPr>
          <w:rFonts w:hint="eastAsia" w:ascii="宋体" w:hAnsi="宋体" w:eastAsia="宋体" w:cs="宋体"/>
          <w:kern w:val="0"/>
          <w:szCs w:val="28"/>
          <w:lang w:bidi="en-US"/>
        </w:rPr>
        <w:t>主管部门：洛浦县教育局</w:t>
      </w:r>
    </w:p>
    <w:p w14:paraId="78AC04CC">
      <w:pPr>
        <w:spacing w:line="560" w:lineRule="exact"/>
        <w:ind w:firstLine="1234" w:firstLineChars="441"/>
        <w:jc w:val="left"/>
        <w:rPr>
          <w:rFonts w:ascii="宋体" w:hAnsi="宋体" w:eastAsia="宋体" w:cs="宋体"/>
          <w:kern w:val="0"/>
          <w:szCs w:val="28"/>
          <w:lang w:bidi="en-US"/>
        </w:rPr>
      </w:pPr>
      <w:r>
        <w:rPr>
          <w:rFonts w:hint="eastAsia" w:ascii="宋体" w:hAnsi="宋体" w:eastAsia="宋体" w:cs="宋体"/>
          <w:kern w:val="0"/>
          <w:szCs w:val="28"/>
          <w:lang w:bidi="en-US"/>
        </w:rPr>
        <w:t>项目负责人：吐拉尼沙·阿卜杜喀迪尔</w:t>
      </w:r>
    </w:p>
    <w:p w14:paraId="03ED42A2">
      <w:pPr>
        <w:spacing w:line="560" w:lineRule="exact"/>
        <w:ind w:firstLine="1234" w:firstLineChars="441"/>
        <w:jc w:val="left"/>
        <w:rPr>
          <w:rFonts w:hint="eastAsia" w:ascii="宋体" w:hAnsi="宋体" w:eastAsia="宋体" w:cs="宋体"/>
          <w:kern w:val="0"/>
          <w:szCs w:val="28"/>
          <w:lang w:bidi="en-US"/>
        </w:rPr>
      </w:pPr>
      <w:r>
        <w:rPr>
          <w:rFonts w:hint="eastAsia" w:ascii="宋体" w:hAnsi="宋体" w:eastAsia="宋体" w:cs="宋体"/>
          <w:kern w:val="0"/>
          <w:szCs w:val="28"/>
          <w:lang w:bidi="en-US"/>
        </w:rPr>
        <w:t>填报时间： 2025年3月31日</w:t>
      </w:r>
      <w:bookmarkStart w:id="0" w:name="_Toc68364657"/>
    </w:p>
    <w:p w14:paraId="6341244C">
      <w:pPr>
        <w:spacing w:line="560" w:lineRule="exact"/>
        <w:ind w:firstLine="1234" w:firstLineChars="441"/>
        <w:jc w:val="left"/>
        <w:rPr>
          <w:rFonts w:hint="eastAsia" w:ascii="宋体" w:hAnsi="宋体" w:eastAsia="宋体" w:cs="宋体"/>
          <w:kern w:val="0"/>
          <w:szCs w:val="28"/>
          <w:lang w:val="en-US" w:eastAsia="zh-CN" w:bidi="en-US"/>
        </w:rPr>
      </w:pPr>
    </w:p>
    <w:p w14:paraId="4DC17B64">
      <w:pPr>
        <w:spacing w:line="560" w:lineRule="exact"/>
        <w:ind w:firstLine="1234" w:firstLineChars="441"/>
        <w:jc w:val="left"/>
        <w:rPr>
          <w:rFonts w:hint="eastAsia" w:ascii="宋体" w:hAnsi="宋体" w:eastAsia="宋体" w:cs="宋体"/>
          <w:kern w:val="0"/>
          <w:szCs w:val="28"/>
          <w:lang w:val="en-US" w:eastAsia="zh-CN" w:bidi="en-US"/>
        </w:rPr>
      </w:pPr>
    </w:p>
    <w:p w14:paraId="5B028629">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3343FF9F">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448D8D9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b/>
          <w:bCs/>
          <w:sz w:val="24"/>
          <w:szCs w:val="24"/>
        </w:rPr>
        <w:t>1. 项目背景</w:t>
      </w:r>
      <w:r>
        <w:rPr>
          <w:rFonts w:hint="eastAsia" w:ascii="宋体" w:hAnsi="宋体" w:eastAsia="宋体" w:cs="宋体"/>
          <w:sz w:val="24"/>
          <w:szCs w:val="24"/>
          <w:lang w:val="en-US" w:eastAsia="zh-CN"/>
        </w:rPr>
        <w:t xml:space="preserve"> </w:t>
      </w:r>
    </w:p>
    <w:p w14:paraId="6DC080EB">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教育，是国家发展的基石，也是民族振兴的希望。在教育体系中，义务教育作为基础阶段，承担着培养未来人才的重任。初中作为义务教育的关键环节，其发展水平直接关系到教育公平与质量的提升。然而，长期以来，我校在教育资源配置、经费投入等方面面临诸多困境，严重制约了其教育质量的提高和学生的全面发展。为了改善这一状况，城乡义务教育补助经费项目应运而生。</w:t>
      </w:r>
    </w:p>
    <w:p w14:paraId="3639CE6A">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为了推动义务教育均衡发展，国家积极出台相关政策，加大对乡镇初中的扶持力度。城乡义务教育补助经费作为一项重要的政策举措，旨在通过资金支持，改善乡镇初中的办学条件，提高教育质量，确保每个孩子都能享受到公平而有质量的教育。 </w:t>
      </w:r>
    </w:p>
    <w:p w14:paraId="66FB3625">
      <w:pPr>
        <w:pStyle w:val="4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这项补助经费具有重大意义，它为我校带来了新的生机与活力。一方面，能够缓解学校的经费压力，使其在教学设施更新、师资队伍建设、贫困学生资助等方面得到有力支持，缩小与城市学校的差距；另一方面，有助于提升乡镇初中的教育质量，为学生创造更好的学习环境，促进教育公平的实现，让更多农村孩子拥有改变命运的机会。  </w:t>
      </w:r>
    </w:p>
    <w:p w14:paraId="4FCD56E0">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77E4CF4B">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1）主要内容</w:t>
      </w:r>
    </w:p>
    <w:p w14:paraId="34F71E6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根据关于下2024年城乡义务教育补助经费项目文件要求，主要目标是保障义务教育学校正常运转、完成教育教学活动和其他日常工作任务等方面支出的费用。</w:t>
      </w:r>
    </w:p>
    <w:p w14:paraId="4D48FAA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7557CFA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5275A6EE">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本项目主管部门为洛浦县教育局，实施单位为</w:t>
      </w:r>
      <w:r>
        <w:rPr>
          <w:rFonts w:hint="eastAsia" w:ascii="宋体" w:hAnsi="宋体" w:eastAsia="宋体" w:cs="宋体"/>
          <w:sz w:val="24"/>
          <w:szCs w:val="24"/>
        </w:rPr>
        <w:t>洛浦县拜什托拉克乡中心小学</w:t>
      </w:r>
      <w:r>
        <w:rPr>
          <w:rFonts w:hint="eastAsia" w:ascii="宋体" w:hAnsi="宋体" w:eastAsia="宋体" w:cs="宋体"/>
          <w:sz w:val="24"/>
          <w:szCs w:val="24"/>
          <w:lang w:val="en-US" w:eastAsia="zh-CN"/>
        </w:rPr>
        <w:t>。</w:t>
      </w:r>
    </w:p>
    <w:p w14:paraId="60143E7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sz w:val="24"/>
          <w:szCs w:val="24"/>
          <w:lang w:val="en-US" w:eastAsia="zh-CN"/>
        </w:rPr>
        <w:t>2024年1月-2024年</w:t>
      </w:r>
      <w:r>
        <w:rPr>
          <w:rFonts w:hint="eastAsia" w:ascii="宋体" w:hAnsi="宋体" w:eastAsia="宋体" w:cs="宋体"/>
          <w:sz w:val="24"/>
          <w:szCs w:val="24"/>
        </w:rPr>
        <w:t>12</w:t>
      </w:r>
      <w:r>
        <w:rPr>
          <w:rFonts w:hint="eastAsia" w:ascii="宋体" w:hAnsi="宋体" w:eastAsia="宋体" w:cs="宋体"/>
          <w:sz w:val="24"/>
          <w:szCs w:val="24"/>
          <w:lang w:val="en-US" w:eastAsia="zh-CN"/>
        </w:rPr>
        <w:t>月</w:t>
      </w:r>
    </w:p>
    <w:p w14:paraId="7F1CA887">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7D69B28D">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截止到2024年12月31日，我单位已完成1477名学生的营养改善、寄宿生生活补助及学校公用经费。资金使用242.83万元。通过项目的实施，有效改善教育教学质量。</w:t>
      </w:r>
    </w:p>
    <w:p w14:paraId="51A5AA12">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2D34C6DF">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（1）项目资金安排</w:t>
      </w:r>
      <w:r>
        <w:rPr>
          <w:rFonts w:hint="eastAsia" w:ascii="宋体" w:hAnsi="宋体" w:eastAsia="宋体" w:cs="宋体"/>
          <w:b/>
          <w:bCs/>
          <w:sz w:val="24"/>
          <w:szCs w:val="24"/>
          <w:lang w:eastAsia="zh-CN"/>
        </w:rPr>
        <w:t>、</w:t>
      </w:r>
      <w:r>
        <w:rPr>
          <w:rFonts w:hint="eastAsia" w:ascii="宋体" w:hAnsi="宋体" w:eastAsia="宋体" w:cs="宋体"/>
          <w:b/>
          <w:bCs/>
          <w:sz w:val="24"/>
          <w:szCs w:val="24"/>
        </w:rPr>
        <w:t>投入情况</w:t>
      </w:r>
    </w:p>
    <w:p w14:paraId="65BFC37D">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本项目预算安排总额为</w:t>
      </w:r>
      <w:r>
        <w:rPr>
          <w:rFonts w:hint="eastAsia" w:ascii="宋体" w:hAnsi="宋体" w:eastAsia="宋体" w:cs="宋体"/>
          <w:sz w:val="24"/>
          <w:szCs w:val="24"/>
          <w:lang w:val="en-US" w:eastAsia="zh-CN"/>
        </w:rPr>
        <w:t>242.83</w:t>
      </w:r>
      <w:r>
        <w:rPr>
          <w:rFonts w:hint="eastAsia" w:ascii="宋体" w:hAnsi="宋体" w:eastAsia="宋体" w:cs="宋体"/>
          <w:sz w:val="24"/>
          <w:szCs w:val="24"/>
        </w:rPr>
        <w:t>万元，资金来源为部门预算</w:t>
      </w:r>
      <w:r>
        <w:rPr>
          <w:rFonts w:hint="eastAsia" w:ascii="宋体" w:hAnsi="宋体" w:eastAsia="宋体" w:cs="宋体"/>
          <w:sz w:val="24"/>
          <w:szCs w:val="24"/>
          <w:lang w:val="en-US" w:eastAsia="zh-CN"/>
        </w:rPr>
        <w:t>资金</w:t>
      </w:r>
      <w:r>
        <w:rPr>
          <w:rFonts w:hint="eastAsia" w:ascii="宋体" w:hAnsi="宋体" w:eastAsia="宋体" w:cs="宋体"/>
          <w:sz w:val="24"/>
          <w:szCs w:val="24"/>
        </w:rPr>
        <w:t>，其中：财政资金</w:t>
      </w:r>
      <w:r>
        <w:rPr>
          <w:rFonts w:hint="eastAsia" w:ascii="宋体" w:hAnsi="宋体" w:eastAsia="宋体" w:cs="宋体"/>
          <w:sz w:val="24"/>
          <w:szCs w:val="24"/>
          <w:lang w:eastAsia="zh-CN"/>
        </w:rPr>
        <w:t>242.83</w:t>
      </w:r>
      <w:r>
        <w:rPr>
          <w:rFonts w:hint="eastAsia" w:ascii="宋体" w:hAnsi="宋体" w:eastAsia="宋体" w:cs="宋体"/>
          <w:sz w:val="24"/>
          <w:szCs w:val="24"/>
        </w:rPr>
        <w:t>万元，其他资金</w:t>
      </w:r>
      <w:r>
        <w:rPr>
          <w:rFonts w:hint="eastAsia" w:ascii="宋体" w:hAnsi="宋体" w:eastAsia="宋体" w:cs="宋体"/>
          <w:sz w:val="24"/>
          <w:szCs w:val="24"/>
          <w:lang w:val="en-US" w:eastAsia="zh-CN"/>
        </w:rPr>
        <w:t>0.00</w:t>
      </w:r>
      <w:r>
        <w:rPr>
          <w:rFonts w:hint="eastAsia" w:ascii="宋体" w:hAnsi="宋体" w:eastAsia="宋体" w:cs="宋体"/>
          <w:sz w:val="24"/>
          <w:szCs w:val="24"/>
        </w:rPr>
        <w:t>万元，202</w:t>
      </w:r>
      <w:r>
        <w:rPr>
          <w:rFonts w:hint="eastAsia" w:ascii="宋体" w:hAnsi="宋体" w:eastAsia="宋体" w:cs="宋体"/>
          <w:sz w:val="24"/>
          <w:szCs w:val="24"/>
          <w:lang w:val="en-US" w:eastAsia="zh-CN"/>
        </w:rPr>
        <w:t>4</w:t>
      </w:r>
      <w:r>
        <w:rPr>
          <w:rFonts w:hint="eastAsia" w:ascii="宋体" w:hAnsi="宋体" w:eastAsia="宋体" w:cs="宋体"/>
          <w:sz w:val="24"/>
          <w:szCs w:val="24"/>
        </w:rPr>
        <w:t>年实际收到预算资金</w:t>
      </w:r>
      <w:r>
        <w:rPr>
          <w:rFonts w:hint="eastAsia" w:ascii="宋体" w:hAnsi="宋体" w:eastAsia="宋体" w:cs="宋体"/>
          <w:sz w:val="24"/>
          <w:szCs w:val="24"/>
          <w:lang w:eastAsia="zh-CN"/>
        </w:rPr>
        <w:t>242.83</w:t>
      </w:r>
      <w:r>
        <w:rPr>
          <w:rFonts w:hint="eastAsia" w:ascii="宋体" w:hAnsi="宋体" w:eastAsia="宋体" w:cs="宋体"/>
          <w:sz w:val="24"/>
          <w:szCs w:val="24"/>
        </w:rPr>
        <w:t>万元，预算资金到位率为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79B11F8E">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（2）项目资金实际使用情况分析</w:t>
      </w:r>
    </w:p>
    <w:p w14:paraId="122E2018">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lang w:val="en-US"/>
        </w:rPr>
      </w:pPr>
      <w:r>
        <w:rPr>
          <w:rFonts w:hint="eastAsia" w:ascii="宋体" w:hAnsi="宋体" w:eastAsia="宋体" w:cs="宋体"/>
          <w:sz w:val="24"/>
          <w:szCs w:val="24"/>
        </w:rPr>
        <w:t>本项目实际支付资金</w:t>
      </w:r>
      <w:r>
        <w:rPr>
          <w:rFonts w:hint="eastAsia" w:ascii="宋体" w:hAnsi="宋体" w:eastAsia="宋体" w:cs="宋体"/>
          <w:sz w:val="24"/>
          <w:szCs w:val="24"/>
          <w:lang w:eastAsia="zh-CN"/>
        </w:rPr>
        <w:t>242.83</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100</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本项目资金主要用义务教育公用经费</w:t>
      </w:r>
      <w:r>
        <w:rPr>
          <w:rFonts w:hint="eastAsia" w:ascii="宋体" w:hAnsi="宋体" w:eastAsia="宋体" w:cs="宋体"/>
          <w:sz w:val="24"/>
          <w:szCs w:val="24"/>
          <w:lang w:val="en-US" w:eastAsia="zh-CN"/>
        </w:rPr>
        <w:t>103.26万元，营养改善经费125.21万元，寄宿生生活补助经费14.36万元</w:t>
      </w:r>
      <w:r>
        <w:rPr>
          <w:rFonts w:hint="eastAsia" w:ascii="宋体" w:hAnsi="宋体" w:eastAsia="宋体" w:cs="宋体"/>
          <w:sz w:val="24"/>
          <w:szCs w:val="24"/>
        </w:rPr>
        <w:t>。</w:t>
      </w:r>
    </w:p>
    <w:p w14:paraId="588CD7D9">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4B62807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15E1E6D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D49D9A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eastAsia="zh-CN"/>
        </w:rPr>
      </w:pPr>
      <w:r>
        <w:rPr>
          <w:rFonts w:hint="eastAsia" w:ascii="宋体" w:hAnsi="宋体" w:eastAsia="宋体" w:cs="宋体"/>
          <w:sz w:val="24"/>
          <w:szCs w:val="24"/>
          <w:lang w:eastAsia="zh-CN"/>
        </w:rPr>
        <w:t>根据关于下达中央直达资金-和地财教[2023]60号2024年城乡义务教育补助经费文件要求公用经费是指保障义务教育学校正常运转、完成教育教学活动和其他日常工作任务等方面支出的费用。</w:t>
      </w:r>
    </w:p>
    <w:p w14:paraId="5934E913">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1483EA7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bookmarkStart w:id="3" w:name="_Toc68364660"/>
      <w:r>
        <w:rPr>
          <w:rFonts w:hint="eastAsia" w:ascii="宋体" w:hAnsi="宋体" w:eastAsia="宋体" w:cs="宋体"/>
          <w:sz w:val="24"/>
          <w:szCs w:val="24"/>
          <w:lang w:val="en-US" w:eastAsia="zh-CN"/>
        </w:rPr>
        <w:t>我</w:t>
      </w:r>
      <w:r>
        <w:rPr>
          <w:rFonts w:hint="eastAsia" w:ascii="宋体" w:hAnsi="宋体" w:eastAsia="宋体" w:cs="宋体"/>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CF9C280">
      <w:pPr>
        <w:pStyle w:val="48"/>
        <w:pageBreakBefore w:val="0"/>
        <w:widowControl w:val="0"/>
        <w:numPr>
          <w:ilvl w:val="0"/>
          <w:numId w:val="1"/>
        </w:numPr>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产出指标</w:t>
      </w:r>
    </w:p>
    <w:p w14:paraId="38B57287">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数量指标:</w:t>
      </w:r>
    </w:p>
    <w:p w14:paraId="706AD80E">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w:t>
      </w:r>
      <w:r>
        <w:rPr>
          <w:rFonts w:hint="eastAsia" w:ascii="宋体" w:hAnsi="宋体" w:eastAsia="宋体" w:cs="宋体"/>
          <w:sz w:val="24"/>
          <w:szCs w:val="24"/>
          <w:lang w:val="en-US" w:eastAsia="zh-CN"/>
        </w:rPr>
        <w:t>收益学生数量</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r>
        <w:rPr>
          <w:rFonts w:hint="eastAsia" w:ascii="宋体" w:hAnsi="宋体" w:eastAsia="宋体" w:cs="宋体"/>
          <w:sz w:val="24"/>
          <w:szCs w:val="24"/>
        </w:rPr>
        <w:t>1477</w:t>
      </w:r>
      <w:r>
        <w:rPr>
          <w:rFonts w:hint="eastAsia" w:ascii="宋体" w:hAnsi="宋体" w:eastAsia="宋体" w:cs="宋体"/>
          <w:sz w:val="24"/>
          <w:szCs w:val="24"/>
          <w:lang w:eastAsia="zh-CN"/>
        </w:rPr>
        <w:t>人”</w:t>
      </w:r>
      <w:r>
        <w:rPr>
          <w:rFonts w:hint="eastAsia" w:ascii="宋体" w:hAnsi="宋体" w:eastAsia="宋体" w:cs="宋体"/>
          <w:sz w:val="24"/>
          <w:szCs w:val="24"/>
        </w:rPr>
        <w:t>；</w:t>
      </w:r>
    </w:p>
    <w:p w14:paraId="74257D58">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2）质量指标：</w:t>
      </w:r>
    </w:p>
    <w:p w14:paraId="3E2331E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指标1：补助资金到位率</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=100%</w:t>
      </w:r>
      <w:r>
        <w:rPr>
          <w:rFonts w:hint="eastAsia" w:ascii="宋体" w:hAnsi="宋体" w:eastAsia="宋体" w:cs="宋体"/>
          <w:sz w:val="24"/>
          <w:szCs w:val="24"/>
          <w:lang w:eastAsia="zh-CN"/>
        </w:rPr>
        <w:t>”</w:t>
      </w:r>
      <w:r>
        <w:rPr>
          <w:rFonts w:hint="eastAsia" w:ascii="宋体" w:hAnsi="宋体" w:eastAsia="宋体" w:cs="宋体"/>
          <w:sz w:val="24"/>
          <w:szCs w:val="24"/>
        </w:rPr>
        <w:t>；</w:t>
      </w:r>
    </w:p>
    <w:p w14:paraId="7081209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3）时效目标：</w:t>
      </w:r>
    </w:p>
    <w:p w14:paraId="5EC95C0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w:t>
      </w:r>
      <w:r>
        <w:rPr>
          <w:rFonts w:hint="eastAsia" w:ascii="宋体" w:hAnsi="宋体" w:eastAsia="宋体" w:cs="宋体"/>
          <w:sz w:val="24"/>
          <w:szCs w:val="24"/>
          <w:lang w:val="en-US" w:eastAsia="zh-CN"/>
        </w:rPr>
        <w:t>1</w:t>
      </w:r>
      <w:r>
        <w:rPr>
          <w:rFonts w:hint="eastAsia" w:ascii="宋体" w:hAnsi="宋体" w:eastAsia="宋体" w:cs="宋体"/>
          <w:sz w:val="24"/>
          <w:szCs w:val="24"/>
        </w:rPr>
        <w:t>：项目</w:t>
      </w:r>
      <w:r>
        <w:rPr>
          <w:rFonts w:hint="eastAsia" w:ascii="宋体" w:hAnsi="宋体" w:eastAsia="宋体" w:cs="宋体"/>
          <w:sz w:val="24"/>
          <w:szCs w:val="24"/>
          <w:lang w:val="en-US" w:eastAsia="zh-CN"/>
        </w:rPr>
        <w:t>开始</w:t>
      </w:r>
      <w:r>
        <w:rPr>
          <w:rFonts w:hint="eastAsia" w:ascii="宋体" w:hAnsi="宋体" w:eastAsia="宋体" w:cs="宋体"/>
          <w:sz w:val="24"/>
          <w:szCs w:val="24"/>
        </w:rPr>
        <w:t>时间</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2024/1/1</w:t>
      </w:r>
      <w:r>
        <w:rPr>
          <w:rFonts w:hint="eastAsia" w:ascii="宋体" w:hAnsi="宋体" w:eastAsia="宋体" w:cs="宋体"/>
          <w:sz w:val="24"/>
          <w:szCs w:val="24"/>
          <w:lang w:eastAsia="zh-CN"/>
        </w:rPr>
        <w:t>”</w:t>
      </w:r>
      <w:r>
        <w:rPr>
          <w:rFonts w:hint="eastAsia" w:ascii="宋体" w:hAnsi="宋体" w:eastAsia="宋体" w:cs="宋体"/>
          <w:sz w:val="24"/>
          <w:szCs w:val="24"/>
        </w:rPr>
        <w:t>；</w:t>
      </w:r>
    </w:p>
    <w:p w14:paraId="43A95E82">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指标2：项目完成时间</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2024/12/31</w:t>
      </w:r>
      <w:r>
        <w:rPr>
          <w:rFonts w:hint="eastAsia" w:ascii="宋体" w:hAnsi="宋体" w:eastAsia="宋体" w:cs="宋体"/>
          <w:sz w:val="24"/>
          <w:szCs w:val="24"/>
          <w:lang w:eastAsia="zh-CN"/>
        </w:rPr>
        <w:t>”</w:t>
      </w:r>
      <w:r>
        <w:rPr>
          <w:rFonts w:hint="eastAsia" w:ascii="宋体" w:hAnsi="宋体" w:eastAsia="宋体" w:cs="宋体"/>
          <w:sz w:val="24"/>
          <w:szCs w:val="24"/>
        </w:rPr>
        <w:t>；</w:t>
      </w:r>
    </w:p>
    <w:p w14:paraId="1727BCF7">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w:t>
      </w:r>
      <w:r>
        <w:rPr>
          <w:rFonts w:hint="eastAsia" w:ascii="宋体" w:hAnsi="宋体" w:eastAsia="宋体" w:cs="宋体"/>
          <w:sz w:val="24"/>
          <w:szCs w:val="24"/>
          <w:lang w:val="en-US" w:eastAsia="zh-CN"/>
        </w:rPr>
        <w:t>3</w:t>
      </w:r>
      <w:r>
        <w:rPr>
          <w:rFonts w:hint="eastAsia" w:ascii="宋体" w:hAnsi="宋体" w:eastAsia="宋体" w:cs="宋体"/>
          <w:sz w:val="24"/>
          <w:szCs w:val="24"/>
        </w:rPr>
        <w:t>：补助资金发放及时率</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=100%</w:t>
      </w:r>
      <w:r>
        <w:rPr>
          <w:rFonts w:hint="eastAsia" w:ascii="宋体" w:hAnsi="宋体" w:eastAsia="宋体" w:cs="宋体"/>
          <w:sz w:val="24"/>
          <w:szCs w:val="24"/>
          <w:lang w:eastAsia="zh-CN"/>
        </w:rPr>
        <w:t>”</w:t>
      </w:r>
      <w:r>
        <w:rPr>
          <w:rFonts w:hint="eastAsia" w:ascii="宋体" w:hAnsi="宋体" w:eastAsia="宋体" w:cs="宋体"/>
          <w:sz w:val="24"/>
          <w:szCs w:val="24"/>
        </w:rPr>
        <w:t>；</w:t>
      </w:r>
    </w:p>
    <w:p w14:paraId="34CA7B2E">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 xml:space="preserve">（2）成本指标： </w:t>
      </w:r>
    </w:p>
    <w:p w14:paraId="7530D37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sz w:val="24"/>
          <w:szCs w:val="24"/>
          <w:lang w:val="en-US" w:eastAsia="zh-CN"/>
        </w:rPr>
        <w:t>1）经济成本指标</w:t>
      </w:r>
    </w:p>
    <w:p w14:paraId="5B5B5CA5">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指标1：义务教育公用经费</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rPr>
        <w:t>103.26</w:t>
      </w:r>
      <w:r>
        <w:rPr>
          <w:rFonts w:hint="eastAsia" w:ascii="宋体" w:hAnsi="宋体" w:eastAsia="宋体" w:cs="宋体"/>
          <w:sz w:val="24"/>
          <w:szCs w:val="24"/>
          <w:lang w:eastAsia="zh-CN"/>
        </w:rPr>
        <w:t>万元”</w:t>
      </w:r>
      <w:r>
        <w:rPr>
          <w:rFonts w:hint="eastAsia" w:ascii="宋体" w:hAnsi="宋体" w:eastAsia="宋体" w:cs="宋体"/>
          <w:sz w:val="24"/>
          <w:szCs w:val="24"/>
        </w:rPr>
        <w:t>；</w:t>
      </w:r>
    </w:p>
    <w:p w14:paraId="65D64AF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lang w:val="en-US" w:eastAsia="zh-CN"/>
        </w:rPr>
        <w:t>指标2：营养改善，</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rPr>
        <w:t>125.21</w:t>
      </w:r>
      <w:r>
        <w:rPr>
          <w:rFonts w:hint="eastAsia" w:ascii="宋体" w:hAnsi="宋体" w:eastAsia="宋体" w:cs="宋体"/>
          <w:sz w:val="24"/>
          <w:szCs w:val="24"/>
          <w:lang w:eastAsia="zh-CN"/>
        </w:rPr>
        <w:t>万元”</w:t>
      </w:r>
      <w:r>
        <w:rPr>
          <w:rFonts w:hint="eastAsia" w:ascii="宋体" w:hAnsi="宋体" w:eastAsia="宋体" w:cs="宋体"/>
          <w:sz w:val="24"/>
          <w:szCs w:val="24"/>
        </w:rPr>
        <w:t>；</w:t>
      </w:r>
    </w:p>
    <w:p w14:paraId="34A4F2E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sz w:val="24"/>
          <w:szCs w:val="24"/>
          <w:lang w:val="en-US" w:eastAsia="zh-CN"/>
        </w:rPr>
        <w:t>指标3：寄宿生生活补助经费，</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rPr>
        <w:t>14.36</w:t>
      </w:r>
      <w:r>
        <w:rPr>
          <w:rFonts w:hint="eastAsia" w:ascii="宋体" w:hAnsi="宋体" w:eastAsia="宋体" w:cs="宋体"/>
          <w:sz w:val="24"/>
          <w:szCs w:val="24"/>
          <w:lang w:eastAsia="zh-CN"/>
        </w:rPr>
        <w:t>万元”</w:t>
      </w:r>
      <w:r>
        <w:rPr>
          <w:rFonts w:hint="eastAsia" w:ascii="宋体" w:hAnsi="宋体" w:eastAsia="宋体" w:cs="宋体"/>
          <w:sz w:val="24"/>
          <w:szCs w:val="24"/>
        </w:rPr>
        <w:t>；</w:t>
      </w:r>
    </w:p>
    <w:p w14:paraId="17B72AD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2）社会成本指标</w:t>
      </w:r>
    </w:p>
    <w:p w14:paraId="622AEF5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sz w:val="24"/>
          <w:szCs w:val="24"/>
          <w:lang w:val="en-US" w:eastAsia="zh-CN"/>
        </w:rPr>
        <w:t>无；</w:t>
      </w:r>
    </w:p>
    <w:p w14:paraId="622E4E10">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3）生态环境成本指标;</w:t>
      </w:r>
    </w:p>
    <w:p w14:paraId="37607885">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sz w:val="24"/>
          <w:szCs w:val="24"/>
          <w:lang w:val="en-US" w:eastAsia="zh-CN"/>
        </w:rPr>
        <w:t>无；</w:t>
      </w:r>
    </w:p>
    <w:p w14:paraId="7C70E0D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（3）效益指标：</w:t>
      </w:r>
    </w:p>
    <w:p w14:paraId="1C9862A3">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1）经济效益指标：</w:t>
      </w:r>
    </w:p>
    <w:p w14:paraId="0A47ADCE">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sz w:val="24"/>
          <w:szCs w:val="24"/>
          <w:lang w:val="en-US" w:eastAsia="zh-CN"/>
        </w:rPr>
        <w:t>无；</w:t>
      </w:r>
    </w:p>
    <w:p w14:paraId="068CEA7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2）社会效益指标：</w:t>
      </w:r>
    </w:p>
    <w:p w14:paraId="6BC3DE7B">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指标1：有效改善学生生活质量</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有效改善</w:t>
      </w:r>
      <w:r>
        <w:rPr>
          <w:rFonts w:hint="eastAsia" w:ascii="宋体" w:hAnsi="宋体" w:eastAsia="宋体" w:cs="宋体"/>
          <w:sz w:val="24"/>
          <w:szCs w:val="24"/>
          <w:lang w:eastAsia="zh-CN"/>
        </w:rPr>
        <w:t>”</w:t>
      </w:r>
      <w:r>
        <w:rPr>
          <w:rFonts w:hint="eastAsia" w:ascii="宋体" w:hAnsi="宋体" w:eastAsia="宋体" w:cs="宋体"/>
          <w:sz w:val="24"/>
          <w:szCs w:val="24"/>
        </w:rPr>
        <w:t>；</w:t>
      </w:r>
    </w:p>
    <w:p w14:paraId="021580A8">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3）生态效益指标：</w:t>
      </w:r>
    </w:p>
    <w:p w14:paraId="46CE9A0D">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sz w:val="24"/>
          <w:szCs w:val="24"/>
          <w:lang w:val="en-US" w:eastAsia="zh-CN"/>
        </w:rPr>
        <w:t>无；</w:t>
      </w:r>
    </w:p>
    <w:p w14:paraId="20F36123">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（4）服务对象满意度指标：</w:t>
      </w:r>
    </w:p>
    <w:p w14:paraId="642F049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黑体" w:hAnsi="黑体" w:eastAsia="黑体" w:cs="黑体"/>
          <w:sz w:val="24"/>
          <w:szCs w:val="24"/>
        </w:rPr>
      </w:pPr>
      <w:r>
        <w:rPr>
          <w:rFonts w:hint="eastAsia" w:ascii="宋体" w:hAnsi="宋体" w:eastAsia="宋体" w:cs="宋体"/>
          <w:sz w:val="24"/>
          <w:szCs w:val="24"/>
        </w:rPr>
        <w:t>指标1：</w:t>
      </w:r>
      <w:r>
        <w:rPr>
          <w:rFonts w:hint="eastAsia" w:ascii="宋体" w:hAnsi="宋体" w:eastAsia="宋体" w:cs="宋体"/>
          <w:sz w:val="24"/>
          <w:szCs w:val="24"/>
          <w:lang w:val="en-US" w:eastAsia="zh-CN"/>
        </w:rPr>
        <w:t>学生</w:t>
      </w:r>
      <w:r>
        <w:rPr>
          <w:rFonts w:hint="eastAsia" w:ascii="宋体" w:hAnsi="宋体" w:eastAsia="宋体" w:cs="宋体"/>
          <w:sz w:val="24"/>
          <w:szCs w:val="24"/>
        </w:rPr>
        <w:t>满意度</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eastAsia="zh-CN"/>
        </w:rPr>
        <w:t>“≥95%”</w:t>
      </w:r>
      <w:r>
        <w:rPr>
          <w:rFonts w:hint="eastAsia" w:ascii="宋体" w:hAnsi="宋体" w:eastAsia="宋体" w:cs="宋体"/>
          <w:sz w:val="24"/>
          <w:szCs w:val="24"/>
        </w:rPr>
        <w:t>；</w:t>
      </w:r>
    </w:p>
    <w:p w14:paraId="50CA4DC5">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05C9F951">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35DB8373">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13102B1B">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12EE6CBE">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自治区财政厅《关于印发〈自治区项目支出绩效目标设置指引〉的通知》（新财预〔2022〕42号）等相关政策文件与规定，对</w:t>
      </w:r>
      <w:r>
        <w:rPr>
          <w:rFonts w:hint="eastAsia" w:ascii="宋体" w:hAnsi="宋体" w:eastAsia="宋体" w:cs="宋体"/>
          <w:sz w:val="24"/>
          <w:szCs w:val="24"/>
          <w:lang w:val="en-US" w:eastAsia="zh-CN"/>
        </w:rPr>
        <w:t>中央直达资金城乡义务教育补助经费</w:t>
      </w:r>
      <w:r>
        <w:rPr>
          <w:rFonts w:hint="eastAsia" w:ascii="宋体" w:hAnsi="宋体" w:eastAsia="宋体" w:cs="宋体"/>
          <w:sz w:val="24"/>
          <w:szCs w:val="24"/>
        </w:rPr>
        <w:t>项目开展本次部门项目支出绩效评价工作。全面了解</w:t>
      </w:r>
      <w:r>
        <w:rPr>
          <w:rFonts w:hint="eastAsia" w:ascii="宋体" w:hAnsi="宋体" w:eastAsia="宋体" w:cs="宋体"/>
          <w:sz w:val="24"/>
          <w:szCs w:val="24"/>
          <w:lang w:val="en-US" w:eastAsia="zh-CN"/>
        </w:rPr>
        <w:t>中央直达资金城乡义务教育补助经费</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7A95AC0B">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354B82F">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558FE4A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sz w:val="32"/>
          <w:szCs w:val="32"/>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19882178">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绩效评价对象</w:t>
      </w:r>
    </w:p>
    <w:p w14:paraId="3FD2FFB0">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lang w:val="en-US" w:eastAsia="zh-CN"/>
        </w:rPr>
      </w:pPr>
      <w:r>
        <w:rPr>
          <w:rFonts w:hint="eastAsia" w:ascii="宋体" w:hAnsi="宋体" w:eastAsia="宋体" w:cs="宋体"/>
          <w:sz w:val="24"/>
          <w:szCs w:val="24"/>
          <w:lang w:val="en-US" w:eastAsia="zh-CN"/>
        </w:rPr>
        <w:t>此</w:t>
      </w:r>
      <w:r>
        <w:rPr>
          <w:rFonts w:hint="eastAsia" w:ascii="宋体" w:hAnsi="宋体" w:eastAsia="宋体" w:cs="宋体"/>
          <w:sz w:val="24"/>
          <w:szCs w:val="24"/>
        </w:rPr>
        <w:t>次绩效评价遵循财政部《项目支出绩效评价管理办法》（财预〔2020〕10号）和《自治区财政支出绩效评价管理暂行办法》（新财预〔2018〕189号）等政策文件规定，以</w:t>
      </w:r>
      <w:r>
        <w:rPr>
          <w:rFonts w:hint="eastAsia" w:ascii="宋体" w:hAnsi="宋体" w:eastAsia="宋体" w:cs="宋体"/>
          <w:sz w:val="24"/>
          <w:szCs w:val="24"/>
          <w:lang w:val="en-US" w:eastAsia="zh-CN"/>
        </w:rPr>
        <w:t>中央直达资金城乡义务教育补助经费</w:t>
      </w:r>
      <w:r>
        <w:rPr>
          <w:rFonts w:hint="eastAsia" w:ascii="宋体" w:hAnsi="宋体" w:eastAsia="宋体" w:cs="宋体"/>
          <w:sz w:val="24"/>
          <w:szCs w:val="24"/>
        </w:rPr>
        <w:t>项目为</w:t>
      </w:r>
      <w:r>
        <w:rPr>
          <w:rFonts w:hint="eastAsia" w:ascii="宋体" w:hAnsi="宋体" w:eastAsia="宋体" w:cs="宋体"/>
          <w:sz w:val="24"/>
          <w:szCs w:val="24"/>
          <w:lang w:val="en-US" w:eastAsia="zh-CN"/>
        </w:rPr>
        <w:t>评价</w:t>
      </w:r>
      <w:r>
        <w:rPr>
          <w:rFonts w:hint="eastAsia" w:ascii="宋体" w:hAnsi="宋体" w:eastAsia="宋体" w:cs="宋体"/>
          <w:sz w:val="24"/>
          <w:szCs w:val="24"/>
        </w:rPr>
        <w:t>对象</w:t>
      </w:r>
      <w:r>
        <w:rPr>
          <w:rFonts w:hint="eastAsia" w:ascii="宋体" w:hAnsi="宋体" w:eastAsia="宋体" w:cs="宋体"/>
          <w:sz w:val="24"/>
          <w:szCs w:val="24"/>
          <w:lang w:eastAsia="zh-CN"/>
        </w:rPr>
        <w:t>，</w:t>
      </w:r>
      <w:r>
        <w:rPr>
          <w:rFonts w:hint="eastAsia" w:ascii="宋体" w:hAnsi="宋体" w:eastAsia="宋体" w:cs="宋体"/>
          <w:sz w:val="24"/>
          <w:szCs w:val="24"/>
        </w:rPr>
        <w:t>对该项目决策、</w:t>
      </w:r>
      <w:r>
        <w:rPr>
          <w:rFonts w:hint="eastAsia" w:ascii="宋体" w:hAnsi="宋体" w:eastAsia="宋体" w:cs="宋体"/>
          <w:sz w:val="24"/>
          <w:szCs w:val="24"/>
          <w:lang w:val="en-US" w:eastAsia="zh-CN"/>
        </w:rPr>
        <w:t>项目资金管理、项目实施</w:t>
      </w:r>
      <w:r>
        <w:rPr>
          <w:rFonts w:hint="eastAsia" w:ascii="宋体" w:hAnsi="宋体" w:eastAsia="宋体" w:cs="宋体"/>
          <w:sz w:val="24"/>
          <w:szCs w:val="24"/>
        </w:rPr>
        <w:t>过程</w:t>
      </w:r>
      <w:r>
        <w:rPr>
          <w:rFonts w:hint="eastAsia" w:ascii="宋体" w:hAnsi="宋体" w:eastAsia="宋体" w:cs="宋体"/>
          <w:sz w:val="24"/>
          <w:szCs w:val="24"/>
          <w:lang w:val="en-US" w:eastAsia="zh-CN"/>
        </w:rPr>
        <w:t>管理</w:t>
      </w:r>
      <w:r>
        <w:rPr>
          <w:rFonts w:hint="eastAsia" w:ascii="宋体" w:hAnsi="宋体" w:eastAsia="宋体" w:cs="宋体"/>
          <w:sz w:val="24"/>
          <w:szCs w:val="24"/>
        </w:rPr>
        <w:t>，</w:t>
      </w:r>
      <w:r>
        <w:rPr>
          <w:rFonts w:hint="eastAsia" w:ascii="宋体" w:hAnsi="宋体" w:eastAsia="宋体" w:cs="宋体"/>
          <w:sz w:val="24"/>
          <w:szCs w:val="24"/>
          <w:lang w:val="en-US" w:eastAsia="zh-CN"/>
        </w:rPr>
        <w:t>以及</w:t>
      </w:r>
      <w:r>
        <w:rPr>
          <w:rFonts w:hint="eastAsia" w:ascii="宋体" w:hAnsi="宋体" w:eastAsia="宋体" w:cs="宋体"/>
          <w:sz w:val="24"/>
          <w:szCs w:val="24"/>
        </w:rPr>
        <w:t>项目实施所带来的产出和效果</w:t>
      </w:r>
      <w:r>
        <w:rPr>
          <w:rFonts w:hint="eastAsia" w:ascii="宋体" w:hAnsi="宋体" w:eastAsia="宋体" w:cs="宋体"/>
          <w:sz w:val="24"/>
          <w:szCs w:val="24"/>
          <w:lang w:val="en-US" w:eastAsia="zh-CN"/>
        </w:rPr>
        <w:t>等</w:t>
      </w:r>
      <w:r>
        <w:rPr>
          <w:rFonts w:hint="eastAsia" w:ascii="宋体" w:hAnsi="宋体" w:eastAsia="宋体" w:cs="宋体"/>
          <w:sz w:val="24"/>
          <w:szCs w:val="24"/>
        </w:rPr>
        <w:t>内容，</w:t>
      </w:r>
      <w:r>
        <w:rPr>
          <w:rFonts w:hint="eastAsia" w:ascii="宋体" w:hAnsi="宋体" w:eastAsia="宋体" w:cs="宋体"/>
          <w:sz w:val="24"/>
          <w:szCs w:val="24"/>
          <w:lang w:val="en-US" w:eastAsia="zh-CN"/>
        </w:rPr>
        <w:t>进行综合评价。</w:t>
      </w:r>
    </w:p>
    <w:p w14:paraId="438CA202">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0C321DF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sz w:val="24"/>
          <w:szCs w:val="24"/>
          <w:lang w:val="en-US" w:eastAsia="zh-CN"/>
        </w:rPr>
        <w:t>中央直达资金城乡义务教育补助经费</w:t>
      </w:r>
      <w:r>
        <w:rPr>
          <w:rFonts w:hint="eastAsia" w:ascii="宋体" w:hAnsi="宋体" w:eastAsia="宋体" w:cs="宋体"/>
          <w:sz w:val="24"/>
          <w:szCs w:val="24"/>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444F2119">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353CFE5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36796156">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6424738">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77F3EDE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06C7FF6">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082C05A0">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2EBAA97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根据以上原则，绩效评价应遵循如下要求:</w:t>
      </w:r>
    </w:p>
    <w:p w14:paraId="3B5F1699">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3333DB85">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56F7B9E3">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878353A">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58028160">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409E84F8">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5FDB2A5F">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C049C6F">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lang w:val="en-US" w:eastAsia="zh-CN"/>
        </w:rPr>
        <w:t>具体</w:t>
      </w:r>
      <w:r>
        <w:rPr>
          <w:rFonts w:hint="eastAsia" w:ascii="宋体" w:hAnsi="宋体" w:eastAsia="宋体" w:cs="宋体"/>
          <w:bCs/>
          <w:sz w:val="24"/>
          <w:szCs w:val="24"/>
        </w:rPr>
        <w:t>评价方法的应用如下:</w:t>
      </w:r>
    </w:p>
    <w:p w14:paraId="5E1882E1">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立项依据充分性：比较法、文献法，查找法律法规政策以及规划，对比实际执行内容和政策支持内容是否匹配。</w:t>
      </w:r>
    </w:p>
    <w:p w14:paraId="2E953733">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立项程序规范性：比较法、文献法，查找相关项目设立的政策和文件要求，对比分析实际执行程序是否按照政策及文件要求执行，分析立项程序的规范性。</w:t>
      </w:r>
    </w:p>
    <w:p w14:paraId="3B3BBF07">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绩效目标合理性：比较法，对比分析年初编制项目支出绩效目标表与项目内容的相关性、资金的匹配性等。</w:t>
      </w:r>
    </w:p>
    <w:p w14:paraId="3A150C27">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绩效指标明确性：比较法，比较分析年初编制项目支出绩效目标表是否符合双七原则，是否可衡量。</w:t>
      </w:r>
    </w:p>
    <w:p w14:paraId="36357FC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预算编制科学性</w:t>
      </w:r>
      <w:r>
        <w:rPr>
          <w:rFonts w:hint="eastAsia" w:ascii="宋体" w:hAnsi="宋体" w:eastAsia="宋体" w:cs="宋体"/>
          <w:bCs/>
          <w:sz w:val="24"/>
          <w:szCs w:val="24"/>
          <w:lang w:eastAsia="zh-CN"/>
        </w:rPr>
        <w:t>：</w:t>
      </w:r>
      <w:r>
        <w:rPr>
          <w:rFonts w:hint="eastAsia" w:ascii="宋体" w:hAnsi="宋体" w:eastAsia="宋体" w:cs="宋体"/>
          <w:bCs/>
          <w:sz w:val="24"/>
          <w:szCs w:val="24"/>
        </w:rPr>
        <w:t>成本效益分析法</w:t>
      </w:r>
      <w:r>
        <w:rPr>
          <w:rFonts w:hint="eastAsia" w:ascii="宋体" w:hAnsi="宋体" w:eastAsia="宋体" w:cs="宋体"/>
          <w:bCs/>
          <w:sz w:val="24"/>
          <w:szCs w:val="24"/>
          <w:lang w:eastAsia="zh-CN"/>
        </w:rPr>
        <w:t>，</w:t>
      </w:r>
      <w:r>
        <w:rPr>
          <w:rFonts w:hint="eastAsia" w:ascii="宋体" w:hAnsi="宋体" w:eastAsia="宋体" w:cs="宋体"/>
          <w:bCs/>
          <w:sz w:val="24"/>
          <w:szCs w:val="24"/>
        </w:rPr>
        <w:t>分析在产出一定的情况下，成本取值是否有依据，是否经过询价，是否按照市场最低成本编制。</w:t>
      </w:r>
    </w:p>
    <w:p w14:paraId="068037A3">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lang w:eastAsia="zh-CN"/>
        </w:rPr>
      </w:pPr>
      <w:r>
        <w:rPr>
          <w:rFonts w:hint="eastAsia" w:ascii="宋体" w:hAnsi="宋体" w:eastAsia="宋体" w:cs="宋体"/>
          <w:bCs/>
          <w:sz w:val="24"/>
          <w:szCs w:val="24"/>
        </w:rPr>
        <w:t>资金分配合理性：因素分析法，综合分析资金的分配依据是否充分，分配金额是否与项目实施单位需求金额一致</w:t>
      </w:r>
      <w:r>
        <w:rPr>
          <w:rFonts w:hint="eastAsia" w:ascii="宋体" w:hAnsi="宋体" w:eastAsia="宋体" w:cs="宋体"/>
          <w:bCs/>
          <w:sz w:val="24"/>
          <w:szCs w:val="24"/>
          <w:lang w:eastAsia="zh-CN"/>
        </w:rPr>
        <w:t>。</w:t>
      </w:r>
    </w:p>
    <w:p w14:paraId="1AFAA930">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资金到位率：比较法，资金到位率预期指标值应为100%，通过实际计算，分析实际完成值和预期指标值之间的差距和原因。</w:t>
      </w:r>
    </w:p>
    <w:p w14:paraId="42F8AFE6">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预算执行率：比较法，预算执行率预期指标值应为100%，通过实际计算，分析实际完成值和预期指标值之间的差距和原因。</w:t>
      </w:r>
    </w:p>
    <w:p w14:paraId="25AEFCB7">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19A8E2F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管理制度健全性：文献法、比较法，查阅项目实施人员提供的财务和业务管理制度，将已建立的制度与现行的法律法规和政策要求进行对比，分析项目制度的合法性、合规性、完整性。</w:t>
      </w:r>
    </w:p>
    <w:p w14:paraId="5A95B568">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制度执行有效性：比较法，结合项目实际实施过程性文件，根据已建设的财务管理制度和项目管理制度综合分析制度执行的有效性。</w:t>
      </w:r>
    </w:p>
    <w:p w14:paraId="76E337B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F297185">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定性指标：公众评判法，通过问卷及抽样调查等方式评价本项目实施后社会公众对于其实施效果的满意程度。</w:t>
      </w:r>
    </w:p>
    <w:p w14:paraId="15CD3E7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4073679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绩效评价标准通常包括计划标准、行业标准、历史标准等，用于对绩效指标完成情况进行比较、分析、评价。本次评价主要采用了计划标准。</w:t>
      </w:r>
    </w:p>
    <w:p w14:paraId="545EBD9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7" w:name="_Toc17882"/>
      <w:bookmarkStart w:id="8" w:name="_Toc31464"/>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54C64BC5">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2E83137E">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43C991C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于2025年1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BCF2BB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麦麦提·阿卜杜拉（评价小组组长）：主要负责绩效评价工作的整体统筹规划、协调小组内外部资源、把控评价工作的进度和质量、对评价结果进行最终审核与决策。</w:t>
      </w:r>
    </w:p>
    <w:p w14:paraId="36A78BB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吐拉尼沙（评价小组组员）：主要负责收集与评价对象相关项目文档，财务报表，历史数据等各类基础资料</w:t>
      </w:r>
    </w:p>
    <w:p w14:paraId="227B21E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米合日阿依·阿卜杜拉（评价小组组员）：主要负责数据处理类工作，相关软件和对采集到的数据进行录入、清晰、分析等处理工作。</w:t>
      </w:r>
    </w:p>
    <w:p w14:paraId="440DED64">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3D900D1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2025年2月1日-2月15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4E2D6106">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48CD3AA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2025年2月16日-2月28日，评价小组按照绩效评价的原则和规范，对取得的资料进行审查核实，对采集的数据进行分析，按照绩效评价指标评分表逐项进行打分、分析、汇总各方评价结果。</w:t>
      </w:r>
    </w:p>
    <w:p w14:paraId="601C8738">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142F4D2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2025年3月1日-3月31日评价小组撰写绩效评价报告，按照新疆维吾尔自治区财政绩效管理信息系统绩效评价模块中统一格式和文本框架撰写绩效评价报告并提交审核。</w:t>
      </w:r>
    </w:p>
    <w:p w14:paraId="6FE4B7E2">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33AA418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5D6364C">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6AC9276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1DE3BD9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5DAB95A7">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593A2AD6">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7FD751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11" w:name="_Toc68364666"/>
      <w:r>
        <w:rPr>
          <w:rFonts w:hint="eastAsia" w:ascii="宋体" w:hAnsi="宋体" w:eastAsia="宋体" w:cs="宋体"/>
          <w:sz w:val="24"/>
          <w:szCs w:val="24"/>
        </w:rPr>
        <w:t>通过实施</w:t>
      </w:r>
      <w:r>
        <w:rPr>
          <w:rFonts w:hint="eastAsia" w:ascii="宋体" w:hAnsi="宋体" w:eastAsia="宋体" w:cs="宋体"/>
          <w:sz w:val="24"/>
          <w:szCs w:val="24"/>
          <w:lang w:eastAsia="zh-CN"/>
        </w:rPr>
        <w:t>2024年城乡义务教育补助经费项目有效改善教育教学质量</w:t>
      </w:r>
      <w:r>
        <w:rPr>
          <w:rFonts w:hint="eastAsia" w:ascii="宋体" w:hAnsi="宋体" w:eastAsia="宋体" w:cs="宋体"/>
          <w:sz w:val="24"/>
          <w:szCs w:val="24"/>
        </w:rPr>
        <w:t>。项目实施主要通过项目决策、项目过程、项目产出以及项目效益等方面进行评价，其中：</w:t>
      </w:r>
    </w:p>
    <w:p w14:paraId="2733E423">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rPr>
        <w:t>项目决策：该项目主要通过（</w:t>
      </w:r>
      <w:r>
        <w:rPr>
          <w:rFonts w:hint="eastAsia" w:ascii="宋体" w:hAnsi="宋体" w:eastAsia="宋体" w:cs="宋体"/>
          <w:sz w:val="24"/>
          <w:szCs w:val="24"/>
        </w:rPr>
        <w:t>和地财教[2023]60号</w:t>
      </w:r>
      <w:r>
        <w:rPr>
          <w:rFonts w:hint="eastAsia" w:ascii="宋体" w:hAnsi="宋体" w:eastAsia="宋体" w:cs="宋体"/>
          <w:kern w:val="2"/>
          <w:sz w:val="24"/>
          <w:szCs w:val="24"/>
          <w:lang w:val="en-US" w:eastAsia="zh-CN"/>
        </w:rPr>
        <w:t>）文件立项，项目实施符合相关政策要求，项目立项依据充分，立项程序规范。</w:t>
      </w:r>
      <w:r>
        <w:rPr>
          <w:rFonts w:hint="eastAsia" w:ascii="宋体" w:hAnsi="宋体" w:eastAsia="宋体" w:cs="宋体"/>
          <w:sz w:val="24"/>
          <w:szCs w:val="24"/>
        </w:rPr>
        <w:t xml:space="preserve"> </w:t>
      </w:r>
    </w:p>
    <w:p w14:paraId="103B487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项目过程：</w:t>
      </w:r>
      <w:r>
        <w:rPr>
          <w:rFonts w:hint="eastAsia" w:ascii="宋体" w:hAnsi="宋体" w:eastAsia="宋体" w:cs="宋体"/>
          <w:sz w:val="24"/>
          <w:szCs w:val="24"/>
          <w:lang w:eastAsia="zh-CN"/>
        </w:rPr>
        <w:t>2024年城乡义务教育补助经费项目</w:t>
      </w:r>
      <w:r>
        <w:rPr>
          <w:rFonts w:hint="eastAsia" w:ascii="宋体" w:hAnsi="宋体" w:eastAsia="宋体" w:cs="宋体"/>
          <w:sz w:val="24"/>
          <w:szCs w:val="24"/>
        </w:rPr>
        <w:t>预算安排</w:t>
      </w:r>
      <w:r>
        <w:rPr>
          <w:rFonts w:hint="eastAsia" w:ascii="宋体" w:hAnsi="宋体" w:eastAsia="宋体" w:cs="宋体"/>
          <w:sz w:val="24"/>
          <w:szCs w:val="24"/>
          <w:lang w:eastAsia="zh-CN"/>
        </w:rPr>
        <w:t>242.83</w:t>
      </w:r>
      <w:r>
        <w:rPr>
          <w:rFonts w:hint="eastAsia" w:ascii="宋体" w:hAnsi="宋体" w:eastAsia="宋体" w:cs="宋体"/>
          <w:sz w:val="24"/>
          <w:szCs w:val="24"/>
        </w:rPr>
        <w:t>万元，实际支出</w:t>
      </w:r>
      <w:r>
        <w:rPr>
          <w:rFonts w:hint="eastAsia" w:ascii="宋体" w:hAnsi="宋体" w:eastAsia="宋体" w:cs="宋体"/>
          <w:sz w:val="24"/>
          <w:szCs w:val="24"/>
          <w:lang w:eastAsia="zh-CN"/>
        </w:rPr>
        <w:t>242.83</w:t>
      </w:r>
      <w:r>
        <w:rPr>
          <w:rFonts w:hint="eastAsia" w:ascii="宋体" w:hAnsi="宋体" w:eastAsia="宋体" w:cs="宋体"/>
          <w:sz w:val="24"/>
          <w:szCs w:val="24"/>
        </w:rPr>
        <w:t>万元，预算执行率100%。项目资金使用合规，项目财务管理制度健全，财务监控到位，所有资金支付均按照国库集中支付制度严格执行，现有项目管理制度执行情况良好。</w:t>
      </w:r>
    </w:p>
    <w:p w14:paraId="6DC641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rPr>
      </w:pPr>
      <w:r>
        <w:rPr>
          <w:rFonts w:hint="eastAsia" w:ascii="宋体" w:hAnsi="宋体" w:eastAsia="宋体" w:cs="宋体"/>
          <w:sz w:val="24"/>
          <w:szCs w:val="24"/>
        </w:rPr>
        <w:t>项目产出：受益学生数量1477人，资金使用合规率100%，资金发放及时率100%，项目于2024年12月完成，义务教育公用经费</w:t>
      </w:r>
      <w:r>
        <w:rPr>
          <w:rFonts w:hint="eastAsia" w:ascii="宋体" w:hAnsi="宋体" w:eastAsia="宋体" w:cs="宋体"/>
          <w:sz w:val="24"/>
          <w:szCs w:val="24"/>
          <w:lang w:val="en-US" w:eastAsia="zh-CN"/>
        </w:rPr>
        <w:t>103.26万元，营养改善经费125.21万元，寄宿生生活补助经费14.36万元</w:t>
      </w:r>
      <w:r>
        <w:rPr>
          <w:rFonts w:hint="eastAsia" w:ascii="宋体" w:hAnsi="宋体" w:eastAsia="宋体" w:cs="宋体"/>
          <w:sz w:val="24"/>
          <w:szCs w:val="24"/>
        </w:rPr>
        <w:t>。</w:t>
      </w:r>
    </w:p>
    <w:p w14:paraId="6F18BBD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项目效益：通过实施</w:t>
      </w:r>
      <w:r>
        <w:rPr>
          <w:rFonts w:hint="eastAsia" w:ascii="宋体" w:hAnsi="宋体" w:eastAsia="宋体" w:cs="宋体"/>
          <w:sz w:val="24"/>
          <w:szCs w:val="24"/>
          <w:lang w:eastAsia="zh-CN"/>
        </w:rPr>
        <w:t>2024年城乡义务教育补助经费项目有效改善教育教学质量</w:t>
      </w:r>
      <w:r>
        <w:rPr>
          <w:rFonts w:hint="eastAsia" w:ascii="宋体" w:hAnsi="宋体" w:eastAsia="宋体" w:cs="宋体"/>
          <w:sz w:val="24"/>
          <w:szCs w:val="24"/>
        </w:rPr>
        <w:t>。</w:t>
      </w:r>
    </w:p>
    <w:p w14:paraId="142D8A91">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（二）综合评价结论</w:t>
      </w:r>
      <w:r>
        <w:rPr>
          <w:rFonts w:hint="eastAsia" w:ascii="宋体" w:hAnsi="宋体" w:eastAsia="宋体" w:cs="宋体"/>
          <w:sz w:val="24"/>
          <w:szCs w:val="24"/>
          <w:lang w:val="en-US" w:eastAsia="zh-CN"/>
        </w:rPr>
        <w:t xml:space="preserve"> </w:t>
      </w:r>
    </w:p>
    <w:p w14:paraId="02460A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sz w:val="24"/>
          <w:szCs w:val="24"/>
        </w:rPr>
      </w:pPr>
      <w:r>
        <w:rPr>
          <w:rFonts w:hint="eastAsia" w:ascii="宋体" w:hAnsi="宋体" w:eastAsia="宋体" w:cs="宋体"/>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sz w:val="24"/>
          <w:szCs w:val="24"/>
          <w:lang w:eastAsia="zh-CN"/>
        </w:rPr>
        <w:t>2024年城乡义务教育补助经费项目</w:t>
      </w:r>
      <w:r>
        <w:rPr>
          <w:rFonts w:hint="eastAsia" w:ascii="宋体" w:hAnsi="宋体" w:eastAsia="宋体" w:cs="宋体"/>
          <w:sz w:val="24"/>
          <w:szCs w:val="24"/>
        </w:rPr>
        <w:t>进行客观评价，最终评分结果：评价总分</w:t>
      </w:r>
      <w:r>
        <w:rPr>
          <w:rFonts w:hint="eastAsia" w:ascii="宋体" w:hAnsi="宋体" w:eastAsia="宋体" w:cs="宋体"/>
          <w:sz w:val="24"/>
          <w:szCs w:val="24"/>
          <w:lang w:val="en-US" w:eastAsia="zh-CN"/>
        </w:rPr>
        <w:t>100</w:t>
      </w:r>
      <w:r>
        <w:rPr>
          <w:rFonts w:hint="eastAsia" w:ascii="宋体" w:hAnsi="宋体" w:eastAsia="宋体" w:cs="宋体"/>
          <w:sz w:val="24"/>
          <w:szCs w:val="24"/>
        </w:rPr>
        <w:t>分，绩效等级为“优”。</w:t>
      </w:r>
      <w:bookmarkEnd w:id="11"/>
      <w:bookmarkStart w:id="12" w:name="_Toc68364667"/>
    </w:p>
    <w:p w14:paraId="64F1D781">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6036716A">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2"/>
    </w:p>
    <w:p w14:paraId="2330E43B">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61F738C6">
      <w:pPr>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项目决策类指标包括项目立项、绩效目标和资金投入三方面的内容，由6个三级指标构成，权重分为23分，实际得分23分，得分率为100%。</w:t>
      </w:r>
    </w:p>
    <w:p w14:paraId="48D4E05D">
      <w:pPr>
        <w:pageBreakBefore w:val="0"/>
        <w:widowControl w:val="0"/>
        <w:numPr>
          <w:ilvl w:val="0"/>
          <w:numId w:val="2"/>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6CECDB62">
      <w:pPr>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本项目立项依据一是在于落实教育公平与均衡发展战略。基于《义务教育法》及国家教育发展规划，为保障城乡学生享有同等教育资源，弥补地方财政不足，缩小城乡教育差距，提升义务教育质量，推动教育事业高质量发展，二是履行政府责任，义务教育属于公共服务范畴，政府有义务保障教育经费投入；三是促进教育发展，为义务教育阶段学生提供学杂费减免、免费教科书、营养改善等支持，有助于提升教育质量，推动教育事业均衡发展，为国家培养人才奠定基础 。</w:t>
      </w:r>
    </w:p>
    <w:p w14:paraId="673F1A9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sz w:val="24"/>
          <w:szCs w:val="24"/>
        </w:rPr>
        <w:t>综上所述，本指标满分为2分，根据评分标准得2分，本项目立项依据充分。</w:t>
      </w:r>
    </w:p>
    <w:p w14:paraId="2CF0A85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（2）立项程序规范性：</w:t>
      </w:r>
    </w:p>
    <w:p w14:paraId="506D4A5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本项目中央直达资金城乡义务教育经费项目立项过程中产生的文件均符合相关要求。本项目为特定目标类项目，属于经常性项目，项目预算金额为</w:t>
      </w:r>
      <w:r>
        <w:rPr>
          <w:rFonts w:hint="eastAsia" w:ascii="宋体" w:hAnsi="宋体" w:eastAsia="宋体" w:cs="宋体"/>
          <w:sz w:val="24"/>
          <w:szCs w:val="24"/>
          <w:lang w:eastAsia="zh-CN"/>
        </w:rPr>
        <w:t>242.83</w:t>
      </w:r>
      <w:r>
        <w:rPr>
          <w:rFonts w:hint="eastAsia" w:ascii="宋体" w:hAnsi="宋体" w:eastAsia="宋体" w:cs="宋体"/>
          <w:sz w:val="24"/>
          <w:szCs w:val="24"/>
        </w:rPr>
        <w:t>万元，不涉及事前绩效评估和风险评估</w:t>
      </w:r>
      <w:r>
        <w:rPr>
          <w:rFonts w:hint="eastAsia" w:ascii="宋体" w:hAnsi="宋体" w:eastAsia="宋体" w:cs="宋体"/>
          <w:sz w:val="24"/>
          <w:szCs w:val="24"/>
          <w:lang w:eastAsia="zh-CN"/>
        </w:rPr>
        <w:t>，</w:t>
      </w:r>
      <w:r>
        <w:rPr>
          <w:rFonts w:hint="eastAsia" w:ascii="宋体" w:hAnsi="宋体" w:eastAsia="宋体" w:cs="宋体"/>
          <w:sz w:val="24"/>
          <w:szCs w:val="24"/>
        </w:rPr>
        <w:t>并经过专家论证。</w:t>
      </w:r>
    </w:p>
    <w:p w14:paraId="6D935AFD">
      <w:pPr>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b/>
          <w:bCs/>
          <w:sz w:val="24"/>
          <w:szCs w:val="24"/>
        </w:rPr>
      </w:pPr>
      <w:r>
        <w:rPr>
          <w:rFonts w:hint="eastAsia" w:ascii="宋体" w:hAnsi="宋体" w:eastAsia="宋体" w:cs="宋体"/>
          <w:sz w:val="24"/>
          <w:szCs w:val="24"/>
        </w:rPr>
        <w:t>综上所述，本指标满分为3分，根据评分标准得3分，本项目立项程序合规。</w:t>
      </w:r>
      <w:r>
        <w:rPr>
          <w:rFonts w:hint="eastAsia" w:ascii="宋体" w:hAnsi="宋体" w:eastAsia="宋体" w:cs="宋体"/>
          <w:b/>
          <w:bCs/>
          <w:sz w:val="24"/>
          <w:szCs w:val="24"/>
        </w:rPr>
        <w:t>（3）绩效目标合理性：</w:t>
      </w:r>
    </w:p>
    <w:p w14:paraId="37469A0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①该项目已设置年度绩效目标，具体内容为保障义务教育学校正常运转、完成教育教学活动和其他日常工作任务等方面支出的费用。。</w:t>
      </w:r>
    </w:p>
    <w:p w14:paraId="077B38D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②该项目实际工作内容为：在校收益学生数1477人，任务完成数量1477人。绩效目标与实际工作内容一致，两者具有相关性。</w:t>
      </w:r>
    </w:p>
    <w:p w14:paraId="682FA66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③该项目按照绩效目标完成参与人数1477人，补收益人数1477人，通过项目的实施，</w:t>
      </w:r>
      <w:r>
        <w:rPr>
          <w:rFonts w:hint="eastAsia" w:ascii="宋体" w:hAnsi="宋体" w:eastAsia="宋体" w:cs="宋体"/>
          <w:sz w:val="24"/>
          <w:szCs w:val="24"/>
          <w:lang w:eastAsia="zh-CN"/>
        </w:rPr>
        <w:t>有效改善教育教学质量</w:t>
      </w:r>
      <w:r>
        <w:rPr>
          <w:rFonts w:hint="eastAsia" w:ascii="宋体" w:hAnsi="宋体" w:eastAsia="宋体" w:cs="宋体"/>
          <w:sz w:val="24"/>
          <w:szCs w:val="24"/>
        </w:rPr>
        <w:t>。预期产出效益和效果符合正常的业绩水平。</w:t>
      </w:r>
    </w:p>
    <w:p w14:paraId="125CCD0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④该项目批复的预算金额为</w:t>
      </w:r>
      <w:r>
        <w:rPr>
          <w:rFonts w:hint="eastAsia" w:ascii="宋体" w:hAnsi="宋体" w:eastAsia="宋体" w:cs="宋体"/>
          <w:sz w:val="24"/>
          <w:szCs w:val="24"/>
          <w:lang w:eastAsia="zh-CN"/>
        </w:rPr>
        <w:t>242.83</w:t>
      </w:r>
      <w:r>
        <w:rPr>
          <w:rFonts w:hint="eastAsia" w:ascii="宋体" w:hAnsi="宋体" w:eastAsia="宋体" w:cs="宋体"/>
          <w:sz w:val="24"/>
          <w:szCs w:val="24"/>
        </w:rPr>
        <w:t>万元，《项目支出绩效目标表》中预算金额为</w:t>
      </w:r>
      <w:r>
        <w:rPr>
          <w:rFonts w:hint="eastAsia" w:ascii="宋体" w:hAnsi="宋体" w:eastAsia="宋体" w:cs="宋体"/>
          <w:sz w:val="24"/>
          <w:szCs w:val="24"/>
          <w:lang w:eastAsia="zh-CN"/>
        </w:rPr>
        <w:t>242.83</w:t>
      </w:r>
      <w:r>
        <w:rPr>
          <w:rFonts w:hint="eastAsia" w:ascii="宋体" w:hAnsi="宋体" w:eastAsia="宋体" w:cs="宋体"/>
          <w:sz w:val="24"/>
          <w:szCs w:val="24"/>
        </w:rPr>
        <w:t>万元，预算确定的项目资金与预算确定的项目投资额相匹配。</w:t>
      </w:r>
    </w:p>
    <w:p w14:paraId="01EAEF4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⑤本单位制定了实施方案，明确了总体思路及目标、并对任务进行了详细分解，对目标进行了细化，根据评分标准，该指标不扣分，得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53BD0687">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绩效指标明确性：</w:t>
      </w:r>
    </w:p>
    <w:p w14:paraId="6EAEE1A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经检查我单位年初设置的《项目支出绩效目标表》，得出如下结论：本项目已将年度绩效目标进行细化为绩效指标体系，共设置一级指标4个，二级指标6个，三级指标</w:t>
      </w:r>
      <w:r>
        <w:rPr>
          <w:rFonts w:hint="eastAsia" w:ascii="宋体" w:hAnsi="宋体" w:eastAsia="宋体" w:cs="宋体"/>
          <w:sz w:val="24"/>
          <w:szCs w:val="24"/>
          <w:lang w:val="en-US" w:eastAsia="zh-CN"/>
        </w:rPr>
        <w:t>10</w:t>
      </w:r>
      <w:r>
        <w:rPr>
          <w:rFonts w:hint="eastAsia" w:ascii="宋体" w:hAnsi="宋体" w:eastAsia="宋体" w:cs="宋体"/>
          <w:sz w:val="24"/>
          <w:szCs w:val="24"/>
        </w:rPr>
        <w:t>个，定量指标</w:t>
      </w:r>
      <w:r>
        <w:rPr>
          <w:rFonts w:hint="eastAsia" w:ascii="宋体" w:hAnsi="宋体" w:eastAsia="宋体" w:cs="宋体"/>
          <w:sz w:val="24"/>
          <w:szCs w:val="24"/>
          <w:lang w:val="en-US" w:eastAsia="zh-CN"/>
        </w:rPr>
        <w:t>9</w:t>
      </w:r>
      <w:r>
        <w:rPr>
          <w:rFonts w:hint="eastAsia" w:ascii="宋体" w:hAnsi="宋体" w:eastAsia="宋体" w:cs="宋体"/>
          <w:sz w:val="24"/>
          <w:szCs w:val="24"/>
        </w:rPr>
        <w:t>个，定性指标1个，指标量化率为</w:t>
      </w:r>
      <w:r>
        <w:rPr>
          <w:rFonts w:hint="eastAsia" w:ascii="宋体" w:hAnsi="宋体" w:eastAsia="宋体" w:cs="宋体"/>
          <w:sz w:val="24"/>
          <w:szCs w:val="24"/>
          <w:lang w:val="en-US" w:eastAsia="zh-CN"/>
        </w:rPr>
        <w:t>90</w:t>
      </w:r>
      <w:r>
        <w:rPr>
          <w:rFonts w:hint="eastAsia" w:ascii="宋体" w:hAnsi="宋体" w:eastAsia="宋体" w:cs="宋体"/>
          <w:sz w:val="24"/>
          <w:szCs w:val="24"/>
        </w:rPr>
        <w:t>%，量化率达70.0%以上，将项目绩效目标细化分解为具体的绩效指标。</w:t>
      </w:r>
    </w:p>
    <w:p w14:paraId="4932F86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该《项目绩效目标申报表》中，数量指标指标值为</w:t>
      </w:r>
      <w:r>
        <w:rPr>
          <w:rFonts w:hint="eastAsia" w:ascii="宋体" w:hAnsi="宋体" w:eastAsia="宋体" w:cs="宋体"/>
          <w:sz w:val="24"/>
          <w:szCs w:val="24"/>
          <w:lang w:eastAsia="zh-CN"/>
        </w:rPr>
        <w:t>受益学生数量</w:t>
      </w:r>
      <w:r>
        <w:rPr>
          <w:rFonts w:hint="eastAsia" w:ascii="宋体" w:hAnsi="宋体" w:eastAsia="宋体" w:cs="宋体"/>
          <w:sz w:val="24"/>
          <w:szCs w:val="24"/>
        </w:rPr>
        <w:t>“≥1477人”、参与学生数量“≥1477人”，三级指标的年度指标值与年度绩效目标中任务数一致，已设置时效指标“2024年12月完成该项目”，资金发放及时率=100%。已设置的绩效目标具备明确性、可衡量性、可实现性、相关性、时限性。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6A30F70A">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预算编制科学性：</w:t>
      </w:r>
    </w:p>
    <w:p w14:paraId="6AB7258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本项目中央直达资金-和地财教[2023]60号2024年城乡义务教育补助经费，即预算编制较科学且经过论证；</w:t>
      </w:r>
    </w:p>
    <w:p w14:paraId="09796BD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预算申请内容义务教育经费，寄宿生生活补助，营养改善。项目实际内容为收益学生数1477人，经费金额</w:t>
      </w:r>
      <w:r>
        <w:rPr>
          <w:rFonts w:hint="eastAsia" w:ascii="宋体" w:hAnsi="宋体" w:eastAsia="宋体" w:cs="宋体"/>
          <w:sz w:val="24"/>
          <w:szCs w:val="24"/>
          <w:lang w:eastAsia="zh-CN"/>
        </w:rPr>
        <w:t>242.83</w:t>
      </w:r>
      <w:r>
        <w:rPr>
          <w:rFonts w:hint="eastAsia" w:ascii="宋体" w:hAnsi="宋体" w:eastAsia="宋体" w:cs="宋体"/>
          <w:sz w:val="24"/>
          <w:szCs w:val="24"/>
        </w:rPr>
        <w:t>万元。预算申请与《中央直达资金-和地财教[2023]60号2024年城乡义务教育补助经费实施方案》中涉及的项目内容匹配；</w:t>
      </w:r>
    </w:p>
    <w:p w14:paraId="0D6044F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本项目预算申请资金</w:t>
      </w:r>
      <w:r>
        <w:rPr>
          <w:rFonts w:hint="eastAsia" w:ascii="宋体" w:hAnsi="宋体" w:eastAsia="宋体" w:cs="宋体"/>
          <w:sz w:val="24"/>
          <w:szCs w:val="24"/>
          <w:lang w:eastAsia="zh-CN"/>
        </w:rPr>
        <w:t>242.83</w:t>
      </w:r>
      <w:r>
        <w:rPr>
          <w:rFonts w:hint="eastAsia" w:ascii="宋体" w:hAnsi="宋体" w:eastAsia="宋体" w:cs="宋体"/>
          <w:sz w:val="24"/>
          <w:szCs w:val="24"/>
        </w:rPr>
        <w:t>元，我单位在预算申请中严格按照项目实施内容及测算标准进行核算，其中：义务教育经费103.26万元，寄宿生生活补助14.36万元，营养改善125.21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p w14:paraId="7D21B0F0">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资金分配合理性：</w:t>
      </w:r>
    </w:p>
    <w:p w14:paraId="44AA66A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实际分配资金以《关于申请中央直达资金-和地财教[2023]60号2024年城乡义务教育补助经费资金的请示》和《中央直达资金-和地财教[2023]60号2024年城乡义务教育补助经费实施方案》为依据进行资金分配，预算资金分配依据充分。根据专项资金-关于下达中央直达资金-和地财教[2023]60号2024年城乡义务教育补助经费文件要求，本项目实际到位资金</w:t>
      </w:r>
      <w:r>
        <w:rPr>
          <w:rFonts w:hint="eastAsia" w:ascii="宋体" w:hAnsi="宋体" w:eastAsia="宋体" w:cs="宋体"/>
          <w:sz w:val="24"/>
          <w:szCs w:val="24"/>
          <w:lang w:eastAsia="zh-CN"/>
        </w:rPr>
        <w:t>242.83</w:t>
      </w:r>
      <w:r>
        <w:rPr>
          <w:rFonts w:hint="eastAsia" w:ascii="宋体" w:hAnsi="宋体" w:eastAsia="宋体" w:cs="宋体"/>
          <w:sz w:val="24"/>
          <w:szCs w:val="24"/>
        </w:rPr>
        <w:t>万元，资金分配额度合理，与我单位实际需求相适应。</w:t>
      </w:r>
    </w:p>
    <w:p w14:paraId="08A984B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资金分配与实际相适应，根据评分标准，该指标不扣分，得</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p w14:paraId="131371EF">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（二）项目过程情况</w:t>
      </w:r>
    </w:p>
    <w:p w14:paraId="3FCCC3E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项目过程类指标包括资金管理和组织实施两方面的内容，由 5个三级指标构成，权重分为12分，实际得分12分，得分率为100%。</w:t>
      </w:r>
    </w:p>
    <w:p w14:paraId="4376E9FD">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资金到位率：</w:t>
      </w:r>
    </w:p>
    <w:p w14:paraId="21C30CC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本项目预算资金为</w:t>
      </w:r>
      <w:r>
        <w:rPr>
          <w:rFonts w:hint="eastAsia" w:ascii="宋体" w:hAnsi="宋体" w:eastAsia="宋体" w:cs="宋体"/>
          <w:sz w:val="24"/>
          <w:szCs w:val="24"/>
          <w:lang w:eastAsia="zh-CN"/>
        </w:rPr>
        <w:t>242.83</w:t>
      </w:r>
      <w:r>
        <w:rPr>
          <w:rFonts w:hint="eastAsia" w:ascii="宋体" w:hAnsi="宋体" w:eastAsia="宋体" w:cs="宋体"/>
          <w:sz w:val="24"/>
          <w:szCs w:val="24"/>
        </w:rPr>
        <w:t>万元，其中：财政安排资金</w:t>
      </w:r>
      <w:r>
        <w:rPr>
          <w:rFonts w:hint="eastAsia" w:ascii="宋体" w:hAnsi="宋体" w:eastAsia="宋体" w:cs="宋体"/>
          <w:sz w:val="24"/>
          <w:szCs w:val="24"/>
          <w:lang w:eastAsia="zh-CN"/>
        </w:rPr>
        <w:t>242.83</w:t>
      </w:r>
      <w:r>
        <w:rPr>
          <w:rFonts w:hint="eastAsia" w:ascii="宋体" w:hAnsi="宋体" w:eastAsia="宋体" w:cs="宋体"/>
          <w:sz w:val="24"/>
          <w:szCs w:val="24"/>
        </w:rPr>
        <w:t>万元，其他资金0.00万元，实际到位资金</w:t>
      </w:r>
      <w:r>
        <w:rPr>
          <w:rFonts w:hint="eastAsia" w:ascii="宋体" w:hAnsi="宋体" w:eastAsia="宋体" w:cs="宋体"/>
          <w:sz w:val="24"/>
          <w:szCs w:val="24"/>
          <w:lang w:eastAsia="zh-CN"/>
        </w:rPr>
        <w:t>242.83</w:t>
      </w:r>
      <w:r>
        <w:rPr>
          <w:rFonts w:hint="eastAsia" w:ascii="宋体" w:hAnsi="宋体" w:eastAsia="宋体" w:cs="宋体"/>
          <w:sz w:val="24"/>
          <w:szCs w:val="24"/>
        </w:rPr>
        <w:t>万元，资金到位率=100%；通过分析可知，该项目财政资金足额拨付到位，能够及时足额支付给实施单位。根据评分标准，该指标不扣分，得</w:t>
      </w: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分。   </w:t>
      </w:r>
    </w:p>
    <w:p w14:paraId="7817335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（2）预算执行率：</w:t>
      </w:r>
    </w:p>
    <w:p w14:paraId="06729E0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本项目实际支出资金</w:t>
      </w:r>
      <w:r>
        <w:rPr>
          <w:rFonts w:hint="eastAsia" w:ascii="宋体" w:hAnsi="宋体" w:eastAsia="宋体" w:cs="宋体"/>
          <w:sz w:val="24"/>
          <w:szCs w:val="24"/>
          <w:lang w:eastAsia="zh-CN"/>
        </w:rPr>
        <w:t>242.83</w:t>
      </w:r>
      <w:r>
        <w:rPr>
          <w:rFonts w:hint="eastAsia" w:ascii="宋体" w:hAnsi="宋体" w:eastAsia="宋体" w:cs="宋体"/>
          <w:sz w:val="24"/>
          <w:szCs w:val="24"/>
        </w:rPr>
        <w:t>万元，预算执行率=（</w:t>
      </w:r>
      <w:r>
        <w:rPr>
          <w:rFonts w:hint="eastAsia" w:ascii="宋体" w:hAnsi="宋体" w:eastAsia="宋体" w:cs="宋体"/>
          <w:sz w:val="24"/>
          <w:szCs w:val="24"/>
          <w:lang w:eastAsia="zh-CN"/>
        </w:rPr>
        <w:t>242.83</w:t>
      </w:r>
      <w:r>
        <w:rPr>
          <w:rFonts w:hint="eastAsia" w:ascii="宋体" w:hAnsi="宋体" w:eastAsia="宋体" w:cs="宋体"/>
          <w:sz w:val="24"/>
          <w:szCs w:val="24"/>
        </w:rPr>
        <w:t>/</w:t>
      </w:r>
      <w:r>
        <w:rPr>
          <w:rFonts w:hint="eastAsia" w:ascii="宋体" w:hAnsi="宋体" w:eastAsia="宋体" w:cs="宋体"/>
          <w:sz w:val="24"/>
          <w:szCs w:val="24"/>
          <w:lang w:eastAsia="zh-CN"/>
        </w:rPr>
        <w:t>242.83</w:t>
      </w:r>
      <w:r>
        <w:rPr>
          <w:rFonts w:hint="eastAsia" w:ascii="宋体" w:hAnsi="宋体" w:eastAsia="宋体" w:cs="宋体"/>
          <w:sz w:val="24"/>
          <w:szCs w:val="24"/>
        </w:rPr>
        <w:t>）×100.00%=100%；通过分析可知，该项目预算编制较为详细，项目资金支出总体能够按照预算执行，根据评分标准，该指标不扣分，得</w:t>
      </w:r>
      <w:r>
        <w:rPr>
          <w:rFonts w:hint="eastAsia" w:ascii="宋体" w:hAnsi="宋体" w:eastAsia="宋体" w:cs="宋体"/>
          <w:sz w:val="24"/>
          <w:szCs w:val="24"/>
          <w:lang w:val="en-US" w:eastAsia="zh-CN"/>
        </w:rPr>
        <w:t>2</w:t>
      </w:r>
      <w:r>
        <w:rPr>
          <w:rFonts w:hint="eastAsia" w:ascii="宋体" w:hAnsi="宋体" w:eastAsia="宋体" w:cs="宋体"/>
          <w:sz w:val="24"/>
          <w:szCs w:val="24"/>
        </w:rPr>
        <w:t>分。</w:t>
      </w:r>
    </w:p>
    <w:p w14:paraId="074F50AB">
      <w:pPr>
        <w:pageBreakBefore w:val="0"/>
        <w:widowControl w:val="0"/>
        <w:numPr>
          <w:ilvl w:val="0"/>
          <w:numId w:val="2"/>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资金使用合规性：</w:t>
      </w:r>
    </w:p>
    <w:p w14:paraId="12BCEDA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通过检查项目资金申请文件、国库支付凭证等财务资料，得出本项目资金支出符合国家财经法规，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14:paraId="658CD94A">
      <w:pPr>
        <w:pageBreakBefore w:val="0"/>
        <w:widowControl w:val="0"/>
        <w:numPr>
          <w:ilvl w:val="0"/>
          <w:numId w:val="2"/>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管理制度健全性：</w:t>
      </w:r>
    </w:p>
    <w:p w14:paraId="65064B0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我单位已制定《义务教育法》《资金实施方案》，相关制度均符合行政事业单位内控管理要求，财务和业务管理制度合法、合规、完整，本项目执行符合上述制度规定。根据评分标准，该指标不扣分，得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14:paraId="2183AADF">
      <w:pPr>
        <w:pageBreakBefore w:val="0"/>
        <w:widowControl w:val="0"/>
        <w:numPr>
          <w:ilvl w:val="0"/>
          <w:numId w:val="2"/>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制度执行有效性</w:t>
      </w:r>
      <w:r>
        <w:rPr>
          <w:rFonts w:hint="eastAsia" w:ascii="宋体" w:hAnsi="宋体" w:eastAsia="宋体" w:cs="宋体"/>
          <w:sz w:val="24"/>
          <w:szCs w:val="24"/>
        </w:rPr>
        <w:t>：</w:t>
      </w:r>
    </w:p>
    <w:p w14:paraId="43FC3B6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①该项目的实施符合《义务教育法》《资金实施方案》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799E88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②经现场查证项目财务支付凭证等资料齐全并及时归档。</w:t>
      </w:r>
    </w:p>
    <w:p w14:paraId="356C9F1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③该项目不存在调整事项。</w:t>
      </w:r>
    </w:p>
    <w:p w14:paraId="1820472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④该项目实施所需要的项目人员和场地设备均已落实到位，具体涉及内容包括：项目资金支出严格按照自治区、地区以及本单位资金管理办法执行，项目启动实施后，为了加快本项目的实施，成立了中央直达资金城乡义务教育经费项目工作领导小组，由依明尼牙孜·刀来提任组长，负责项目的组织工作；姚雪峰任副组长，负责项目的实施工作；组员包括：布威海丽且姆·阿不都拉和帕塔姆·亚森，主要负责项目监督管理、验收以及资金核拨等工作。</w:t>
      </w:r>
    </w:p>
    <w:p w14:paraId="45F63CF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yellow"/>
        </w:rPr>
      </w:pPr>
      <w:r>
        <w:rPr>
          <w:rFonts w:hint="eastAsia" w:ascii="宋体" w:hAnsi="宋体" w:eastAsia="宋体" w:cs="宋体"/>
          <w:sz w:val="24"/>
          <w:szCs w:val="24"/>
        </w:rPr>
        <w:t>根据评分标准，该指标不扣分，得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14:paraId="697F078C">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（三）项目产出情况</w:t>
      </w:r>
    </w:p>
    <w:p w14:paraId="764A7BC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项目产出类指标包括产出数量、产出质量、产出时效、产出成本四方面的内容，由4个三级指标构成，权重分为40分，实际得分40分，得分率为100%。</w:t>
      </w:r>
    </w:p>
    <w:p w14:paraId="163096A7">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对于“产出数量”</w:t>
      </w:r>
    </w:p>
    <w:p w14:paraId="4FA7312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受益学生数量指标，预期指标值为“=1477人”，实际完成值为“1477人”，指标完成率为100%，与预期目标一致，根据评分标准，该指标不扣分，得</w:t>
      </w:r>
      <w:r>
        <w:rPr>
          <w:rFonts w:hint="eastAsia" w:ascii="宋体" w:hAnsi="宋体" w:eastAsia="宋体" w:cs="宋体"/>
          <w:sz w:val="24"/>
          <w:szCs w:val="24"/>
          <w:lang w:val="en-US" w:eastAsia="zh-CN"/>
        </w:rPr>
        <w:t>10</w:t>
      </w:r>
      <w:r>
        <w:rPr>
          <w:rFonts w:hint="eastAsia" w:ascii="宋体" w:hAnsi="宋体" w:eastAsia="宋体" w:cs="宋体"/>
          <w:sz w:val="24"/>
          <w:szCs w:val="24"/>
        </w:rPr>
        <w:t>分。</w:t>
      </w:r>
    </w:p>
    <w:p w14:paraId="0B02A6A6">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对于“产出质量”：</w:t>
      </w:r>
    </w:p>
    <w:p w14:paraId="0197092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补助资金到位率指标，预期指标值为“=100%”，实际完成值为100%，指标完成率为100%，与预期目标一致，根据评分标准，该指标不扣分，得10分。</w:t>
      </w:r>
    </w:p>
    <w:p w14:paraId="55D092C1">
      <w:pPr>
        <w:pStyle w:val="10"/>
        <w:pageBreakBefore w:val="0"/>
        <w:widowControl w:val="0"/>
        <w:numPr>
          <w:ilvl w:val="0"/>
          <w:numId w:val="5"/>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对于“产出时效”：</w:t>
      </w:r>
    </w:p>
    <w:p w14:paraId="3261C55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项目</w:t>
      </w:r>
      <w:r>
        <w:rPr>
          <w:rFonts w:hint="eastAsia" w:ascii="宋体" w:hAnsi="宋体" w:eastAsia="宋体" w:cs="宋体"/>
          <w:b w:val="0"/>
          <w:sz w:val="24"/>
          <w:szCs w:val="24"/>
          <w:lang w:val="en-US" w:eastAsia="zh-CN"/>
        </w:rPr>
        <w:t>开始</w:t>
      </w:r>
      <w:r>
        <w:rPr>
          <w:rFonts w:hint="eastAsia" w:ascii="宋体" w:hAnsi="宋体" w:eastAsia="宋体" w:cs="宋体"/>
          <w:b w:val="0"/>
          <w:sz w:val="24"/>
          <w:szCs w:val="24"/>
        </w:rPr>
        <w:t>时间指标，预期指标值为“2024年1月1日”，实际完成值为2024年</w:t>
      </w:r>
      <w:r>
        <w:rPr>
          <w:rFonts w:hint="eastAsia" w:ascii="宋体" w:hAnsi="宋体" w:eastAsia="宋体" w:cs="宋体"/>
          <w:b w:val="0"/>
          <w:sz w:val="24"/>
          <w:szCs w:val="24"/>
          <w:lang w:val="en-US" w:eastAsia="zh-CN"/>
        </w:rPr>
        <w:t>1</w:t>
      </w:r>
      <w:r>
        <w:rPr>
          <w:rFonts w:hint="eastAsia" w:ascii="宋体" w:hAnsi="宋体" w:eastAsia="宋体" w:cs="宋体"/>
          <w:b w:val="0"/>
          <w:sz w:val="24"/>
          <w:szCs w:val="24"/>
        </w:rPr>
        <w:t>月，指标完成率为100%，与预期目标一致，根据评分标准，该指标不扣分，得</w:t>
      </w:r>
      <w:r>
        <w:rPr>
          <w:rFonts w:hint="eastAsia" w:ascii="宋体" w:hAnsi="宋体" w:eastAsia="宋体" w:cs="宋体"/>
          <w:b w:val="0"/>
          <w:sz w:val="24"/>
          <w:szCs w:val="24"/>
          <w:lang w:val="en-US" w:eastAsia="zh-CN"/>
        </w:rPr>
        <w:t>3</w:t>
      </w:r>
      <w:r>
        <w:rPr>
          <w:rFonts w:hint="eastAsia" w:ascii="宋体" w:hAnsi="宋体" w:eastAsia="宋体" w:cs="宋体"/>
          <w:b w:val="0"/>
          <w:sz w:val="24"/>
          <w:szCs w:val="24"/>
        </w:rPr>
        <w:t>分。</w:t>
      </w:r>
    </w:p>
    <w:p w14:paraId="38E5875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项目完成时间指标，预期指标值为“2024年12月</w:t>
      </w:r>
      <w:r>
        <w:rPr>
          <w:rFonts w:hint="eastAsia" w:ascii="宋体" w:hAnsi="宋体" w:eastAsia="宋体" w:cs="宋体"/>
          <w:b w:val="0"/>
          <w:sz w:val="24"/>
          <w:szCs w:val="24"/>
          <w:lang w:val="en-US" w:eastAsia="zh-CN"/>
        </w:rPr>
        <w:t>31日</w:t>
      </w:r>
      <w:r>
        <w:rPr>
          <w:rFonts w:hint="eastAsia" w:ascii="宋体" w:hAnsi="宋体" w:eastAsia="宋体" w:cs="宋体"/>
          <w:b w:val="0"/>
          <w:sz w:val="24"/>
          <w:szCs w:val="24"/>
        </w:rPr>
        <w:t>”，实际完成值为2024年12月，指标完成率为100%，与预期目标一致，根据评分标准，该指标不扣分，得</w:t>
      </w:r>
      <w:r>
        <w:rPr>
          <w:rFonts w:hint="eastAsia" w:ascii="宋体" w:hAnsi="宋体" w:eastAsia="宋体" w:cs="宋体"/>
          <w:b w:val="0"/>
          <w:sz w:val="24"/>
          <w:szCs w:val="24"/>
          <w:lang w:val="en-US" w:eastAsia="zh-CN"/>
        </w:rPr>
        <w:t>3</w:t>
      </w:r>
      <w:r>
        <w:rPr>
          <w:rFonts w:hint="eastAsia" w:ascii="宋体" w:hAnsi="宋体" w:eastAsia="宋体" w:cs="宋体"/>
          <w:b w:val="0"/>
          <w:sz w:val="24"/>
          <w:szCs w:val="24"/>
        </w:rPr>
        <w:t>分。</w:t>
      </w:r>
    </w:p>
    <w:p w14:paraId="52817BE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sz w:val="24"/>
          <w:szCs w:val="24"/>
        </w:rPr>
      </w:pPr>
      <w:r>
        <w:rPr>
          <w:rFonts w:hint="eastAsia" w:ascii="宋体" w:hAnsi="宋体" w:eastAsia="宋体" w:cs="宋体"/>
          <w:b w:val="0"/>
          <w:sz w:val="24"/>
          <w:szCs w:val="24"/>
        </w:rPr>
        <w:t>补助资金发放及时率指标，预期指标值为“=100%”，实际完成值为100%，指标完成率为100%，与预期目标一致，根据评分标准，该指标不扣分，得</w:t>
      </w:r>
      <w:r>
        <w:rPr>
          <w:rFonts w:hint="eastAsia" w:ascii="宋体" w:hAnsi="宋体" w:eastAsia="宋体" w:cs="宋体"/>
          <w:b w:val="0"/>
          <w:sz w:val="24"/>
          <w:szCs w:val="24"/>
          <w:lang w:val="en-US" w:eastAsia="zh-CN"/>
        </w:rPr>
        <w:t>4</w:t>
      </w:r>
      <w:r>
        <w:rPr>
          <w:rFonts w:hint="eastAsia" w:ascii="宋体" w:hAnsi="宋体" w:eastAsia="宋体" w:cs="宋体"/>
          <w:b w:val="0"/>
          <w:sz w:val="24"/>
          <w:szCs w:val="24"/>
        </w:rPr>
        <w:t>分。</w:t>
      </w:r>
    </w:p>
    <w:p w14:paraId="4FCFC31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合计得10分。</w:t>
      </w:r>
    </w:p>
    <w:p w14:paraId="1450F2A7">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（4）对于“产出成本”：</w:t>
      </w:r>
    </w:p>
    <w:p w14:paraId="3A1BBF4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义务教育经费指标，预期指标值为“≤103.26万元”，实际完成值为103.26万元，指标完成率为100%。项目经费都能控制绩效目标范围内，根据评分标准，该指标不扣分，得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14:paraId="561D3A5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营养改善指标，预期指标值为“≤125.21万元”，实际完成值为125.21万元，指标完成率为100%。项目经费都能控制绩效目标范围内，根据评分标准，该指标不扣分，得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14:paraId="5B33E92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寄宿生生活补助指标，预期指标值为“≤14.36万元”，实际完成值为14.36万元，指标完成率为100%。项目经费都能控制绩效目标范围内，根据评分标准，该指标不扣分，得</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p w14:paraId="6AC8E2E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合计得10分。</w:t>
      </w:r>
    </w:p>
    <w:p w14:paraId="1929E8D1">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（四）项目效益情况</w:t>
      </w:r>
    </w:p>
    <w:p w14:paraId="1FB59B4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项目效益类指标包括项目效益</w:t>
      </w:r>
      <w:r>
        <w:rPr>
          <w:rFonts w:hint="eastAsia" w:ascii="宋体" w:hAnsi="宋体" w:eastAsia="宋体" w:cs="宋体"/>
          <w:sz w:val="24"/>
          <w:szCs w:val="24"/>
          <w:lang w:val="en-US" w:eastAsia="zh-CN"/>
        </w:rPr>
        <w:t>2</w:t>
      </w:r>
      <w:r>
        <w:rPr>
          <w:rFonts w:hint="eastAsia" w:ascii="宋体" w:hAnsi="宋体" w:eastAsia="宋体" w:cs="宋体"/>
          <w:sz w:val="24"/>
          <w:szCs w:val="24"/>
        </w:rPr>
        <w:t>个方面的内容，由1个三级指标构成，权重分为</w:t>
      </w:r>
      <w:r>
        <w:rPr>
          <w:rFonts w:hint="eastAsia" w:ascii="宋体" w:hAnsi="宋体" w:eastAsia="宋体" w:cs="宋体"/>
          <w:sz w:val="24"/>
          <w:szCs w:val="24"/>
          <w:lang w:val="en-US" w:eastAsia="zh-CN"/>
        </w:rPr>
        <w:t>25</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25</w:t>
      </w:r>
      <w:r>
        <w:rPr>
          <w:rFonts w:hint="eastAsia" w:ascii="宋体" w:hAnsi="宋体" w:eastAsia="宋体" w:cs="宋体"/>
          <w:sz w:val="24"/>
          <w:szCs w:val="24"/>
        </w:rPr>
        <w:t>分，得分率为100%。</w:t>
      </w:r>
    </w:p>
    <w:p w14:paraId="06FE27A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（1）对于“社会效益指标”：</w:t>
      </w:r>
    </w:p>
    <w:p w14:paraId="40CEDB8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改善学生生活质量指标，该指标预期指标值为“有效提高”，实际完成值为有效提高，指标完成率为100%，与预期指标一致，根据评分标准，该指标不扣分，得10分。</w:t>
      </w:r>
    </w:p>
    <w:p w14:paraId="7F6884E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（2）满意度指标分析</w:t>
      </w:r>
    </w:p>
    <w:p w14:paraId="718ABF1D">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对于“满意度指标：</w:t>
      </w:r>
      <w:r>
        <w:rPr>
          <w:rFonts w:hint="eastAsia" w:ascii="宋体" w:hAnsi="宋体" w:eastAsia="宋体" w:cs="宋体"/>
          <w:sz w:val="24"/>
          <w:szCs w:val="24"/>
          <w:lang w:val="en-US" w:eastAsia="zh-CN"/>
        </w:rPr>
        <w:t>学生满意度</w:t>
      </w:r>
      <w:r>
        <w:rPr>
          <w:rFonts w:hint="eastAsia" w:ascii="宋体" w:hAnsi="宋体" w:eastAsia="宋体" w:cs="宋体"/>
          <w:sz w:val="24"/>
          <w:szCs w:val="24"/>
        </w:rPr>
        <w:t>，该指标预期指标值为</w:t>
      </w:r>
      <w:r>
        <w:rPr>
          <w:rFonts w:hint="eastAsia" w:ascii="宋体" w:hAnsi="宋体" w:eastAsia="宋体" w:cs="宋体"/>
          <w:sz w:val="24"/>
          <w:szCs w:val="24"/>
          <w:lang w:val="en-US" w:eastAsia="zh-CN"/>
        </w:rPr>
        <w:t>“≥95%”</w:t>
      </w:r>
      <w:r>
        <w:rPr>
          <w:rFonts w:hint="eastAsia" w:ascii="宋体" w:hAnsi="宋体" w:eastAsia="宋体" w:cs="宋体"/>
          <w:sz w:val="24"/>
          <w:szCs w:val="24"/>
        </w:rPr>
        <w:t>，实际完成值为</w:t>
      </w:r>
      <w:r>
        <w:rPr>
          <w:rFonts w:hint="eastAsia" w:ascii="宋体" w:hAnsi="宋体" w:eastAsia="宋体" w:cs="宋体"/>
          <w:sz w:val="24"/>
          <w:szCs w:val="24"/>
          <w:lang w:val="en-US" w:eastAsia="zh-CN"/>
        </w:rPr>
        <w:t>100%</w:t>
      </w:r>
      <w:r>
        <w:rPr>
          <w:rFonts w:hint="eastAsia" w:ascii="宋体" w:hAnsi="宋体" w:eastAsia="宋体" w:cs="宋体"/>
          <w:sz w:val="24"/>
          <w:szCs w:val="24"/>
        </w:rPr>
        <w:t>，指标完成率为</w:t>
      </w:r>
      <w:r>
        <w:rPr>
          <w:rFonts w:hint="eastAsia" w:ascii="宋体" w:hAnsi="宋体" w:eastAsia="宋体" w:cs="宋体"/>
          <w:sz w:val="24"/>
          <w:szCs w:val="24"/>
          <w:lang w:val="en-US" w:eastAsia="zh-CN"/>
        </w:rPr>
        <w:t>100%</w:t>
      </w:r>
      <w:r>
        <w:rPr>
          <w:rFonts w:hint="eastAsia" w:ascii="宋体" w:hAnsi="宋体" w:eastAsia="宋体" w:cs="宋体"/>
          <w:sz w:val="24"/>
          <w:szCs w:val="24"/>
        </w:rPr>
        <w:t>，与预期目标一致，根据评分标准，该指标不扣分,得10分。</w:t>
      </w:r>
      <w:bookmarkEnd w:id="13"/>
    </w:p>
    <w:p w14:paraId="227DC78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p>
    <w:p w14:paraId="2E7BF522">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500D0DDD">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eastAsia="zh-CN"/>
        </w:rPr>
        <w:t>242.83</w:t>
      </w:r>
      <w:r>
        <w:rPr>
          <w:rFonts w:hint="eastAsia" w:ascii="宋体" w:hAnsi="宋体" w:eastAsia="宋体" w:cs="宋体"/>
          <w:sz w:val="24"/>
          <w:szCs w:val="24"/>
        </w:rPr>
        <w:t>万元，全年预算数为</w:t>
      </w:r>
      <w:r>
        <w:rPr>
          <w:rFonts w:hint="eastAsia" w:ascii="宋体" w:hAnsi="宋体" w:eastAsia="宋体" w:cs="宋体"/>
          <w:sz w:val="24"/>
          <w:szCs w:val="24"/>
          <w:lang w:eastAsia="zh-CN"/>
        </w:rPr>
        <w:t>242.83</w:t>
      </w:r>
      <w:r>
        <w:rPr>
          <w:rFonts w:hint="eastAsia" w:ascii="宋体" w:hAnsi="宋体" w:eastAsia="宋体" w:cs="宋体"/>
          <w:sz w:val="24"/>
          <w:szCs w:val="24"/>
        </w:rPr>
        <w:t>万元，全年执行数为</w:t>
      </w:r>
      <w:r>
        <w:rPr>
          <w:rFonts w:hint="eastAsia" w:ascii="宋体" w:hAnsi="宋体" w:eastAsia="宋体" w:cs="宋体"/>
          <w:sz w:val="24"/>
          <w:szCs w:val="24"/>
          <w:lang w:eastAsia="zh-CN"/>
        </w:rPr>
        <w:t>242.83</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1C92F446">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10</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10</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0</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0715BE00">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val="en-US" w:eastAsia="zh-CN"/>
        </w:rPr>
        <w:t>0</w:t>
      </w:r>
      <w:r>
        <w:rPr>
          <w:rFonts w:hint="eastAsia" w:ascii="宋体" w:hAnsi="宋体" w:eastAsia="宋体" w:cs="宋体"/>
          <w:sz w:val="24"/>
          <w:szCs w:val="24"/>
        </w:rPr>
        <w:t>%。</w:t>
      </w:r>
    </w:p>
    <w:p w14:paraId="7993268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14" w:name="_Toc68364673"/>
    </w:p>
    <w:p w14:paraId="12A5EDBA">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六、主要经验及做法、存在的问题及原因分析</w:t>
      </w:r>
    </w:p>
    <w:p w14:paraId="44D7D10E">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（一）主要经验及做法</w:t>
      </w:r>
      <w:bookmarkEnd w:id="14"/>
    </w:p>
    <w:p w14:paraId="69EA5122">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eastAsia="宋体"/>
          <w:lang w:eastAsia="zh-CN"/>
        </w:rPr>
      </w:pPr>
      <w:r>
        <w:rPr>
          <w:rFonts w:hint="eastAsia" w:ascii="宋体" w:hAnsi="宋体" w:eastAsia="宋体" w:cs="宋体"/>
          <w:sz w:val="24"/>
          <w:szCs w:val="24"/>
          <w:lang w:eastAsia="zh-CN"/>
        </w:rPr>
        <w:t>资金使用规范，严格执行财务管理核算制度，加强醒目经费审批和控制，规范支出标准和范围，并严格执行，按质按量完成项目实施工作。</w:t>
      </w:r>
    </w:p>
    <w:p w14:paraId="4A45D0C1">
      <w:pPr>
        <w:pStyle w:val="56"/>
        <w:pageBreakBefore w:val="0"/>
        <w:widowControl w:val="0"/>
        <w:numPr>
          <w:ilvl w:val="0"/>
          <w:numId w:val="6"/>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5" w:name="_Toc68364674"/>
      <w:r>
        <w:rPr>
          <w:rFonts w:hint="eastAsia" w:ascii="宋体" w:hAnsi="宋体" w:eastAsia="宋体" w:cs="宋体"/>
          <w:sz w:val="24"/>
          <w:szCs w:val="24"/>
        </w:rPr>
        <w:t>存在问题及原因分析</w:t>
      </w:r>
      <w:bookmarkEnd w:id="15"/>
    </w:p>
    <w:p w14:paraId="2E6CC528">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kern w:val="0"/>
          <w:sz w:val="24"/>
          <w:szCs w:val="24"/>
          <w:lang w:val="en-US" w:eastAsia="zh-CN"/>
        </w:rPr>
      </w:pPr>
      <w:bookmarkStart w:id="16" w:name="_Toc68364675"/>
      <w:r>
        <w:rPr>
          <w:rFonts w:hint="eastAsia" w:ascii="宋体" w:hAnsi="宋体" w:eastAsia="宋体" w:cs="宋体"/>
          <w:b w:val="0"/>
          <w:bCs w:val="0"/>
          <w:kern w:val="0"/>
          <w:sz w:val="24"/>
          <w:szCs w:val="24"/>
          <w:lang w:val="en-US" w:eastAsia="zh-CN"/>
        </w:rPr>
        <w:t>对项目资金管理我们认为；一是严格按照和执行资金使用的相关规定；二是根据实际情况进行经费使用，保障财政资金使用效率。三是提高工作质量，效益，节约财政资金使用。</w:t>
      </w:r>
    </w:p>
    <w:p w14:paraId="457BF97D">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61BFAAE9">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r>
        <w:rPr>
          <w:rFonts w:hint="eastAsia" w:ascii="黑体" w:hAnsi="黑体" w:eastAsia="黑体" w:cs="黑体"/>
          <w:sz w:val="24"/>
          <w:szCs w:val="24"/>
        </w:rPr>
        <w:t>七、有关建议</w:t>
      </w:r>
      <w:bookmarkEnd w:id="16"/>
    </w:p>
    <w:p w14:paraId="654CB37B">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1.完善绩效评价工作制度</w:t>
      </w:r>
    </w:p>
    <w:p w14:paraId="32A49844">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2.加强资金管理：强化资金管理意识，加强与财政局的沟通，确保及时下达资金，合理、科学地使用资金。</w:t>
      </w:r>
    </w:p>
    <w:p w14:paraId="4F7B946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yellow"/>
          <w:lang w:val="en-US" w:eastAsia="zh-CN"/>
        </w:rPr>
      </w:pPr>
      <w:r>
        <w:rPr>
          <w:rFonts w:hint="eastAsia" w:ascii="宋体" w:hAnsi="宋体" w:eastAsia="宋体" w:cs="宋体"/>
          <w:sz w:val="24"/>
          <w:szCs w:val="24"/>
          <w:lang w:val="en-US" w:eastAsia="zh-CN"/>
        </w:rPr>
        <w:t>3.提升管理队伍素质：加强本单位工作人员的专业知识培训，提升业务能力，合理分配资金使用。</w:t>
      </w:r>
      <w:bookmarkStart w:id="17" w:name="_Toc68364676"/>
    </w:p>
    <w:p w14:paraId="14F1634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八、其他需要说明的问题</w:t>
      </w:r>
      <w:bookmarkEnd w:id="17"/>
    </w:p>
    <w:p w14:paraId="20BB990C">
      <w:pPr>
        <w:pStyle w:val="48"/>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40917EC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p>
    <w:p w14:paraId="76E46C6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附件1：中央直达资金-和地财教[2023]60号2024年城乡义务教育</w:t>
      </w:r>
    </w:p>
    <w:p w14:paraId="72493FC3">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补助经费项目绩效评价指标体系</w:t>
      </w:r>
    </w:p>
    <w:p w14:paraId="77D5AA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附件2：中央直达资金-和地财教[2023]60号2024年城乡义务教育</w:t>
      </w:r>
    </w:p>
    <w:p w14:paraId="319423F8">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ascii="宋体" w:hAnsi="宋体" w:eastAsia="宋体" w:cs="宋体"/>
          <w:kern w:val="0"/>
          <w:sz w:val="24"/>
          <w:szCs w:val="24"/>
        </w:rPr>
      </w:pPr>
      <w:r>
        <w:rPr>
          <w:rFonts w:hint="eastAsia" w:ascii="宋体" w:hAnsi="宋体" w:eastAsia="宋体" w:cs="宋体"/>
          <w:kern w:val="0"/>
          <w:sz w:val="24"/>
          <w:szCs w:val="24"/>
        </w:rPr>
        <w:t>补助经费项目综合得分表</w:t>
      </w:r>
    </w:p>
    <w:p w14:paraId="74238A7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附件3：中央直达资金-和地财教[2023]60号2024年城乡义务教育</w:t>
      </w:r>
    </w:p>
    <w:p w14:paraId="3FF94CBE">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ascii="宋体" w:hAnsi="宋体" w:eastAsia="宋体" w:cs="宋体"/>
          <w:kern w:val="0"/>
          <w:sz w:val="24"/>
          <w:szCs w:val="24"/>
        </w:rPr>
      </w:pPr>
      <w:r>
        <w:rPr>
          <w:rFonts w:hint="eastAsia" w:ascii="宋体" w:hAnsi="宋体" w:eastAsia="宋体" w:cs="宋体"/>
          <w:kern w:val="0"/>
          <w:sz w:val="24"/>
          <w:szCs w:val="24"/>
        </w:rPr>
        <w:t>补助经费项目满意度调查问分析情况</w:t>
      </w:r>
    </w:p>
    <w:p w14:paraId="1E989C94">
      <w:pPr>
        <w:spacing w:line="360" w:lineRule="auto"/>
        <w:ind w:firstLine="480"/>
        <w:rPr>
          <w:rFonts w:hint="eastAsia" w:ascii="宋体" w:hAnsi="宋体" w:eastAsia="宋体" w:cs="宋体"/>
          <w:sz w:val="24"/>
          <w:szCs w:val="24"/>
        </w:rPr>
      </w:pPr>
    </w:p>
    <w:p w14:paraId="157503AE">
      <w:pPr>
        <w:pStyle w:val="10"/>
        <w:ind w:firstLine="0" w:firstLineChars="0"/>
        <w:jc w:val="both"/>
        <w:rPr>
          <w:rFonts w:hint="eastAsia" w:ascii="宋体" w:hAnsi="宋体" w:eastAsia="宋体" w:cs="宋体"/>
          <w:sz w:val="24"/>
          <w:szCs w:val="24"/>
        </w:rPr>
      </w:pPr>
    </w:p>
    <w:p w14:paraId="5B7A4FE2">
      <w:pPr>
        <w:pStyle w:val="10"/>
        <w:ind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0" w:type="auto"/>
        <w:tblInd w:w="0" w:type="dxa"/>
        <w:tblLayout w:type="fixed"/>
        <w:tblCellMar>
          <w:top w:w="0" w:type="dxa"/>
          <w:left w:w="108" w:type="dxa"/>
          <w:bottom w:w="0" w:type="dxa"/>
          <w:right w:w="108" w:type="dxa"/>
        </w:tblCellMar>
      </w:tblPr>
      <w:tblGrid>
        <w:gridCol w:w="779"/>
        <w:gridCol w:w="678"/>
        <w:gridCol w:w="847"/>
        <w:gridCol w:w="609"/>
        <w:gridCol w:w="1243"/>
        <w:gridCol w:w="609"/>
        <w:gridCol w:w="2715"/>
        <w:gridCol w:w="1249"/>
        <w:gridCol w:w="3254"/>
        <w:gridCol w:w="740"/>
        <w:gridCol w:w="640"/>
      </w:tblGrid>
      <w:tr w14:paraId="0E1D5878">
        <w:tblPrEx>
          <w:tblCellMar>
            <w:top w:w="0" w:type="dxa"/>
            <w:left w:w="108" w:type="dxa"/>
            <w:bottom w:w="0" w:type="dxa"/>
            <w:right w:w="108" w:type="dxa"/>
          </w:tblCellMar>
        </w:tblPrEx>
        <w:trPr>
          <w:trHeight w:val="775" w:hRule="atLeast"/>
        </w:trPr>
        <w:tc>
          <w:tcPr>
            <w:tcW w:w="1457" w:type="dxa"/>
            <w:gridSpan w:val="2"/>
            <w:tcBorders>
              <w:top w:val="nil"/>
              <w:left w:val="nil"/>
              <w:bottom w:val="nil"/>
              <w:right w:val="nil"/>
            </w:tcBorders>
            <w:noWrap w:val="0"/>
            <w:vAlign w:val="center"/>
          </w:tcPr>
          <w:p w14:paraId="414B0ACA">
            <w:pPr>
              <w:widowControl/>
              <w:spacing w:line="240" w:lineRule="exact"/>
              <w:ind w:firstLine="0" w:firstLineChars="0"/>
              <w:jc w:val="center"/>
              <w:rPr>
                <w:rFonts w:hint="eastAsia" w:ascii="宋体" w:hAnsi="宋体" w:eastAsia="宋体" w:cs="宋体"/>
                <w:b/>
                <w:bCs/>
                <w:sz w:val="21"/>
                <w:szCs w:val="21"/>
              </w:rPr>
            </w:pPr>
            <w:r>
              <w:rPr>
                <w:rFonts w:hint="eastAsia" w:ascii="宋体" w:hAnsi="宋体" w:eastAsia="宋体" w:cs="宋体"/>
                <w:b/>
                <w:bCs/>
                <w:kern w:val="0"/>
                <w:sz w:val="21"/>
                <w:szCs w:val="21"/>
              </w:rPr>
              <w:t>附件1：</w:t>
            </w:r>
          </w:p>
        </w:tc>
        <w:tc>
          <w:tcPr>
            <w:tcW w:w="847" w:type="dxa"/>
            <w:tcBorders>
              <w:top w:val="nil"/>
              <w:left w:val="nil"/>
              <w:bottom w:val="nil"/>
              <w:right w:val="nil"/>
            </w:tcBorders>
            <w:noWrap w:val="0"/>
            <w:vAlign w:val="center"/>
          </w:tcPr>
          <w:p w14:paraId="24254E5B">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227B725B">
            <w:pPr>
              <w:widowControl/>
              <w:spacing w:line="240" w:lineRule="exact"/>
              <w:ind w:firstLine="0" w:firstLineChars="0"/>
              <w:jc w:val="center"/>
              <w:rPr>
                <w:rFonts w:hint="eastAsia" w:ascii="宋体" w:hAnsi="宋体" w:eastAsia="宋体" w:cs="宋体"/>
                <w:b/>
                <w:bCs/>
                <w:sz w:val="21"/>
                <w:szCs w:val="21"/>
              </w:rPr>
            </w:pPr>
          </w:p>
        </w:tc>
        <w:tc>
          <w:tcPr>
            <w:tcW w:w="1243" w:type="dxa"/>
            <w:tcBorders>
              <w:top w:val="nil"/>
              <w:left w:val="nil"/>
              <w:bottom w:val="nil"/>
              <w:right w:val="nil"/>
            </w:tcBorders>
            <w:noWrap w:val="0"/>
            <w:vAlign w:val="center"/>
          </w:tcPr>
          <w:p w14:paraId="3384777C">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2E5CF895">
            <w:pPr>
              <w:widowControl/>
              <w:spacing w:line="240" w:lineRule="exact"/>
              <w:ind w:firstLine="0" w:firstLineChars="0"/>
              <w:jc w:val="center"/>
              <w:rPr>
                <w:rFonts w:hint="eastAsia" w:ascii="宋体" w:hAnsi="宋体" w:eastAsia="宋体" w:cs="宋体"/>
                <w:b/>
                <w:bCs/>
                <w:sz w:val="21"/>
                <w:szCs w:val="21"/>
              </w:rPr>
            </w:pPr>
          </w:p>
        </w:tc>
        <w:tc>
          <w:tcPr>
            <w:tcW w:w="2715" w:type="dxa"/>
            <w:tcBorders>
              <w:top w:val="nil"/>
              <w:left w:val="nil"/>
              <w:bottom w:val="nil"/>
              <w:right w:val="nil"/>
            </w:tcBorders>
            <w:noWrap w:val="0"/>
            <w:vAlign w:val="center"/>
          </w:tcPr>
          <w:p w14:paraId="7DE591A3">
            <w:pPr>
              <w:widowControl/>
              <w:spacing w:line="240" w:lineRule="exact"/>
              <w:ind w:firstLine="0" w:firstLineChars="0"/>
              <w:jc w:val="center"/>
              <w:rPr>
                <w:rFonts w:hint="eastAsia" w:ascii="宋体" w:hAnsi="宋体" w:eastAsia="宋体" w:cs="宋体"/>
                <w:b/>
                <w:bCs/>
                <w:sz w:val="21"/>
                <w:szCs w:val="21"/>
              </w:rPr>
            </w:pPr>
          </w:p>
        </w:tc>
        <w:tc>
          <w:tcPr>
            <w:tcW w:w="1249" w:type="dxa"/>
            <w:tcBorders>
              <w:top w:val="nil"/>
              <w:left w:val="nil"/>
              <w:bottom w:val="nil"/>
              <w:right w:val="nil"/>
            </w:tcBorders>
            <w:noWrap w:val="0"/>
            <w:vAlign w:val="center"/>
          </w:tcPr>
          <w:p w14:paraId="34D18CFD">
            <w:pPr>
              <w:widowControl/>
              <w:spacing w:line="240" w:lineRule="exact"/>
              <w:ind w:firstLine="0" w:firstLineChars="0"/>
              <w:jc w:val="center"/>
              <w:rPr>
                <w:rFonts w:hint="eastAsia" w:ascii="宋体" w:hAnsi="宋体" w:eastAsia="宋体" w:cs="宋体"/>
                <w:b/>
                <w:bCs/>
                <w:sz w:val="21"/>
                <w:szCs w:val="21"/>
              </w:rPr>
            </w:pPr>
          </w:p>
        </w:tc>
        <w:tc>
          <w:tcPr>
            <w:tcW w:w="3254" w:type="dxa"/>
            <w:tcBorders>
              <w:top w:val="nil"/>
              <w:left w:val="nil"/>
              <w:bottom w:val="nil"/>
              <w:right w:val="nil"/>
            </w:tcBorders>
            <w:noWrap w:val="0"/>
            <w:vAlign w:val="center"/>
          </w:tcPr>
          <w:p w14:paraId="58ADAA1C">
            <w:pPr>
              <w:widowControl/>
              <w:spacing w:line="240" w:lineRule="exact"/>
              <w:ind w:firstLine="0" w:firstLineChars="0"/>
              <w:jc w:val="center"/>
              <w:rPr>
                <w:rFonts w:hint="eastAsia" w:ascii="宋体" w:hAnsi="宋体" w:eastAsia="宋体" w:cs="宋体"/>
                <w:b/>
                <w:bCs/>
                <w:sz w:val="21"/>
                <w:szCs w:val="21"/>
              </w:rPr>
            </w:pPr>
          </w:p>
        </w:tc>
        <w:tc>
          <w:tcPr>
            <w:tcW w:w="740" w:type="dxa"/>
            <w:tcBorders>
              <w:top w:val="nil"/>
              <w:left w:val="nil"/>
              <w:bottom w:val="nil"/>
              <w:right w:val="nil"/>
            </w:tcBorders>
            <w:noWrap w:val="0"/>
            <w:vAlign w:val="center"/>
          </w:tcPr>
          <w:p w14:paraId="5F6FC34B">
            <w:pPr>
              <w:widowControl/>
              <w:spacing w:line="240" w:lineRule="exact"/>
              <w:ind w:firstLine="0" w:firstLineChars="0"/>
              <w:jc w:val="center"/>
              <w:rPr>
                <w:rFonts w:hint="eastAsia" w:ascii="宋体" w:hAnsi="宋体" w:eastAsia="宋体" w:cs="宋体"/>
                <w:b/>
                <w:bCs/>
                <w:sz w:val="21"/>
                <w:szCs w:val="21"/>
              </w:rPr>
            </w:pPr>
          </w:p>
        </w:tc>
        <w:tc>
          <w:tcPr>
            <w:tcW w:w="640" w:type="dxa"/>
            <w:tcBorders>
              <w:top w:val="nil"/>
              <w:left w:val="nil"/>
              <w:bottom w:val="nil"/>
              <w:right w:val="nil"/>
            </w:tcBorders>
            <w:noWrap w:val="0"/>
            <w:vAlign w:val="center"/>
          </w:tcPr>
          <w:p w14:paraId="6FA43F05">
            <w:pPr>
              <w:widowControl/>
              <w:spacing w:line="240" w:lineRule="exact"/>
              <w:ind w:firstLine="0" w:firstLineChars="0"/>
              <w:jc w:val="center"/>
              <w:rPr>
                <w:rFonts w:hint="eastAsia" w:ascii="宋体" w:hAnsi="宋体" w:eastAsia="宋体" w:cs="宋体"/>
                <w:b/>
                <w:bCs/>
                <w:sz w:val="21"/>
                <w:szCs w:val="21"/>
              </w:rPr>
            </w:pPr>
          </w:p>
        </w:tc>
      </w:tr>
      <w:tr w14:paraId="55D724CC">
        <w:tblPrEx>
          <w:tblCellMar>
            <w:top w:w="0" w:type="dxa"/>
            <w:left w:w="108" w:type="dxa"/>
            <w:bottom w:w="0" w:type="dxa"/>
            <w:right w:w="108" w:type="dxa"/>
          </w:tblCellMar>
        </w:tblPrEx>
        <w:trPr>
          <w:trHeight w:val="775" w:hRule="atLeast"/>
        </w:trPr>
        <w:tc>
          <w:tcPr>
            <w:tcW w:w="13363" w:type="dxa"/>
            <w:gridSpan w:val="11"/>
            <w:tcBorders>
              <w:top w:val="nil"/>
              <w:left w:val="nil"/>
              <w:bottom w:val="nil"/>
              <w:right w:val="nil"/>
            </w:tcBorders>
            <w:noWrap w:val="0"/>
            <w:vAlign w:val="center"/>
          </w:tcPr>
          <w:p w14:paraId="105617EF">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eastAsia="zh-CN"/>
              </w:rPr>
              <w:t>2024年城乡义务教育补助经费项目</w:t>
            </w:r>
            <w:r>
              <w:rPr>
                <w:rFonts w:hint="eastAsia" w:ascii="宋体" w:hAnsi="宋体" w:eastAsia="宋体" w:cs="宋体"/>
                <w:b/>
                <w:bCs/>
                <w:kern w:val="0"/>
                <w:sz w:val="21"/>
                <w:szCs w:val="21"/>
              </w:rPr>
              <w:t>绩效评价指标体系综合评分表</w:t>
            </w:r>
          </w:p>
        </w:tc>
      </w:tr>
      <w:tr w14:paraId="1349E8D8">
        <w:tblPrEx>
          <w:tblCellMar>
            <w:top w:w="0" w:type="dxa"/>
            <w:left w:w="108" w:type="dxa"/>
            <w:bottom w:w="0" w:type="dxa"/>
            <w:right w:w="108" w:type="dxa"/>
          </w:tblCellMar>
        </w:tblPrEx>
        <w:trPr>
          <w:trHeight w:val="625"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5C166D09">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一级指标</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09B94156">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4A26DA67">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二级指标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B37FD25">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17A533B">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三级指标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F6C4F33">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1EB12399">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指标解释</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6E350540">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标杆值</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2F710EBB">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评分标准</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D58786F">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完成值</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2E1DBFE7">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得分</w:t>
            </w:r>
          </w:p>
        </w:tc>
      </w:tr>
      <w:tr w14:paraId="6EDC0EC6">
        <w:tblPrEx>
          <w:tblCellMar>
            <w:top w:w="0" w:type="dxa"/>
            <w:left w:w="108" w:type="dxa"/>
            <w:bottom w:w="0" w:type="dxa"/>
            <w:right w:w="108" w:type="dxa"/>
          </w:tblCellMar>
        </w:tblPrEx>
        <w:trPr>
          <w:trHeight w:val="9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37D56A1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项目决策</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360AFF2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23</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7752472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4BC59CB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0A3C62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立项依据充分性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BEC6CC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1773764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项目立项是否符合法律法规、相关政策、发展规划以及部门职责，用以反映和考核项目立项依据情况。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213BEA4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07455B06">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①项目立项是否符合国家法律法规、国民经济发展规划和相关政策；</w:t>
            </w:r>
          </w:p>
          <w:p w14:paraId="18260C5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②项目立项是否符合行业发展规划和政策要求；</w:t>
            </w:r>
          </w:p>
          <w:p w14:paraId="78F8D06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③项目立项是否与部门职责范围相符，</w:t>
            </w:r>
            <w:r>
              <w:rPr>
                <w:rFonts w:hint="eastAsia" w:ascii="宋体" w:hAnsi="宋体" w:eastAsia="宋体" w:cs="宋体"/>
                <w:kern w:val="0"/>
                <w:sz w:val="21"/>
                <w:szCs w:val="21"/>
                <w:lang w:eastAsia="zh-CN"/>
              </w:rPr>
              <w:t>属于部门</w:t>
            </w:r>
            <w:r>
              <w:rPr>
                <w:rFonts w:hint="eastAsia" w:ascii="宋体" w:hAnsi="宋体" w:eastAsia="宋体" w:cs="宋体"/>
                <w:kern w:val="0"/>
                <w:sz w:val="21"/>
                <w:szCs w:val="21"/>
              </w:rPr>
              <w:t>履职所需；</w:t>
            </w:r>
          </w:p>
          <w:p w14:paraId="7FA0C0B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④项目是否属于公共财政支持范围，是否符合中央、地方事权支出责任划分原则；</w:t>
            </w:r>
          </w:p>
          <w:p w14:paraId="7745C72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⑤项目是否与相关部门同类项目或部门内部相关项目重复。</w:t>
            </w:r>
          </w:p>
          <w:p w14:paraId="449F77D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以上每条要素占权重分的20%，每有一条不符合，扣除对应权重分，扣完为止。</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3E4E737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292B567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78EC874C">
        <w:tblPrEx>
          <w:tblCellMar>
            <w:top w:w="0" w:type="dxa"/>
            <w:left w:w="108" w:type="dxa"/>
            <w:bottom w:w="0" w:type="dxa"/>
            <w:right w:w="108" w:type="dxa"/>
          </w:tblCellMar>
        </w:tblPrEx>
        <w:trPr>
          <w:trHeight w:val="55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6371D9C">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0911B62C">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6A92B169">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F85CD77">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60B707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立项程序规范性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655C4E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6E4D29A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项目申请、设立过程是否符合相关要求，用以反映和考核项目立项的规范情况。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0E7D830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24C6787D">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①项目是否按照规定的程序申请设立；</w:t>
            </w:r>
          </w:p>
          <w:p w14:paraId="27B04EB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②审批文件、材料是否符合相关要求；</w:t>
            </w:r>
          </w:p>
          <w:p w14:paraId="3E00BED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③事前是否已经过必要的可行性研究、专家论证、风险评估、绩效评估、集体决策。</w:t>
            </w:r>
          </w:p>
          <w:p w14:paraId="5845F02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①②③齐全得权重分的100%，缺①扣权重分的40%，缺②扣权重分的30%，缺③扣权重分的30%。</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7AC133A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029002C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55E065AE">
        <w:tblPrEx>
          <w:tblCellMar>
            <w:top w:w="0" w:type="dxa"/>
            <w:left w:w="108" w:type="dxa"/>
            <w:bottom w:w="0" w:type="dxa"/>
            <w:right w:w="108" w:type="dxa"/>
          </w:tblCellMar>
        </w:tblPrEx>
        <w:trPr>
          <w:trHeight w:val="223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32EF4CB6">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07B2FE3C">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4D1F1BA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73C8DA8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DE9D5B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0FFED7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6A7402F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项目所设定的绩效目标是否依据充分，是否符合客观实际，用以反映和考核项目绩效目标与项目实施的相符情况。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05B3562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382075BB">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①项目是否有绩效目标；</w:t>
            </w:r>
          </w:p>
          <w:p w14:paraId="6C6EB3F4">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②项目绩效目标与实际工作内容是否具有相关性；</w:t>
            </w:r>
          </w:p>
          <w:p w14:paraId="45AFEAA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③项目预期产出效益和效果是否符合正常的业绩水平；</w:t>
            </w:r>
          </w:p>
          <w:p w14:paraId="563A671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④是否与预算确定的项目投资额或资金量相匹配。</w:t>
            </w:r>
          </w:p>
          <w:p w14:paraId="69D5A88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091FCEE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4852754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3E4DDEB5">
        <w:tblPrEx>
          <w:tblCellMar>
            <w:top w:w="0" w:type="dxa"/>
            <w:left w:w="108" w:type="dxa"/>
            <w:bottom w:w="0" w:type="dxa"/>
            <w:right w:w="108" w:type="dxa"/>
          </w:tblCellMar>
        </w:tblPrEx>
        <w:trPr>
          <w:trHeight w:val="151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2AD3F93">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17052240">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E6CB18C">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2F819108">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70107B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绩效指标明确性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4F6232E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74063DF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依据绩效目标设定的绩效指标是否清晰、细化、可衡量等，用以反映和考核项目绩效目标的明细化情况。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5148830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337DF201">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①是否将项目绩效目标细化分解为具体的绩效指标；</w:t>
            </w:r>
          </w:p>
          <w:p w14:paraId="131998B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②是否通过清晰、可衡量的指标值予以体现；</w:t>
            </w:r>
          </w:p>
          <w:p w14:paraId="7431589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③是否与项目目标任务数或计划数相对应。</w:t>
            </w:r>
          </w:p>
          <w:p w14:paraId="3FBD4D4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①②③齐全得权重分的100%，缺①扣权重分的20%，缺②扣权重分的50%，缺③扣权重分的30%。</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229AD83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3F3E593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52E0DB6B">
        <w:tblPrEx>
          <w:tblCellMar>
            <w:top w:w="0" w:type="dxa"/>
            <w:left w:w="108" w:type="dxa"/>
            <w:bottom w:w="0" w:type="dxa"/>
            <w:right w:w="108" w:type="dxa"/>
          </w:tblCellMar>
        </w:tblPrEx>
        <w:trPr>
          <w:trHeight w:val="120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F100B17">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1E64ABBE">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44B3A2E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资金投入</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00936AE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8</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7E9B1B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预算编制科学性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7CF2C2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73DCC92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项目预算编制是否经过科学论证、有明确标准，资金额度与年度目标是否相适应，用以反映和考核项目预算编制的科学性、合理性情况。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7183AE4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2DFC7BEC">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①预算编制是否经过科学论证；</w:t>
            </w:r>
          </w:p>
          <w:p w14:paraId="51D73AC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②预算内容与项目内容是否匹配；</w:t>
            </w:r>
          </w:p>
          <w:p w14:paraId="7DFEF25B">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③预算额度测算依据是否充分，是否按照标准编制；</w:t>
            </w:r>
          </w:p>
          <w:p w14:paraId="572F56B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④预算确定的项目投资额或资金量是否与工作任务相匹配。</w:t>
            </w:r>
          </w:p>
          <w:p w14:paraId="0FA9E11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3DFBE2A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5912072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301F7644">
        <w:tblPrEx>
          <w:tblCellMar>
            <w:top w:w="0" w:type="dxa"/>
            <w:left w:w="108" w:type="dxa"/>
            <w:bottom w:w="0" w:type="dxa"/>
            <w:right w:w="108" w:type="dxa"/>
          </w:tblCellMar>
        </w:tblPrEx>
        <w:trPr>
          <w:trHeight w:val="149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06B68FB">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2E85F536">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8CF2323">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E916137">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9F3F64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资金分配合理性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4D8D09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3D40E49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项目预算资金分配是否有测算依据，与补助单位或地方实际是否相适应，用以反映和考核项目预算资金分配的科学性、合理性情况。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5F69085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128D702F">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①预算资金分配依据是否充分；</w:t>
            </w:r>
          </w:p>
          <w:p w14:paraId="5B2FEFC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②资金分配额度是否合理，与项目单位或地方实际是否相适应。</w:t>
            </w:r>
          </w:p>
          <w:p w14:paraId="2B72324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3344C4A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5D8BE98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6B3264BE">
        <w:tblPrEx>
          <w:tblCellMar>
            <w:top w:w="0" w:type="dxa"/>
            <w:left w:w="108" w:type="dxa"/>
            <w:bottom w:w="0" w:type="dxa"/>
            <w:right w:w="108" w:type="dxa"/>
          </w:tblCellMar>
        </w:tblPrEx>
        <w:trPr>
          <w:trHeight w:val="137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2BE3929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项目过程</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1799C36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12</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47EDDDA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资金管理</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649F706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32FCFA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0C9397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7900BE8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实际到位资金与预算资金的比率，用以反映和考核资金落实情况对项目实施的总体保障程度。</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482D6B6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30379E29">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资金到位率=（实际到位资金/预算资金）×100%。</w:t>
            </w:r>
          </w:p>
          <w:p w14:paraId="6C143CBA">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资金到位率=100%，得权重分满分，每降低1%，扣除5%权重分，扣完为止。</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CB6B9D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0761FCE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r>
      <w:tr w14:paraId="245BD2C4">
        <w:tblPrEx>
          <w:tblCellMar>
            <w:top w:w="0" w:type="dxa"/>
            <w:left w:w="108" w:type="dxa"/>
            <w:bottom w:w="0" w:type="dxa"/>
            <w:right w:w="108" w:type="dxa"/>
          </w:tblCellMar>
        </w:tblPrEx>
        <w:trPr>
          <w:trHeight w:val="126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51E8F6E7">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B8E601D">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6BB8238">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19876241">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572399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4A115B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1565482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项目预算资金是否按照计划执行，用以反映或考核项目预算执行情况。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6E46FCE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6606394A">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预算执行率=（实际支出资金/实际到位资金）×100%。</w:t>
            </w:r>
          </w:p>
          <w:p w14:paraId="2B98C4B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预算执行率=100%，得权重分满分；若预算执行率＜100%，得分=预算执行率*分值；若执行率≤60%，则不得分。</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B7C5CA0">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100%</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71898D3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7069C4BE">
        <w:tblPrEx>
          <w:tblCellMar>
            <w:top w:w="0" w:type="dxa"/>
            <w:left w:w="108" w:type="dxa"/>
            <w:bottom w:w="0" w:type="dxa"/>
            <w:right w:w="108" w:type="dxa"/>
          </w:tblCellMar>
        </w:tblPrEx>
        <w:trPr>
          <w:trHeight w:val="27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0724DA0A">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507F69E">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6BCC5ECB">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A500011">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4B335F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资金使用合规性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D94147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010A52F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项目资金使用是否符合相关的财务管理制度规定，用以反映和考核项目资金的规范运行情况。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510FD95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6A789A5F">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①否符合国家财经法规和财务管理制度以及有关专项资金管理办法的规定；</w:t>
            </w:r>
          </w:p>
          <w:p w14:paraId="540B2DC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②资金的拨付是否有完整的审批程序和手续；</w:t>
            </w:r>
          </w:p>
          <w:p w14:paraId="4B38AFE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③是否符合项目预算批复或合同规定的用途；</w:t>
            </w:r>
          </w:p>
          <w:p w14:paraId="08E990C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④是否存在截留、挤占、挪用、虚列支出等情况。</w:t>
            </w:r>
          </w:p>
          <w:p w14:paraId="3DD0FA3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以上每条指标各占权重分的25%，要素①②不符合，扣除对应权重分；要素③④不符合属于重大违纪，该指标不得分。</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863C7C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3FA0EA4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471E1762">
        <w:tblPrEx>
          <w:tblCellMar>
            <w:top w:w="0" w:type="dxa"/>
            <w:left w:w="108" w:type="dxa"/>
            <w:bottom w:w="0" w:type="dxa"/>
            <w:right w:w="108" w:type="dxa"/>
          </w:tblCellMar>
        </w:tblPrEx>
        <w:trPr>
          <w:trHeight w:val="52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38583035">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391E282">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340824D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组织实施</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7BD3F6B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C3CD46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管理制度健全性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0D1E2F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197BAF2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项目实施单位的财务和业务管理制度是否健全，用以反映和考核财务和业务管理制度对项目顺利实施的保障情况。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13B79A8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710046BD">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①是否已制定或具有相应的财务和业务管理制度；</w:t>
            </w:r>
          </w:p>
          <w:p w14:paraId="7EB4A40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②财务和业务管理制度是否合法、合规、完整。</w:t>
            </w:r>
          </w:p>
          <w:p w14:paraId="6DE5918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75AFF01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61920BF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23230709">
        <w:tblPrEx>
          <w:tblCellMar>
            <w:top w:w="0" w:type="dxa"/>
            <w:left w:w="108" w:type="dxa"/>
            <w:bottom w:w="0" w:type="dxa"/>
            <w:right w:w="108" w:type="dxa"/>
          </w:tblCellMar>
        </w:tblPrEx>
        <w:trPr>
          <w:trHeight w:val="134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33E0E65">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19F3E14C">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0B0F113">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63DDDCE">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AFE4D4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制度执行有效性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6856ED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20ED87E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项目实施是否符合相关管理规定，用以反映和考核相关管理制度的有效执行情况。</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25FF52A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1F519580">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①否遵守相关法律法规和相关管理规定；</w:t>
            </w:r>
          </w:p>
          <w:p w14:paraId="2235D70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②项目调整及支出调整手续是否完备；</w:t>
            </w:r>
          </w:p>
          <w:p w14:paraId="6C2A5AF7">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③项目资料是否齐全并及时归档。</w:t>
            </w:r>
          </w:p>
          <w:p w14:paraId="0400D10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①②③齐全得权重分的100%，缺①扣权重分的30%，缺②扣权重分的40%，缺③扣权重分的30%。</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C7C2DC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6BECCD1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2F66BEF1">
        <w:tblPrEx>
          <w:tblCellMar>
            <w:top w:w="0" w:type="dxa"/>
            <w:left w:w="108" w:type="dxa"/>
            <w:bottom w:w="0" w:type="dxa"/>
            <w:right w:w="108" w:type="dxa"/>
          </w:tblCellMar>
        </w:tblPrEx>
        <w:trPr>
          <w:trHeight w:val="310" w:hRule="atLeast"/>
        </w:trPr>
        <w:tc>
          <w:tcPr>
            <w:tcW w:w="779" w:type="dxa"/>
            <w:vMerge w:val="restart"/>
            <w:tcBorders>
              <w:top w:val="single" w:color="auto" w:sz="4" w:space="0"/>
              <w:left w:val="single" w:color="auto" w:sz="4" w:space="0"/>
              <w:bottom w:val="nil"/>
              <w:right w:val="single" w:color="auto" w:sz="4" w:space="0"/>
            </w:tcBorders>
            <w:noWrap w:val="0"/>
            <w:vAlign w:val="center"/>
          </w:tcPr>
          <w:p w14:paraId="6FC1B73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项目产出</w:t>
            </w:r>
          </w:p>
        </w:tc>
        <w:tc>
          <w:tcPr>
            <w:tcW w:w="678" w:type="dxa"/>
            <w:vMerge w:val="restart"/>
            <w:tcBorders>
              <w:top w:val="single" w:color="auto" w:sz="4" w:space="0"/>
              <w:left w:val="single" w:color="auto" w:sz="4" w:space="0"/>
              <w:bottom w:val="nil"/>
              <w:right w:val="single" w:color="auto" w:sz="4" w:space="0"/>
            </w:tcBorders>
            <w:noWrap w:val="0"/>
            <w:vAlign w:val="center"/>
          </w:tcPr>
          <w:p w14:paraId="7AFDE7A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20EB89C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产出数量</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0A5B3C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31F137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5BB634E">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44F5F1E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受益学生数量</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73D1059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1477人</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334CAAF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实际完成率=（实际完成/预期完成）×100%。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①实际完成率≥100%，且偏离程度＜20%，得满分；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②实际完成率≥100%，偏离程度≥20%，得0分；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③实际完成率×100%＜100%，得分=实际完成率×指标分值。</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4DCFF83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1477人</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3059EA09">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r>
      <w:tr w14:paraId="40A15186">
        <w:tblPrEx>
          <w:tblCellMar>
            <w:top w:w="0" w:type="dxa"/>
            <w:left w:w="108" w:type="dxa"/>
            <w:bottom w:w="0" w:type="dxa"/>
            <w:right w:w="108" w:type="dxa"/>
          </w:tblCellMar>
        </w:tblPrEx>
        <w:trPr>
          <w:trHeight w:val="94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660A2640">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223E722F">
            <w:pPr>
              <w:widowControl/>
              <w:spacing w:line="240" w:lineRule="exact"/>
              <w:ind w:firstLine="0" w:firstLineChars="0"/>
              <w:jc w:val="center"/>
              <w:rPr>
                <w:rFonts w:hint="eastAsia" w:ascii="宋体" w:hAnsi="宋体" w:eastAsia="宋体" w:cs="宋体"/>
                <w:sz w:val="21"/>
                <w:szCs w:val="21"/>
              </w:rPr>
            </w:pPr>
          </w:p>
        </w:tc>
        <w:tc>
          <w:tcPr>
            <w:tcW w:w="847" w:type="dxa"/>
            <w:tcBorders>
              <w:top w:val="single" w:color="auto" w:sz="4" w:space="0"/>
              <w:left w:val="single" w:color="auto" w:sz="4" w:space="0"/>
              <w:bottom w:val="single" w:color="auto" w:sz="4" w:space="0"/>
              <w:right w:val="single" w:color="auto" w:sz="4" w:space="0"/>
            </w:tcBorders>
            <w:noWrap w:val="0"/>
            <w:vAlign w:val="center"/>
          </w:tcPr>
          <w:p w14:paraId="5450C8D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产出质量</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757DB3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039526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质量达标率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EC7EDD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7170157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补助资金到位率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733BBDD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4E1BE71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若指标达到标杆值，则得100%权重分；否则，得分=（实际完成/预期完成）×100%×指标分值。</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327DD8E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0E7F74E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r>
      <w:tr w14:paraId="099064C7">
        <w:tblPrEx>
          <w:tblCellMar>
            <w:top w:w="0" w:type="dxa"/>
            <w:left w:w="108" w:type="dxa"/>
            <w:bottom w:w="0" w:type="dxa"/>
            <w:right w:w="108" w:type="dxa"/>
          </w:tblCellMar>
        </w:tblPrEx>
        <w:trPr>
          <w:trHeight w:val="94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6CF73BFF">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1E49031A">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6369B50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产出时效</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703E00C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vMerge w:val="restart"/>
            <w:tcBorders>
              <w:top w:val="single" w:color="auto" w:sz="4" w:space="0"/>
              <w:left w:val="single" w:color="auto" w:sz="4" w:space="0"/>
              <w:bottom w:val="single" w:color="auto" w:sz="4" w:space="0"/>
              <w:right w:val="single" w:color="auto" w:sz="4" w:space="0"/>
            </w:tcBorders>
            <w:noWrap w:val="0"/>
            <w:vAlign w:val="center"/>
          </w:tcPr>
          <w:p w14:paraId="433592C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完成及时率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B181148">
            <w:pPr>
              <w:widowControl/>
              <w:spacing w:line="240" w:lineRule="exact"/>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rPr>
              <w:t>3</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5D9E995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项目开始时间</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495BE71D">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rPr>
              <w:t>2024年</w:t>
            </w: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月</w:t>
            </w:r>
            <w:r>
              <w:rPr>
                <w:rFonts w:hint="eastAsia" w:ascii="宋体" w:hAnsi="宋体" w:eastAsia="宋体" w:cs="宋体"/>
                <w:kern w:val="0"/>
                <w:sz w:val="21"/>
                <w:szCs w:val="21"/>
                <w:lang w:val="en-US" w:eastAsia="zh-CN"/>
              </w:rPr>
              <w:t>1日</w:t>
            </w:r>
          </w:p>
        </w:tc>
        <w:tc>
          <w:tcPr>
            <w:tcW w:w="3254" w:type="dxa"/>
            <w:vMerge w:val="restart"/>
            <w:tcBorders>
              <w:top w:val="single" w:color="auto" w:sz="4" w:space="0"/>
              <w:left w:val="single" w:color="auto" w:sz="4" w:space="0"/>
              <w:right w:val="single" w:color="auto" w:sz="4" w:space="0"/>
            </w:tcBorders>
            <w:noWrap w:val="0"/>
            <w:vAlign w:val="center"/>
          </w:tcPr>
          <w:p w14:paraId="4C68CB03">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若指标完成值达到标杆值，则得100%权重分；否则，得分=（实际完成/预期完成）×100%×指标分值。</w:t>
            </w:r>
          </w:p>
          <w:p w14:paraId="68DFA85D">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若在规定时间内完成，得100%权重分；若未在规定的时间内完成，得分=（1-未在规定时间内完成工作数/实际完成工作总数）×分值。</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47986E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2024年</w:t>
            </w: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月</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2E243C1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val="en-US" w:eastAsia="zh-CN"/>
              </w:rPr>
              <w:t>3</w:t>
            </w:r>
          </w:p>
        </w:tc>
      </w:tr>
      <w:tr w14:paraId="1A07C09F">
        <w:tblPrEx>
          <w:tblCellMar>
            <w:top w:w="0" w:type="dxa"/>
            <w:left w:w="108" w:type="dxa"/>
            <w:bottom w:w="0" w:type="dxa"/>
            <w:right w:w="108" w:type="dxa"/>
          </w:tblCellMar>
        </w:tblPrEx>
        <w:trPr>
          <w:trHeight w:val="127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59BB5609">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2A8E396D">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4197C5E7">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1A3902CB">
            <w:pPr>
              <w:widowControl/>
              <w:spacing w:line="240" w:lineRule="exact"/>
              <w:ind w:firstLine="0" w:firstLineChars="0"/>
              <w:jc w:val="center"/>
              <w:rPr>
                <w:rFonts w:hint="eastAsia" w:ascii="宋体" w:hAnsi="宋体" w:eastAsia="宋体" w:cs="宋体"/>
                <w:sz w:val="21"/>
                <w:szCs w:val="21"/>
              </w:rPr>
            </w:pPr>
          </w:p>
        </w:tc>
        <w:tc>
          <w:tcPr>
            <w:tcW w:w="1243" w:type="dxa"/>
            <w:vMerge w:val="continue"/>
            <w:tcBorders>
              <w:top w:val="single" w:color="auto" w:sz="4" w:space="0"/>
              <w:left w:val="single" w:color="auto" w:sz="4" w:space="0"/>
              <w:bottom w:val="single" w:color="auto" w:sz="4" w:space="0"/>
              <w:right w:val="single" w:color="auto" w:sz="4" w:space="0"/>
            </w:tcBorders>
            <w:noWrap w:val="0"/>
            <w:vAlign w:val="center"/>
          </w:tcPr>
          <w:p w14:paraId="1C35AFBA">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7517463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73D36A0F">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项目完成时间</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395C144C">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2024年12月</w:t>
            </w:r>
            <w:r>
              <w:rPr>
                <w:rFonts w:hint="eastAsia" w:ascii="宋体" w:hAnsi="宋体" w:eastAsia="宋体" w:cs="宋体"/>
                <w:kern w:val="0"/>
                <w:sz w:val="21"/>
                <w:szCs w:val="21"/>
                <w:lang w:val="en-US" w:eastAsia="zh-CN"/>
              </w:rPr>
              <w:t>31日</w:t>
            </w:r>
          </w:p>
        </w:tc>
        <w:tc>
          <w:tcPr>
            <w:tcW w:w="3254" w:type="dxa"/>
            <w:vMerge w:val="continue"/>
            <w:tcBorders>
              <w:left w:val="single" w:color="auto" w:sz="4" w:space="0"/>
              <w:right w:val="single" w:color="auto" w:sz="4" w:space="0"/>
            </w:tcBorders>
            <w:noWrap w:val="0"/>
            <w:vAlign w:val="center"/>
          </w:tcPr>
          <w:p w14:paraId="063DF616">
            <w:pPr>
              <w:widowControl/>
              <w:spacing w:line="240" w:lineRule="exact"/>
              <w:ind w:firstLine="0" w:firstLineChars="0"/>
              <w:jc w:val="left"/>
              <w:textAlignment w:val="center"/>
              <w:rPr>
                <w:rFonts w:hint="eastAsia" w:ascii="宋体" w:hAnsi="宋体" w:eastAsia="宋体" w:cs="宋体"/>
                <w:kern w:val="0"/>
                <w:sz w:val="21"/>
                <w:szCs w:val="21"/>
              </w:rPr>
            </w:pPr>
          </w:p>
        </w:tc>
        <w:tc>
          <w:tcPr>
            <w:tcW w:w="740" w:type="dxa"/>
            <w:tcBorders>
              <w:top w:val="single" w:color="auto" w:sz="4" w:space="0"/>
              <w:left w:val="single" w:color="auto" w:sz="4" w:space="0"/>
              <w:bottom w:val="single" w:color="auto" w:sz="4" w:space="0"/>
              <w:right w:val="single" w:color="auto" w:sz="4" w:space="0"/>
            </w:tcBorders>
            <w:noWrap w:val="0"/>
            <w:vAlign w:val="center"/>
          </w:tcPr>
          <w:p w14:paraId="30779726">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2024年12月</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0E658F14">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p>
        </w:tc>
      </w:tr>
      <w:tr w14:paraId="09340044">
        <w:tblPrEx>
          <w:tblCellMar>
            <w:top w:w="0" w:type="dxa"/>
            <w:left w:w="108" w:type="dxa"/>
            <w:bottom w:w="0" w:type="dxa"/>
            <w:right w:w="108" w:type="dxa"/>
          </w:tblCellMar>
        </w:tblPrEx>
        <w:trPr>
          <w:trHeight w:val="127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1A3A69DF">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7E85FB3D">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49727A1B">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267BB595">
            <w:pPr>
              <w:widowControl/>
              <w:spacing w:line="240" w:lineRule="exact"/>
              <w:ind w:firstLine="0" w:firstLineChars="0"/>
              <w:jc w:val="center"/>
              <w:rPr>
                <w:rFonts w:hint="eastAsia" w:ascii="宋体" w:hAnsi="宋体" w:eastAsia="宋体" w:cs="宋体"/>
                <w:sz w:val="21"/>
                <w:szCs w:val="21"/>
              </w:rPr>
            </w:pPr>
          </w:p>
        </w:tc>
        <w:tc>
          <w:tcPr>
            <w:tcW w:w="1243" w:type="dxa"/>
            <w:vMerge w:val="continue"/>
            <w:tcBorders>
              <w:top w:val="single" w:color="auto" w:sz="4" w:space="0"/>
              <w:left w:val="single" w:color="auto" w:sz="4" w:space="0"/>
              <w:bottom w:val="single" w:color="auto" w:sz="4" w:space="0"/>
              <w:right w:val="single" w:color="auto" w:sz="4" w:space="0"/>
            </w:tcBorders>
            <w:noWrap w:val="0"/>
            <w:vAlign w:val="center"/>
          </w:tcPr>
          <w:p w14:paraId="302B6035">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329C6EF4">
            <w:pPr>
              <w:widowControl/>
              <w:spacing w:line="240" w:lineRule="exact"/>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rPr>
              <w:t>4</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7629580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sz w:val="21"/>
                <w:szCs w:val="21"/>
              </w:rPr>
              <w:t>补助资金发放及时率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3D2C7F19">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rPr>
              <w:t>=100%</w:t>
            </w:r>
          </w:p>
        </w:tc>
        <w:tc>
          <w:tcPr>
            <w:tcW w:w="3254" w:type="dxa"/>
            <w:vMerge w:val="continue"/>
            <w:tcBorders>
              <w:left w:val="single" w:color="auto" w:sz="4" w:space="0"/>
              <w:bottom w:val="single" w:color="auto" w:sz="4" w:space="0"/>
              <w:right w:val="single" w:color="auto" w:sz="4" w:space="0"/>
            </w:tcBorders>
            <w:noWrap w:val="0"/>
            <w:vAlign w:val="center"/>
          </w:tcPr>
          <w:p w14:paraId="5C81A1FD">
            <w:pPr>
              <w:widowControl/>
              <w:spacing w:line="240" w:lineRule="exact"/>
              <w:ind w:firstLine="0" w:firstLineChars="0"/>
              <w:jc w:val="left"/>
              <w:textAlignment w:val="center"/>
              <w:rPr>
                <w:rFonts w:hint="eastAsia" w:ascii="宋体" w:hAnsi="宋体" w:eastAsia="宋体" w:cs="宋体"/>
                <w:sz w:val="21"/>
                <w:szCs w:val="21"/>
              </w:rPr>
            </w:pPr>
          </w:p>
        </w:tc>
        <w:tc>
          <w:tcPr>
            <w:tcW w:w="740" w:type="dxa"/>
            <w:tcBorders>
              <w:top w:val="single" w:color="auto" w:sz="4" w:space="0"/>
              <w:left w:val="single" w:color="auto" w:sz="4" w:space="0"/>
              <w:bottom w:val="single" w:color="auto" w:sz="4" w:space="0"/>
              <w:right w:val="single" w:color="auto" w:sz="4" w:space="0"/>
            </w:tcBorders>
            <w:noWrap w:val="0"/>
            <w:vAlign w:val="center"/>
          </w:tcPr>
          <w:p w14:paraId="00F96742">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100%</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1FE79582">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lang w:val="en-US" w:eastAsia="zh-CN"/>
              </w:rPr>
              <w:t>4</w:t>
            </w:r>
          </w:p>
        </w:tc>
      </w:tr>
      <w:tr w14:paraId="67AC5EE9">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4C5690F9">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5353F95A">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right w:val="single" w:color="auto" w:sz="4" w:space="0"/>
            </w:tcBorders>
            <w:noWrap w:val="0"/>
            <w:vAlign w:val="center"/>
          </w:tcPr>
          <w:p w14:paraId="35B23DC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产出成本</w:t>
            </w:r>
          </w:p>
        </w:tc>
        <w:tc>
          <w:tcPr>
            <w:tcW w:w="609" w:type="dxa"/>
            <w:vMerge w:val="restart"/>
            <w:tcBorders>
              <w:top w:val="single" w:color="auto" w:sz="4" w:space="0"/>
              <w:left w:val="single" w:color="auto" w:sz="4" w:space="0"/>
              <w:right w:val="single" w:color="auto" w:sz="4" w:space="0"/>
            </w:tcBorders>
            <w:noWrap w:val="0"/>
            <w:vAlign w:val="center"/>
          </w:tcPr>
          <w:p w14:paraId="7985025C">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w:t>
            </w:r>
          </w:p>
        </w:tc>
        <w:tc>
          <w:tcPr>
            <w:tcW w:w="1243" w:type="dxa"/>
            <w:vMerge w:val="restart"/>
            <w:tcBorders>
              <w:top w:val="single" w:color="auto" w:sz="4" w:space="0"/>
              <w:left w:val="single" w:color="auto" w:sz="4" w:space="0"/>
              <w:right w:val="single" w:color="auto" w:sz="4" w:space="0"/>
            </w:tcBorders>
            <w:noWrap w:val="0"/>
            <w:vAlign w:val="center"/>
          </w:tcPr>
          <w:p w14:paraId="087980B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成本节约率</w:t>
            </w:r>
          </w:p>
        </w:tc>
        <w:tc>
          <w:tcPr>
            <w:tcW w:w="609" w:type="dxa"/>
            <w:vMerge w:val="restart"/>
            <w:tcBorders>
              <w:top w:val="single" w:color="auto" w:sz="4" w:space="0"/>
              <w:left w:val="single" w:color="auto" w:sz="4" w:space="0"/>
              <w:right w:val="single" w:color="auto" w:sz="4" w:space="0"/>
            </w:tcBorders>
            <w:noWrap w:val="0"/>
            <w:vAlign w:val="center"/>
          </w:tcPr>
          <w:p w14:paraId="3BCCB8DE">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34659EC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义务教育公用经费</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6BB0715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≤103.26万元</w:t>
            </w:r>
          </w:p>
        </w:tc>
        <w:tc>
          <w:tcPr>
            <w:tcW w:w="3254" w:type="dxa"/>
            <w:vMerge w:val="restart"/>
            <w:tcBorders>
              <w:top w:val="single" w:color="auto" w:sz="4" w:space="0"/>
              <w:left w:val="single" w:color="auto" w:sz="4" w:space="0"/>
              <w:right w:val="single" w:color="auto" w:sz="4" w:space="0"/>
            </w:tcBorders>
            <w:noWrap w:val="0"/>
            <w:vAlign w:val="center"/>
          </w:tcPr>
          <w:p w14:paraId="5676449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实际完成率=（实际支付资金数/计划应支付资金数）×100%。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①实际完成率＞年度指标值，得0得分；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②实际完成率≤年度指标值，且偏离程度＜20%，得满分；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③实际完成率＜年度指标值，且偏离程度≥20%，得分=实际完成率×分值。</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7F75483E">
            <w:pPr>
              <w:widowControl/>
              <w:spacing w:line="240" w:lineRule="exact"/>
              <w:ind w:firstLine="0" w:firstLineChars="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103.26万元</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42540CD8">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lang w:val="en-US" w:eastAsia="zh-CN"/>
              </w:rPr>
              <w:t>3</w:t>
            </w:r>
          </w:p>
        </w:tc>
      </w:tr>
      <w:tr w14:paraId="3083CFCE">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46FCE078">
            <w:pPr>
              <w:widowControl/>
              <w:spacing w:line="240" w:lineRule="exact"/>
              <w:ind w:firstLine="0" w:firstLineChars="0"/>
              <w:jc w:val="center"/>
              <w:textAlignment w:val="center"/>
            </w:pPr>
          </w:p>
        </w:tc>
        <w:tc>
          <w:tcPr>
            <w:tcW w:w="678" w:type="dxa"/>
            <w:vMerge w:val="continue"/>
            <w:tcBorders>
              <w:top w:val="single" w:color="auto" w:sz="4" w:space="0"/>
              <w:left w:val="single" w:color="auto" w:sz="4" w:space="0"/>
              <w:bottom w:val="nil"/>
              <w:right w:val="single" w:color="auto" w:sz="4" w:space="0"/>
            </w:tcBorders>
            <w:noWrap w:val="0"/>
            <w:vAlign w:val="center"/>
          </w:tcPr>
          <w:p w14:paraId="4420BC2B">
            <w:pPr>
              <w:widowControl/>
              <w:spacing w:line="240" w:lineRule="exact"/>
              <w:ind w:firstLine="0" w:firstLineChars="0"/>
              <w:jc w:val="center"/>
              <w:textAlignment w:val="center"/>
            </w:pPr>
          </w:p>
        </w:tc>
        <w:tc>
          <w:tcPr>
            <w:tcW w:w="847" w:type="dxa"/>
            <w:vMerge w:val="continue"/>
            <w:tcBorders>
              <w:left w:val="single" w:color="auto" w:sz="4" w:space="0"/>
              <w:right w:val="single" w:color="auto" w:sz="4" w:space="0"/>
            </w:tcBorders>
            <w:noWrap w:val="0"/>
            <w:vAlign w:val="center"/>
          </w:tcPr>
          <w:p w14:paraId="4380F904">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3246E347">
            <w:pPr>
              <w:widowControl/>
              <w:spacing w:line="240" w:lineRule="exact"/>
              <w:ind w:firstLine="0" w:firstLineChars="0"/>
              <w:jc w:val="center"/>
              <w:textAlignment w:val="center"/>
            </w:pPr>
          </w:p>
        </w:tc>
        <w:tc>
          <w:tcPr>
            <w:tcW w:w="1243" w:type="dxa"/>
            <w:vMerge w:val="continue"/>
            <w:tcBorders>
              <w:left w:val="single" w:color="auto" w:sz="4" w:space="0"/>
              <w:right w:val="single" w:color="auto" w:sz="4" w:space="0"/>
            </w:tcBorders>
            <w:noWrap w:val="0"/>
            <w:vAlign w:val="center"/>
          </w:tcPr>
          <w:p w14:paraId="1D1630D8">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216D2093">
            <w:pPr>
              <w:widowControl/>
              <w:spacing w:line="240" w:lineRule="exact"/>
              <w:ind w:firstLine="0" w:firstLineChars="0"/>
              <w:jc w:val="center"/>
              <w:textAlignment w:val="center"/>
            </w:pPr>
          </w:p>
        </w:tc>
        <w:tc>
          <w:tcPr>
            <w:tcW w:w="2715" w:type="dxa"/>
            <w:tcBorders>
              <w:top w:val="single" w:color="auto" w:sz="4" w:space="0"/>
              <w:left w:val="single" w:color="auto" w:sz="4" w:space="0"/>
              <w:bottom w:val="single" w:color="auto" w:sz="4" w:space="0"/>
              <w:right w:val="single" w:color="auto" w:sz="4" w:space="0"/>
            </w:tcBorders>
            <w:noWrap w:val="0"/>
            <w:vAlign w:val="center"/>
          </w:tcPr>
          <w:p w14:paraId="164EB90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营养改善经费</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13FD594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≤125.21万元</w:t>
            </w:r>
          </w:p>
        </w:tc>
        <w:tc>
          <w:tcPr>
            <w:tcW w:w="3254" w:type="dxa"/>
            <w:vMerge w:val="continue"/>
            <w:tcBorders>
              <w:left w:val="single" w:color="auto" w:sz="4" w:space="0"/>
              <w:right w:val="single" w:color="auto" w:sz="4" w:space="0"/>
            </w:tcBorders>
            <w:noWrap w:val="0"/>
            <w:vAlign w:val="center"/>
          </w:tcPr>
          <w:p w14:paraId="65C483CE">
            <w:pPr>
              <w:widowControl/>
              <w:spacing w:line="240" w:lineRule="exact"/>
              <w:ind w:firstLine="0" w:firstLineChars="0"/>
              <w:jc w:val="center"/>
              <w:textAlignment w:val="center"/>
              <w:rPr>
                <w:rFonts w:hint="eastAsia" w:ascii="宋体" w:hAnsi="宋体" w:eastAsia="宋体" w:cs="宋体"/>
                <w:kern w:val="0"/>
                <w:sz w:val="21"/>
                <w:szCs w:val="21"/>
              </w:rPr>
            </w:pPr>
          </w:p>
        </w:tc>
        <w:tc>
          <w:tcPr>
            <w:tcW w:w="740" w:type="dxa"/>
            <w:tcBorders>
              <w:top w:val="single" w:color="auto" w:sz="4" w:space="0"/>
              <w:left w:val="single" w:color="auto" w:sz="4" w:space="0"/>
              <w:bottom w:val="single" w:color="auto" w:sz="4" w:space="0"/>
              <w:right w:val="single" w:color="auto" w:sz="4" w:space="0"/>
            </w:tcBorders>
            <w:noWrap w:val="0"/>
            <w:vAlign w:val="center"/>
          </w:tcPr>
          <w:p w14:paraId="09E728AD">
            <w:pPr>
              <w:widowControl/>
              <w:spacing w:line="240" w:lineRule="exact"/>
              <w:ind w:firstLine="0" w:firstLineChars="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125.21万元</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56125D4B">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3</w:t>
            </w:r>
          </w:p>
        </w:tc>
      </w:tr>
      <w:tr w14:paraId="7C359F3B">
        <w:tblPrEx>
          <w:tblCellMar>
            <w:top w:w="0" w:type="dxa"/>
            <w:left w:w="108" w:type="dxa"/>
            <w:bottom w:w="0" w:type="dxa"/>
            <w:right w:w="108" w:type="dxa"/>
          </w:tblCellMar>
        </w:tblPrEx>
        <w:trPr>
          <w:trHeight w:val="720" w:hRule="atLeast"/>
        </w:trPr>
        <w:tc>
          <w:tcPr>
            <w:tcW w:w="779" w:type="dxa"/>
            <w:vMerge w:val="continue"/>
            <w:tcBorders>
              <w:left w:val="single" w:color="auto" w:sz="4" w:space="0"/>
              <w:bottom w:val="nil"/>
              <w:right w:val="single" w:color="auto" w:sz="4" w:space="0"/>
            </w:tcBorders>
            <w:noWrap w:val="0"/>
            <w:vAlign w:val="center"/>
          </w:tcPr>
          <w:p w14:paraId="44C8444C">
            <w:pPr>
              <w:widowControl/>
              <w:spacing w:line="240" w:lineRule="exact"/>
              <w:ind w:firstLine="0" w:firstLineChars="0"/>
              <w:jc w:val="center"/>
              <w:textAlignment w:val="center"/>
              <w:rPr>
                <w:rFonts w:hint="eastAsia" w:ascii="宋体" w:hAnsi="宋体" w:eastAsia="宋体" w:cs="宋体"/>
                <w:kern w:val="0"/>
                <w:sz w:val="21"/>
                <w:szCs w:val="21"/>
              </w:rPr>
            </w:pPr>
          </w:p>
        </w:tc>
        <w:tc>
          <w:tcPr>
            <w:tcW w:w="678" w:type="dxa"/>
            <w:vMerge w:val="continue"/>
            <w:tcBorders>
              <w:left w:val="single" w:color="auto" w:sz="4" w:space="0"/>
              <w:bottom w:val="nil"/>
              <w:right w:val="single" w:color="auto" w:sz="4" w:space="0"/>
            </w:tcBorders>
            <w:noWrap w:val="0"/>
            <w:vAlign w:val="center"/>
          </w:tcPr>
          <w:p w14:paraId="1928F70C">
            <w:pPr>
              <w:widowControl/>
              <w:spacing w:line="240" w:lineRule="exact"/>
              <w:ind w:firstLine="0" w:firstLineChars="0"/>
              <w:jc w:val="center"/>
              <w:textAlignment w:val="center"/>
              <w:rPr>
                <w:rFonts w:hint="eastAsia" w:ascii="宋体" w:hAnsi="宋体" w:eastAsia="宋体" w:cs="宋体"/>
                <w:kern w:val="0"/>
                <w:sz w:val="21"/>
                <w:szCs w:val="21"/>
              </w:rPr>
            </w:pPr>
          </w:p>
        </w:tc>
        <w:tc>
          <w:tcPr>
            <w:tcW w:w="847" w:type="dxa"/>
            <w:vMerge w:val="continue"/>
            <w:tcBorders>
              <w:left w:val="single" w:color="auto" w:sz="4" w:space="0"/>
              <w:bottom w:val="single" w:color="auto" w:sz="4" w:space="0"/>
              <w:right w:val="single" w:color="auto" w:sz="4" w:space="0"/>
            </w:tcBorders>
            <w:noWrap w:val="0"/>
            <w:vAlign w:val="center"/>
          </w:tcPr>
          <w:p w14:paraId="38FAC3EA">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68B128CC">
            <w:pPr>
              <w:widowControl/>
              <w:spacing w:line="240" w:lineRule="exact"/>
              <w:ind w:firstLine="0" w:firstLineChars="0"/>
              <w:jc w:val="center"/>
              <w:textAlignment w:val="center"/>
              <w:rPr>
                <w:rFonts w:hint="eastAsia" w:ascii="宋体" w:hAnsi="宋体" w:eastAsia="宋体" w:cs="宋体"/>
                <w:kern w:val="0"/>
                <w:sz w:val="21"/>
                <w:szCs w:val="21"/>
              </w:rPr>
            </w:pPr>
          </w:p>
        </w:tc>
        <w:tc>
          <w:tcPr>
            <w:tcW w:w="1243" w:type="dxa"/>
            <w:vMerge w:val="continue"/>
            <w:tcBorders>
              <w:left w:val="single" w:color="auto" w:sz="4" w:space="0"/>
              <w:bottom w:val="single" w:color="auto" w:sz="4" w:space="0"/>
              <w:right w:val="single" w:color="auto" w:sz="4" w:space="0"/>
            </w:tcBorders>
            <w:noWrap w:val="0"/>
            <w:vAlign w:val="center"/>
          </w:tcPr>
          <w:p w14:paraId="18466736">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2D356E39">
            <w:pPr>
              <w:widowControl/>
              <w:spacing w:line="240" w:lineRule="exact"/>
              <w:ind w:firstLine="0" w:firstLineChars="0"/>
              <w:jc w:val="center"/>
              <w:textAlignment w:val="center"/>
              <w:rPr>
                <w:rFonts w:hint="eastAsia" w:ascii="宋体" w:hAnsi="宋体" w:eastAsia="宋体" w:cs="宋体"/>
                <w:kern w:val="0"/>
                <w:sz w:val="21"/>
                <w:szCs w:val="21"/>
              </w:rPr>
            </w:pPr>
          </w:p>
        </w:tc>
        <w:tc>
          <w:tcPr>
            <w:tcW w:w="2715" w:type="dxa"/>
            <w:tcBorders>
              <w:top w:val="single" w:color="auto" w:sz="4" w:space="0"/>
              <w:left w:val="single" w:color="auto" w:sz="4" w:space="0"/>
              <w:bottom w:val="single" w:color="auto" w:sz="4" w:space="0"/>
              <w:right w:val="single" w:color="auto" w:sz="4" w:space="0"/>
            </w:tcBorders>
            <w:noWrap w:val="0"/>
            <w:vAlign w:val="center"/>
          </w:tcPr>
          <w:p w14:paraId="17C86E9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寄宿生生活补助经费</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4432805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≤14.36万元</w:t>
            </w:r>
          </w:p>
        </w:tc>
        <w:tc>
          <w:tcPr>
            <w:tcW w:w="3254" w:type="dxa"/>
            <w:vMerge w:val="continue"/>
            <w:tcBorders>
              <w:left w:val="single" w:color="auto" w:sz="4" w:space="0"/>
              <w:bottom w:val="single" w:color="auto" w:sz="4" w:space="0"/>
              <w:right w:val="single" w:color="auto" w:sz="4" w:space="0"/>
            </w:tcBorders>
            <w:noWrap w:val="0"/>
            <w:vAlign w:val="center"/>
          </w:tcPr>
          <w:p w14:paraId="23FD46F5">
            <w:pPr>
              <w:widowControl/>
              <w:spacing w:line="240" w:lineRule="exact"/>
              <w:ind w:firstLine="0" w:firstLineChars="0"/>
              <w:jc w:val="center"/>
              <w:textAlignment w:val="center"/>
              <w:rPr>
                <w:rFonts w:hint="eastAsia" w:ascii="宋体" w:hAnsi="宋体" w:eastAsia="宋体" w:cs="宋体"/>
                <w:kern w:val="0"/>
                <w:sz w:val="21"/>
                <w:szCs w:val="21"/>
              </w:rPr>
            </w:pPr>
          </w:p>
        </w:tc>
        <w:tc>
          <w:tcPr>
            <w:tcW w:w="740" w:type="dxa"/>
            <w:tcBorders>
              <w:top w:val="single" w:color="auto" w:sz="4" w:space="0"/>
              <w:left w:val="single" w:color="auto" w:sz="4" w:space="0"/>
              <w:bottom w:val="single" w:color="auto" w:sz="4" w:space="0"/>
              <w:right w:val="single" w:color="auto" w:sz="4" w:space="0"/>
            </w:tcBorders>
            <w:noWrap w:val="0"/>
            <w:vAlign w:val="center"/>
          </w:tcPr>
          <w:p w14:paraId="4AE61299">
            <w:pPr>
              <w:widowControl/>
              <w:spacing w:line="240" w:lineRule="exact"/>
              <w:ind w:firstLine="0" w:firstLineChars="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14.36万元</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6AF0D53D">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w:t>
            </w:r>
          </w:p>
        </w:tc>
      </w:tr>
      <w:tr w14:paraId="2F74E833">
        <w:tblPrEx>
          <w:tblCellMar>
            <w:top w:w="0" w:type="dxa"/>
            <w:left w:w="108" w:type="dxa"/>
            <w:bottom w:w="0" w:type="dxa"/>
            <w:right w:w="108" w:type="dxa"/>
          </w:tblCellMar>
        </w:tblPrEx>
        <w:trPr>
          <w:trHeight w:val="160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67E4C9A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28D7392A">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49230FE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0DDF1CC7">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6B6DF9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社会效益</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D164A6E">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054A71D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有效改善学生生活质量</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2C4D5B0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有效改善高</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3AF6A00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按评判等级赋分。分为基本达成目标、部分实现目标、实现目标程度较低三个档次，并分别按照该指标对应分值区间100%-80%（含）、80%-60%（含）、60%-0%合理确定分值。</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3D73BBB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有效改善</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2397C88F">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20</w:t>
            </w:r>
          </w:p>
        </w:tc>
      </w:tr>
      <w:tr w14:paraId="0843EE28">
        <w:tblPrEx>
          <w:tblCellMar>
            <w:top w:w="0" w:type="dxa"/>
            <w:left w:w="108" w:type="dxa"/>
            <w:bottom w:w="0" w:type="dxa"/>
            <w:right w:w="108" w:type="dxa"/>
          </w:tblCellMar>
        </w:tblPrEx>
        <w:trPr>
          <w:trHeight w:val="94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3EC0EAD9">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B840E66">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32621546">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0C0CA093">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4A07FA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服务对象满意度</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40D3DCC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1AE16AEC">
            <w:pPr>
              <w:widowControl/>
              <w:spacing w:line="240" w:lineRule="exact"/>
              <w:ind w:firstLine="0" w:firstLineChars="0"/>
              <w:jc w:val="center"/>
              <w:textAlignment w:val="center"/>
              <w:rPr>
                <w:rFonts w:hint="eastAsia" w:ascii="宋体" w:hAnsi="宋体" w:eastAsia="宋体" w:cs="宋体"/>
                <w:sz w:val="21"/>
                <w:szCs w:val="21"/>
              </w:rPr>
            </w:pPr>
            <w:r>
              <w:rPr>
                <w:rFonts w:hint="eastAsia"/>
              </w:rPr>
              <w:t>学生满意度</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5EB07BC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≥95%</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28C95B7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根据问卷调查，满意度达到标杆值，得权重分的100%；否则低于95%，得分=实际满意度*指标分值。</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59301E9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3EA3BF0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r>
      <w:tr w14:paraId="127BF020">
        <w:tblPrEx>
          <w:tblCellMar>
            <w:top w:w="0" w:type="dxa"/>
            <w:left w:w="108" w:type="dxa"/>
            <w:bottom w:w="0" w:type="dxa"/>
            <w:right w:w="108" w:type="dxa"/>
          </w:tblCellMar>
        </w:tblPrEx>
        <w:trPr>
          <w:trHeight w:val="610"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63E487E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总分</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4F19118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4CA669FB">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5FAA039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A014E9B">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6AC88BE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2715" w:type="dxa"/>
            <w:tcBorders>
              <w:top w:val="single" w:color="auto" w:sz="4" w:space="0"/>
              <w:left w:val="single" w:color="auto" w:sz="4" w:space="0"/>
              <w:bottom w:val="single" w:color="auto" w:sz="4" w:space="0"/>
              <w:right w:val="single" w:color="auto" w:sz="4" w:space="0"/>
            </w:tcBorders>
            <w:noWrap w:val="0"/>
            <w:vAlign w:val="center"/>
          </w:tcPr>
          <w:p w14:paraId="05F7B9B9">
            <w:pPr>
              <w:widowControl/>
              <w:spacing w:line="240" w:lineRule="exact"/>
              <w:ind w:firstLine="0" w:firstLineChars="0"/>
              <w:jc w:val="center"/>
              <w:rPr>
                <w:rFonts w:hint="eastAsia" w:ascii="宋体" w:hAnsi="宋体" w:eastAsia="宋体" w:cs="宋体"/>
                <w:sz w:val="21"/>
                <w:szCs w:val="21"/>
              </w:rPr>
            </w:pPr>
          </w:p>
        </w:tc>
        <w:tc>
          <w:tcPr>
            <w:tcW w:w="1249" w:type="dxa"/>
            <w:tcBorders>
              <w:top w:val="single" w:color="auto" w:sz="4" w:space="0"/>
              <w:left w:val="single" w:color="auto" w:sz="4" w:space="0"/>
              <w:bottom w:val="single" w:color="auto" w:sz="4" w:space="0"/>
              <w:right w:val="single" w:color="auto" w:sz="4" w:space="0"/>
            </w:tcBorders>
            <w:noWrap w:val="0"/>
            <w:vAlign w:val="center"/>
          </w:tcPr>
          <w:p w14:paraId="72E2DD2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w:t>
            </w:r>
          </w:p>
        </w:tc>
        <w:tc>
          <w:tcPr>
            <w:tcW w:w="3254" w:type="dxa"/>
            <w:tcBorders>
              <w:top w:val="single" w:color="auto" w:sz="4" w:space="0"/>
              <w:left w:val="single" w:color="auto" w:sz="4" w:space="0"/>
              <w:bottom w:val="single" w:color="auto" w:sz="4" w:space="0"/>
              <w:right w:val="single" w:color="auto" w:sz="4" w:space="0"/>
            </w:tcBorders>
            <w:noWrap w:val="0"/>
            <w:vAlign w:val="center"/>
          </w:tcPr>
          <w:p w14:paraId="593D368A">
            <w:pPr>
              <w:widowControl/>
              <w:spacing w:line="240" w:lineRule="exact"/>
              <w:ind w:firstLine="0" w:firstLineChars="0"/>
              <w:jc w:val="left"/>
              <w:rPr>
                <w:rFonts w:hint="eastAsia" w:ascii="宋体" w:hAnsi="宋体" w:eastAsia="宋体" w:cs="宋体"/>
                <w:sz w:val="21"/>
                <w:szCs w:val="21"/>
              </w:rPr>
            </w:pPr>
          </w:p>
        </w:tc>
        <w:tc>
          <w:tcPr>
            <w:tcW w:w="740" w:type="dxa"/>
            <w:tcBorders>
              <w:top w:val="single" w:color="auto" w:sz="4" w:space="0"/>
              <w:left w:val="single" w:color="auto" w:sz="4" w:space="0"/>
              <w:bottom w:val="single" w:color="auto" w:sz="4" w:space="0"/>
              <w:right w:val="single" w:color="auto" w:sz="4" w:space="0"/>
            </w:tcBorders>
            <w:noWrap w:val="0"/>
            <w:vAlign w:val="center"/>
          </w:tcPr>
          <w:p w14:paraId="7F5632ED">
            <w:pPr>
              <w:widowControl/>
              <w:spacing w:line="240" w:lineRule="exact"/>
              <w:ind w:firstLine="0" w:firstLineChars="0"/>
              <w:jc w:val="center"/>
              <w:rPr>
                <w:rFonts w:hint="eastAsia" w:ascii="宋体" w:hAnsi="宋体" w:eastAsia="宋体" w:cs="宋体"/>
                <w:sz w:val="21"/>
                <w:szCs w:val="21"/>
              </w:rPr>
            </w:pPr>
          </w:p>
        </w:tc>
        <w:tc>
          <w:tcPr>
            <w:tcW w:w="640" w:type="dxa"/>
            <w:tcBorders>
              <w:top w:val="single" w:color="auto" w:sz="4" w:space="0"/>
              <w:left w:val="single" w:color="auto" w:sz="4" w:space="0"/>
              <w:bottom w:val="single" w:color="auto" w:sz="4" w:space="0"/>
              <w:right w:val="single" w:color="auto" w:sz="4" w:space="0"/>
            </w:tcBorders>
            <w:noWrap w:val="0"/>
            <w:vAlign w:val="center"/>
          </w:tcPr>
          <w:p w14:paraId="3E13AB1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r>
    </w:tbl>
    <w:p w14:paraId="1DFA0DDE">
      <w:pPr>
        <w:pStyle w:val="10"/>
        <w:ind w:firstLine="482"/>
        <w:rPr>
          <w:rFonts w:hint="eastAsia" w:ascii="宋体" w:hAnsi="宋体" w:eastAsia="宋体" w:cs="宋体"/>
          <w:sz w:val="24"/>
          <w:szCs w:val="24"/>
        </w:rPr>
      </w:pPr>
    </w:p>
    <w:p w14:paraId="339E32BF">
      <w:pPr>
        <w:pStyle w:val="10"/>
        <w:ind w:firstLine="482"/>
        <w:rPr>
          <w:rFonts w:hint="eastAsia" w:ascii="宋体" w:hAnsi="宋体" w:eastAsia="宋体" w:cs="宋体"/>
          <w:sz w:val="24"/>
          <w:szCs w:val="24"/>
        </w:rPr>
      </w:pPr>
    </w:p>
    <w:p w14:paraId="29F42E82">
      <w:pPr>
        <w:pStyle w:val="10"/>
        <w:ind w:firstLine="0" w:firstLineChars="0"/>
        <w:jc w:val="both"/>
        <w:rPr>
          <w:rFonts w:hint="eastAsia" w:ascii="宋体" w:hAnsi="宋体" w:eastAsia="宋体" w:cs="宋体"/>
          <w:sz w:val="24"/>
          <w:szCs w:val="24"/>
        </w:rPr>
      </w:pPr>
    </w:p>
    <w:p w14:paraId="3478E5FB">
      <w:pPr>
        <w:pStyle w:val="10"/>
        <w:ind w:firstLine="0" w:firstLineChars="0"/>
        <w:jc w:val="both"/>
        <w:rPr>
          <w:rFonts w:hint="eastAsia" w:ascii="宋体" w:hAnsi="宋体" w:eastAsia="宋体" w:cs="宋体"/>
          <w:sz w:val="24"/>
          <w:szCs w:val="24"/>
        </w:rPr>
      </w:pPr>
    </w:p>
    <w:p w14:paraId="61D55186">
      <w:pPr>
        <w:pStyle w:val="10"/>
        <w:ind w:firstLine="0" w:firstLineChars="0"/>
        <w:jc w:val="both"/>
        <w:rPr>
          <w:rFonts w:hint="eastAsia" w:ascii="宋体" w:hAnsi="宋体" w:eastAsia="宋体" w:cs="宋体"/>
          <w:sz w:val="24"/>
          <w:szCs w:val="24"/>
        </w:rPr>
      </w:pPr>
      <w:r>
        <w:rPr>
          <w:rFonts w:hint="eastAsia" w:ascii="宋体" w:hAnsi="宋体" w:eastAsia="宋体" w:cs="宋体"/>
          <w:sz w:val="24"/>
          <w:szCs w:val="24"/>
        </w:rPr>
        <w:t>附件2：</w:t>
      </w:r>
    </w:p>
    <w:tbl>
      <w:tblPr>
        <w:tblStyle w:val="23"/>
        <w:tblW w:w="0" w:type="auto"/>
        <w:tblInd w:w="0" w:type="dxa"/>
        <w:tblLayout w:type="fixed"/>
        <w:tblCellMar>
          <w:top w:w="0" w:type="dxa"/>
          <w:left w:w="108" w:type="dxa"/>
          <w:bottom w:w="0" w:type="dxa"/>
          <w:right w:w="108" w:type="dxa"/>
        </w:tblCellMar>
      </w:tblPr>
      <w:tblGrid>
        <w:gridCol w:w="2227"/>
        <w:gridCol w:w="2227"/>
        <w:gridCol w:w="2227"/>
        <w:gridCol w:w="2227"/>
        <w:gridCol w:w="2227"/>
        <w:gridCol w:w="2233"/>
      </w:tblGrid>
      <w:tr w14:paraId="608DB24D">
        <w:tblPrEx>
          <w:tblCellMar>
            <w:top w:w="0" w:type="dxa"/>
            <w:left w:w="108" w:type="dxa"/>
            <w:bottom w:w="0" w:type="dxa"/>
            <w:right w:w="108" w:type="dxa"/>
          </w:tblCellMar>
        </w:tblPrEx>
        <w:trPr>
          <w:trHeight w:val="620" w:hRule="atLeast"/>
        </w:trPr>
        <w:tc>
          <w:tcPr>
            <w:tcW w:w="13368" w:type="dxa"/>
            <w:gridSpan w:val="6"/>
            <w:tcBorders>
              <w:top w:val="nil"/>
              <w:left w:val="nil"/>
              <w:bottom w:val="nil"/>
              <w:right w:val="nil"/>
            </w:tcBorders>
            <w:noWrap/>
            <w:vAlign w:val="center"/>
          </w:tcPr>
          <w:p w14:paraId="653521FC">
            <w:pPr>
              <w:widowControl/>
              <w:ind w:firstLine="0" w:firstLineChars="0"/>
              <w:jc w:val="center"/>
              <w:textAlignment w:val="center"/>
              <w:rPr>
                <w:rFonts w:hint="eastAsia" w:ascii="宋体" w:hAnsi="宋体" w:eastAsia="宋体" w:cs="宋体"/>
                <w:b/>
                <w:bCs/>
                <w:sz w:val="36"/>
                <w:szCs w:val="36"/>
              </w:rPr>
            </w:pPr>
            <w:r>
              <w:rPr>
                <w:rFonts w:hint="eastAsia" w:ascii="宋体" w:hAnsi="宋体" w:eastAsia="宋体" w:cs="宋体"/>
                <w:b/>
                <w:bCs/>
                <w:kern w:val="0"/>
                <w:sz w:val="36"/>
                <w:szCs w:val="36"/>
              </w:rPr>
              <w:t>中央直达资金城乡义务教育补助经费项目综合得分表</w:t>
            </w:r>
          </w:p>
        </w:tc>
      </w:tr>
      <w:tr w14:paraId="3433C725">
        <w:tblPrEx>
          <w:tblCellMar>
            <w:top w:w="0" w:type="dxa"/>
            <w:left w:w="108" w:type="dxa"/>
            <w:bottom w:w="0" w:type="dxa"/>
            <w:right w:w="108" w:type="dxa"/>
          </w:tblCellMar>
        </w:tblPrEx>
        <w:trPr>
          <w:trHeight w:val="540" w:hRule="atLeast"/>
        </w:trPr>
        <w:tc>
          <w:tcPr>
            <w:tcW w:w="2227" w:type="dxa"/>
            <w:tcBorders>
              <w:top w:val="single" w:color="auto" w:sz="4" w:space="0"/>
              <w:left w:val="single" w:color="auto" w:sz="4" w:space="0"/>
              <w:bottom w:val="single" w:color="auto" w:sz="4" w:space="0"/>
              <w:right w:val="single" w:color="auto" w:sz="4" w:space="0"/>
            </w:tcBorders>
            <w:noWrap w:val="0"/>
            <w:vAlign w:val="center"/>
          </w:tcPr>
          <w:p w14:paraId="1368CD18">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指标</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69FAD4">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项目决策</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1539AA5">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项目过程</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A5FA453">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项目产出</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A1A3AF1">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项目效益</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7920CE55">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合计</w:t>
            </w:r>
          </w:p>
        </w:tc>
      </w:tr>
      <w:tr w14:paraId="4958FDC3">
        <w:tblPrEx>
          <w:tblCellMar>
            <w:top w:w="0" w:type="dxa"/>
            <w:left w:w="108" w:type="dxa"/>
            <w:bottom w:w="0" w:type="dxa"/>
            <w:right w:w="108" w:type="dxa"/>
          </w:tblCellMar>
        </w:tblPrEx>
        <w:trPr>
          <w:trHeight w:val="540" w:hRule="atLeast"/>
        </w:trPr>
        <w:tc>
          <w:tcPr>
            <w:tcW w:w="2227" w:type="dxa"/>
            <w:tcBorders>
              <w:top w:val="single" w:color="auto" w:sz="4" w:space="0"/>
              <w:left w:val="single" w:color="auto" w:sz="4" w:space="0"/>
              <w:bottom w:val="single" w:color="auto" w:sz="4" w:space="0"/>
              <w:right w:val="single" w:color="auto" w:sz="4" w:space="0"/>
            </w:tcBorders>
            <w:noWrap w:val="0"/>
            <w:vAlign w:val="center"/>
          </w:tcPr>
          <w:p w14:paraId="6B2C3FFC">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权重</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4172D159">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23.00 </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503433E">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12.00 </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7FFFCE">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40.00 </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ECDB1E9">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25.00 </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19E40207">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100.00 </w:t>
            </w:r>
          </w:p>
        </w:tc>
      </w:tr>
      <w:tr w14:paraId="50768B22">
        <w:tblPrEx>
          <w:tblCellMar>
            <w:top w:w="0" w:type="dxa"/>
            <w:left w:w="108" w:type="dxa"/>
            <w:bottom w:w="0" w:type="dxa"/>
            <w:right w:w="108" w:type="dxa"/>
          </w:tblCellMar>
        </w:tblPrEx>
        <w:trPr>
          <w:trHeight w:val="540" w:hRule="atLeast"/>
        </w:trPr>
        <w:tc>
          <w:tcPr>
            <w:tcW w:w="2227" w:type="dxa"/>
            <w:tcBorders>
              <w:top w:val="single" w:color="auto" w:sz="4" w:space="0"/>
              <w:left w:val="single" w:color="auto" w:sz="4" w:space="0"/>
              <w:bottom w:val="single" w:color="auto" w:sz="4" w:space="0"/>
              <w:right w:val="single" w:color="auto" w:sz="4" w:space="0"/>
            </w:tcBorders>
            <w:noWrap w:val="0"/>
            <w:vAlign w:val="center"/>
          </w:tcPr>
          <w:p w14:paraId="6A4FC5DA">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得分</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43D5266B">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23.00 </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486E3C60">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12.00 </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EFAEAE9">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40.00 </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BACBA9E">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25.00 </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7A21070D">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100.00 </w:t>
            </w:r>
          </w:p>
        </w:tc>
      </w:tr>
      <w:tr w14:paraId="218E9A82">
        <w:tblPrEx>
          <w:tblCellMar>
            <w:top w:w="0" w:type="dxa"/>
            <w:left w:w="108" w:type="dxa"/>
            <w:bottom w:w="0" w:type="dxa"/>
            <w:right w:w="108" w:type="dxa"/>
          </w:tblCellMar>
        </w:tblPrEx>
        <w:trPr>
          <w:trHeight w:val="540" w:hRule="atLeast"/>
        </w:trPr>
        <w:tc>
          <w:tcPr>
            <w:tcW w:w="2227" w:type="dxa"/>
            <w:tcBorders>
              <w:top w:val="single" w:color="auto" w:sz="4" w:space="0"/>
              <w:left w:val="single" w:color="auto" w:sz="4" w:space="0"/>
              <w:bottom w:val="single" w:color="auto" w:sz="4" w:space="0"/>
              <w:right w:val="single" w:color="auto" w:sz="4" w:space="0"/>
            </w:tcBorders>
            <w:noWrap w:val="0"/>
            <w:vAlign w:val="center"/>
          </w:tcPr>
          <w:p w14:paraId="6B9B4421">
            <w:pPr>
              <w:widowControl/>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得分率</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53C1F4">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100.00%</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73A12F4">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100.00%</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0D41584">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100.00%</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7A86DF2">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100.00%</w:t>
            </w:r>
          </w:p>
        </w:tc>
        <w:tc>
          <w:tcPr>
            <w:tcW w:w="2233" w:type="dxa"/>
            <w:tcBorders>
              <w:top w:val="single" w:color="auto" w:sz="4" w:space="0"/>
              <w:left w:val="single" w:color="auto" w:sz="4" w:space="0"/>
              <w:bottom w:val="single" w:color="auto" w:sz="4" w:space="0"/>
              <w:right w:val="single" w:color="auto" w:sz="4" w:space="0"/>
            </w:tcBorders>
            <w:noWrap w:val="0"/>
            <w:vAlign w:val="center"/>
          </w:tcPr>
          <w:p w14:paraId="5B9A17B7">
            <w:pPr>
              <w:widowControl/>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100.00%</w:t>
            </w:r>
          </w:p>
        </w:tc>
      </w:tr>
    </w:tbl>
    <w:p w14:paraId="111EED57">
      <w:pPr>
        <w:pStyle w:val="10"/>
        <w:ind w:firstLine="0" w:firstLineChars="0"/>
        <w:jc w:val="both"/>
        <w:rPr>
          <w:rFonts w:ascii="宋体" w:hAnsi="宋体" w:eastAsia="宋体" w:cs="宋体"/>
          <w:sz w:val="24"/>
          <w:szCs w:val="24"/>
        </w:rPr>
      </w:pPr>
    </w:p>
    <w:p w14:paraId="66896F62">
      <w:pPr>
        <w:pStyle w:val="10"/>
        <w:ind w:firstLine="0" w:firstLineChars="0"/>
        <w:jc w:val="both"/>
        <w:rPr>
          <w:rFonts w:hint="eastAsia" w:ascii="宋体" w:hAnsi="宋体" w:eastAsia="宋体" w:cs="宋体"/>
          <w:sz w:val="24"/>
          <w:szCs w:val="24"/>
        </w:rPr>
        <w:sectPr>
          <w:pgSz w:w="16838" w:h="11906" w:orient="landscape"/>
          <w:pgMar w:top="1531" w:right="1985" w:bottom="1531" w:left="1701" w:header="851" w:footer="992" w:gutter="0"/>
          <w:pgNumType w:start="1"/>
          <w:cols w:space="720" w:num="1"/>
          <w:docGrid w:type="linesAndChars" w:linePitch="386" w:charSpace="0"/>
        </w:sectPr>
      </w:pPr>
    </w:p>
    <w:p w14:paraId="6D3A5979">
      <w:pPr>
        <w:spacing w:line="360" w:lineRule="auto"/>
        <w:ind w:firstLine="482"/>
        <w:rPr>
          <w:rFonts w:hint="eastAsia" w:ascii="宋体" w:hAnsi="宋体" w:eastAsia="宋体" w:cs="宋体"/>
          <w:b/>
          <w:bCs/>
          <w:sz w:val="24"/>
          <w:szCs w:val="24"/>
        </w:rPr>
      </w:pPr>
      <w:r>
        <w:rPr>
          <w:rFonts w:hint="eastAsia" w:ascii="宋体" w:hAnsi="宋体" w:eastAsia="宋体" w:cs="宋体"/>
          <w:b/>
          <w:bCs/>
          <w:sz w:val="24"/>
          <w:szCs w:val="24"/>
        </w:rPr>
        <w:t>附件3：</w:t>
      </w:r>
    </w:p>
    <w:p w14:paraId="6921E275">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中央直达资金-和地财教[2023]60号2024年城乡义务教育补助经费满意度调查</w:t>
      </w:r>
    </w:p>
    <w:p w14:paraId="63A4793A">
      <w:pPr>
        <w:spacing w:line="36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问卷分析报告</w:t>
      </w:r>
    </w:p>
    <w:p w14:paraId="1A91B59B">
      <w:pPr>
        <w:spacing w:line="360" w:lineRule="auto"/>
        <w:ind w:firstLine="482"/>
        <w:rPr>
          <w:rFonts w:hint="eastAsia" w:ascii="宋体" w:hAnsi="宋体" w:eastAsia="宋体" w:cs="宋体"/>
          <w:b/>
          <w:bCs/>
          <w:sz w:val="24"/>
          <w:szCs w:val="24"/>
        </w:rPr>
      </w:pPr>
    </w:p>
    <w:p w14:paraId="5E679610">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为客观评价该项目的社会效果，了解项目受益群体对项目实施后的真实评价情况，对本项目开展满意度问卷调查。问卷调查工作情况如下。问卷调查工作情况如下：</w:t>
      </w:r>
    </w:p>
    <w:p w14:paraId="06BBF6C6">
      <w:pPr>
        <w:spacing w:line="360" w:lineRule="auto"/>
        <w:ind w:firstLine="482"/>
        <w:rPr>
          <w:rFonts w:hint="eastAsia" w:ascii="宋体" w:hAnsi="宋体" w:eastAsia="宋体" w:cs="宋体"/>
          <w:b/>
          <w:bCs/>
          <w:sz w:val="24"/>
          <w:szCs w:val="24"/>
        </w:rPr>
      </w:pPr>
      <w:r>
        <w:rPr>
          <w:rFonts w:hint="eastAsia" w:ascii="宋体" w:hAnsi="宋体" w:eastAsia="宋体" w:cs="宋体"/>
          <w:b/>
          <w:bCs/>
          <w:sz w:val="24"/>
          <w:szCs w:val="24"/>
        </w:rPr>
        <w:t>一、该问卷调查从2025年2月20日开始至2025年2月</w:t>
      </w:r>
      <w:r>
        <w:rPr>
          <w:rFonts w:hint="eastAsia" w:ascii="宋体" w:hAnsi="宋体" w:eastAsia="宋体" w:cs="宋体"/>
          <w:b/>
          <w:bCs/>
          <w:sz w:val="24"/>
          <w:szCs w:val="24"/>
          <w:lang w:val="en-US" w:eastAsia="zh-CN"/>
        </w:rPr>
        <w:t>18</w:t>
      </w:r>
      <w:r>
        <w:rPr>
          <w:rFonts w:hint="eastAsia" w:ascii="宋体" w:hAnsi="宋体" w:eastAsia="宋体" w:cs="宋体"/>
          <w:b/>
          <w:bCs/>
          <w:sz w:val="24"/>
          <w:szCs w:val="24"/>
        </w:rPr>
        <w:t>日结束，调查问卷共设置3道题目。</w:t>
      </w:r>
    </w:p>
    <w:p w14:paraId="04F9A675">
      <w:pPr>
        <w:pStyle w:val="10"/>
        <w:spacing w:before="0" w:after="0"/>
        <w:ind w:firstLine="482"/>
        <w:jc w:val="both"/>
        <w:rPr>
          <w:rFonts w:hint="eastAsia" w:ascii="宋体" w:hAnsi="宋体" w:eastAsia="宋体" w:cs="宋体"/>
          <w:bCs/>
          <w:sz w:val="24"/>
          <w:szCs w:val="24"/>
        </w:rPr>
      </w:pPr>
      <w:r>
        <w:rPr>
          <w:rFonts w:hint="eastAsia" w:ascii="宋体" w:hAnsi="宋体" w:eastAsia="宋体" w:cs="宋体"/>
          <w:bCs/>
          <w:sz w:val="24"/>
          <w:szCs w:val="24"/>
        </w:rPr>
        <w:t>1.调查对象</w:t>
      </w:r>
    </w:p>
    <w:p w14:paraId="5285D8DE">
      <w:pPr>
        <w:pStyle w:val="10"/>
        <w:spacing w:before="0" w:after="0"/>
        <w:ind w:firstLine="482"/>
        <w:jc w:val="both"/>
        <w:rPr>
          <w:rFonts w:hint="eastAsia" w:ascii="宋体" w:hAnsi="宋体" w:eastAsia="宋体" w:cs="宋体"/>
          <w:bCs/>
          <w:sz w:val="24"/>
          <w:szCs w:val="24"/>
        </w:rPr>
      </w:pPr>
      <w:r>
        <w:rPr>
          <w:rFonts w:hint="eastAsia" w:ascii="宋体" w:hAnsi="宋体" w:eastAsia="宋体" w:cs="宋体"/>
          <w:sz w:val="24"/>
          <w:szCs w:val="24"/>
        </w:rPr>
        <w:t>本次调查的受益对象为指导员和调查员。</w:t>
      </w:r>
    </w:p>
    <w:p w14:paraId="3C4D33BD">
      <w:pPr>
        <w:spacing w:line="360" w:lineRule="auto"/>
        <w:ind w:firstLine="482"/>
        <w:rPr>
          <w:rFonts w:hint="eastAsia" w:ascii="宋体" w:hAnsi="宋体" w:eastAsia="宋体" w:cs="宋体"/>
          <w:sz w:val="24"/>
          <w:szCs w:val="24"/>
        </w:rPr>
      </w:pPr>
      <w:r>
        <w:rPr>
          <w:rFonts w:hint="eastAsia" w:ascii="宋体" w:hAnsi="宋体" w:eastAsia="宋体" w:cs="宋体"/>
          <w:b/>
          <w:bCs/>
          <w:sz w:val="24"/>
          <w:szCs w:val="24"/>
        </w:rPr>
        <w:t>2.调查内容</w:t>
      </w:r>
    </w:p>
    <w:p w14:paraId="032242C5">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①您对</w:t>
      </w:r>
      <w:r>
        <w:rPr>
          <w:rFonts w:hint="eastAsia" w:ascii="宋体" w:hAnsi="宋体" w:eastAsia="宋体" w:cs="宋体"/>
          <w:sz w:val="24"/>
          <w:szCs w:val="24"/>
          <w:lang w:eastAsia="zh-CN"/>
        </w:rPr>
        <w:t>2024年城乡义务教育补助经费项目</w:t>
      </w:r>
      <w:r>
        <w:rPr>
          <w:rFonts w:hint="eastAsia" w:ascii="宋体" w:hAnsi="宋体" w:eastAsia="宋体" w:cs="宋体"/>
          <w:sz w:val="24"/>
          <w:szCs w:val="24"/>
        </w:rPr>
        <w:t>的实施是否满意?</w:t>
      </w:r>
    </w:p>
    <w:p w14:paraId="0C3634F7">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A.非常满意   B.满意    C.不满意</w:t>
      </w:r>
    </w:p>
    <w:p w14:paraId="24C7699A">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②您认为项目的实施对改善学生生活质量的程度如何？</w:t>
      </w:r>
    </w:p>
    <w:p w14:paraId="59205F07">
      <w:pPr>
        <w:numPr>
          <w:ilvl w:val="0"/>
          <w:numId w:val="7"/>
        </w:num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有效改善  B.改善    C.无效果</w:t>
      </w:r>
    </w:p>
    <w:p w14:paraId="21182C48">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③总的来说，您对完成教育教学活动和其他日常工作任务等方面的整体满意程度如何？</w:t>
      </w:r>
    </w:p>
    <w:p w14:paraId="6E06F23D">
      <w:pPr>
        <w:spacing w:line="360" w:lineRule="auto"/>
        <w:ind w:firstLine="480"/>
        <w:rPr>
          <w:rFonts w:hint="eastAsia" w:ascii="宋体" w:hAnsi="宋体" w:eastAsia="宋体" w:cs="宋体"/>
          <w:b/>
          <w:bCs/>
          <w:sz w:val="24"/>
          <w:szCs w:val="24"/>
        </w:rPr>
      </w:pPr>
      <w:r>
        <w:rPr>
          <w:rFonts w:hint="eastAsia" w:ascii="宋体" w:hAnsi="宋体" w:eastAsia="宋体" w:cs="宋体"/>
          <w:sz w:val="24"/>
          <w:szCs w:val="24"/>
        </w:rPr>
        <w:t>A.非常满意   B.满意    C.不满意</w:t>
      </w:r>
    </w:p>
    <w:p w14:paraId="4B421D56">
      <w:pPr>
        <w:pStyle w:val="10"/>
        <w:spacing w:before="0" w:after="0"/>
        <w:ind w:firstLine="482"/>
        <w:jc w:val="both"/>
        <w:rPr>
          <w:rFonts w:hint="eastAsia" w:ascii="宋体" w:hAnsi="宋体" w:eastAsia="宋体" w:cs="宋体"/>
          <w:bCs/>
          <w:sz w:val="24"/>
          <w:szCs w:val="24"/>
        </w:rPr>
      </w:pPr>
      <w:r>
        <w:rPr>
          <w:rFonts w:hint="eastAsia" w:ascii="宋体" w:hAnsi="宋体" w:eastAsia="宋体" w:cs="宋体"/>
          <w:bCs/>
          <w:sz w:val="24"/>
          <w:szCs w:val="24"/>
        </w:rPr>
        <w:t>3.调查方法</w:t>
      </w:r>
    </w:p>
    <w:p w14:paraId="1CAC024A">
      <w:pPr>
        <w:spacing w:line="360" w:lineRule="auto"/>
        <w:ind w:firstLine="480"/>
        <w:rPr>
          <w:rFonts w:hint="eastAsia" w:ascii="宋体" w:hAnsi="宋体" w:eastAsia="宋体" w:cs="宋体"/>
          <w:b/>
          <w:bCs/>
          <w:sz w:val="24"/>
          <w:szCs w:val="24"/>
        </w:rPr>
      </w:pPr>
      <w:r>
        <w:rPr>
          <w:rFonts w:hint="eastAsia" w:ascii="宋体" w:hAnsi="宋体" w:eastAsia="宋体" w:cs="宋体"/>
          <w:sz w:val="24"/>
          <w:szCs w:val="24"/>
        </w:rPr>
        <w:t>问卷调查采取分层抽样和随机抽样相结合的方式进行。在全面调查开展之前会先进行论证，依据论证结果对问卷和抽样方案再进行一次修改和调整之后再付诸实施。</w:t>
      </w:r>
    </w:p>
    <w:p w14:paraId="3A93B072">
      <w:pPr>
        <w:pStyle w:val="10"/>
        <w:spacing w:before="0" w:after="0"/>
        <w:ind w:firstLine="482"/>
        <w:jc w:val="both"/>
        <w:rPr>
          <w:rFonts w:hint="eastAsia" w:ascii="宋体" w:hAnsi="宋体" w:eastAsia="宋体" w:cs="宋体"/>
          <w:bCs/>
          <w:sz w:val="24"/>
          <w:szCs w:val="24"/>
        </w:rPr>
      </w:pPr>
      <w:r>
        <w:rPr>
          <w:rFonts w:hint="eastAsia" w:ascii="宋体" w:hAnsi="宋体" w:eastAsia="宋体" w:cs="宋体"/>
          <w:bCs/>
          <w:sz w:val="24"/>
          <w:szCs w:val="24"/>
        </w:rPr>
        <w:t>4.抽样方式</w:t>
      </w:r>
    </w:p>
    <w:p w14:paraId="0CA4B506">
      <w:pPr>
        <w:spacing w:line="360" w:lineRule="auto"/>
        <w:ind w:firstLine="480"/>
        <w:rPr>
          <w:rFonts w:hint="eastAsia" w:ascii="宋体" w:hAnsi="宋体" w:eastAsia="宋体" w:cs="宋体"/>
          <w:b/>
          <w:bCs/>
          <w:sz w:val="24"/>
          <w:szCs w:val="24"/>
        </w:rPr>
      </w:pPr>
      <w:r>
        <w:rPr>
          <w:rFonts w:hint="eastAsia" w:ascii="宋体" w:hAnsi="宋体" w:eastAsia="宋体" w:cs="宋体"/>
          <w:sz w:val="24"/>
          <w:szCs w:val="24"/>
        </w:rPr>
        <w:t>为确保问卷调查的全面性和代表性，本次调查问卷调查采取随机抽样和分层抽样相结合方式进行。</w:t>
      </w:r>
    </w:p>
    <w:p w14:paraId="2E0E3E33">
      <w:pPr>
        <w:spacing w:line="360" w:lineRule="auto"/>
        <w:ind w:firstLine="482"/>
        <w:rPr>
          <w:rFonts w:hint="eastAsia" w:ascii="宋体" w:hAnsi="宋体" w:eastAsia="宋体" w:cs="宋体"/>
          <w:b/>
          <w:bCs/>
          <w:sz w:val="24"/>
          <w:szCs w:val="24"/>
        </w:rPr>
      </w:pPr>
      <w:r>
        <w:rPr>
          <w:rFonts w:hint="eastAsia" w:ascii="宋体" w:hAnsi="宋体" w:eastAsia="宋体" w:cs="宋体"/>
          <w:b/>
          <w:bCs/>
          <w:sz w:val="24"/>
          <w:szCs w:val="24"/>
        </w:rPr>
        <w:t>5.问卷的发放和回收</w:t>
      </w:r>
    </w:p>
    <w:p w14:paraId="59B87107">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255AA7F7">
      <w:pPr>
        <w:spacing w:line="360" w:lineRule="auto"/>
        <w:ind w:firstLine="482"/>
        <w:rPr>
          <w:rFonts w:hint="eastAsia" w:ascii="宋体" w:hAnsi="宋体" w:eastAsia="宋体" w:cs="宋体"/>
          <w:sz w:val="24"/>
          <w:szCs w:val="24"/>
        </w:rPr>
      </w:pPr>
      <w:r>
        <w:rPr>
          <w:rFonts w:hint="eastAsia" w:ascii="宋体" w:hAnsi="宋体" w:eastAsia="宋体" w:cs="宋体"/>
          <w:b/>
          <w:bCs/>
          <w:sz w:val="24"/>
          <w:szCs w:val="24"/>
        </w:rPr>
        <w:t>6.问卷调查分析结果30</w:t>
      </w:r>
      <w:r>
        <w:rPr>
          <w:rFonts w:hint="eastAsia" w:ascii="宋体" w:hAnsi="宋体" w:eastAsia="宋体" w:cs="宋体"/>
          <w:sz w:val="24"/>
          <w:szCs w:val="24"/>
        </w:rPr>
        <w:t>份，问卷回收率为100.00%，有效问卷30份，有效回收率100.00%，本次调查的整体情况如下：</w:t>
      </w:r>
    </w:p>
    <w:p w14:paraId="1244A8D4">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第一个问题：该项统计有效问卷数量30份，选择非常满意的人数为30人。选择满意的人数为0人，选择不满意的人数0人。</w:t>
      </w:r>
    </w:p>
    <w:p w14:paraId="6D9D233B">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第二个问题：该项统计有效问卷数量30份，选择有效提高的人数为30人。选择提高的人数为0人，选择无效果的人数0人。</w:t>
      </w:r>
    </w:p>
    <w:p w14:paraId="25DF4BC2">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第三个问题：该项统计有效问卷数量30份，选择非常满意的人数为30人。选择满意的人数为0人，选择不满意的人数0人。</w:t>
      </w:r>
    </w:p>
    <w:p w14:paraId="7FA1B6BC">
      <w:pPr>
        <w:spacing w:line="360" w:lineRule="auto"/>
        <w:ind w:firstLine="482"/>
        <w:rPr>
          <w:rFonts w:hint="eastAsia" w:ascii="宋体" w:hAnsi="宋体" w:eastAsia="宋体" w:cs="宋体"/>
          <w:b/>
          <w:bCs/>
          <w:sz w:val="24"/>
          <w:szCs w:val="24"/>
        </w:rPr>
      </w:pPr>
      <w:r>
        <w:rPr>
          <w:rFonts w:hint="eastAsia" w:ascii="宋体" w:hAnsi="宋体" w:eastAsia="宋体" w:cs="宋体"/>
          <w:b/>
          <w:bCs/>
          <w:sz w:val="24"/>
          <w:szCs w:val="24"/>
        </w:rPr>
        <w:t>二、调查结果统计</w:t>
      </w:r>
    </w:p>
    <w:p w14:paraId="5FF6EFB3">
      <w:pPr>
        <w:spacing w:line="360" w:lineRule="auto"/>
        <w:ind w:firstLine="480"/>
        <w:rPr>
          <w:rFonts w:hint="eastAsia" w:ascii="宋体" w:hAnsi="宋体" w:eastAsia="宋体" w:cs="宋体"/>
          <w:sz w:val="24"/>
          <w:szCs w:val="24"/>
        </w:rPr>
      </w:pPr>
      <w:r>
        <w:rPr>
          <w:rFonts w:hint="eastAsia" w:ascii="宋体" w:hAnsi="宋体" w:eastAsia="宋体" w:cs="宋体"/>
          <w:sz w:val="24"/>
          <w:szCs w:val="24"/>
          <w:lang w:eastAsia="zh-CN"/>
        </w:rPr>
        <w:t>2024年城乡义务教育补助经费项目</w:t>
      </w:r>
      <w:r>
        <w:rPr>
          <w:rFonts w:hint="eastAsia" w:ascii="宋体" w:hAnsi="宋体" w:eastAsia="宋体" w:cs="宋体"/>
          <w:sz w:val="24"/>
          <w:szCs w:val="24"/>
        </w:rPr>
        <w:t>针对受益人员发放10份调查问卷，最终统计受益人群满意度为100%。</w:t>
      </w:r>
    </w:p>
    <w:p w14:paraId="142A5B7B">
      <w:pPr>
        <w:spacing w:line="360" w:lineRule="auto"/>
        <w:ind w:firstLine="480"/>
        <w:jc w:val="center"/>
        <w:rPr>
          <w:rFonts w:ascii="宋体" w:hAnsi="宋体" w:eastAsia="宋体" w:cs="宋体"/>
          <w:sz w:val="24"/>
          <w:szCs w:val="24"/>
        </w:rPr>
      </w:pPr>
      <w:r>
        <w:rPr>
          <w:rFonts w:hint="eastAsia" w:ascii="宋体" w:hAnsi="宋体" w:eastAsia="宋体" w:cs="宋体"/>
          <w:sz w:val="24"/>
          <w:szCs w:val="24"/>
        </w:rPr>
        <w:t xml:space="preserve">                                          洛浦县拜什托拉克乡中心小学</w:t>
      </w:r>
    </w:p>
    <w:p w14:paraId="036ABAC1">
      <w:pPr>
        <w:spacing w:line="360" w:lineRule="auto"/>
        <w:ind w:firstLine="480"/>
        <w:jc w:val="center"/>
        <w:rPr>
          <w:rFonts w:hint="eastAsia" w:ascii="宋体" w:hAnsi="宋体" w:eastAsia="宋体" w:cs="宋体"/>
          <w:sz w:val="24"/>
          <w:szCs w:val="24"/>
        </w:rPr>
      </w:pPr>
      <w:r>
        <w:rPr>
          <w:rFonts w:hint="eastAsia" w:ascii="宋体" w:hAnsi="宋体" w:eastAsia="宋体" w:cs="宋体"/>
          <w:sz w:val="24"/>
          <w:szCs w:val="24"/>
        </w:rPr>
        <w:t xml:space="preserve">                                                 2025年2月19日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37CFB">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9AB8A">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25B654F3"/>
    <w:multiLevelType w:val="singleLevel"/>
    <w:tmpl w:val="25B654F3"/>
    <w:lvl w:ilvl="0" w:tentative="0">
      <w:start w:val="1"/>
      <w:numFmt w:val="upperLetter"/>
      <w:lvlText w:val="%1."/>
      <w:lvlJc w:val="left"/>
      <w:pPr>
        <w:tabs>
          <w:tab w:val="left" w:pos="312"/>
        </w:tabs>
      </w:pPr>
    </w:lvl>
  </w:abstractNum>
  <w:abstractNum w:abstractNumId="6">
    <w:nsid w:val="59ADCABA"/>
    <w:multiLevelType w:val="singleLevel"/>
    <w:tmpl w:val="59ADCABA"/>
    <w:lvl w:ilvl="0" w:tentative="0">
      <w:start w:val="4"/>
      <w:numFmt w:val="decimal"/>
      <w:suff w:val="nothing"/>
      <w:lvlText w:val="（%1）"/>
      <w:lvlJc w:val="left"/>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4BA52E7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qFormat="1"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3"/>
    <w:link w:val="30"/>
    <w:qFormat/>
    <w:uiPriority w:val="9"/>
    <w:pPr>
      <w:keepNext/>
      <w:keepLines/>
      <w:spacing w:before="340" w:after="330" w:line="578" w:lineRule="auto"/>
      <w:jc w:val="left"/>
      <w:outlineLvl w:val="0"/>
    </w:pPr>
    <w:rPr>
      <w:rFonts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ascii="Calibri" w:hAnsi="Calibri"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3">
    <w:name w:val="Body Text First Indent 2"/>
    <w:basedOn w:val="4"/>
    <w:link w:val="32"/>
    <w:unhideWhenUsed/>
    <w:qFormat/>
    <w:uiPriority w:val="0"/>
    <w:pPr>
      <w:ind w:firstLine="420"/>
    </w:pPr>
  </w:style>
  <w:style w:type="paragraph" w:styleId="4">
    <w:name w:val="Body Text Indent"/>
    <w:basedOn w:val="1"/>
    <w:link w:val="31"/>
    <w:unhideWhenUsed/>
    <w:qFormat/>
    <w:uiPriority w:val="99"/>
    <w:pPr>
      <w:spacing w:after="120"/>
      <w:ind w:left="420" w:leftChars="200"/>
    </w:pPr>
    <w:rPr>
      <w:rFonts w:ascii="Calibri" w:hAnsi="Calibri"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qFormat/>
    <w:uiPriority w:val="99"/>
    <w:rPr>
      <w:rFonts w:ascii="宋体" w:hAnsi="Calibri"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8"/>
    <w:unhideWhenUsed/>
    <w:qFormat/>
    <w:uiPriority w:val="99"/>
    <w:rPr>
      <w:rFonts w:ascii="Calibri" w:hAnsi="Calibri"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ascii="Calibri" w:hAnsi="Calibri"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qFormat/>
    <w:uiPriority w:val="99"/>
    <w:rPr>
      <w:rFonts w:ascii="Calibri" w:hAnsi="Calibri"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1 Char"/>
    <w:link w:val="2"/>
    <w:uiPriority w:val="9"/>
    <w:rPr>
      <w:rFonts w:ascii="Times New Roman" w:hAnsi="Times New Roman" w:eastAsia="仿宋_GB2312" w:cs="Times New Roman"/>
      <w:b/>
      <w:bCs/>
      <w:kern w:val="44"/>
      <w:sz w:val="32"/>
      <w:szCs w:val="44"/>
    </w:rPr>
  </w:style>
  <w:style w:type="character" w:customStyle="1" w:styleId="31">
    <w:name w:val="正文文本缩进 Char"/>
    <w:link w:val="4"/>
    <w:semiHidden/>
    <w:uiPriority w:val="99"/>
    <w:rPr>
      <w:rFonts w:ascii="Calibri" w:hAnsi="Calibri" w:eastAsia="仿宋_GB2312" w:cs="黑体"/>
      <w:sz w:val="28"/>
    </w:rPr>
  </w:style>
  <w:style w:type="character" w:customStyle="1" w:styleId="32">
    <w:name w:val="正文首行缩进 2 Char"/>
    <w:link w:val="3"/>
    <w:uiPriority w:val="0"/>
    <w:rPr>
      <w:rFonts w:ascii="Calibri" w:hAnsi="Calibri" w:eastAsia="仿宋_GB2312" w:cs="黑体"/>
      <w:sz w:val="28"/>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qFormat/>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qFormat/>
    <w:uiPriority w:val="99"/>
    <w:rPr>
      <w:rFonts w:ascii="Calibri" w:hAnsi="Calibri" w:eastAsia="仿宋_GB2312" w:cs="黑体"/>
      <w:b/>
      <w:bCs/>
      <w:sz w:val="20"/>
      <w:szCs w:val="20"/>
    </w:rPr>
  </w:style>
  <w:style w:type="character" w:customStyle="1" w:styleId="43">
    <w:name w:val="font21"/>
    <w:qFormat/>
    <w:uiPriority w:val="0"/>
    <w:rPr>
      <w:rFonts w:hint="default" w:ascii="Times New Roman" w:hAnsi="Times New Roman" w:cs="Times New Roman"/>
      <w:color w:val="000000"/>
      <w:sz w:val="24"/>
      <w:szCs w:val="24"/>
      <w:u w:val="none"/>
    </w:rPr>
  </w:style>
  <w:style w:type="character" w:customStyle="1" w:styleId="44">
    <w:name w:val="无间隔 Char"/>
    <w:link w:val="45"/>
    <w:qFormat/>
    <w:uiPriority w:val="1"/>
    <w:rPr>
      <w:rFonts w:eastAsia="仿宋_GB2312" w:cs="黑体"/>
      <w:kern w:val="2"/>
      <w:sz w:val="28"/>
      <w:szCs w:val="22"/>
      <w:lang w:val="en-US" w:eastAsia="zh-CN" w:bidi="ar-SA"/>
    </w:rPr>
  </w:style>
  <w:style w:type="paragraph" w:styleId="45">
    <w:name w:val="No Spacing"/>
    <w:link w:val="4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6">
    <w:name w:val="46"/>
    <w:qFormat/>
    <w:uiPriority w:val="0"/>
    <w:rPr>
      <w:b/>
      <w:bCs/>
      <w:smallCaps/>
      <w:color w:val="C0504D"/>
      <w:spacing w:val="5"/>
      <w:u w:val="single"/>
    </w:rPr>
  </w:style>
  <w:style w:type="character" w:customStyle="1" w:styleId="47">
    <w:name w:val="闻政-正文段落文字 Char"/>
    <w:link w:val="48"/>
    <w:qFormat/>
    <w:uiPriority w:val="3"/>
    <w:rPr>
      <w:rFonts w:ascii="Times New Roman" w:hAnsi="Times New Roman" w:eastAsia="仿宋_GB2312"/>
      <w:sz w:val="28"/>
      <w:szCs w:val="28"/>
    </w:rPr>
  </w:style>
  <w:style w:type="paragraph" w:customStyle="1" w:styleId="48">
    <w:name w:val="闻政-正文段落文字"/>
    <w:basedOn w:val="1"/>
    <w:link w:val="47"/>
    <w:qFormat/>
    <w:uiPriority w:val="3"/>
    <w:pPr>
      <w:spacing w:line="500" w:lineRule="exact"/>
      <w:ind w:firstLine="200"/>
    </w:pPr>
    <w:rPr>
      <w:rFonts w:cs="Times New Roman"/>
      <w:kern w:val="0"/>
      <w:szCs w:val="28"/>
    </w:rPr>
  </w:style>
  <w:style w:type="character" w:customStyle="1" w:styleId="49">
    <w:name w:val="font71"/>
    <w:basedOn w:val="25"/>
    <w:qFormat/>
    <w:uiPriority w:val="0"/>
    <w:rPr>
      <w:rFonts w:hint="eastAsia" w:ascii="微软雅黑" w:hAnsi="微软雅黑" w:eastAsia="微软雅黑" w:cs="微软雅黑"/>
      <w:b/>
      <w:bCs/>
      <w:color w:val="000000"/>
      <w:sz w:val="32"/>
      <w:szCs w:val="32"/>
      <w:u w:val="none"/>
    </w:rPr>
  </w:style>
  <w:style w:type="character" w:customStyle="1" w:styleId="50">
    <w:name w:val="闻政-正文三级标题 Char"/>
    <w:link w:val="51"/>
    <w:qFormat/>
    <w:uiPriority w:val="3"/>
    <w:rPr>
      <w:rFonts w:ascii="Times New Roman" w:hAnsi="Times New Roman" w:eastAsia="仿宋_GB2312"/>
      <w:b/>
      <w:snapToGrid w:val="0"/>
      <w:sz w:val="28"/>
      <w:szCs w:val="28"/>
    </w:rPr>
  </w:style>
  <w:style w:type="paragraph" w:customStyle="1" w:styleId="51">
    <w:name w:val="闻政-正文三级标题"/>
    <w:basedOn w:val="1"/>
    <w:next w:val="48"/>
    <w:link w:val="50"/>
    <w:qFormat/>
    <w:uiPriority w:val="3"/>
    <w:pPr>
      <w:widowControl/>
      <w:spacing w:before="120" w:after="60" w:line="500" w:lineRule="exact"/>
      <w:ind w:left="200" w:leftChars="200" w:firstLine="0" w:firstLineChars="0"/>
    </w:pPr>
    <w:rPr>
      <w:rFonts w:cs="Times New Roman"/>
      <w:b/>
      <w:snapToGrid w:val="0"/>
      <w:kern w:val="0"/>
      <w:szCs w:val="28"/>
    </w:rPr>
  </w:style>
  <w:style w:type="character" w:customStyle="1" w:styleId="52">
    <w:name w:val="闻政-正文一级标题 Char"/>
    <w:link w:val="53"/>
    <w:qFormat/>
    <w:uiPriority w:val="3"/>
    <w:rPr>
      <w:rFonts w:ascii="黑体" w:hAnsi="黑体" w:eastAsia="黑体"/>
      <w:bCs/>
      <w:sz w:val="32"/>
      <w:szCs w:val="32"/>
    </w:rPr>
  </w:style>
  <w:style w:type="paragraph" w:customStyle="1" w:styleId="53">
    <w:name w:val="闻政-正文一级标题"/>
    <w:basedOn w:val="6"/>
    <w:next w:val="48"/>
    <w:link w:val="52"/>
    <w:qFormat/>
    <w:uiPriority w:val="3"/>
    <w:pPr>
      <w:spacing w:before="120" w:after="60" w:line="500" w:lineRule="exact"/>
      <w:ind w:firstLine="0" w:firstLineChars="0"/>
      <w:outlineLvl w:val="0"/>
    </w:pPr>
    <w:rPr>
      <w:rFonts w:ascii="黑体" w:hAnsi="黑体" w:eastAsia="黑体"/>
      <w:sz w:val="32"/>
    </w:rPr>
  </w:style>
  <w:style w:type="character" w:customStyle="1" w:styleId="54">
    <w:name w:val="font11"/>
    <w:qFormat/>
    <w:uiPriority w:val="0"/>
    <w:rPr>
      <w:rFonts w:hint="eastAsia" w:ascii="方正仿宋_GBK" w:hAnsi="方正仿宋_GBK" w:eastAsia="方正仿宋_GBK" w:cs="方正仿宋_GBK"/>
      <w:color w:val="000000"/>
      <w:sz w:val="24"/>
      <w:szCs w:val="24"/>
      <w:u w:val="none"/>
    </w:rPr>
  </w:style>
  <w:style w:type="character" w:customStyle="1" w:styleId="55">
    <w:name w:val="闻政-正文二级标题 Char"/>
    <w:link w:val="56"/>
    <w:qFormat/>
    <w:uiPriority w:val="3"/>
    <w:rPr>
      <w:rFonts w:ascii="Times New Roman" w:hAnsi="Times New Roman" w:eastAsia="仿宋_GB2312"/>
      <w:b/>
      <w:bCs/>
      <w:sz w:val="28"/>
      <w:szCs w:val="32"/>
    </w:rPr>
  </w:style>
  <w:style w:type="paragraph" w:customStyle="1" w:styleId="56">
    <w:name w:val="闻政-正文二级标题"/>
    <w:basedOn w:val="5"/>
    <w:next w:val="48"/>
    <w:link w:val="55"/>
    <w:qFormat/>
    <w:uiPriority w:val="3"/>
    <w:pPr>
      <w:spacing w:before="120" w:after="60" w:line="500" w:lineRule="exact"/>
      <w:ind w:left="200" w:leftChars="200" w:firstLine="0" w:firstLineChars="0"/>
    </w:pPr>
    <w:rPr>
      <w:rFonts w:ascii="Times New Roman" w:hAnsi="Times New Roman"/>
      <w:sz w:val="28"/>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9E0D6791C63F4FDC95B0A70172F8D5C0_13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db786461-d445-4055-add2-3455829003d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12218</Words>
  <Characters>13077</Characters>
  <Lines>106</Lines>
  <Paragraphs>29</Paragraphs>
  <TotalTime>0</TotalTime>
  <ScaleCrop>false</ScaleCrop>
  <LinksUpToDate>false</LinksUpToDate>
  <CharactersWithSpaces>13100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2025-10-10T10:34:18Z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9E0D6791C63F4FDC95B0A70172F8D5C0_13</vt:lpwstr>
  </property>
  <property fmtid="{D5CDD505-2E9C-101B-9397-08002B2CF9AE}" pid="4" name="KSOTemplateDocerSaveRecord">
    <vt:lpwstr>eyJoZGlkIjoiMDljYzUzMWQ4OWI0YzBkYjYzMDRhZTY5ZjZkYmFmYTgiLCJ1c2VySWQiOiI2NTE5NDIwMjYifQ_x003D__x003D_</vt:lpwstr>
  </property>
</Properties>
</file>