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0F0B2">
      <w:bookmarkStart w:id="18" w:name="_GoBack"/>
      <w:bookmarkEnd w:id="18"/>
    </w:p>
    <w:p w14:paraId="36FB2A70">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0EF7968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360" w:leftChars="0" w:hanging="360" w:hangingChars="10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和田地区洛浦县洛浦镇中心小学中央直达资金-和地</w:t>
      </w:r>
    </w:p>
    <w:p w14:paraId="1FDD7D2F">
      <w:pPr>
        <w:keepNext w:val="0"/>
        <w:keepLines w:val="0"/>
        <w:pageBreakBefore w:val="0"/>
        <w:widowControl w:val="0"/>
        <w:tabs>
          <w:tab w:val="left" w:pos="1680"/>
        </w:tabs>
        <w:kinsoku/>
        <w:wordWrap/>
        <w:overflowPunct/>
        <w:topLinePunct w:val="0"/>
        <w:autoSpaceDE/>
        <w:autoSpaceDN/>
        <w:bidi w:val="0"/>
        <w:adjustRightInd/>
        <w:snapToGrid/>
        <w:spacing w:line="360" w:lineRule="auto"/>
        <w:ind w:left="360" w:leftChars="0" w:hanging="360" w:hangingChars="10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财教[2023]60号：2024年城乡义务教育补助</w:t>
      </w:r>
    </w:p>
    <w:p w14:paraId="5A5864BF">
      <w:pPr>
        <w:keepNext w:val="0"/>
        <w:keepLines w:val="0"/>
        <w:pageBreakBefore w:val="0"/>
        <w:widowControl w:val="0"/>
        <w:tabs>
          <w:tab w:val="left" w:pos="1680"/>
        </w:tabs>
        <w:kinsoku/>
        <w:wordWrap/>
        <w:overflowPunct/>
        <w:topLinePunct w:val="0"/>
        <w:autoSpaceDE/>
        <w:autoSpaceDN/>
        <w:bidi w:val="0"/>
        <w:adjustRightInd/>
        <w:snapToGrid/>
        <w:spacing w:line="360" w:lineRule="auto"/>
        <w:ind w:left="360" w:leftChars="0" w:hanging="360" w:hangingChars="100"/>
        <w:jc w:val="center"/>
        <w:textAlignment w:val="auto"/>
        <w:outlineLvl w:val="0"/>
        <w:rPr>
          <w:sz w:val="36"/>
          <w:szCs w:val="36"/>
        </w:rPr>
      </w:pPr>
      <w:r>
        <w:rPr>
          <w:rFonts w:hint="eastAsia" w:ascii="黑体" w:hAnsi="黑体" w:eastAsia="黑体" w:cs="黑体"/>
          <w:b/>
          <w:sz w:val="36"/>
          <w:szCs w:val="36"/>
          <w:lang w:val="en-US" w:eastAsia="zh-CN"/>
        </w:rPr>
        <w:t>经费</w:t>
      </w:r>
      <w:r>
        <w:rPr>
          <w:rFonts w:hint="eastAsia" w:ascii="黑体" w:hAnsi="黑体" w:eastAsia="黑体" w:cs="黑体"/>
          <w:b/>
          <w:sz w:val="36"/>
          <w:szCs w:val="36"/>
        </w:rPr>
        <w:t>项目支出绩效评价报告</w:t>
      </w:r>
    </w:p>
    <w:p w14:paraId="126700DD">
      <w:pPr>
        <w:pStyle w:val="6"/>
        <w:jc w:val="center"/>
        <w:rPr>
          <w:rFonts w:hint="eastAsia" w:eastAsia="仿宋_GB2312"/>
          <w:lang w:eastAsia="zh-CN"/>
        </w:rPr>
      </w:pPr>
      <w:r>
        <w:rPr>
          <w:rFonts w:hint="eastAsia"/>
          <w:lang w:eastAsia="zh-CN"/>
        </w:rPr>
        <w:t>（</w:t>
      </w:r>
      <w:r>
        <w:rPr>
          <w:rFonts w:hint="eastAsia"/>
          <w:lang w:val="en-US" w:eastAsia="zh-CN"/>
        </w:rPr>
        <w:t>2024年度</w:t>
      </w:r>
      <w:r>
        <w:rPr>
          <w:rFonts w:hint="eastAsia"/>
          <w:lang w:eastAsia="zh-CN"/>
        </w:rPr>
        <w:t>）</w:t>
      </w:r>
    </w:p>
    <w:p w14:paraId="2668FA02">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5E73008C">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1B76FA3D">
      <w:pPr>
        <w:pStyle w:val="6"/>
        <w:rPr>
          <w:rFonts w:hint="eastAsia" w:eastAsia="方正仿宋_GBK" w:cs="方正仿宋_GBK"/>
          <w:b/>
          <w:kern w:val="0"/>
          <w:sz w:val="32"/>
          <w:szCs w:val="32"/>
          <w:lang w:bidi="en-US"/>
        </w:rPr>
      </w:pPr>
    </w:p>
    <w:p w14:paraId="5F51928A">
      <w:pPr>
        <w:rPr>
          <w:rFonts w:hint="eastAsia" w:eastAsia="方正仿宋_GBK" w:cs="方正仿宋_GBK"/>
          <w:b/>
          <w:kern w:val="0"/>
          <w:sz w:val="32"/>
          <w:szCs w:val="32"/>
          <w:lang w:bidi="en-US"/>
        </w:rPr>
      </w:pPr>
    </w:p>
    <w:p w14:paraId="798C7CCB">
      <w:pPr>
        <w:pStyle w:val="6"/>
        <w:rPr>
          <w:rFonts w:hint="eastAsia"/>
        </w:rPr>
      </w:pPr>
    </w:p>
    <w:p w14:paraId="7BE6698C">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3F7D3CFE">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1569D050">
      <w:pPr>
        <w:pageBreakBefore w:val="0"/>
        <w:widowControl w:val="0"/>
        <w:kinsoku/>
        <w:wordWrap/>
        <w:topLinePunct w:val="0"/>
        <w:autoSpaceDE/>
        <w:autoSpaceDN/>
        <w:bidi w:val="0"/>
        <w:spacing w:line="560" w:lineRule="exact"/>
        <w:ind w:left="2800" w:leftChars="500" w:hanging="1400" w:hangingChars="500"/>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项目名称：中央直达资金-和地财教[2023]60号：2024年</w:t>
      </w:r>
    </w:p>
    <w:p w14:paraId="2A114F64">
      <w:pPr>
        <w:pageBreakBefore w:val="0"/>
        <w:widowControl w:val="0"/>
        <w:kinsoku/>
        <w:wordWrap/>
        <w:topLinePunct w:val="0"/>
        <w:autoSpaceDE/>
        <w:autoSpaceDN/>
        <w:bidi w:val="0"/>
        <w:spacing w:line="560" w:lineRule="exact"/>
        <w:ind w:left="2800" w:leftChars="1000" w:firstLine="0" w:firstLineChars="0"/>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城乡义务教育补助经费</w:t>
      </w:r>
    </w:p>
    <w:p w14:paraId="21A7517F">
      <w:pPr>
        <w:pageBreakBefore w:val="0"/>
        <w:widowControl w:val="0"/>
        <w:kinsoku/>
        <w:wordWrap/>
        <w:topLinePunct w:val="0"/>
        <w:autoSpaceDE/>
        <w:autoSpaceDN/>
        <w:bidi w:val="0"/>
        <w:spacing w:line="560" w:lineRule="exact"/>
        <w:ind w:left="2800" w:leftChars="500" w:hanging="1400" w:hangingChars="500"/>
        <w:jc w:val="left"/>
        <w:textAlignment w:val="auto"/>
        <w:rPr>
          <w:rFonts w:hint="eastAsia" w:ascii="宋体" w:hAnsi="宋体" w:eastAsia="宋体" w:cs="宋体"/>
          <w:kern w:val="0"/>
          <w:sz w:val="28"/>
          <w:szCs w:val="28"/>
          <w:lang w:eastAsia="zh-CN" w:bidi="en-US"/>
        </w:rPr>
      </w:pPr>
      <w:r>
        <w:rPr>
          <w:rFonts w:hint="eastAsia" w:ascii="宋体" w:hAnsi="宋体" w:eastAsia="宋体" w:cs="宋体"/>
          <w:kern w:val="0"/>
          <w:sz w:val="28"/>
          <w:szCs w:val="28"/>
          <w:lang w:bidi="en-US"/>
        </w:rPr>
        <w:t>项目单位：</w:t>
      </w:r>
      <w:r>
        <w:rPr>
          <w:rFonts w:hint="eastAsia" w:ascii="宋体" w:hAnsi="宋体" w:eastAsia="宋体" w:cs="宋体"/>
          <w:kern w:val="0"/>
          <w:sz w:val="28"/>
          <w:szCs w:val="28"/>
          <w:lang w:eastAsia="zh-CN" w:bidi="en-US"/>
        </w:rPr>
        <w:t>洛浦县</w:t>
      </w:r>
      <w:r>
        <w:rPr>
          <w:rFonts w:hint="eastAsia" w:ascii="宋体" w:hAnsi="宋体" w:eastAsia="宋体" w:cs="宋体"/>
          <w:kern w:val="0"/>
          <w:sz w:val="28"/>
          <w:szCs w:val="28"/>
          <w:lang w:val="en-US" w:eastAsia="zh-CN" w:bidi="en-US"/>
        </w:rPr>
        <w:t>洛浦</w:t>
      </w:r>
      <w:r>
        <w:rPr>
          <w:rFonts w:hint="eastAsia" w:ascii="宋体" w:hAnsi="宋体" w:eastAsia="宋体" w:cs="宋体"/>
          <w:kern w:val="0"/>
          <w:sz w:val="28"/>
          <w:szCs w:val="28"/>
          <w:lang w:eastAsia="zh-CN" w:bidi="en-US"/>
        </w:rPr>
        <w:t>镇中心小学</w:t>
      </w:r>
    </w:p>
    <w:p w14:paraId="0591BD6F">
      <w:pPr>
        <w:pageBreakBefore w:val="0"/>
        <w:widowControl w:val="0"/>
        <w:kinsoku/>
        <w:wordWrap/>
        <w:topLinePunct w:val="0"/>
        <w:autoSpaceDE/>
        <w:autoSpaceDN/>
        <w:bidi w:val="0"/>
        <w:spacing w:line="560" w:lineRule="exact"/>
        <w:ind w:left="2800" w:leftChars="500" w:hanging="1400" w:hangingChars="500"/>
        <w:jc w:val="left"/>
        <w:textAlignment w:val="auto"/>
        <w:rPr>
          <w:rFonts w:hint="eastAsia" w:ascii="宋体" w:hAnsi="宋体" w:eastAsia="宋体" w:cs="宋体"/>
          <w:kern w:val="0"/>
          <w:sz w:val="28"/>
          <w:szCs w:val="28"/>
          <w:lang w:eastAsia="zh-CN" w:bidi="en-US"/>
        </w:rPr>
      </w:pPr>
      <w:r>
        <w:rPr>
          <w:rFonts w:hint="eastAsia" w:ascii="宋体" w:hAnsi="宋体" w:eastAsia="宋体" w:cs="宋体"/>
          <w:kern w:val="0"/>
          <w:sz w:val="28"/>
          <w:szCs w:val="28"/>
          <w:lang w:bidi="en-US"/>
        </w:rPr>
        <w:t>主管部门：</w:t>
      </w:r>
      <w:r>
        <w:rPr>
          <w:rFonts w:hint="eastAsia" w:ascii="宋体" w:hAnsi="宋体" w:eastAsia="宋体" w:cs="宋体"/>
          <w:kern w:val="0"/>
          <w:sz w:val="28"/>
          <w:szCs w:val="28"/>
          <w:lang w:eastAsia="zh-CN" w:bidi="en-US"/>
        </w:rPr>
        <w:t>洛浦县教育局</w:t>
      </w:r>
    </w:p>
    <w:p w14:paraId="159507F0">
      <w:pPr>
        <w:pageBreakBefore w:val="0"/>
        <w:widowControl w:val="0"/>
        <w:kinsoku/>
        <w:wordWrap/>
        <w:topLinePunct w:val="0"/>
        <w:autoSpaceDE/>
        <w:autoSpaceDN/>
        <w:bidi w:val="0"/>
        <w:spacing w:line="560" w:lineRule="exact"/>
        <w:ind w:firstLine="1400" w:firstLineChars="500"/>
        <w:jc w:val="left"/>
        <w:textAlignment w:val="auto"/>
        <w:rPr>
          <w:rFonts w:hint="default" w:ascii="宋体" w:hAnsi="宋体" w:eastAsia="宋体" w:cs="宋体"/>
          <w:kern w:val="0"/>
          <w:sz w:val="28"/>
          <w:szCs w:val="28"/>
          <w:lang w:val="en-US" w:eastAsia="zh-CN" w:bidi="en-US"/>
        </w:rPr>
      </w:pPr>
      <w:r>
        <w:rPr>
          <w:rFonts w:hint="eastAsia" w:ascii="宋体" w:hAnsi="宋体" w:eastAsia="宋体" w:cs="宋体"/>
          <w:kern w:val="0"/>
          <w:sz w:val="28"/>
          <w:szCs w:val="28"/>
          <w:lang w:bidi="en-US"/>
        </w:rPr>
        <w:t>项目负责人：</w:t>
      </w:r>
      <w:r>
        <w:rPr>
          <w:rFonts w:hint="eastAsia" w:ascii="宋体" w:hAnsi="宋体" w:eastAsia="宋体" w:cs="宋体"/>
          <w:kern w:val="0"/>
          <w:sz w:val="28"/>
          <w:szCs w:val="28"/>
          <w:lang w:eastAsia="zh-CN" w:bidi="en-US"/>
        </w:rPr>
        <w:t>阿</w:t>
      </w:r>
      <w:r>
        <w:rPr>
          <w:rFonts w:hint="eastAsia" w:ascii="宋体" w:hAnsi="宋体" w:eastAsia="宋体" w:cs="宋体"/>
          <w:kern w:val="0"/>
          <w:sz w:val="28"/>
          <w:szCs w:val="28"/>
          <w:lang w:val="en-US" w:eastAsia="zh-CN" w:bidi="en-US"/>
        </w:rPr>
        <w:t>尔孜古丽</w:t>
      </w:r>
    </w:p>
    <w:p w14:paraId="2F90F52A">
      <w:pPr>
        <w:pageBreakBefore w:val="0"/>
        <w:widowControl w:val="0"/>
        <w:kinsoku/>
        <w:wordWrap/>
        <w:topLinePunct w:val="0"/>
        <w:autoSpaceDE/>
        <w:autoSpaceDN/>
        <w:bidi w:val="0"/>
        <w:spacing w:line="560" w:lineRule="exact"/>
        <w:ind w:firstLine="1400" w:firstLineChars="500"/>
        <w:jc w:val="left"/>
        <w:textAlignment w:val="auto"/>
        <w:rPr>
          <w:rFonts w:hint="eastAsia" w:eastAsia="方正仿宋_GBK" w:cs="方正仿宋_GBK"/>
          <w:b/>
          <w:kern w:val="0"/>
          <w:sz w:val="28"/>
          <w:szCs w:val="28"/>
          <w:lang w:bidi="en-US"/>
        </w:rPr>
      </w:pPr>
      <w:r>
        <w:rPr>
          <w:rFonts w:hint="eastAsia" w:ascii="宋体" w:hAnsi="宋体" w:eastAsia="宋体" w:cs="宋体"/>
          <w:kern w:val="0"/>
          <w:sz w:val="28"/>
          <w:szCs w:val="28"/>
          <w:lang w:bidi="en-US"/>
        </w:rPr>
        <w:t>填报时间：</w:t>
      </w:r>
      <w:r>
        <w:rPr>
          <w:rFonts w:hint="eastAsia" w:ascii="宋体" w:hAnsi="宋体" w:eastAsia="宋体" w:cs="宋体"/>
          <w:kern w:val="0"/>
          <w:sz w:val="28"/>
          <w:szCs w:val="28"/>
          <w:lang w:val="en-US" w:eastAsia="zh-CN" w:bidi="en-US"/>
        </w:rPr>
        <w:t>2025</w:t>
      </w:r>
      <w:r>
        <w:rPr>
          <w:rFonts w:hint="eastAsia" w:ascii="宋体" w:hAnsi="宋体" w:eastAsia="宋体" w:cs="宋体"/>
          <w:kern w:val="0"/>
          <w:sz w:val="28"/>
          <w:szCs w:val="28"/>
          <w:lang w:bidi="en-US"/>
        </w:rPr>
        <w:t>年</w:t>
      </w:r>
      <w:r>
        <w:rPr>
          <w:rFonts w:hint="eastAsia" w:ascii="宋体" w:hAnsi="宋体" w:eastAsia="宋体" w:cs="宋体"/>
          <w:kern w:val="0"/>
          <w:sz w:val="28"/>
          <w:szCs w:val="28"/>
          <w:lang w:val="en-US" w:eastAsia="zh-CN" w:bidi="en-US"/>
        </w:rPr>
        <w:t>3</w:t>
      </w:r>
      <w:r>
        <w:rPr>
          <w:rFonts w:hint="eastAsia" w:ascii="宋体" w:hAnsi="宋体" w:eastAsia="宋体" w:cs="宋体"/>
          <w:kern w:val="0"/>
          <w:sz w:val="28"/>
          <w:szCs w:val="28"/>
          <w:lang w:bidi="en-US"/>
        </w:rPr>
        <w:t>月</w:t>
      </w:r>
      <w:r>
        <w:rPr>
          <w:rFonts w:hint="eastAsia" w:ascii="宋体" w:hAnsi="宋体" w:eastAsia="宋体" w:cs="宋体"/>
          <w:kern w:val="0"/>
          <w:sz w:val="28"/>
          <w:szCs w:val="28"/>
          <w:lang w:val="en-US" w:eastAsia="zh-CN" w:bidi="en-US"/>
        </w:rPr>
        <w:t>31</w:t>
      </w:r>
      <w:r>
        <w:rPr>
          <w:rFonts w:hint="eastAsia" w:ascii="宋体" w:hAnsi="宋体" w:eastAsia="宋体" w:cs="宋体"/>
          <w:kern w:val="0"/>
          <w:sz w:val="28"/>
          <w:szCs w:val="28"/>
          <w:lang w:bidi="en-US"/>
        </w:rPr>
        <w:t>日</w:t>
      </w:r>
    </w:p>
    <w:p w14:paraId="39E0ED06">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02C11363">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4416292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29BC5F5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城乡义务教育补助经费项目的设立背景主要基于我国义务教育均衡发展和教育公平的政策目标，其核心是解决城乡教育资源分配不均、农村及贫困地区教育经费短缺等问题。以下是具体的背景因素：</w:t>
      </w:r>
    </w:p>
    <w:p w14:paraId="057E4CD4">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城乡教育发展不均衡资源差距：长期以来，城乡义务教育在师资力量、硬件设施、教学质量等方面存在显著差距，农村地区尤其是中西部贫困地区的教育条件落后。</w:t>
      </w:r>
    </w:p>
    <w:p w14:paraId="51648CF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经费不足</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农村地区财政能力有限，依赖中央和省级财政转移支付，导致学校运转困难，部分贫困家庭子女面临辍学风险。</w:t>
      </w:r>
    </w:p>
    <w:p w14:paraId="70A1EE2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国家政策导向</w:t>
      </w:r>
    </w:p>
    <w:p w14:paraId="245103F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“两免一补”政策推进</w:t>
      </w:r>
      <w:r>
        <w:rPr>
          <w:rFonts w:hint="eastAsia" w:ascii="宋体" w:hAnsi="宋体" w:eastAsia="宋体" w:cs="宋体"/>
          <w:color w:val="auto"/>
          <w:sz w:val="24"/>
          <w:szCs w:val="24"/>
          <w:lang w:val="en-US" w:eastAsia="zh-CN"/>
        </w:rPr>
        <w:t>以来</w:t>
      </w:r>
      <w:r>
        <w:rPr>
          <w:rFonts w:hint="eastAsia" w:ascii="宋体" w:hAnsi="宋体" w:eastAsia="宋体" w:cs="宋体"/>
          <w:color w:val="auto"/>
          <w:sz w:val="24"/>
          <w:szCs w:val="24"/>
        </w:rPr>
        <w:t>：2006年起，国家实施免除学杂费、免费提供教科书、补助家庭经济困难学生生活费（“两免一补”），需要中央财政通过专项补助支持地方落实。</w:t>
      </w:r>
    </w:p>
    <w:p w14:paraId="0C5023F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《义务教育法》修订：2006年修订的《义务教育法》明确“省级统筹、以县为主”的经费保障机制，要求中央对困难地区加大转移支付力度。</w:t>
      </w:r>
    </w:p>
    <w:p w14:paraId="3DE90F8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脱贫攻坚与教育公平</w:t>
      </w:r>
    </w:p>
    <w:p w14:paraId="074AC56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精准扶贫需求：教育是阻断贫困代际传递的关键，补助经费项目通过保障农村儿童就学机会，助力脱贫攻坚（如“营养改善计划”覆盖贫困地区学生）。</w:t>
      </w:r>
    </w:p>
    <w:p w14:paraId="79272E8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缩小区域差距：支持中西部、革命老区、民族地区等薄弱环节，促进基本公共服务均等化。</w:t>
      </w:r>
    </w:p>
    <w:p w14:paraId="6B9D6AF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城镇化与人口流动挑战</w:t>
      </w:r>
    </w:p>
    <w:p w14:paraId="3CB2C4D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随迁子女教育问题：大量农民工进城务工，需保障其子女在城市平等接受义务教育，同时避免农村学校“空心化”。</w:t>
      </w:r>
    </w:p>
    <w:p w14:paraId="18F1A31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农村小规模学校建设：针对农村生源减少但需保留教学点的情况，补助经费用于维持运转和质量提升。</w:t>
      </w:r>
    </w:p>
    <w:p w14:paraId="0DE2BF0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财政体制改革</w:t>
      </w:r>
    </w:p>
    <w:p w14:paraId="385F822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央地责任划分：中央财政通过专项转移支付弥补地方财政缺口，确保义务教育经费“不低于原有水平”并逐步增长。</w:t>
      </w:r>
    </w:p>
    <w:p w14:paraId="6CB409F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color w:val="auto"/>
          <w:sz w:val="24"/>
          <w:szCs w:val="24"/>
        </w:rPr>
        <w:t>动态调整机制：根据经济社会发展、物价变动等因素，适时提高补助标准（如生均公用经费基准定额）。</w:t>
      </w:r>
    </w:p>
    <w:p w14:paraId="15B1C78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主要内容及实施情况</w:t>
      </w:r>
    </w:p>
    <w:p w14:paraId="3E5E22B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主要内容：</w:t>
      </w:r>
    </w:p>
    <w:p w14:paraId="34BF5766">
      <w:pPr>
        <w:pStyle w:val="46"/>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补助经费主要用于以下几个方面：  </w:t>
      </w:r>
    </w:p>
    <w:p w14:paraId="54767EA3">
      <w:pPr>
        <w:pStyle w:val="46"/>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rPr>
        <w:t>1</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rPr>
        <w:t xml:space="preserve">. 保障学校基本运转 </w:t>
      </w:r>
    </w:p>
    <w:p w14:paraId="69A4C930">
      <w:pPr>
        <w:pStyle w:val="46"/>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生均公用经费补助：  </w:t>
      </w:r>
    </w:p>
    <w:p w14:paraId="4B611860">
      <w:pPr>
        <w:pStyle w:val="46"/>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对城乡义务教育学校（含民办学校）按照生均公用经费基准定额给予补助。  </w:t>
      </w:r>
    </w:p>
    <w:p w14:paraId="7EE8B1A3">
      <w:pPr>
        <w:pStyle w:val="46"/>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现行标准（202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 xml:space="preserve">年）：小学650元/生/年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初中850元/生/年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特殊教育6000元/生/年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w:t>
      </w:r>
    </w:p>
    <w:p w14:paraId="1FE0119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rPr>
        <w:t>2</w:t>
      </w: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rPr>
        <w:t>.落实“两免一补”政策</w:t>
      </w:r>
      <w:r>
        <w:rPr>
          <w:rFonts w:hint="eastAsia" w:ascii="宋体" w:hAnsi="宋体" w:eastAsia="宋体" w:cs="宋体"/>
          <w:color w:val="auto"/>
          <w:sz w:val="24"/>
          <w:szCs w:val="24"/>
        </w:rPr>
        <w:t xml:space="preserve">  </w:t>
      </w:r>
    </w:p>
    <w:p w14:paraId="3F8A5F3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免除学杂费：覆盖所有城乡义务教育学生。  </w:t>
      </w:r>
    </w:p>
    <w:p w14:paraId="48E8D89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免费提供教科书：国家规定课程教科书由中央财政全额承担，地方课程教材由地方财政承担。  </w:t>
      </w:r>
    </w:p>
    <w:p w14:paraId="42D0ED9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家庭经济困难学生生活补助：  </w:t>
      </w:r>
    </w:p>
    <w:p w14:paraId="1024A37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 补助标准（2023年）：  </w:t>
      </w:r>
    </w:p>
    <w:p w14:paraId="03A0014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 寄宿生：小学1000元/生/年，初中 1250元/生·年  </w:t>
      </w:r>
    </w:p>
    <w:p w14:paraId="4AEFFB0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  - 非寄宿生（2019年起纳入）：小学500元/生/年，初中625元/生/年</w:t>
      </w:r>
    </w:p>
    <w:p w14:paraId="6FA8303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w:t>
      </w:r>
      <w:r>
        <w:rPr>
          <w:rFonts w:hint="eastAsia" w:ascii="宋体" w:hAnsi="宋体" w:eastAsia="宋体" w:cs="宋体"/>
          <w:b/>
          <w:bCs/>
          <w:color w:val="auto"/>
          <w:sz w:val="24"/>
          <w:szCs w:val="24"/>
        </w:rPr>
        <w:t>3</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 农村义务教育学生营养改善计划</w:t>
      </w:r>
    </w:p>
    <w:p w14:paraId="085EE9B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-覆盖范围：国家试点地区（原集中连片特困地区）农村义务教育学生。  </w:t>
      </w:r>
    </w:p>
    <w:p w14:paraId="101061F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-补助标准：5元/生/天（全年按200天计算，即1000元/生/年）。  </w:t>
      </w:r>
    </w:p>
    <w:p w14:paraId="7C8371C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-地方试点：部分省份自行扩大覆盖范围，由中央和地方财政共同分担。  </w:t>
      </w:r>
    </w:p>
    <w:p w14:paraId="0CA62451">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3E972DE4">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1BD0B9EE">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本项目主管部门为洛浦县教育局，实施单位为洛浦县洛浦县洛浦镇中心小学。</w:t>
      </w:r>
    </w:p>
    <w:p w14:paraId="62160679">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b w:val="0"/>
          <w:bCs w:val="0"/>
          <w:sz w:val="24"/>
          <w:szCs w:val="24"/>
          <w:lang w:val="en-US" w:eastAsia="zh-CN"/>
        </w:rPr>
        <w:t>2024年1月-2024年12月</w:t>
      </w:r>
    </w:p>
    <w:p w14:paraId="5F69CDA0">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（3）项目实施情况</w:t>
      </w:r>
    </w:p>
    <w:p w14:paraId="448A6E62">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本</w:t>
      </w:r>
      <w:r>
        <w:rPr>
          <w:rFonts w:hint="eastAsia" w:ascii="宋体" w:hAnsi="宋体" w:eastAsia="宋体" w:cs="宋体"/>
          <w:b w:val="0"/>
          <w:bCs w:val="0"/>
          <w:color w:val="auto"/>
          <w:sz w:val="24"/>
          <w:szCs w:val="24"/>
          <w:lang w:val="en-US" w:eastAsia="zh-CN"/>
        </w:rPr>
        <w:t>项目</w:t>
      </w:r>
      <w:r>
        <w:rPr>
          <w:rFonts w:hint="default" w:ascii="宋体" w:hAnsi="宋体" w:eastAsia="宋体" w:cs="宋体"/>
          <w:b w:val="0"/>
          <w:bCs w:val="0"/>
          <w:color w:val="auto"/>
          <w:sz w:val="24"/>
          <w:szCs w:val="24"/>
          <w:lang w:val="en-US" w:eastAsia="zh-CN"/>
        </w:rPr>
        <w:t>于202</w:t>
      </w: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年12月</w:t>
      </w:r>
      <w:r>
        <w:rPr>
          <w:rFonts w:hint="eastAsia" w:ascii="宋体" w:hAnsi="宋体" w:eastAsia="宋体" w:cs="宋体"/>
          <w:b w:val="0"/>
          <w:bCs w:val="0"/>
          <w:color w:val="auto"/>
          <w:sz w:val="24"/>
          <w:szCs w:val="24"/>
          <w:lang w:val="en-US" w:eastAsia="zh-CN"/>
        </w:rPr>
        <w:t>31</w:t>
      </w:r>
      <w:r>
        <w:rPr>
          <w:rFonts w:hint="default" w:ascii="宋体" w:hAnsi="宋体" w:eastAsia="宋体" w:cs="宋体"/>
          <w:b w:val="0"/>
          <w:bCs w:val="0"/>
          <w:color w:val="auto"/>
          <w:sz w:val="24"/>
          <w:szCs w:val="24"/>
          <w:lang w:val="en-US" w:eastAsia="zh-CN"/>
        </w:rPr>
        <w:t>日前全部完工。</w:t>
      </w:r>
    </w:p>
    <w:p w14:paraId="3D6A0FE1">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auto"/>
          <w:sz w:val="24"/>
          <w:szCs w:val="24"/>
          <w:lang w:val="en-US"/>
        </w:rPr>
      </w:pPr>
      <w:r>
        <w:rPr>
          <w:rFonts w:hint="default" w:ascii="宋体" w:hAnsi="宋体" w:eastAsia="宋体" w:cs="宋体"/>
          <w:b w:val="0"/>
          <w:bCs w:val="0"/>
          <w:color w:val="auto"/>
          <w:sz w:val="24"/>
          <w:szCs w:val="24"/>
          <w:lang w:val="en-US" w:eastAsia="zh-CN"/>
        </w:rPr>
        <w:t>本项</w:t>
      </w:r>
      <w:r>
        <w:rPr>
          <w:rFonts w:hint="eastAsia" w:ascii="宋体" w:hAnsi="宋体" w:eastAsia="宋体" w:cs="宋体"/>
          <w:b w:val="0"/>
          <w:bCs w:val="0"/>
          <w:color w:val="auto"/>
          <w:sz w:val="24"/>
          <w:szCs w:val="24"/>
          <w:lang w:val="en-US" w:eastAsia="zh-CN"/>
        </w:rPr>
        <w:t>目</w:t>
      </w:r>
      <w:r>
        <w:rPr>
          <w:rFonts w:hint="default" w:ascii="宋体" w:hAnsi="宋体" w:eastAsia="宋体" w:cs="宋体"/>
          <w:b w:val="0"/>
          <w:bCs w:val="0"/>
          <w:color w:val="auto"/>
          <w:sz w:val="24"/>
          <w:szCs w:val="24"/>
          <w:lang w:val="en-US" w:eastAsia="zh-CN"/>
        </w:rPr>
        <w:t>202</w:t>
      </w: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年</w:t>
      </w:r>
      <w:r>
        <w:rPr>
          <w:rFonts w:hint="eastAsia" w:ascii="宋体" w:hAnsi="宋体" w:eastAsia="宋体" w:cs="宋体"/>
          <w:b w:val="0"/>
          <w:bCs w:val="0"/>
          <w:color w:val="auto"/>
          <w:sz w:val="24"/>
          <w:szCs w:val="24"/>
          <w:lang w:val="en-US" w:eastAsia="zh-CN"/>
        </w:rPr>
        <w:t>1</w:t>
      </w:r>
      <w:r>
        <w:rPr>
          <w:rFonts w:hint="default" w:ascii="宋体" w:hAnsi="宋体" w:eastAsia="宋体" w:cs="宋体"/>
          <w:b w:val="0"/>
          <w:bCs w:val="0"/>
          <w:color w:val="auto"/>
          <w:sz w:val="24"/>
          <w:szCs w:val="24"/>
          <w:lang w:val="en-US" w:eastAsia="zh-CN"/>
        </w:rPr>
        <w:t>月经</w:t>
      </w:r>
      <w:r>
        <w:rPr>
          <w:rFonts w:hint="eastAsia" w:ascii="宋体" w:hAnsi="宋体" w:eastAsia="宋体" w:cs="宋体"/>
          <w:b w:val="0"/>
          <w:bCs w:val="0"/>
          <w:color w:val="auto"/>
          <w:sz w:val="24"/>
          <w:szCs w:val="24"/>
          <w:lang w:val="en-US" w:eastAsia="zh-CN"/>
        </w:rPr>
        <w:t>洛浦县财政局</w:t>
      </w:r>
      <w:r>
        <w:rPr>
          <w:rFonts w:hint="default" w:ascii="宋体" w:hAnsi="宋体" w:eastAsia="宋体" w:cs="宋体"/>
          <w:b w:val="0"/>
          <w:bCs w:val="0"/>
          <w:color w:val="auto"/>
          <w:sz w:val="24"/>
          <w:szCs w:val="24"/>
          <w:lang w:val="en-US" w:eastAsia="zh-CN"/>
        </w:rPr>
        <w:t>下达《</w:t>
      </w:r>
      <w:r>
        <w:rPr>
          <w:rFonts w:hint="eastAsia" w:ascii="宋体" w:hAnsi="宋体" w:eastAsia="宋体" w:cs="宋体"/>
          <w:b w:val="0"/>
          <w:bCs w:val="0"/>
          <w:color w:val="auto"/>
          <w:sz w:val="24"/>
          <w:szCs w:val="24"/>
          <w:lang w:val="en-US" w:eastAsia="zh-CN"/>
        </w:rPr>
        <w:t>中央直达资金-和地财教[2023]60号：2024年城乡义务教育补助经费</w:t>
      </w: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w:t>
      </w:r>
      <w:r>
        <w:rPr>
          <w:rFonts w:hint="default" w:ascii="宋体" w:hAnsi="宋体" w:eastAsia="宋体" w:cs="宋体"/>
          <w:b w:val="0"/>
          <w:bCs w:val="0"/>
          <w:color w:val="auto"/>
          <w:sz w:val="24"/>
          <w:szCs w:val="24"/>
          <w:lang w:val="en-US" w:eastAsia="zh-CN"/>
        </w:rPr>
        <w:t>由</w:t>
      </w:r>
      <w:r>
        <w:rPr>
          <w:rFonts w:hint="eastAsia" w:ascii="宋体" w:hAnsi="宋体" w:eastAsia="宋体" w:cs="宋体"/>
          <w:b w:val="0"/>
          <w:bCs w:val="0"/>
          <w:color w:val="auto"/>
          <w:sz w:val="24"/>
          <w:szCs w:val="24"/>
          <w:lang w:val="en-US" w:eastAsia="zh-CN"/>
        </w:rPr>
        <w:t>洛浦县洛浦镇中心小学使用学校教育教学，办学条件，公用经费，日常工作，非寄宿生生活补助，寄宿生生活补助及营养改善等方面</w:t>
      </w:r>
      <w:r>
        <w:rPr>
          <w:rFonts w:hint="default" w:ascii="宋体" w:hAnsi="宋体" w:eastAsia="宋体" w:cs="宋体"/>
          <w:b w:val="0"/>
          <w:bCs w:val="0"/>
          <w:color w:val="auto"/>
          <w:sz w:val="24"/>
          <w:szCs w:val="24"/>
          <w:lang w:val="en-US" w:eastAsia="zh-CN"/>
        </w:rPr>
        <w:t>。</w:t>
      </w:r>
      <w:r>
        <w:rPr>
          <w:rFonts w:hint="eastAsia" w:ascii="宋体" w:hAnsi="宋体" w:eastAsia="宋体" w:cs="宋体"/>
          <w:b w:val="0"/>
          <w:bCs w:val="0"/>
          <w:color w:val="auto"/>
          <w:sz w:val="24"/>
          <w:szCs w:val="24"/>
          <w:lang w:val="en-US" w:eastAsia="zh-CN"/>
        </w:rPr>
        <w:t>项目下达之后确保学校日常工作正常运转下开始实施本项目。</w:t>
      </w:r>
    </w:p>
    <w:p w14:paraId="1F0C3453">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67BBFE5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0E5849E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849.82</w:t>
      </w:r>
      <w:r>
        <w:rPr>
          <w:rFonts w:hint="eastAsia" w:ascii="宋体" w:hAnsi="宋体" w:eastAsia="宋体" w:cs="宋体"/>
          <w:color w:val="auto"/>
          <w:sz w:val="24"/>
          <w:szCs w:val="24"/>
        </w:rPr>
        <w:t>万元，资金来源为部门预算中央专项资金，其中：财政资金</w:t>
      </w:r>
      <w:r>
        <w:rPr>
          <w:rFonts w:hint="eastAsia" w:ascii="宋体" w:hAnsi="宋体" w:eastAsia="宋体" w:cs="宋体"/>
          <w:color w:val="auto"/>
          <w:sz w:val="24"/>
          <w:szCs w:val="24"/>
          <w:lang w:val="en-US" w:eastAsia="zh-CN"/>
        </w:rPr>
        <w:t>849.82</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849.82</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E499F2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06F20A0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849.82</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eastAsia="zh-CN"/>
        </w:rPr>
        <w:t>公用</w:t>
      </w:r>
      <w:r>
        <w:rPr>
          <w:rFonts w:hint="eastAsia" w:ascii="宋体" w:hAnsi="宋体" w:eastAsia="宋体" w:cs="宋体"/>
          <w:color w:val="auto"/>
          <w:sz w:val="24"/>
          <w:szCs w:val="24"/>
        </w:rPr>
        <w:t>经费费用</w:t>
      </w:r>
      <w:r>
        <w:rPr>
          <w:rFonts w:hint="eastAsia" w:ascii="宋体" w:hAnsi="宋体" w:eastAsia="宋体" w:cs="宋体"/>
          <w:color w:val="auto"/>
          <w:sz w:val="24"/>
          <w:szCs w:val="24"/>
          <w:lang w:val="en-US" w:eastAsia="zh-CN"/>
        </w:rPr>
        <w:t>329.4</w:t>
      </w:r>
      <w:r>
        <w:rPr>
          <w:rFonts w:hint="eastAsia" w:ascii="宋体" w:hAnsi="宋体" w:eastAsia="宋体" w:cs="宋体"/>
          <w:color w:val="auto"/>
          <w:sz w:val="24"/>
          <w:szCs w:val="24"/>
        </w:rPr>
        <w:t>万元、寄宿生生活补助费用</w:t>
      </w:r>
      <w:r>
        <w:rPr>
          <w:rFonts w:hint="eastAsia" w:ascii="宋体" w:hAnsi="宋体" w:eastAsia="宋体" w:cs="宋体"/>
          <w:color w:val="auto"/>
          <w:sz w:val="24"/>
          <w:szCs w:val="24"/>
          <w:lang w:val="en-US" w:eastAsia="zh-CN"/>
        </w:rPr>
        <w:t>111.35</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，营养改善</w:t>
      </w:r>
      <w:r>
        <w:rPr>
          <w:rFonts w:hint="eastAsia" w:ascii="宋体" w:hAnsi="宋体" w:eastAsia="宋体" w:cs="宋体"/>
          <w:color w:val="auto"/>
          <w:sz w:val="24"/>
          <w:szCs w:val="24"/>
        </w:rPr>
        <w:t>补助费用</w:t>
      </w:r>
      <w:r>
        <w:rPr>
          <w:rFonts w:hint="eastAsia" w:ascii="宋体" w:hAnsi="宋体" w:eastAsia="宋体" w:cs="宋体"/>
          <w:color w:val="auto"/>
          <w:sz w:val="24"/>
          <w:szCs w:val="24"/>
          <w:lang w:val="en-US" w:eastAsia="zh-CN"/>
        </w:rPr>
        <w:t>409.07</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w:t>
      </w:r>
    </w:p>
    <w:p w14:paraId="42D7E7E6">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78DA8A6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0BAC84A8">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89E86B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为了保障学校日常工作正常运转，本项目正常性项目，资金总额为</w:t>
      </w:r>
      <w:r>
        <w:rPr>
          <w:rFonts w:hint="eastAsia" w:ascii="宋体" w:hAnsi="宋体" w:eastAsia="宋体" w:cs="宋体"/>
          <w:color w:val="auto"/>
          <w:sz w:val="24"/>
          <w:szCs w:val="24"/>
          <w:lang w:val="en-US" w:eastAsia="zh-CN"/>
        </w:rPr>
        <w:t>849.82</w:t>
      </w:r>
      <w:r>
        <w:rPr>
          <w:rFonts w:hint="eastAsia" w:ascii="宋体" w:hAnsi="宋体" w:eastAsia="宋体" w:cs="宋体"/>
          <w:sz w:val="24"/>
          <w:szCs w:val="24"/>
          <w:lang w:eastAsia="zh-CN"/>
        </w:rPr>
        <w:t>万元，将在2024年12月之前完成。通过实施本项目可以有效提高学校日常工作水平，提高学生积极性，激励学生学习效率，提高学校教育教学质量，学校环境质量。</w:t>
      </w:r>
    </w:p>
    <w:p w14:paraId="25E3F922">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阶段性目标</w:t>
      </w:r>
      <w:bookmarkStart w:id="3" w:name="_Toc68364660"/>
    </w:p>
    <w:p w14:paraId="5A0CB11C">
      <w:pPr>
        <w:pStyle w:val="4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lang w:eastAsia="zh-CN"/>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67F4D07B">
      <w:pPr>
        <w:pStyle w:val="46"/>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218F9B05">
      <w:pPr>
        <w:pStyle w:val="46"/>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7EF9F2E9">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受益学生数：预期指标值为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3966人；</w:t>
      </w:r>
    </w:p>
    <w:p w14:paraId="369748EF">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48BFC295">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资金使用覆盖率：预期指标值为=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5C9E0A4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指标2：</w:t>
      </w:r>
      <w:r>
        <w:rPr>
          <w:rFonts w:hint="eastAsia" w:ascii="宋体" w:hAnsi="宋体" w:eastAsia="宋体" w:cs="宋体"/>
          <w:color w:val="auto"/>
          <w:sz w:val="24"/>
          <w:szCs w:val="24"/>
        </w:rPr>
        <w:t>资金使用合规率：预期指标值为=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1900D41">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）时效指标</w:t>
      </w:r>
    </w:p>
    <w:p w14:paraId="3DD2C967">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项目开始时间：预期指标值为=</w:t>
      </w:r>
      <w:r>
        <w:rPr>
          <w:rFonts w:hint="eastAsia" w:ascii="宋体" w:hAnsi="宋体" w:eastAsia="宋体" w:cs="宋体"/>
          <w:color w:val="auto"/>
          <w:sz w:val="24"/>
          <w:szCs w:val="24"/>
          <w:lang w:val="en-US" w:eastAsia="zh-CN"/>
        </w:rPr>
        <w:t>2024年1月</w:t>
      </w:r>
      <w:r>
        <w:rPr>
          <w:rFonts w:hint="eastAsia" w:ascii="宋体" w:hAnsi="宋体" w:eastAsia="宋体" w:cs="宋体"/>
          <w:color w:val="auto"/>
          <w:sz w:val="24"/>
          <w:szCs w:val="24"/>
        </w:rPr>
        <w:t>；</w:t>
      </w:r>
    </w:p>
    <w:p w14:paraId="38B8D618">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指标2：</w:t>
      </w:r>
      <w:r>
        <w:rPr>
          <w:rFonts w:hint="eastAsia" w:ascii="宋体" w:hAnsi="宋体" w:eastAsia="宋体" w:cs="宋体"/>
          <w:color w:val="auto"/>
          <w:sz w:val="24"/>
          <w:szCs w:val="24"/>
        </w:rPr>
        <w:t>项目完成时间：预期指标值为=</w:t>
      </w:r>
      <w:r>
        <w:rPr>
          <w:rFonts w:hint="eastAsia" w:ascii="宋体" w:hAnsi="宋体" w:eastAsia="宋体" w:cs="宋体"/>
          <w:color w:val="auto"/>
          <w:sz w:val="24"/>
          <w:szCs w:val="24"/>
          <w:lang w:val="en-US" w:eastAsia="zh-CN"/>
        </w:rPr>
        <w:t>2024年12月</w:t>
      </w:r>
      <w:r>
        <w:rPr>
          <w:rFonts w:hint="eastAsia" w:ascii="宋体" w:hAnsi="宋体" w:eastAsia="宋体" w:cs="宋体"/>
          <w:color w:val="auto"/>
          <w:sz w:val="24"/>
          <w:szCs w:val="24"/>
        </w:rPr>
        <w:t>；</w:t>
      </w:r>
    </w:p>
    <w:p w14:paraId="6132682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1E3454C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default" w:ascii="宋体" w:hAnsi="宋体" w:eastAsia="宋体" w:cs="宋体"/>
          <w:color w:val="auto"/>
          <w:sz w:val="24"/>
          <w:szCs w:val="24"/>
          <w:lang w:val="en-US" w:eastAsia="zh-CN"/>
        </w:rPr>
        <w:t>经济成本指标</w:t>
      </w:r>
      <w:r>
        <w:rPr>
          <w:rFonts w:hint="eastAsia" w:ascii="宋体" w:hAnsi="宋体" w:eastAsia="宋体" w:cs="宋体"/>
          <w:color w:val="auto"/>
          <w:sz w:val="24"/>
          <w:szCs w:val="24"/>
          <w:lang w:val="en-US" w:eastAsia="zh-CN"/>
        </w:rPr>
        <w:t>：</w:t>
      </w:r>
    </w:p>
    <w:p w14:paraId="6C70D44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指标1：</w:t>
      </w:r>
      <w:r>
        <w:rPr>
          <w:rFonts w:hint="eastAsia" w:ascii="宋体" w:hAnsi="宋体" w:eastAsia="宋体" w:cs="宋体"/>
          <w:color w:val="auto"/>
          <w:sz w:val="24"/>
          <w:szCs w:val="24"/>
        </w:rPr>
        <w:t>公用经费：预期指标值为</w:t>
      </w:r>
      <w:r>
        <w:rPr>
          <w:rFonts w:hint="eastAsia" w:ascii="宋体" w:hAnsi="宋体" w:eastAsia="宋体" w:cs="宋体"/>
          <w:color w:val="auto"/>
          <w:sz w:val="24"/>
          <w:szCs w:val="24"/>
          <w:lang w:val="en-US" w:eastAsia="zh-CN"/>
        </w:rPr>
        <w:t>≤329.4万元</w:t>
      </w:r>
      <w:r>
        <w:rPr>
          <w:rFonts w:hint="eastAsia" w:ascii="宋体" w:hAnsi="宋体" w:eastAsia="宋体" w:cs="宋体"/>
          <w:color w:val="auto"/>
          <w:sz w:val="24"/>
          <w:szCs w:val="24"/>
        </w:rPr>
        <w:t>；</w:t>
      </w:r>
    </w:p>
    <w:p w14:paraId="748CFFD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指标2：</w:t>
      </w:r>
      <w:r>
        <w:rPr>
          <w:rFonts w:hint="eastAsia" w:ascii="宋体" w:hAnsi="宋体" w:eastAsia="宋体" w:cs="宋体"/>
          <w:color w:val="auto"/>
          <w:sz w:val="24"/>
          <w:szCs w:val="24"/>
        </w:rPr>
        <w:t>寄宿生生活补助：预期指标值为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111.35</w:t>
      </w:r>
      <w:r>
        <w:rPr>
          <w:rFonts w:hint="eastAsia" w:ascii="宋体" w:hAnsi="宋体" w:eastAsia="宋体" w:cs="宋体"/>
          <w:color w:val="auto"/>
          <w:sz w:val="24"/>
          <w:szCs w:val="24"/>
        </w:rPr>
        <w:t>万元；</w:t>
      </w:r>
    </w:p>
    <w:p w14:paraId="28D0A2F7">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指标3：</w:t>
      </w:r>
      <w:r>
        <w:rPr>
          <w:rFonts w:hint="eastAsia" w:ascii="宋体" w:hAnsi="宋体" w:eastAsia="宋体" w:cs="宋体"/>
          <w:color w:val="auto"/>
          <w:sz w:val="24"/>
          <w:szCs w:val="24"/>
        </w:rPr>
        <w:t>营养改善：预期指标值为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409.07</w:t>
      </w:r>
      <w:r>
        <w:rPr>
          <w:rFonts w:hint="eastAsia" w:ascii="宋体" w:hAnsi="宋体" w:eastAsia="宋体" w:cs="宋体"/>
          <w:color w:val="auto"/>
          <w:sz w:val="24"/>
          <w:szCs w:val="24"/>
        </w:rPr>
        <w:t>万元；</w:t>
      </w:r>
    </w:p>
    <w:p w14:paraId="7880FCF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63B96B2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该项目无社会成本指标；</w:t>
      </w:r>
    </w:p>
    <w:p w14:paraId="5A2E228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747A116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该项目无生态成本指标</w:t>
      </w:r>
    </w:p>
    <w:p w14:paraId="6BDAEC61">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效益指标：</w:t>
      </w:r>
    </w:p>
    <w:p w14:paraId="5A68B07B">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经济</w:t>
      </w:r>
      <w:r>
        <w:rPr>
          <w:rFonts w:hint="eastAsia" w:ascii="宋体" w:hAnsi="宋体" w:eastAsia="宋体" w:cs="宋体"/>
          <w:color w:val="auto"/>
          <w:sz w:val="24"/>
          <w:szCs w:val="24"/>
        </w:rPr>
        <w:t>效益指标：</w:t>
      </w:r>
    </w:p>
    <w:p w14:paraId="1FCD8230">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该项目无经济效益指标；</w:t>
      </w:r>
    </w:p>
    <w:p w14:paraId="2A4EADCF">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6490C5E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指标1：提高学校教育教学质量，学校环境质量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有效提高</w:t>
      </w:r>
      <w:r>
        <w:rPr>
          <w:rFonts w:hint="eastAsia" w:ascii="宋体" w:hAnsi="宋体" w:eastAsia="宋体" w:cs="宋体"/>
          <w:color w:val="auto"/>
          <w:sz w:val="24"/>
          <w:szCs w:val="24"/>
        </w:rPr>
        <w:t>；</w:t>
      </w:r>
    </w:p>
    <w:p w14:paraId="7339AE53">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生态</w:t>
      </w:r>
      <w:r>
        <w:rPr>
          <w:rFonts w:hint="eastAsia" w:ascii="宋体" w:hAnsi="宋体" w:eastAsia="宋体" w:cs="宋体"/>
          <w:color w:val="auto"/>
          <w:sz w:val="24"/>
          <w:szCs w:val="24"/>
        </w:rPr>
        <w:t>效益指标：</w:t>
      </w:r>
    </w:p>
    <w:p w14:paraId="0FC42F30">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该项目无生态效益指标；</w:t>
      </w:r>
    </w:p>
    <w:p w14:paraId="506B81E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）服务对象满意度指标：</w:t>
      </w:r>
    </w:p>
    <w:p w14:paraId="2A68261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黑体" w:hAnsi="黑体" w:eastAsia="宋体" w:cs="黑体"/>
          <w:color w:val="auto"/>
          <w:sz w:val="24"/>
          <w:szCs w:val="24"/>
          <w:lang w:val="en-US" w:eastAsia="zh-CN"/>
        </w:rPr>
      </w:pPr>
      <w:r>
        <w:rPr>
          <w:rFonts w:hint="eastAsia" w:ascii="宋体" w:hAnsi="宋体" w:eastAsia="宋体" w:cs="宋体"/>
          <w:color w:val="auto"/>
          <w:sz w:val="24"/>
          <w:szCs w:val="24"/>
        </w:rPr>
        <w:t>指标1：受益学生满意度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95%。</w:t>
      </w:r>
    </w:p>
    <w:p w14:paraId="70B51CC0">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2B1BDE17">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45306C71">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261284E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等相关政策文件与规定，对中央直达资金-和地财教[2023]60号：2024年城乡义务教育补助经费项目开展本次部门项目支出绩效评价工作。全面了解</w:t>
      </w:r>
      <w:r>
        <w:rPr>
          <w:rFonts w:hint="eastAsia" w:ascii="宋体" w:hAnsi="宋体" w:eastAsia="宋体" w:cs="宋体"/>
          <w:sz w:val="24"/>
          <w:szCs w:val="24"/>
          <w:lang w:val="en-US" w:eastAsia="zh-CN"/>
        </w:rPr>
        <w:t>中央直达资金-和地财教[2023]60号：2024年城乡义务教育补助经费</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30B5063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3382653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4E47CD4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072123F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61E0145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中央直达资金-和地财教[2023]60号：2024年城乡义务教育补助经费</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42C27AF4">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7B41E36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本次绩效评价主要围绕</w:t>
      </w:r>
      <w:r>
        <w:rPr>
          <w:rFonts w:hint="eastAsia" w:ascii="宋体" w:hAnsi="宋体" w:eastAsia="宋体" w:cs="宋体"/>
          <w:color w:val="auto"/>
          <w:sz w:val="24"/>
          <w:szCs w:val="24"/>
          <w:highlight w:val="none"/>
        </w:rPr>
        <w:t>中央直达资金-和地财教[2023]60号：2024年城乡义务教育补助经费</w:t>
      </w:r>
      <w:r>
        <w:rPr>
          <w:rFonts w:hint="eastAsia" w:ascii="宋体" w:hAnsi="宋体" w:eastAsia="宋体" w:cs="宋体"/>
          <w:color w:val="auto"/>
          <w:sz w:val="24"/>
          <w:szCs w:val="24"/>
          <w:highlight w:val="none"/>
          <w:lang w:val="en-US" w:eastAsia="zh-CN"/>
        </w:rPr>
        <w:t>项目</w:t>
      </w:r>
      <w:r>
        <w:rPr>
          <w:rFonts w:hint="eastAsia" w:ascii="宋体" w:hAnsi="宋体" w:eastAsia="宋体" w:cs="宋体"/>
          <w:sz w:val="24"/>
          <w:szCs w:val="24"/>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4E27020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18039F2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06CAC24B">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b/>
          <w:bCs/>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w:t>
      </w:r>
      <w:r>
        <w:rPr>
          <w:rFonts w:hint="eastAsia" w:ascii="宋体" w:hAnsi="宋体" w:eastAsia="宋体" w:cs="宋体"/>
          <w:sz w:val="24"/>
          <w:szCs w:val="24"/>
          <w:lang w:eastAsia="zh-CN"/>
        </w:rPr>
        <w:t>，</w:t>
      </w:r>
      <w:r>
        <w:rPr>
          <w:rFonts w:hint="eastAsia" w:ascii="宋体" w:hAnsi="宋体" w:eastAsia="宋体" w:cs="宋体"/>
          <w:sz w:val="24"/>
          <w:szCs w:val="24"/>
        </w:rPr>
        <w:t>绩效评价应遵循如下原则：</w:t>
      </w:r>
    </w:p>
    <w:p w14:paraId="5E022D4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77351E6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CAFFCC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00900D3B">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0B4518F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根据以上原则，绩效评价应遵循如下要求:</w:t>
      </w:r>
    </w:p>
    <w:p w14:paraId="69A8C77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782350B9">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03C6739D">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7C7FEE8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77EB5F8D">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lang w:eastAsia="zh-CN"/>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w:t>
      </w:r>
      <w:r>
        <w:rPr>
          <w:rFonts w:hint="eastAsia" w:ascii="宋体" w:hAnsi="宋体" w:eastAsia="宋体" w:cs="宋体"/>
          <w:sz w:val="24"/>
          <w:szCs w:val="24"/>
          <w:lang w:val="en-US" w:eastAsia="zh-CN"/>
        </w:rPr>
        <w:t>4</w:t>
      </w:r>
      <w:r>
        <w:rPr>
          <w:rFonts w:hint="eastAsia" w:ascii="宋体" w:hAnsi="宋体" w:eastAsia="宋体" w:cs="宋体"/>
          <w:sz w:val="24"/>
          <w:szCs w:val="24"/>
        </w:rPr>
        <w:t>个一级指标</w:t>
      </w:r>
      <w:r>
        <w:rPr>
          <w:rFonts w:hint="eastAsia" w:ascii="宋体" w:hAnsi="宋体" w:eastAsia="宋体" w:cs="宋体"/>
          <w:sz w:val="24"/>
          <w:szCs w:val="24"/>
          <w:lang w:eastAsia="zh-CN"/>
        </w:rPr>
        <w:t>。</w:t>
      </w:r>
    </w:p>
    <w:p w14:paraId="34A50465">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3C97717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7EA06AB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0AF0F9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692E5090">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751A6CC5">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61AB02C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7BF1F3C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36DE72F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0F6DEDB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4E537F8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3598040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53A2DA50">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5919E8B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1638F4C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328ACC7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B265EE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78D0D5E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3653040D">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绩效评价标准通常包括计划标准、行业标准、历史标准等，用于对绩效指标完成情况进行比较、分析、评价。本次评价主要采用了</w:t>
      </w:r>
      <w:r>
        <w:rPr>
          <w:rFonts w:hint="eastAsia" w:ascii="宋体" w:hAnsi="宋体" w:eastAsia="宋体" w:cs="宋体"/>
          <w:sz w:val="24"/>
          <w:szCs w:val="24"/>
          <w:lang w:val="en-US" w:eastAsia="zh-CN"/>
        </w:rPr>
        <w:t>计划标准</w:t>
      </w:r>
      <w:r>
        <w:rPr>
          <w:rFonts w:hint="eastAsia" w:ascii="宋体" w:hAnsi="宋体" w:eastAsia="宋体" w:cs="宋体"/>
          <w:sz w:val="24"/>
          <w:szCs w:val="24"/>
        </w:rPr>
        <w:t>。</w:t>
      </w:r>
    </w:p>
    <w:p w14:paraId="5D44040C">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7" w:name="_Toc31464"/>
      <w:bookmarkStart w:id="8"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0705F7A8">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01343492">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236562A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18FB4E4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陈芳</w:t>
      </w:r>
      <w:r>
        <w:rPr>
          <w:rFonts w:hint="eastAsia" w:ascii="宋体" w:hAnsi="宋体" w:eastAsia="宋体" w:cs="宋体"/>
          <w:sz w:val="24"/>
          <w:szCs w:val="24"/>
        </w:rPr>
        <w:t>（评价小组组长）：主要负责</w:t>
      </w:r>
      <w:r>
        <w:rPr>
          <w:rFonts w:hint="eastAsia" w:ascii="宋体" w:hAnsi="宋体" w:eastAsia="宋体" w:cs="宋体"/>
          <w:sz w:val="24"/>
          <w:szCs w:val="24"/>
          <w:lang w:val="en-US" w:eastAsia="zh-CN"/>
        </w:rPr>
        <w:t>全盘工作</w:t>
      </w:r>
      <w:r>
        <w:rPr>
          <w:rFonts w:hint="eastAsia" w:ascii="宋体" w:hAnsi="宋体" w:eastAsia="宋体" w:cs="宋体"/>
          <w:sz w:val="24"/>
          <w:szCs w:val="24"/>
        </w:rPr>
        <w:t>;</w:t>
      </w:r>
    </w:p>
    <w:p w14:paraId="5E98B4F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阿尔孜古丽</w:t>
      </w:r>
      <w:r>
        <w:rPr>
          <w:rFonts w:hint="eastAsia" w:ascii="宋体" w:hAnsi="宋体" w:eastAsia="宋体" w:cs="宋体"/>
          <w:sz w:val="24"/>
          <w:szCs w:val="24"/>
        </w:rPr>
        <w:t>（评价小组组员）：主要负责</w:t>
      </w:r>
      <w:r>
        <w:rPr>
          <w:rFonts w:hint="eastAsia" w:ascii="宋体" w:hAnsi="宋体" w:eastAsia="宋体" w:cs="宋体"/>
          <w:sz w:val="24"/>
          <w:szCs w:val="24"/>
          <w:lang w:eastAsia="zh-CN"/>
        </w:rPr>
        <w:t>项目</w:t>
      </w:r>
      <w:r>
        <w:rPr>
          <w:rFonts w:hint="eastAsia" w:ascii="宋体" w:hAnsi="宋体" w:eastAsia="宋体" w:cs="宋体"/>
          <w:sz w:val="24"/>
          <w:szCs w:val="24"/>
          <w:lang w:val="en-US" w:eastAsia="zh-CN"/>
        </w:rPr>
        <w:t>的管控监督和</w:t>
      </w:r>
      <w:r>
        <w:rPr>
          <w:rFonts w:hint="eastAsia" w:ascii="宋体" w:hAnsi="宋体" w:eastAsia="宋体" w:cs="宋体"/>
          <w:sz w:val="24"/>
          <w:szCs w:val="24"/>
          <w:lang w:eastAsia="zh-CN"/>
        </w:rPr>
        <w:t>达标</w:t>
      </w:r>
      <w:r>
        <w:rPr>
          <w:rFonts w:hint="eastAsia" w:ascii="宋体" w:hAnsi="宋体" w:eastAsia="宋体" w:cs="宋体"/>
          <w:sz w:val="24"/>
          <w:szCs w:val="24"/>
          <w:lang w:val="en-US" w:eastAsia="zh-CN"/>
        </w:rPr>
        <w:t>率</w:t>
      </w:r>
      <w:r>
        <w:rPr>
          <w:rFonts w:hint="eastAsia" w:ascii="宋体" w:hAnsi="宋体" w:eastAsia="宋体" w:cs="宋体"/>
          <w:sz w:val="24"/>
          <w:szCs w:val="24"/>
        </w:rPr>
        <w:t>;</w:t>
      </w:r>
    </w:p>
    <w:p w14:paraId="0416D9B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梁公布加参</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执行此项目</w:t>
      </w:r>
      <w:r>
        <w:rPr>
          <w:rFonts w:hint="eastAsia" w:ascii="宋体" w:hAnsi="宋体" w:eastAsia="宋体" w:cs="宋体"/>
          <w:sz w:val="24"/>
          <w:szCs w:val="24"/>
        </w:rPr>
        <w:t>。</w:t>
      </w:r>
    </w:p>
    <w:p w14:paraId="5C2FA319">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327E2D4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71294424">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2452C0C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1B222073">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40CC865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6F7CE9E9">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34055F6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7C1AFCF">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68A0014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7501CF80">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333CEC64">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0" w:name="_Toc68364665"/>
      <w:r>
        <w:rPr>
          <w:rFonts w:hint="eastAsia" w:ascii="宋体" w:hAnsi="宋体" w:eastAsia="宋体" w:cs="宋体"/>
          <w:sz w:val="24"/>
          <w:szCs w:val="24"/>
        </w:rPr>
        <w:t>（一）综合评价情况</w:t>
      </w:r>
      <w:bookmarkEnd w:id="10"/>
    </w:p>
    <w:p w14:paraId="0BD259A5">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bookmarkStart w:id="11" w:name="_Toc68364666"/>
      <w:r>
        <w:rPr>
          <w:rFonts w:hint="eastAsia" w:ascii="宋体" w:hAnsi="宋体" w:eastAsia="宋体" w:cs="宋体"/>
          <w:sz w:val="24"/>
          <w:szCs w:val="24"/>
        </w:rPr>
        <w:t>通过实施中央直达资金-和地财教[2023]60号：2024年城乡义务教育补助经费项目产生提高学校教育教学质量，学校环境质量效益。项目实施主要通过项目决策、项目过程、项目产出以及项目效益等方面进行评价，其中：</w:t>
      </w:r>
    </w:p>
    <w:p w14:paraId="2CAE042B">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项目决策：该项目主要通过</w:t>
      </w:r>
      <w:r>
        <w:rPr>
          <w:rFonts w:hint="eastAsia" w:ascii="宋体" w:hAnsi="宋体" w:eastAsia="宋体" w:cs="宋体"/>
          <w:sz w:val="24"/>
          <w:szCs w:val="24"/>
          <w:lang w:eastAsia="zh-CN"/>
        </w:rPr>
        <w:t>和地财教【</w:t>
      </w:r>
      <w:r>
        <w:rPr>
          <w:rFonts w:hint="eastAsia" w:ascii="宋体" w:hAnsi="宋体" w:eastAsia="宋体" w:cs="宋体"/>
          <w:sz w:val="24"/>
          <w:szCs w:val="24"/>
          <w:lang w:val="en-US" w:eastAsia="zh-CN"/>
        </w:rPr>
        <w:t>2023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60号</w:t>
      </w:r>
      <w:r>
        <w:rPr>
          <w:rFonts w:hint="eastAsia" w:ascii="宋体" w:hAnsi="宋体" w:eastAsia="宋体" w:cs="宋体"/>
          <w:sz w:val="24"/>
          <w:szCs w:val="24"/>
        </w:rPr>
        <w:t>文件立项，项目实施符合</w:t>
      </w:r>
      <w:r>
        <w:rPr>
          <w:rFonts w:hint="eastAsia" w:ascii="宋体" w:hAnsi="宋体" w:eastAsia="宋体" w:cs="宋体"/>
          <w:sz w:val="24"/>
          <w:szCs w:val="24"/>
          <w:lang w:eastAsia="zh-CN"/>
        </w:rPr>
        <w:t>通知</w:t>
      </w:r>
      <w:r>
        <w:rPr>
          <w:rFonts w:hint="eastAsia" w:ascii="宋体" w:hAnsi="宋体" w:eastAsia="宋体" w:cs="宋体"/>
          <w:sz w:val="24"/>
          <w:szCs w:val="24"/>
        </w:rPr>
        <w:t xml:space="preserve">要求，项目立项依据充分，立项程序规范。 </w:t>
      </w:r>
    </w:p>
    <w:p w14:paraId="30677373">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项目过程：中央直达资金-和地财教[2023]60号：2024年城乡义务教育补助经费项目预算安排</w:t>
      </w:r>
      <w:r>
        <w:rPr>
          <w:rFonts w:hint="eastAsia" w:ascii="宋体" w:hAnsi="宋体" w:eastAsia="宋体" w:cs="宋体"/>
          <w:sz w:val="24"/>
          <w:szCs w:val="24"/>
          <w:lang w:val="en-US" w:eastAsia="zh-CN"/>
        </w:rPr>
        <w:t>849.82</w:t>
      </w:r>
      <w:r>
        <w:rPr>
          <w:rFonts w:hint="eastAsia" w:ascii="宋体" w:hAnsi="宋体" w:eastAsia="宋体" w:cs="宋体"/>
          <w:sz w:val="24"/>
          <w:szCs w:val="24"/>
        </w:rPr>
        <w:t>万元，实际支出</w:t>
      </w:r>
      <w:r>
        <w:rPr>
          <w:rFonts w:hint="eastAsia" w:ascii="宋体" w:hAnsi="宋体" w:eastAsia="宋体" w:cs="宋体"/>
          <w:sz w:val="24"/>
          <w:szCs w:val="24"/>
          <w:lang w:val="en-US" w:eastAsia="zh-CN"/>
        </w:rPr>
        <w:t>849.82</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100</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030E7E7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项目效益：通过实施本项目，通过项目的实施，有效提高学生的校园生活质量。</w:t>
      </w:r>
    </w:p>
    <w:p w14:paraId="16919FC7">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4C40C5A6">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中央直达资金-和地财教[2023]60号：2024年城乡义务教育补助经费项目进行客观评价，最终评分结果：评价总分</w:t>
      </w:r>
      <w:r>
        <w:rPr>
          <w:rFonts w:hint="eastAsia" w:ascii="宋体" w:hAnsi="宋体" w:eastAsia="宋体" w:cs="宋体"/>
          <w:color w:val="333333"/>
          <w:sz w:val="24"/>
          <w:szCs w:val="24"/>
          <w:lang w:val="en-US" w:eastAsia="zh-CN"/>
        </w:rPr>
        <w:t>100</w:t>
      </w:r>
      <w:r>
        <w:rPr>
          <w:rFonts w:hint="eastAsia" w:ascii="宋体" w:hAnsi="宋体" w:eastAsia="宋体" w:cs="宋体"/>
          <w:color w:val="333333"/>
          <w:sz w:val="24"/>
          <w:szCs w:val="24"/>
        </w:rPr>
        <w:t>分，绩效等级为“</w:t>
      </w:r>
      <w:r>
        <w:rPr>
          <w:rFonts w:hint="eastAsia" w:ascii="宋体" w:hAnsi="宋体" w:eastAsia="宋体" w:cs="宋体"/>
          <w:color w:val="333333"/>
          <w:sz w:val="24"/>
          <w:szCs w:val="24"/>
          <w:lang w:eastAsia="zh-CN"/>
        </w:rPr>
        <w:t>优</w:t>
      </w:r>
      <w:r>
        <w:rPr>
          <w:rFonts w:hint="eastAsia" w:ascii="宋体" w:hAnsi="宋体" w:eastAsia="宋体" w:cs="宋体"/>
          <w:color w:val="333333"/>
          <w:sz w:val="24"/>
          <w:szCs w:val="24"/>
        </w:rPr>
        <w:t>”。</w:t>
      </w:r>
      <w:bookmarkEnd w:id="11"/>
    </w:p>
    <w:p w14:paraId="3BF70400">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bookmarkStart w:id="12" w:name="_Toc68364667"/>
    </w:p>
    <w:p w14:paraId="158C48E6">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2"/>
    </w:p>
    <w:p w14:paraId="0062FC85">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8"/>
      <w:r>
        <w:rPr>
          <w:rFonts w:hint="eastAsia" w:ascii="宋体" w:hAnsi="宋体" w:eastAsia="宋体" w:cs="宋体"/>
          <w:sz w:val="24"/>
          <w:szCs w:val="24"/>
        </w:rPr>
        <w:t>（一）项目决策情况</w:t>
      </w:r>
    </w:p>
    <w:p w14:paraId="541F8679">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FF0000"/>
          <w:sz w:val="24"/>
          <w:szCs w:val="24"/>
        </w:rPr>
      </w:pPr>
      <w:r>
        <w:rPr>
          <w:rFonts w:hint="eastAsia" w:ascii="宋体" w:hAnsi="宋体" w:eastAsia="宋体" w:cs="宋体"/>
          <w:sz w:val="24"/>
          <w:szCs w:val="24"/>
        </w:rPr>
        <w:t>项目决策类指标包括项目立项、绩效目标和资金投入三方面的内容，由6个三级指标构成，权重分为</w:t>
      </w:r>
      <w:r>
        <w:rPr>
          <w:rFonts w:hint="eastAsia" w:ascii="宋体" w:hAnsi="宋体" w:eastAsia="宋体" w:cs="宋体"/>
          <w:sz w:val="24"/>
          <w:szCs w:val="24"/>
          <w:lang w:val="en-US" w:eastAsia="zh-CN"/>
        </w:rPr>
        <w:t>23</w:t>
      </w:r>
      <w:r>
        <w:rPr>
          <w:rFonts w:hint="eastAsia" w:ascii="宋体" w:hAnsi="宋体" w:eastAsia="宋体" w:cs="宋体"/>
          <w:sz w:val="24"/>
          <w:szCs w:val="24"/>
        </w:rPr>
        <w:t>分，实际得分</w:t>
      </w:r>
      <w:r>
        <w:rPr>
          <w:rFonts w:hint="eastAsia" w:ascii="宋体" w:hAnsi="宋体" w:eastAsia="宋体" w:cs="宋体"/>
          <w:sz w:val="24"/>
          <w:szCs w:val="24"/>
          <w:lang w:val="en-US" w:eastAsia="zh-CN"/>
        </w:rPr>
        <w:t>23</w:t>
      </w:r>
      <w:r>
        <w:rPr>
          <w:rFonts w:hint="eastAsia" w:ascii="宋体" w:hAnsi="宋体" w:eastAsia="宋体" w:cs="宋体"/>
          <w:sz w:val="24"/>
          <w:szCs w:val="24"/>
        </w:rPr>
        <w:t>分，得分率为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36A17451">
      <w:pPr>
        <w:keepNext w:val="0"/>
        <w:keepLines w:val="0"/>
        <w:pageBreakBefore w:val="0"/>
        <w:widowControl w:val="0"/>
        <w:numPr>
          <w:ilvl w:val="0"/>
          <w:numId w:val="4"/>
        </w:numPr>
        <w:kinsoku/>
        <w:wordWrap/>
        <w:topLinePunct w:val="0"/>
        <w:autoSpaceDE/>
        <w:autoSpaceDN/>
        <w:bidi w:val="0"/>
        <w:adjustRightInd/>
        <w:snapToGrid/>
        <w:spacing w:line="360" w:lineRule="auto"/>
        <w:ind w:firstLine="560"/>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103AC3D2">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本项目立项符合</w:t>
      </w:r>
      <w:r>
        <w:rPr>
          <w:rFonts w:hint="eastAsia" w:ascii="宋体" w:hAnsi="宋体" w:eastAsia="宋体" w:cs="宋体"/>
          <w:color w:val="000000"/>
          <w:sz w:val="24"/>
          <w:szCs w:val="24"/>
          <w:highlight w:val="none"/>
          <w:lang w:eastAsia="zh-CN"/>
        </w:rPr>
        <w:t>自治区财政厅</w:t>
      </w:r>
      <w:r>
        <w:rPr>
          <w:rFonts w:hint="eastAsia" w:ascii="宋体" w:hAnsi="宋体" w:eastAsia="宋体" w:cs="宋体"/>
          <w:color w:val="000000"/>
          <w:sz w:val="24"/>
          <w:szCs w:val="24"/>
          <w:highlight w:val="none"/>
        </w:rPr>
        <w:t>颁发的《</w:t>
      </w:r>
      <w:r>
        <w:rPr>
          <w:rFonts w:hint="eastAsia" w:ascii="宋体" w:hAnsi="宋体" w:eastAsia="宋体" w:cs="宋体"/>
          <w:color w:val="000000"/>
          <w:sz w:val="24"/>
          <w:szCs w:val="24"/>
          <w:highlight w:val="none"/>
          <w:lang w:eastAsia="zh-CN"/>
        </w:rPr>
        <w:t>关于提前下达</w:t>
      </w:r>
      <w:r>
        <w:rPr>
          <w:rFonts w:hint="eastAsia" w:ascii="宋体" w:hAnsi="宋体" w:eastAsia="宋体" w:cs="宋体"/>
          <w:color w:val="000000"/>
          <w:sz w:val="24"/>
          <w:szCs w:val="24"/>
          <w:highlight w:val="none"/>
          <w:lang w:val="en-US" w:eastAsia="zh-CN"/>
        </w:rPr>
        <w:t>2024年城乡义务教育补助经费预算</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中央直达资金</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新财政</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2023】243</w:t>
      </w:r>
      <w:r>
        <w:rPr>
          <w:rFonts w:hint="eastAsia" w:ascii="宋体" w:hAnsi="宋体" w:eastAsia="宋体" w:cs="宋体"/>
          <w:color w:val="000000"/>
          <w:sz w:val="24"/>
          <w:szCs w:val="24"/>
          <w:highlight w:val="none"/>
        </w:rPr>
        <w:t>号）中：“中央直达资金-和地财教[2023]60号：2024年城乡义务教育补助经费”；本项目立项符合《</w:t>
      </w:r>
      <w:r>
        <w:rPr>
          <w:rFonts w:hint="eastAsia" w:ascii="宋体" w:hAnsi="宋体" w:eastAsia="宋体" w:cs="宋体"/>
          <w:color w:val="000000"/>
          <w:sz w:val="24"/>
          <w:szCs w:val="24"/>
          <w:highlight w:val="none"/>
          <w:lang w:eastAsia="zh-CN"/>
        </w:rPr>
        <w:t>自治区财政厅</w:t>
      </w:r>
      <w:r>
        <w:rPr>
          <w:rFonts w:hint="eastAsia" w:ascii="宋体" w:hAnsi="宋体" w:eastAsia="宋体" w:cs="宋体"/>
          <w:color w:val="000000"/>
          <w:sz w:val="24"/>
          <w:szCs w:val="24"/>
          <w:highlight w:val="none"/>
        </w:rPr>
        <w:t>颁发的《</w:t>
      </w:r>
      <w:r>
        <w:rPr>
          <w:rFonts w:hint="eastAsia" w:ascii="宋体" w:hAnsi="宋体" w:eastAsia="宋体" w:cs="宋体"/>
          <w:color w:val="000000"/>
          <w:sz w:val="24"/>
          <w:szCs w:val="24"/>
          <w:highlight w:val="none"/>
          <w:lang w:eastAsia="zh-CN"/>
        </w:rPr>
        <w:t>关于提前下达</w:t>
      </w:r>
      <w:r>
        <w:rPr>
          <w:rFonts w:hint="eastAsia" w:ascii="宋体" w:hAnsi="宋体" w:eastAsia="宋体" w:cs="宋体"/>
          <w:color w:val="000000"/>
          <w:sz w:val="24"/>
          <w:szCs w:val="24"/>
          <w:highlight w:val="none"/>
          <w:lang w:val="en-US" w:eastAsia="zh-CN"/>
        </w:rPr>
        <w:t>2024年城乡义务教育补助经费预算</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中央直达资金</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新财政</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2023】243</w:t>
      </w:r>
      <w:r>
        <w:rPr>
          <w:rFonts w:hint="eastAsia" w:ascii="宋体" w:hAnsi="宋体" w:eastAsia="宋体" w:cs="宋体"/>
          <w:color w:val="000000"/>
          <w:sz w:val="24"/>
          <w:szCs w:val="24"/>
          <w:highlight w:val="none"/>
        </w:rPr>
        <w:t>号）》中：“中央直达资金-和地财教[2023]60号：2024年城乡义务教育补助经费”内容，符合行业发展规划和政策要求；本项目立项符合《</w:t>
      </w:r>
      <w:r>
        <w:rPr>
          <w:rFonts w:hint="eastAsia" w:ascii="宋体" w:hAnsi="宋体" w:eastAsia="宋体" w:cs="宋体"/>
          <w:color w:val="000000"/>
          <w:sz w:val="24"/>
          <w:szCs w:val="24"/>
          <w:highlight w:val="none"/>
          <w:lang w:eastAsia="zh-CN"/>
        </w:rPr>
        <w:t>洛浦县洛浦镇中心小学</w:t>
      </w:r>
      <w:r>
        <w:rPr>
          <w:rFonts w:hint="eastAsia" w:ascii="宋体" w:hAnsi="宋体" w:eastAsia="宋体" w:cs="宋体"/>
          <w:color w:val="000000"/>
          <w:sz w:val="24"/>
          <w:szCs w:val="24"/>
          <w:highlight w:val="none"/>
        </w:rPr>
        <w:t>单位配置内设机构和人员编制规定》中职责范围中的“</w:t>
      </w:r>
      <w:r>
        <w:rPr>
          <w:rFonts w:hint="eastAsia" w:ascii="宋体" w:hAnsi="宋体" w:eastAsia="宋体" w:cs="宋体"/>
          <w:color w:val="000000"/>
          <w:sz w:val="24"/>
          <w:szCs w:val="24"/>
          <w:highlight w:val="none"/>
          <w:lang w:eastAsia="zh-CN"/>
        </w:rPr>
        <w:t>公用经费，营养改善</w:t>
      </w:r>
      <w:r>
        <w:rPr>
          <w:rFonts w:hint="eastAsia" w:ascii="宋体" w:hAnsi="宋体" w:eastAsia="宋体" w:cs="宋体"/>
          <w:color w:val="000000"/>
          <w:sz w:val="24"/>
          <w:szCs w:val="24"/>
          <w:highlight w:val="none"/>
        </w:rPr>
        <w:t>”，属于我单位履职所需；根据《财政资金直接支付申请书》，本项目资金性质为“公共财政预算”功能分类为“[2050202]小学教育”经济分类为“[50502]商品和服务支出”属于公共财政支持范围，符合中央、地方事权支出责任划分原则；经检查我单位财政应用平台指标，本项目不存在重复。</w:t>
      </w:r>
    </w:p>
    <w:p w14:paraId="0D02E068">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p>
    <w:p w14:paraId="0DFE3BFF">
      <w:pPr>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341BF4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该项目</w:t>
      </w:r>
      <w:r>
        <w:rPr>
          <w:rFonts w:hint="eastAsia" w:ascii="宋体" w:hAnsi="宋体" w:eastAsia="宋体" w:cs="宋体"/>
          <w:color w:val="auto"/>
          <w:sz w:val="24"/>
          <w:szCs w:val="24"/>
          <w:highlight w:val="none"/>
          <w:lang w:val="en-US" w:eastAsia="zh-CN"/>
        </w:rPr>
        <w:t>按照规定的程序申请设立</w:t>
      </w:r>
      <w:r>
        <w:rPr>
          <w:rFonts w:hint="eastAsia" w:ascii="宋体" w:hAnsi="宋体" w:eastAsia="宋体" w:cs="宋体"/>
          <w:color w:val="auto"/>
          <w:sz w:val="24"/>
          <w:szCs w:val="24"/>
          <w:highlight w:val="none"/>
        </w:rPr>
        <w:t>，具体内容为“</w:t>
      </w:r>
      <w:r>
        <w:rPr>
          <w:rFonts w:hint="eastAsia" w:ascii="宋体" w:hAnsi="宋体" w:eastAsia="宋体" w:cs="宋体"/>
          <w:color w:val="auto"/>
          <w:sz w:val="24"/>
          <w:szCs w:val="24"/>
          <w:highlight w:val="none"/>
          <w:lang w:val="en-US" w:eastAsia="zh-CN"/>
        </w:rPr>
        <w:t>2024年度自治区基层政协补助经费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lang w:val="en-US" w:eastAsia="zh-CN"/>
        </w:rPr>
        <w:t>审批文件、材料符合相关要求，均按照</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关于提前下达2024年度自治区基层政协补助经费的通知》</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中央直达资金</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新财政</w:t>
      </w: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【2023】243</w:t>
      </w:r>
      <w:r>
        <w:rPr>
          <w:rFonts w:hint="eastAsia" w:ascii="宋体" w:hAnsi="宋体" w:eastAsia="宋体" w:cs="宋体"/>
          <w:color w:val="auto"/>
          <w:sz w:val="24"/>
          <w:szCs w:val="24"/>
          <w:highlight w:val="none"/>
          <w:lang w:val="en-US"/>
        </w:rPr>
        <w:t>号）</w:t>
      </w:r>
      <w:r>
        <w:rPr>
          <w:rFonts w:hint="eastAsia" w:ascii="宋体" w:hAnsi="宋体" w:eastAsia="宋体" w:cs="宋体"/>
          <w:color w:val="auto"/>
          <w:sz w:val="24"/>
          <w:szCs w:val="24"/>
          <w:highlight w:val="none"/>
          <w:lang w:eastAsia="zh-CN"/>
        </w:rPr>
        <w:t>文件精神，制定本单位《资金使用方案》、做好绩效目标</w:t>
      </w:r>
      <w:r>
        <w:rPr>
          <w:rFonts w:hint="eastAsia" w:ascii="宋体" w:hAnsi="宋体" w:eastAsia="宋体" w:cs="宋体"/>
          <w:color w:val="auto"/>
          <w:sz w:val="24"/>
          <w:szCs w:val="24"/>
          <w:highlight w:val="none"/>
          <w:lang w:val="en-US" w:eastAsia="zh-CN"/>
        </w:rPr>
        <w:t>；该项目</w:t>
      </w:r>
      <w:r>
        <w:rPr>
          <w:rFonts w:hint="eastAsia" w:ascii="宋体" w:hAnsi="宋体" w:eastAsia="宋体" w:cs="宋体"/>
          <w:color w:val="auto"/>
          <w:sz w:val="24"/>
          <w:szCs w:val="24"/>
          <w:highlight w:val="none"/>
        </w:rPr>
        <w:t>不涉及事前绩效评估和风险评估</w:t>
      </w:r>
      <w:r>
        <w:rPr>
          <w:rFonts w:hint="eastAsia" w:ascii="宋体" w:hAnsi="宋体" w:eastAsia="宋体" w:cs="宋体"/>
          <w:color w:val="auto"/>
          <w:sz w:val="24"/>
          <w:szCs w:val="24"/>
          <w:highlight w:val="none"/>
          <w:lang w:val="en-US" w:eastAsia="zh-CN"/>
        </w:rPr>
        <w:t>，但经过单位集体决策。</w:t>
      </w:r>
    </w:p>
    <w:p w14:paraId="4FE8396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44AE1D62">
      <w:pPr>
        <w:keepNext w:val="0"/>
        <w:keepLines w:val="0"/>
        <w:pageBreakBefore w:val="0"/>
        <w:widowControl w:val="0"/>
        <w:kinsoku/>
        <w:wordWrap/>
        <w:overflowPunct/>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sz w:val="24"/>
          <w:szCs w:val="24"/>
        </w:rPr>
      </w:pPr>
      <w:r>
        <w:rPr>
          <w:rFonts w:hint="eastAsia" w:ascii="宋体" w:hAnsi="宋体" w:eastAsia="宋体" w:cs="宋体"/>
          <w:b/>
          <w:bCs/>
          <w:sz w:val="24"/>
          <w:szCs w:val="24"/>
        </w:rPr>
        <w:t>（3）绩效目标合理性</w:t>
      </w:r>
      <w:r>
        <w:rPr>
          <w:rFonts w:hint="eastAsia" w:ascii="宋体" w:hAnsi="宋体" w:eastAsia="宋体" w:cs="宋体"/>
          <w:sz w:val="24"/>
          <w:szCs w:val="24"/>
        </w:rPr>
        <w:t>：</w:t>
      </w:r>
    </w:p>
    <w:p w14:paraId="3F062B8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为了保障学校日常工作正常运转，本项目正常性项目，资金总额为849.82万元，将在2024年12月之前完成。通过实施本项目可以有效提高学校日常工作水平，提高学生积极性，激励学生学习效率，提高学校教育教学质量，学校环境质量。”。</w:t>
      </w:r>
    </w:p>
    <w:p w14:paraId="7B7BF7C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截止到自评节点，我单位已完成保障8402名学生正常的校园生活，项目资金已使用849.82万元。通过项目的实施，有效提高学生的校园生活质量。绩效目标与实际工作内容一致，两者具有相关性。</w:t>
      </w:r>
    </w:p>
    <w:p w14:paraId="35F712D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③该项目按照绩效保障</w:t>
      </w:r>
      <w:r>
        <w:rPr>
          <w:rFonts w:hint="eastAsia" w:ascii="宋体" w:hAnsi="宋体" w:eastAsia="宋体" w:cs="宋体"/>
          <w:color w:val="auto"/>
          <w:sz w:val="24"/>
          <w:szCs w:val="24"/>
          <w:highlight w:val="none"/>
          <w:lang w:val="en-US" w:eastAsia="zh-CN"/>
        </w:rPr>
        <w:t>3966</w:t>
      </w:r>
      <w:r>
        <w:rPr>
          <w:rFonts w:hint="eastAsia" w:ascii="宋体" w:hAnsi="宋体" w:eastAsia="宋体" w:cs="宋体"/>
          <w:color w:val="auto"/>
          <w:sz w:val="24"/>
          <w:szCs w:val="24"/>
          <w:highlight w:val="none"/>
        </w:rPr>
        <w:t>名学生正常的校园生活，通过项目的实施，有效提高学生的校园生活质量。预期产出效益和效果符合正常的业绩水平。</w:t>
      </w:r>
    </w:p>
    <w:p w14:paraId="190E331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849.82</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849.82</w:t>
      </w:r>
      <w:r>
        <w:rPr>
          <w:rFonts w:hint="eastAsia" w:ascii="宋体" w:hAnsi="宋体" w:eastAsia="宋体" w:cs="宋体"/>
          <w:color w:val="auto"/>
          <w:sz w:val="24"/>
          <w:szCs w:val="24"/>
          <w:highlight w:val="none"/>
        </w:rPr>
        <w:t>万元，预算确定的项目资金与预算确定的项目投资额相匹配。</w:t>
      </w:r>
    </w:p>
    <w:p w14:paraId="43033DF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3B453A9">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4</w:t>
      </w:r>
      <w:r>
        <w:rPr>
          <w:rFonts w:hint="eastAsia" w:ascii="宋体" w:hAnsi="宋体" w:eastAsia="宋体" w:cs="宋体"/>
          <w:b/>
          <w:bCs/>
          <w:sz w:val="24"/>
          <w:szCs w:val="24"/>
          <w:lang w:eastAsia="zh-CN"/>
        </w:rPr>
        <w:t>）</w:t>
      </w:r>
      <w:r>
        <w:rPr>
          <w:rFonts w:hint="eastAsia" w:ascii="宋体" w:hAnsi="宋体" w:eastAsia="宋体" w:cs="宋体"/>
          <w:b/>
          <w:bCs/>
          <w:sz w:val="24"/>
          <w:szCs w:val="24"/>
        </w:rPr>
        <w:t>绩效指标明确性</w:t>
      </w:r>
      <w:r>
        <w:rPr>
          <w:rFonts w:hint="eastAsia" w:ascii="宋体" w:hAnsi="宋体" w:eastAsia="宋体" w:cs="宋体"/>
          <w:b/>
          <w:bCs/>
          <w:sz w:val="24"/>
          <w:szCs w:val="24"/>
          <w:lang w:eastAsia="zh-CN"/>
        </w:rPr>
        <w:t>：</w:t>
      </w:r>
    </w:p>
    <w:p w14:paraId="4E7F055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90.91</w:t>
      </w:r>
      <w:r>
        <w:rPr>
          <w:rFonts w:hint="eastAsia" w:ascii="宋体" w:hAnsi="宋体" w:eastAsia="宋体" w:cs="宋体"/>
          <w:color w:val="auto"/>
          <w:sz w:val="24"/>
          <w:szCs w:val="24"/>
          <w:highlight w:val="none"/>
        </w:rPr>
        <w:t>%，量化率达7</w:t>
      </w:r>
      <w:r>
        <w:rPr>
          <w:rFonts w:hint="eastAsia" w:ascii="宋体" w:hAnsi="宋体" w:eastAsia="宋体" w:cs="宋体"/>
          <w:color w:val="auto"/>
          <w:sz w:val="24"/>
          <w:szCs w:val="24"/>
          <w:highlight w:val="none"/>
          <w:lang w:val="en-US" w:eastAsia="zh-CN"/>
        </w:rPr>
        <w:t>5.0</w:t>
      </w:r>
      <w:r>
        <w:rPr>
          <w:rFonts w:hint="eastAsia" w:ascii="宋体" w:hAnsi="宋体" w:eastAsia="宋体" w:cs="宋体"/>
          <w:color w:val="auto"/>
          <w:sz w:val="24"/>
          <w:szCs w:val="24"/>
          <w:highlight w:val="none"/>
        </w:rPr>
        <w:t>%以上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768601A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≥3966人</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2532DD0">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预算编制科学性：</w:t>
      </w:r>
    </w:p>
    <w:p w14:paraId="09D428D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中央直达资金-和地财教[2023]60号：2024年城乡义务教育补助经费，即预算编制较科学且经过论证；预算申请内容为中央直达资金-和地财教[2023]60号：2024年城乡义务教育补助经费，项目实际内容为中央直达资金-和地财教[2023]60号：2024年城乡义务教育补助经费，预算申请与《中央直达资金-和地财教[2023]60号：2024年城乡义务教育补助经费项目实施方案》中涉及的项目内容匹配；</w:t>
      </w:r>
    </w:p>
    <w:p w14:paraId="49BBFFED">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eastAsia="zh-CN"/>
        </w:rPr>
        <w:t>849.82</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lang w:eastAsia="zh-CN"/>
        </w:rPr>
        <w:t>公用</w:t>
      </w:r>
      <w:r>
        <w:rPr>
          <w:rFonts w:hint="eastAsia" w:ascii="宋体" w:hAnsi="宋体" w:eastAsia="宋体" w:cs="宋体"/>
          <w:color w:val="auto"/>
          <w:sz w:val="24"/>
          <w:szCs w:val="24"/>
        </w:rPr>
        <w:t>经费费用</w:t>
      </w:r>
      <w:r>
        <w:rPr>
          <w:rFonts w:hint="eastAsia" w:ascii="宋体" w:hAnsi="宋体" w:eastAsia="宋体" w:cs="宋体"/>
          <w:color w:val="auto"/>
          <w:sz w:val="24"/>
          <w:szCs w:val="24"/>
          <w:lang w:val="en-US" w:eastAsia="zh-CN"/>
        </w:rPr>
        <w:t>329.4</w:t>
      </w:r>
      <w:r>
        <w:rPr>
          <w:rFonts w:hint="eastAsia" w:ascii="宋体" w:hAnsi="宋体" w:eastAsia="宋体" w:cs="宋体"/>
          <w:color w:val="auto"/>
          <w:sz w:val="24"/>
          <w:szCs w:val="24"/>
        </w:rPr>
        <w:t>万元、寄宿生生活补助费用</w:t>
      </w:r>
      <w:r>
        <w:rPr>
          <w:rFonts w:hint="eastAsia" w:ascii="宋体" w:hAnsi="宋体" w:eastAsia="宋体" w:cs="宋体"/>
          <w:color w:val="auto"/>
          <w:sz w:val="24"/>
          <w:szCs w:val="24"/>
          <w:lang w:val="en-US" w:eastAsia="zh-CN"/>
        </w:rPr>
        <w:t>111.35</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，营养改善</w:t>
      </w:r>
      <w:r>
        <w:rPr>
          <w:rFonts w:hint="eastAsia" w:ascii="宋体" w:hAnsi="宋体" w:eastAsia="宋体" w:cs="宋体"/>
          <w:color w:val="auto"/>
          <w:sz w:val="24"/>
          <w:szCs w:val="24"/>
        </w:rPr>
        <w:t>补助费用</w:t>
      </w:r>
      <w:r>
        <w:rPr>
          <w:rFonts w:hint="eastAsia" w:ascii="宋体" w:hAnsi="宋体" w:eastAsia="宋体" w:cs="宋体"/>
          <w:color w:val="auto"/>
          <w:sz w:val="24"/>
          <w:szCs w:val="24"/>
          <w:lang w:val="en-US" w:eastAsia="zh-CN"/>
        </w:rPr>
        <w:t>409.07</w:t>
      </w:r>
      <w:r>
        <w:rPr>
          <w:rFonts w:hint="eastAsia" w:ascii="宋体" w:hAnsi="宋体" w:eastAsia="宋体" w:cs="宋体"/>
          <w:color w:val="auto"/>
          <w:sz w:val="24"/>
          <w:szCs w:val="24"/>
        </w:rPr>
        <w:t>万元</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2347EDC6">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lang w:eastAsia="zh-CN"/>
        </w:rPr>
        <w:t>）资金分配合理性：</w:t>
      </w:r>
    </w:p>
    <w:p w14:paraId="55B30BC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自治区财政厅颁发的《关于提前下达2024年城乡义务教育补助经费预算》（中央直达资金〔新财政〕【2023】243号）中：“中央直达资金-和地财教[2023]60号：2024年城乡义务教育补助经费”；本项目立项符合《自治区财政厅颁发的《关于提前下达2024年城乡义务教育补助经费预算》（中央直达资金〔新财政〕【2023】243号）》中：“中央直达资金-和地财教[2023]60号：2024年城乡义务教育补助经费”内容，符合行业发展规划和政策要求；本项目立项符合《</w:t>
      </w:r>
      <w:r>
        <w:rPr>
          <w:rFonts w:hint="eastAsia" w:ascii="宋体" w:hAnsi="宋体" w:eastAsia="宋体" w:cs="宋体"/>
          <w:color w:val="auto"/>
          <w:sz w:val="24"/>
          <w:szCs w:val="24"/>
          <w:highlight w:val="none"/>
          <w:lang w:eastAsia="zh-CN"/>
        </w:rPr>
        <w:t>洛浦县洛浦镇中心小学</w:t>
      </w:r>
      <w:r>
        <w:rPr>
          <w:rFonts w:hint="eastAsia" w:ascii="宋体" w:hAnsi="宋体" w:eastAsia="宋体" w:cs="宋体"/>
          <w:color w:val="auto"/>
          <w:sz w:val="24"/>
          <w:szCs w:val="24"/>
          <w:highlight w:val="none"/>
        </w:rPr>
        <w:t>单位配置内设机构和人员编制规定》中职责范围中的“</w:t>
      </w:r>
      <w:r>
        <w:rPr>
          <w:rFonts w:hint="eastAsia" w:ascii="宋体" w:hAnsi="宋体" w:eastAsia="宋体" w:cs="宋体"/>
          <w:color w:val="auto"/>
          <w:sz w:val="24"/>
          <w:szCs w:val="24"/>
          <w:highlight w:val="none"/>
          <w:lang w:eastAsia="zh-CN"/>
        </w:rPr>
        <w:t>公用经费，营养改善</w:t>
      </w:r>
      <w:r>
        <w:rPr>
          <w:rFonts w:hint="eastAsia" w:ascii="宋体" w:hAnsi="宋体" w:eastAsia="宋体" w:cs="宋体"/>
          <w:color w:val="auto"/>
          <w:sz w:val="24"/>
          <w:szCs w:val="24"/>
          <w:highlight w:val="none"/>
        </w:rPr>
        <w:t>”，属于我单位履职所需；</w:t>
      </w:r>
    </w:p>
    <w:p w14:paraId="089951A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52D87ED4">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029E367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w:t>
      </w:r>
      <w:r>
        <w:rPr>
          <w:rFonts w:hint="eastAsia" w:ascii="宋体" w:hAnsi="宋体" w:eastAsia="宋体" w:cs="宋体"/>
          <w:color w:val="auto"/>
          <w:sz w:val="24"/>
          <w:szCs w:val="24"/>
          <w:highlight w:val="none"/>
        </w:rPr>
        <w:t>目过程类指标包括资金管理和组织实施两方面的内容，由</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BE4589E">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资金到位率：</w:t>
      </w:r>
    </w:p>
    <w:p w14:paraId="6FAD17E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本项目预算资金为</w:t>
      </w:r>
      <w:r>
        <w:rPr>
          <w:rFonts w:hint="eastAsia" w:ascii="宋体" w:hAnsi="宋体" w:eastAsia="宋体" w:cs="宋体"/>
          <w:sz w:val="24"/>
          <w:szCs w:val="24"/>
          <w:highlight w:val="none"/>
          <w:lang w:val="en-US" w:eastAsia="zh-CN"/>
        </w:rPr>
        <w:t>849.82</w:t>
      </w:r>
      <w:r>
        <w:rPr>
          <w:rFonts w:hint="eastAsia" w:ascii="宋体" w:hAnsi="宋体" w:eastAsia="宋体" w:cs="宋体"/>
          <w:sz w:val="24"/>
          <w:szCs w:val="24"/>
          <w:highlight w:val="none"/>
        </w:rPr>
        <w:t>万元，其中：财政安排资金</w:t>
      </w:r>
      <w:r>
        <w:rPr>
          <w:rFonts w:hint="eastAsia" w:ascii="宋体" w:hAnsi="宋体" w:eastAsia="宋体" w:cs="宋体"/>
          <w:sz w:val="24"/>
          <w:szCs w:val="24"/>
          <w:highlight w:val="none"/>
          <w:lang w:val="en-US" w:eastAsia="zh-CN"/>
        </w:rPr>
        <w:t>849.82</w:t>
      </w:r>
      <w:r>
        <w:rPr>
          <w:rFonts w:hint="eastAsia" w:ascii="宋体" w:hAnsi="宋体" w:eastAsia="宋体" w:cs="宋体"/>
          <w:sz w:val="24"/>
          <w:szCs w:val="24"/>
          <w:highlight w:val="none"/>
        </w:rPr>
        <w:t>万元，其他资金</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万元，实际到位资金</w:t>
      </w:r>
      <w:r>
        <w:rPr>
          <w:rFonts w:hint="eastAsia" w:ascii="宋体" w:hAnsi="宋体" w:eastAsia="宋体" w:cs="宋体"/>
          <w:sz w:val="24"/>
          <w:szCs w:val="24"/>
          <w:highlight w:val="none"/>
          <w:lang w:val="en-US" w:eastAsia="zh-CN"/>
        </w:rPr>
        <w:t>849.82</w:t>
      </w:r>
      <w:r>
        <w:rPr>
          <w:rFonts w:hint="eastAsia" w:ascii="宋体" w:hAnsi="宋体" w:eastAsia="宋体" w:cs="宋体"/>
          <w:sz w:val="24"/>
          <w:szCs w:val="24"/>
          <w:highlight w:val="none"/>
        </w:rPr>
        <w:t>万元，资金到位率=</w:t>
      </w:r>
      <w:r>
        <w:rPr>
          <w:rFonts w:hint="eastAsia" w:ascii="宋体" w:hAnsi="宋体" w:eastAsia="宋体" w:cs="宋体"/>
          <w:sz w:val="24"/>
          <w:szCs w:val="24"/>
          <w:highlight w:val="none"/>
          <w:lang w:val="en-US" w:eastAsia="zh-CN"/>
        </w:rPr>
        <w:t>100%；通过分析可知，该项目</w:t>
      </w:r>
      <w:r>
        <w:rPr>
          <w:rFonts w:hint="eastAsia" w:ascii="宋体" w:hAnsi="宋体" w:eastAsia="宋体" w:cs="宋体"/>
          <w:sz w:val="24"/>
          <w:szCs w:val="24"/>
          <w:highlight w:val="none"/>
        </w:rPr>
        <w:t>财政资金足额拨付到位，能够及时足额</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给</w:t>
      </w:r>
      <w:r>
        <w:rPr>
          <w:rFonts w:hint="eastAsia" w:ascii="宋体" w:hAnsi="宋体" w:eastAsia="宋体" w:cs="宋体"/>
          <w:sz w:val="24"/>
          <w:szCs w:val="24"/>
          <w:highlight w:val="none"/>
          <w:lang w:val="en-US" w:eastAsia="zh-CN"/>
        </w:rPr>
        <w:t>实施</w:t>
      </w:r>
      <w:r>
        <w:rPr>
          <w:rFonts w:hint="eastAsia" w:ascii="宋体" w:hAnsi="宋体" w:eastAsia="宋体" w:cs="宋体"/>
          <w:sz w:val="24"/>
          <w:szCs w:val="24"/>
          <w:highlight w:val="none"/>
        </w:rPr>
        <w:t>单位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分。   </w:t>
      </w:r>
    </w:p>
    <w:p w14:paraId="253C17BD">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）预算执行率：</w:t>
      </w:r>
    </w:p>
    <w:p w14:paraId="7431A0E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本项目实际支出资金</w:t>
      </w:r>
      <w:r>
        <w:rPr>
          <w:rFonts w:hint="eastAsia" w:ascii="宋体" w:hAnsi="宋体" w:eastAsia="宋体" w:cs="宋体"/>
          <w:sz w:val="24"/>
          <w:szCs w:val="24"/>
          <w:highlight w:val="none"/>
          <w:lang w:val="en-US" w:eastAsia="zh-CN"/>
        </w:rPr>
        <w:t>849.82</w:t>
      </w:r>
      <w:r>
        <w:rPr>
          <w:rFonts w:hint="eastAsia" w:ascii="宋体" w:hAnsi="宋体" w:eastAsia="宋体" w:cs="宋体"/>
          <w:sz w:val="24"/>
          <w:szCs w:val="24"/>
          <w:highlight w:val="none"/>
        </w:rPr>
        <w:t>万元，预算执行率=（</w:t>
      </w:r>
      <w:r>
        <w:rPr>
          <w:rFonts w:hint="eastAsia" w:ascii="宋体" w:hAnsi="宋体" w:eastAsia="宋体" w:cs="宋体"/>
          <w:sz w:val="24"/>
          <w:szCs w:val="24"/>
          <w:highlight w:val="none"/>
          <w:lang w:val="en-US" w:eastAsia="zh-CN"/>
        </w:rPr>
        <w:t>849.82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849.82</w:t>
      </w:r>
      <w:r>
        <w:rPr>
          <w:rFonts w:hint="eastAsia" w:ascii="宋体" w:hAnsi="宋体" w:eastAsia="宋体" w:cs="宋体"/>
          <w:sz w:val="24"/>
          <w:szCs w:val="24"/>
          <w:highlight w:val="none"/>
        </w:rPr>
        <w:t>）×100.0%=</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通过分析可知，该项目</w:t>
      </w:r>
      <w:r>
        <w:rPr>
          <w:rFonts w:hint="eastAsia" w:ascii="宋体" w:hAnsi="宋体" w:eastAsia="宋体" w:cs="宋体"/>
          <w:sz w:val="24"/>
          <w:szCs w:val="24"/>
          <w:highlight w:val="none"/>
        </w:rPr>
        <w:t>预算编制较为详细，项目资金支出总体能够按照预算执行，根据评分标准，该指标不扣分，得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w:t>
      </w:r>
    </w:p>
    <w:p w14:paraId="7DCEABB8">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资金使用合规性：</w:t>
      </w:r>
    </w:p>
    <w:p w14:paraId="1630D71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通过检查项目资金申请文件、</w:t>
      </w:r>
      <w:r>
        <w:rPr>
          <w:rFonts w:hint="eastAsia" w:ascii="宋体" w:hAnsi="宋体" w:eastAsia="宋体" w:cs="宋体"/>
          <w:sz w:val="24"/>
          <w:szCs w:val="24"/>
          <w:highlight w:val="none"/>
          <w:lang w:val="en-US" w:eastAsia="zh-CN"/>
        </w:rPr>
        <w:t>国库支付凭证</w:t>
      </w:r>
      <w:r>
        <w:rPr>
          <w:rFonts w:hint="eastAsia" w:ascii="宋体" w:hAnsi="宋体" w:eastAsia="宋体" w:cs="宋体"/>
          <w:sz w:val="24"/>
          <w:szCs w:val="24"/>
          <w:highlight w:val="none"/>
        </w:rPr>
        <w:t>等财务</w:t>
      </w:r>
      <w:r>
        <w:rPr>
          <w:rFonts w:hint="eastAsia" w:ascii="宋体" w:hAnsi="宋体" w:eastAsia="宋体" w:cs="宋体"/>
          <w:sz w:val="24"/>
          <w:szCs w:val="24"/>
          <w:highlight w:val="none"/>
          <w:lang w:val="en-US" w:eastAsia="zh-CN"/>
        </w:rPr>
        <w:t>资料</w:t>
      </w:r>
      <w:r>
        <w:rPr>
          <w:rFonts w:hint="eastAsia" w:ascii="宋体" w:hAnsi="宋体" w:eastAsia="宋体" w:cs="宋体"/>
          <w:sz w:val="24"/>
          <w:szCs w:val="24"/>
          <w:highlight w:val="none"/>
        </w:rPr>
        <w:t>，得出本项目资金支出符合国家财经法规、《政府会计制度》《</w:t>
      </w:r>
      <w:r>
        <w:rPr>
          <w:rFonts w:hint="eastAsia" w:ascii="宋体" w:hAnsi="宋体" w:eastAsia="宋体" w:cs="宋体"/>
          <w:sz w:val="24"/>
          <w:szCs w:val="24"/>
          <w:highlight w:val="none"/>
          <w:lang w:val="en-US" w:eastAsia="zh-CN"/>
        </w:rPr>
        <w:t>洛浦县洛浦镇中心小学</w:t>
      </w:r>
      <w:r>
        <w:rPr>
          <w:rFonts w:hint="eastAsia" w:ascii="宋体" w:hAnsi="宋体" w:eastAsia="宋体" w:cs="宋体"/>
          <w:sz w:val="24"/>
          <w:szCs w:val="24"/>
          <w:highlight w:val="none"/>
        </w:rPr>
        <w:t>单位资金管理办法》《</w:t>
      </w:r>
      <w:r>
        <w:rPr>
          <w:rFonts w:hint="eastAsia" w:ascii="宋体" w:hAnsi="宋体" w:eastAsia="宋体" w:cs="宋体"/>
          <w:sz w:val="24"/>
          <w:szCs w:val="24"/>
          <w:highlight w:val="none"/>
          <w:lang w:val="en-US" w:eastAsia="zh-CN"/>
        </w:rPr>
        <w:t>中央直达资金</w:t>
      </w:r>
      <w:r>
        <w:rPr>
          <w:rFonts w:hint="eastAsia" w:ascii="宋体" w:hAnsi="宋体" w:eastAsia="宋体" w:cs="宋体"/>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4AAEA101">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）管理制度健全性：</w:t>
      </w:r>
    </w:p>
    <w:p w14:paraId="02E660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b w:val="0"/>
          <w:bCs w:val="0"/>
          <w:color w:val="auto"/>
          <w:sz w:val="24"/>
          <w:szCs w:val="24"/>
          <w:highlight w:val="none"/>
        </w:rPr>
        <w:t>我</w:t>
      </w:r>
      <w:r>
        <w:rPr>
          <w:rFonts w:hint="eastAsia" w:ascii="宋体" w:hAnsi="宋体" w:eastAsia="宋体" w:cs="宋体"/>
          <w:sz w:val="24"/>
          <w:szCs w:val="24"/>
          <w:highlight w:val="none"/>
        </w:rPr>
        <w:t>单位已制定《</w:t>
      </w:r>
      <w:r>
        <w:rPr>
          <w:rFonts w:hint="eastAsia" w:ascii="宋体" w:hAnsi="宋体" w:eastAsia="宋体" w:cs="宋体"/>
          <w:sz w:val="24"/>
          <w:szCs w:val="24"/>
          <w:highlight w:val="none"/>
          <w:lang w:val="en-US" w:eastAsia="zh-CN"/>
        </w:rPr>
        <w:t>洛浦县教育系统</w:t>
      </w:r>
      <w:r>
        <w:rPr>
          <w:rFonts w:hint="eastAsia" w:ascii="宋体" w:hAnsi="宋体" w:eastAsia="宋体" w:cs="宋体"/>
          <w:sz w:val="24"/>
          <w:szCs w:val="24"/>
          <w:highlight w:val="none"/>
        </w:rPr>
        <w:t>资金管理办法》《</w:t>
      </w:r>
      <w:r>
        <w:rPr>
          <w:rFonts w:hint="eastAsia" w:ascii="宋体" w:hAnsi="宋体" w:eastAsia="宋体" w:cs="宋体"/>
          <w:sz w:val="24"/>
          <w:szCs w:val="24"/>
          <w:highlight w:val="none"/>
          <w:lang w:val="en-US" w:eastAsia="zh-CN"/>
        </w:rPr>
        <w:t>洛浦县教育系统</w:t>
      </w:r>
      <w:r>
        <w:rPr>
          <w:rFonts w:hint="eastAsia" w:ascii="宋体" w:hAnsi="宋体" w:eastAsia="宋体" w:cs="宋体"/>
          <w:sz w:val="24"/>
          <w:szCs w:val="24"/>
          <w:highlight w:val="none"/>
        </w:rPr>
        <w:t>收支业务管理制度》《</w:t>
      </w:r>
      <w:r>
        <w:rPr>
          <w:rFonts w:hint="eastAsia" w:ascii="宋体" w:hAnsi="宋体" w:eastAsia="宋体" w:cs="宋体"/>
          <w:sz w:val="24"/>
          <w:szCs w:val="24"/>
          <w:highlight w:val="none"/>
          <w:lang w:val="en-US" w:eastAsia="zh-CN"/>
        </w:rPr>
        <w:t>洛浦县教育系统</w:t>
      </w:r>
      <w:r>
        <w:rPr>
          <w:rFonts w:hint="eastAsia" w:ascii="宋体" w:hAnsi="宋体" w:eastAsia="宋体" w:cs="宋体"/>
          <w:sz w:val="24"/>
          <w:szCs w:val="24"/>
          <w:highlight w:val="none"/>
        </w:rPr>
        <w:t>政府采购业务管理制度》《</w:t>
      </w:r>
      <w:r>
        <w:rPr>
          <w:rFonts w:hint="eastAsia" w:ascii="宋体" w:hAnsi="宋体" w:eastAsia="宋体" w:cs="宋体"/>
          <w:sz w:val="24"/>
          <w:szCs w:val="24"/>
          <w:highlight w:val="none"/>
          <w:lang w:val="en-US" w:eastAsia="zh-CN"/>
        </w:rPr>
        <w:t>洛浦县教育系统</w:t>
      </w:r>
      <w:r>
        <w:rPr>
          <w:rFonts w:hint="eastAsia" w:ascii="宋体" w:hAnsi="宋体" w:eastAsia="宋体" w:cs="宋体"/>
          <w:sz w:val="24"/>
          <w:szCs w:val="24"/>
          <w:highlight w:val="none"/>
        </w:rPr>
        <w:t>合同管理制度》，</w:t>
      </w:r>
      <w:r>
        <w:rPr>
          <w:rFonts w:hint="eastAsia" w:ascii="宋体" w:hAnsi="宋体" w:eastAsia="宋体" w:cs="宋体"/>
          <w:sz w:val="24"/>
          <w:szCs w:val="24"/>
          <w:highlight w:val="none"/>
          <w:lang w:val="en-US" w:eastAsia="zh-CN"/>
        </w:rPr>
        <w:t>相关</w:t>
      </w:r>
      <w:r>
        <w:rPr>
          <w:rFonts w:hint="eastAsia" w:ascii="宋体" w:hAnsi="宋体" w:eastAsia="宋体" w:cs="宋体"/>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7F5DB9A2">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制度执行有效性</w:t>
      </w:r>
      <w:r>
        <w:rPr>
          <w:rFonts w:hint="eastAsia" w:ascii="宋体" w:hAnsi="宋体" w:eastAsia="宋体" w:cs="宋体"/>
          <w:color w:val="auto"/>
          <w:sz w:val="24"/>
          <w:szCs w:val="24"/>
          <w:highlight w:val="none"/>
        </w:rPr>
        <w:t>：</w:t>
      </w:r>
    </w:p>
    <w:p w14:paraId="586AA1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①该项目的实施符合《</w:t>
      </w:r>
      <w:r>
        <w:rPr>
          <w:rFonts w:hint="eastAsia" w:ascii="宋体" w:hAnsi="宋体" w:eastAsia="宋体" w:cs="宋体"/>
          <w:b w:val="0"/>
          <w:bCs w:val="0"/>
          <w:color w:val="auto"/>
          <w:sz w:val="24"/>
          <w:szCs w:val="24"/>
          <w:highlight w:val="none"/>
          <w:lang w:val="en-US" w:eastAsia="zh-CN"/>
        </w:rPr>
        <w:t>洛浦县教育系统</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洛浦县教育系统</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洛浦县教育系统</w:t>
      </w:r>
      <w:r>
        <w:rPr>
          <w:rFonts w:hint="eastAsia" w:ascii="宋体" w:hAnsi="宋体" w:eastAsia="宋体" w:cs="宋体"/>
          <w:b w:val="0"/>
          <w:bCs w:val="0"/>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49323A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②经现场查证项目合同书、验收评审表、财务支付凭证等资料齐全并及时归档。</w:t>
      </w:r>
    </w:p>
    <w:p w14:paraId="385D88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③该项目实施过程中不存在调整事项。</w:t>
      </w:r>
    </w:p>
    <w:p w14:paraId="1EE34C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中央直达资金-和地财教[2023]60号：2024年城乡义务教育补助经费项目工作领导小组，由</w:t>
      </w:r>
      <w:r>
        <w:rPr>
          <w:rFonts w:hint="eastAsia" w:ascii="宋体" w:hAnsi="宋体" w:eastAsia="宋体" w:cs="宋体"/>
          <w:b w:val="0"/>
          <w:bCs w:val="0"/>
          <w:color w:val="auto"/>
          <w:sz w:val="24"/>
          <w:szCs w:val="24"/>
          <w:highlight w:val="none"/>
          <w:lang w:val="en-US" w:eastAsia="zh-CN"/>
        </w:rPr>
        <w:t>阿依努尔</w:t>
      </w:r>
      <w:r>
        <w:rPr>
          <w:rFonts w:hint="eastAsia" w:ascii="宋体" w:hAnsi="宋体" w:eastAsia="宋体" w:cs="宋体"/>
          <w:b w:val="0"/>
          <w:bCs w:val="0"/>
          <w:color w:val="auto"/>
          <w:sz w:val="24"/>
          <w:szCs w:val="24"/>
          <w:highlight w:val="none"/>
        </w:rPr>
        <w:t>任组长，负责项目的组织工作；</w:t>
      </w:r>
      <w:r>
        <w:rPr>
          <w:rFonts w:hint="eastAsia" w:ascii="宋体" w:hAnsi="宋体" w:eastAsia="宋体" w:cs="宋体"/>
          <w:b w:val="0"/>
          <w:bCs w:val="0"/>
          <w:color w:val="auto"/>
          <w:sz w:val="24"/>
          <w:szCs w:val="24"/>
          <w:highlight w:val="none"/>
          <w:lang w:val="en-US" w:eastAsia="zh-CN"/>
        </w:rPr>
        <w:t>阿卜杜热依木</w:t>
      </w:r>
      <w:r>
        <w:rPr>
          <w:rFonts w:hint="eastAsia" w:ascii="宋体" w:hAnsi="宋体" w:eastAsia="宋体" w:cs="宋体"/>
          <w:b w:val="0"/>
          <w:bCs w:val="0"/>
          <w:color w:val="auto"/>
          <w:sz w:val="24"/>
          <w:szCs w:val="24"/>
          <w:highlight w:val="none"/>
        </w:rPr>
        <w:t>任副组长，负责项目的实施工作；组员包括：</w:t>
      </w:r>
      <w:r>
        <w:rPr>
          <w:rFonts w:hint="eastAsia" w:ascii="宋体" w:hAnsi="宋体" w:eastAsia="宋体" w:cs="宋体"/>
          <w:b w:val="0"/>
          <w:bCs w:val="0"/>
          <w:color w:val="auto"/>
          <w:sz w:val="24"/>
          <w:szCs w:val="24"/>
          <w:highlight w:val="none"/>
          <w:lang w:val="en-US" w:eastAsia="zh-CN"/>
        </w:rPr>
        <w:t>阿卜杜瓦伊提</w:t>
      </w:r>
      <w:r>
        <w:rPr>
          <w:rFonts w:hint="eastAsia" w:ascii="宋体" w:hAnsi="宋体" w:eastAsia="宋体" w:cs="宋体"/>
          <w:b w:val="0"/>
          <w:bCs w:val="0"/>
          <w:color w:val="auto"/>
          <w:sz w:val="24"/>
          <w:szCs w:val="24"/>
          <w:highlight w:val="none"/>
        </w:rPr>
        <w:t>和</w:t>
      </w:r>
      <w:r>
        <w:rPr>
          <w:rFonts w:hint="eastAsia" w:ascii="宋体" w:hAnsi="宋体" w:eastAsia="宋体" w:cs="宋体"/>
          <w:b w:val="0"/>
          <w:bCs w:val="0"/>
          <w:color w:val="auto"/>
          <w:sz w:val="24"/>
          <w:szCs w:val="24"/>
          <w:highlight w:val="none"/>
          <w:lang w:val="en-US" w:eastAsia="zh-CN"/>
        </w:rPr>
        <w:t>阿卜力孜</w:t>
      </w:r>
      <w:r>
        <w:rPr>
          <w:rFonts w:hint="eastAsia" w:ascii="宋体" w:hAnsi="宋体" w:eastAsia="宋体" w:cs="宋体"/>
          <w:b w:val="0"/>
          <w:bCs w:val="0"/>
          <w:color w:val="auto"/>
          <w:sz w:val="24"/>
          <w:szCs w:val="24"/>
          <w:highlight w:val="none"/>
        </w:rPr>
        <w:t>，主要负责项目监督管理、验收以及资金核拨等工作。根据评分标准，该指标不扣分，得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06365F75">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6B9B55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产出成本等四</w:t>
      </w:r>
      <w:r>
        <w:rPr>
          <w:rFonts w:hint="eastAsia" w:ascii="宋体" w:hAnsi="宋体" w:eastAsia="宋体" w:cs="宋体"/>
          <w:color w:val="auto"/>
          <w:sz w:val="24"/>
          <w:szCs w:val="24"/>
          <w:highlight w:val="none"/>
        </w:rPr>
        <w:t>方面的内容，由</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825DC5D">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对于“产出数量”</w:t>
      </w:r>
    </w:p>
    <w:p w14:paraId="6148791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受益学生数指标，预期指标值为=3966人，实际完成值为3966人，因人员动态变化，自评时的在校人数小于设定目标时的人数。指标完成率为100%，与预期目标一致，根据评分标准，该指标不扣分，得10分。</w:t>
      </w:r>
    </w:p>
    <w:p w14:paraId="7F5CD753">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对于“产出质量”：</w:t>
      </w:r>
    </w:p>
    <w:p w14:paraId="28192B6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资金使用覆盖率指标，预期指标值为=100%，实际完成值为100%，指标完成率为100%，与预期目标一致，根据评分标准，该指标不扣分，得5分。</w:t>
      </w:r>
    </w:p>
    <w:p w14:paraId="6D7965C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资金使用合规率指标，预期指标值为=100%，实际完成值为100%，指标完成率为100%，与预期目标一致，根据评分标准，该指标不扣分，得5分。</w:t>
      </w:r>
    </w:p>
    <w:p w14:paraId="6E570139">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default"/>
          <w:lang w:val="en-US" w:eastAsia="zh-CN"/>
        </w:rPr>
      </w:pPr>
      <w:r>
        <w:rPr>
          <w:rFonts w:hint="eastAsia" w:ascii="宋体" w:hAnsi="宋体" w:eastAsia="宋体" w:cs="宋体"/>
          <w:color w:val="auto"/>
          <w:sz w:val="24"/>
          <w:szCs w:val="24"/>
          <w:highlight w:val="none"/>
          <w:lang w:val="en-US" w:eastAsia="zh-CN"/>
        </w:rPr>
        <w:t xml:space="preserve">    总计10分。</w:t>
      </w:r>
    </w:p>
    <w:p w14:paraId="487F701F">
      <w:pPr>
        <w:pStyle w:val="10"/>
        <w:pageBreakBefore w:val="0"/>
        <w:widowControl w:val="0"/>
        <w:numPr>
          <w:ilvl w:val="0"/>
          <w:numId w:val="0"/>
        </w:numPr>
        <w:kinsoku/>
        <w:wordWrap/>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对于“产出时效”：</w:t>
      </w:r>
    </w:p>
    <w:p w14:paraId="7F295BC5">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项目开始时间指标，预期指标值为2024年1月，实际完成值为2024年1月，指标完成率为100%，与预期目标一致，根据评分标准，该指标不扣分，得5分。</w:t>
      </w:r>
    </w:p>
    <w:p w14:paraId="4232757A">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项目完成时间指标，预期指标值为2024年12月，实际完成值为2024年12月，指标完成率为100%，与预期目标一致，根据评分标准，该指标不扣分，得5分。</w:t>
      </w:r>
    </w:p>
    <w:p w14:paraId="69913749">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default"/>
          <w:lang w:val="en-US" w:eastAsia="zh-CN"/>
        </w:rPr>
      </w:pPr>
      <w:r>
        <w:rPr>
          <w:rFonts w:hint="eastAsia" w:ascii="宋体" w:hAnsi="宋体" w:eastAsia="宋体" w:cs="宋体"/>
          <w:color w:val="auto"/>
          <w:sz w:val="24"/>
          <w:szCs w:val="24"/>
          <w:highlight w:val="none"/>
          <w:lang w:val="en-US" w:eastAsia="zh-CN"/>
        </w:rPr>
        <w:t xml:space="preserve">    总计10分。</w:t>
      </w:r>
    </w:p>
    <w:p w14:paraId="020E0F88">
      <w:pPr>
        <w:pStyle w:val="46"/>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（4）对于“产出成本”：</w:t>
      </w:r>
    </w:p>
    <w:p w14:paraId="43772321">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公用经费指标，预期指标值为≤329.4万元，实际完成值为329.4万元，指标完成率为100%，与预期目标一致，根据评分标准，该指标不扣分，得5分。</w:t>
      </w:r>
    </w:p>
    <w:p w14:paraId="74C4B05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寄宿生生活补助指标，预期指标值为≤111.35万元，实际完成值为111.35万元，指标完成率为100%，与预期目标一致，根据评分标准，该指标不扣分，得2.5分。</w:t>
      </w:r>
    </w:p>
    <w:p w14:paraId="5160BBAF">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营养改善指标，预期指标值为≤409.07万元，实际完成值为409.07万元，指标完成率为100%，与预期目标一致，根据评分标准，该指标不扣分，得2.5分。</w:t>
      </w:r>
    </w:p>
    <w:p w14:paraId="4AFC8DDA">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 xml:space="preserve"> 总计10分。</w:t>
      </w:r>
    </w:p>
    <w:p w14:paraId="31044211">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5FEE37C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个方面的内容，由</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个三级指标构成，权重分为</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分，得分率为100%。</w:t>
      </w:r>
    </w:p>
    <w:p w14:paraId="439676D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63C150B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提高学校教育教学质量，学校环境质量指标，实际完成值为</w:t>
      </w:r>
      <w:r>
        <w:rPr>
          <w:rFonts w:hint="eastAsia" w:ascii="宋体" w:hAnsi="宋体" w:eastAsia="宋体" w:cs="宋体"/>
          <w:color w:val="auto"/>
          <w:sz w:val="24"/>
          <w:szCs w:val="24"/>
          <w:lang w:val="en-US" w:eastAsia="zh-CN"/>
        </w:rPr>
        <w:t>有效提高</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分。</w:t>
      </w:r>
    </w:p>
    <w:p w14:paraId="0DC525D3">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sz w:val="24"/>
          <w:szCs w:val="24"/>
        </w:rPr>
      </w:pPr>
      <w:r>
        <w:rPr>
          <w:rFonts w:hint="eastAsia" w:ascii="宋体" w:hAnsi="宋体" w:eastAsia="宋体" w:cs="宋体"/>
          <w:bCs/>
          <w:sz w:val="24"/>
          <w:szCs w:val="24"/>
        </w:rPr>
        <w:t>（4）满意度指标分析</w:t>
      </w:r>
    </w:p>
    <w:p w14:paraId="245C0102">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对于“满意度指标：受益学生满意度，该指标预期指标值为≥95%，实际完成值为95%，指标完成率为100%，与预期目标一致，根据评分标准，该指标不扣分,得10分。</w:t>
      </w:r>
      <w:bookmarkEnd w:id="13"/>
    </w:p>
    <w:p w14:paraId="5756F33D">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p>
    <w:p w14:paraId="10FAD4C2">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332EF3BC">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本项目年初预算资金总额为</w:t>
      </w:r>
      <w:r>
        <w:rPr>
          <w:rFonts w:hint="eastAsia" w:ascii="宋体" w:hAnsi="宋体" w:eastAsia="宋体" w:cs="宋体"/>
          <w:sz w:val="24"/>
          <w:szCs w:val="24"/>
          <w:lang w:val="en-US" w:eastAsia="zh-CN"/>
        </w:rPr>
        <w:t>849.82</w:t>
      </w:r>
      <w:r>
        <w:rPr>
          <w:rFonts w:hint="eastAsia" w:ascii="宋体" w:hAnsi="宋体" w:eastAsia="宋体" w:cs="宋体"/>
          <w:sz w:val="24"/>
          <w:szCs w:val="24"/>
        </w:rPr>
        <w:t>万元，全年预算数为</w:t>
      </w:r>
      <w:r>
        <w:rPr>
          <w:rFonts w:hint="eastAsia" w:ascii="宋体" w:hAnsi="宋体" w:eastAsia="宋体" w:cs="宋体"/>
          <w:sz w:val="24"/>
          <w:szCs w:val="24"/>
          <w:lang w:val="en-US" w:eastAsia="zh-CN"/>
        </w:rPr>
        <w:t>849.82</w:t>
      </w:r>
      <w:r>
        <w:rPr>
          <w:rFonts w:hint="eastAsia" w:ascii="宋体" w:hAnsi="宋体" w:eastAsia="宋体" w:cs="宋体"/>
          <w:sz w:val="24"/>
          <w:szCs w:val="24"/>
        </w:rPr>
        <w:t>万元，全年执行数为</w:t>
      </w:r>
      <w:r>
        <w:rPr>
          <w:rFonts w:hint="eastAsia" w:ascii="宋体" w:hAnsi="宋体" w:eastAsia="宋体" w:cs="宋体"/>
          <w:sz w:val="24"/>
          <w:szCs w:val="24"/>
          <w:lang w:val="en-US" w:eastAsia="zh-CN"/>
        </w:rPr>
        <w:t>849.82</w:t>
      </w:r>
      <w:r>
        <w:rPr>
          <w:rFonts w:hint="eastAsia" w:ascii="宋体" w:hAnsi="宋体" w:eastAsia="宋体" w:cs="宋体"/>
          <w:sz w:val="24"/>
          <w:szCs w:val="24"/>
        </w:rPr>
        <w:t>万元，预算执行率为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4FBDCC8B">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11</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11</w:t>
      </w:r>
      <w:r>
        <w:rPr>
          <w:rFonts w:hint="eastAsia" w:ascii="宋体" w:hAnsi="宋体" w:eastAsia="宋体" w:cs="宋体"/>
          <w:sz w:val="24"/>
          <w:szCs w:val="24"/>
        </w:rPr>
        <w:t>个，扣分指标数量</w:t>
      </w:r>
      <w:r>
        <w:rPr>
          <w:rFonts w:hint="eastAsia" w:ascii="宋体" w:hAnsi="宋体" w:eastAsia="宋体" w:cs="宋体"/>
          <w:sz w:val="24"/>
          <w:szCs w:val="24"/>
          <w:lang w:val="en-US" w:eastAsia="zh-CN"/>
        </w:rPr>
        <w:t>0</w:t>
      </w:r>
      <w:r>
        <w:rPr>
          <w:rFonts w:hint="eastAsia" w:ascii="宋体" w:hAnsi="宋体" w:eastAsia="宋体" w:cs="宋体"/>
          <w:sz w:val="24"/>
          <w:szCs w:val="24"/>
        </w:rPr>
        <w:t>个，经分析计算所有三级指标完成率得出，本项目总体完成率为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42BBD121">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无偏差</w:t>
      </w:r>
      <w:r>
        <w:rPr>
          <w:rFonts w:hint="eastAsia" w:ascii="宋体" w:hAnsi="宋体" w:eastAsia="宋体" w:cs="宋体"/>
          <w:sz w:val="24"/>
          <w:szCs w:val="24"/>
        </w:rPr>
        <w:t>。</w:t>
      </w:r>
      <w:bookmarkStart w:id="14" w:name="_Toc68364673"/>
    </w:p>
    <w:p w14:paraId="27903C93">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六、主要经验及做法、存在的问题及原因分析</w:t>
      </w:r>
    </w:p>
    <w:p w14:paraId="2E1E387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（一）主要经验及做法</w:t>
      </w:r>
      <w:bookmarkEnd w:id="14"/>
    </w:p>
    <w:p w14:paraId="4B166B4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本项目能够严格按照《项目实施方案》执行，项目执行情况较好。</w:t>
      </w:r>
    </w:p>
    <w:p w14:paraId="23A928D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加强组织领导，本项目绩效评价工作，有主要领导亲自挂帅，分管领导具体负责，从项目到资金，均能够很好的执行。</w:t>
      </w:r>
    </w:p>
    <w:p w14:paraId="68115898">
      <w:pPr>
        <w:pStyle w:val="46"/>
        <w:pageBreakBefore w:val="0"/>
        <w:widowControl w:val="0"/>
        <w:numPr>
          <w:ilvl w:val="0"/>
          <w:numId w:val="5"/>
        </w:numPr>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bookmarkStart w:id="15" w:name="_Toc68364674"/>
      <w:r>
        <w:rPr>
          <w:rFonts w:hint="eastAsia" w:ascii="宋体" w:hAnsi="宋体" w:eastAsia="宋体" w:cs="宋体"/>
          <w:sz w:val="24"/>
          <w:szCs w:val="24"/>
        </w:rPr>
        <w:t>存在问题及原因分析</w:t>
      </w:r>
      <w:bookmarkEnd w:id="15"/>
      <w:bookmarkStart w:id="16" w:name="_Toc68364675"/>
    </w:p>
    <w:p w14:paraId="6D8306CC">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1.是对各项指标和指标值要进一步优化、完善，主要在细化、量化上改进；</w:t>
      </w:r>
    </w:p>
    <w:p w14:paraId="08350D66">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2.是缺少带着问题去评价的意识；</w:t>
      </w:r>
    </w:p>
    <w:p w14:paraId="29362DD5">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3.是现场评价的工作量少，后续效益评价具体措施和方法较少。</w:t>
      </w:r>
    </w:p>
    <w:p w14:paraId="74719E63">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 w:val="0"/>
          <w:bCs w:val="0"/>
          <w:sz w:val="24"/>
          <w:szCs w:val="24"/>
        </w:rPr>
      </w:pPr>
    </w:p>
    <w:p w14:paraId="531D7257">
      <w:pPr>
        <w:pStyle w:val="60"/>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七、</w:t>
      </w:r>
      <w:r>
        <w:rPr>
          <w:rFonts w:hint="eastAsia" w:ascii="黑体" w:hAnsi="黑体" w:eastAsia="黑体" w:cs="黑体"/>
          <w:sz w:val="24"/>
          <w:szCs w:val="24"/>
        </w:rPr>
        <w:t>有关建议</w:t>
      </w:r>
      <w:bookmarkEnd w:id="16"/>
      <w:bookmarkStart w:id="17" w:name="_Toc68364676"/>
    </w:p>
    <w:p w14:paraId="59B3B460">
      <w:pPr>
        <w:pStyle w:val="60"/>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宋体" w:hAnsi="宋体" w:eastAsia="宋体" w:cs="宋体"/>
          <w:b w:val="0"/>
          <w:color w:val="000000"/>
          <w:kern w:val="2"/>
          <w:sz w:val="24"/>
          <w:szCs w:val="24"/>
        </w:rPr>
      </w:pPr>
      <w:r>
        <w:rPr>
          <w:rFonts w:hint="eastAsia" w:ascii="宋体" w:hAnsi="宋体" w:eastAsia="宋体" w:cs="宋体"/>
          <w:b w:val="0"/>
          <w:color w:val="000000"/>
          <w:kern w:val="2"/>
          <w:sz w:val="24"/>
          <w:szCs w:val="24"/>
          <w:lang w:val="en-US" w:eastAsia="zh-CN"/>
        </w:rPr>
        <w:t>1.</w:t>
      </w:r>
      <w:r>
        <w:rPr>
          <w:rFonts w:hint="eastAsia" w:ascii="宋体" w:hAnsi="宋体" w:eastAsia="宋体" w:cs="宋体"/>
          <w:b w:val="0"/>
          <w:color w:val="000000"/>
          <w:kern w:val="2"/>
          <w:sz w:val="24"/>
          <w:szCs w:val="24"/>
        </w:rPr>
        <w:t>预算编制工作，认真做好预算的编制。全面编制预算项目，优先保障固定性的、相对刚性的费用支出项目，尽量压缩变动性的、有控制空间的费用项目，进一步提高预算编制的科学性、严谨性和可控性。</w:t>
      </w:r>
    </w:p>
    <w:p w14:paraId="41647530">
      <w:pPr>
        <w:pStyle w:val="6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2.开展进度的跟踪，确保项目绩效目标的完成。规范程序，严格把关。进一步完善项目申报、审核、公示、审批等程序，严格审核切实做好项目信息公开，公开内容要及时、完整、真实，确保项目公平、公开、公正。</w:t>
      </w:r>
    </w:p>
    <w:p w14:paraId="0A7BE249">
      <w:pPr>
        <w:pStyle w:val="60"/>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color w:val="000000"/>
          <w:kern w:val="2"/>
          <w:sz w:val="24"/>
          <w:szCs w:val="24"/>
          <w:lang w:val="en-US" w:eastAsia="zh-CN" w:bidi="ar-SA"/>
        </w:rPr>
        <w:t>3.健全制度，加强督促。针对项目实施中存在的问题，进一步完善相关制度，加强督促检查，确保质量安全和建设进度；同时及时完善资料。</w:t>
      </w:r>
    </w:p>
    <w:p w14:paraId="561B50B5">
      <w:pPr>
        <w:pStyle w:val="60"/>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b/>
          <w:bCs/>
          <w:sz w:val="24"/>
          <w:szCs w:val="24"/>
        </w:rPr>
      </w:pPr>
    </w:p>
    <w:p w14:paraId="043549D0">
      <w:pPr>
        <w:pStyle w:val="60"/>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八、其他需要说明的问题</w:t>
      </w:r>
      <w:bookmarkEnd w:id="17"/>
    </w:p>
    <w:p w14:paraId="396B413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3CBBA4C7">
      <w:pPr>
        <w:bidi w:val="0"/>
        <w:rPr>
          <w:rFonts w:hint="eastAsia" w:ascii="宋体" w:hAnsi="宋体" w:eastAsia="宋体" w:cs="宋体"/>
          <w:kern w:val="0"/>
          <w:sz w:val="24"/>
          <w:szCs w:val="24"/>
          <w:lang w:val="en-US" w:eastAsia="zh-CN" w:bidi="ar-SA"/>
        </w:rPr>
      </w:pPr>
    </w:p>
    <w:p w14:paraId="2B97C8D3">
      <w:pPr>
        <w:bidi w:val="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附件1：中央直达资金-和地财教[2023]60号：2024年城乡义务教育补助经费项目绩效评价指标体系</w:t>
      </w:r>
    </w:p>
    <w:p w14:paraId="224E6EFC">
      <w:pPr>
        <w:bidi w:val="0"/>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附件2：中央直达资金-和地财教[2023]60号：2024年城乡义务教育补助经费项目综合得分表</w:t>
      </w:r>
    </w:p>
    <w:p w14:paraId="1345499E">
      <w:pPr>
        <w:bidi w:val="0"/>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附件3：满意度调查问分析情况</w:t>
      </w:r>
    </w:p>
    <w:p w14:paraId="5EA298F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68B50D47">
      <w:pPr>
        <w:pStyle w:val="10"/>
        <w:ind w:left="0" w:leftChars="0" w:firstLine="0" w:firstLineChars="0"/>
        <w:jc w:val="both"/>
        <w:rPr>
          <w:rFonts w:hint="eastAsia" w:ascii="宋体" w:hAnsi="宋体" w:eastAsia="宋体" w:cs="宋体"/>
          <w:sz w:val="24"/>
          <w:szCs w:val="24"/>
        </w:rPr>
      </w:pPr>
    </w:p>
    <w:p w14:paraId="2E359699">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4"/>
        <w:tblW w:w="5230" w:type="pct"/>
        <w:tblInd w:w="-3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598"/>
        <w:gridCol w:w="733"/>
        <w:gridCol w:w="598"/>
        <w:gridCol w:w="716"/>
        <w:gridCol w:w="668"/>
        <w:gridCol w:w="2095"/>
        <w:gridCol w:w="1281"/>
        <w:gridCol w:w="4816"/>
        <w:gridCol w:w="948"/>
        <w:gridCol w:w="730"/>
      </w:tblGrid>
      <w:tr w14:paraId="585D0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0" w:type="pct"/>
            <w:gridSpan w:val="2"/>
            <w:tcBorders>
              <w:top w:val="nil"/>
              <w:left w:val="nil"/>
              <w:bottom w:val="nil"/>
              <w:right w:val="nil"/>
            </w:tcBorders>
            <w:noWrap/>
            <w:vAlign w:val="center"/>
          </w:tcPr>
          <w:p w14:paraId="4D658287">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c>
          <w:tcPr>
            <w:tcW w:w="262" w:type="pct"/>
            <w:tcBorders>
              <w:top w:val="nil"/>
              <w:left w:val="nil"/>
              <w:bottom w:val="nil"/>
              <w:right w:val="nil"/>
            </w:tcBorders>
            <w:noWrap/>
            <w:vAlign w:val="center"/>
          </w:tcPr>
          <w:p w14:paraId="1FBD462F">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214" w:type="pct"/>
            <w:tcBorders>
              <w:top w:val="nil"/>
              <w:left w:val="nil"/>
              <w:bottom w:val="nil"/>
              <w:right w:val="nil"/>
            </w:tcBorders>
            <w:noWrap/>
            <w:vAlign w:val="center"/>
          </w:tcPr>
          <w:p w14:paraId="3D0A8919">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256" w:type="pct"/>
            <w:tcBorders>
              <w:top w:val="nil"/>
              <w:left w:val="nil"/>
              <w:bottom w:val="nil"/>
              <w:right w:val="nil"/>
            </w:tcBorders>
            <w:noWrap/>
            <w:vAlign w:val="center"/>
          </w:tcPr>
          <w:p w14:paraId="5B0807EF">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239" w:type="pct"/>
            <w:tcBorders>
              <w:top w:val="nil"/>
              <w:left w:val="nil"/>
              <w:bottom w:val="nil"/>
              <w:right w:val="nil"/>
            </w:tcBorders>
            <w:noWrap/>
            <w:vAlign w:val="center"/>
          </w:tcPr>
          <w:p w14:paraId="3310D00A">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749" w:type="pct"/>
            <w:tcBorders>
              <w:top w:val="nil"/>
              <w:left w:val="nil"/>
              <w:bottom w:val="nil"/>
              <w:right w:val="nil"/>
            </w:tcBorders>
            <w:noWrap/>
            <w:vAlign w:val="center"/>
          </w:tcPr>
          <w:p w14:paraId="0874AD2F">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eastAsia" w:ascii="宋体" w:hAnsi="宋体" w:eastAsia="宋体" w:cs="宋体"/>
                <w:i w:val="0"/>
                <w:iCs w:val="0"/>
                <w:color w:val="000000"/>
                <w:sz w:val="21"/>
                <w:szCs w:val="21"/>
                <w:u w:val="none"/>
              </w:rPr>
            </w:pPr>
          </w:p>
        </w:tc>
        <w:tc>
          <w:tcPr>
            <w:tcW w:w="458" w:type="pct"/>
            <w:tcBorders>
              <w:top w:val="nil"/>
              <w:left w:val="nil"/>
              <w:bottom w:val="nil"/>
              <w:right w:val="nil"/>
            </w:tcBorders>
            <w:noWrap/>
            <w:vAlign w:val="center"/>
          </w:tcPr>
          <w:p w14:paraId="730FB36D">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1722" w:type="pct"/>
            <w:tcBorders>
              <w:top w:val="nil"/>
              <w:left w:val="nil"/>
              <w:bottom w:val="nil"/>
              <w:right w:val="nil"/>
            </w:tcBorders>
            <w:noWrap/>
            <w:vAlign w:val="center"/>
          </w:tcPr>
          <w:p w14:paraId="1976A7F7">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339" w:type="pct"/>
            <w:tcBorders>
              <w:top w:val="nil"/>
              <w:left w:val="nil"/>
              <w:bottom w:val="nil"/>
              <w:right w:val="nil"/>
            </w:tcBorders>
            <w:noWrap/>
            <w:vAlign w:val="center"/>
          </w:tcPr>
          <w:p w14:paraId="322FB381">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c>
          <w:tcPr>
            <w:tcW w:w="256" w:type="pct"/>
            <w:tcBorders>
              <w:top w:val="nil"/>
              <w:left w:val="nil"/>
              <w:bottom w:val="nil"/>
              <w:right w:val="nil"/>
            </w:tcBorders>
            <w:noWrap/>
            <w:vAlign w:val="center"/>
          </w:tcPr>
          <w:p w14:paraId="76DFFCEF">
            <w:pPr>
              <w:keepNext w:val="0"/>
              <w:keepLines w:val="0"/>
              <w:pageBreakBefore w:val="0"/>
              <w:widowControl/>
              <w:kinsoku/>
              <w:wordWrap/>
              <w:overflowPunct/>
              <w:topLinePunct w:val="0"/>
              <w:autoSpaceDE/>
              <w:autoSpaceDN/>
              <w:bidi w:val="0"/>
              <w:adjustRightInd/>
              <w:snapToGrid/>
              <w:spacing w:line="240" w:lineRule="atLeast"/>
              <w:ind w:firstLine="0" w:firstLineChars="0"/>
              <w:rPr>
                <w:rFonts w:hint="eastAsia" w:ascii="宋体" w:hAnsi="宋体" w:eastAsia="宋体" w:cs="宋体"/>
                <w:i w:val="0"/>
                <w:iCs w:val="0"/>
                <w:color w:val="000000"/>
                <w:sz w:val="21"/>
                <w:szCs w:val="21"/>
                <w:u w:val="none"/>
              </w:rPr>
            </w:pPr>
          </w:p>
        </w:tc>
      </w:tr>
      <w:tr w14:paraId="48AAD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11"/>
            <w:tcBorders>
              <w:top w:val="nil"/>
            </w:tcBorders>
            <w:noWrap w:val="0"/>
            <w:vAlign w:val="center"/>
          </w:tcPr>
          <w:p w14:paraId="65CE499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FF0000"/>
                <w:sz w:val="21"/>
                <w:szCs w:val="21"/>
                <w:u w:val="none"/>
              </w:rPr>
            </w:pPr>
            <w:r>
              <w:rPr>
                <w:rStyle w:val="59"/>
                <w:rFonts w:hint="eastAsia" w:ascii="宋体" w:hAnsi="宋体" w:eastAsia="宋体" w:cs="宋体"/>
                <w:i w:val="0"/>
                <w:iCs w:val="0"/>
                <w:sz w:val="21"/>
                <w:szCs w:val="21"/>
                <w:lang w:val="en-US" w:eastAsia="zh-CN"/>
              </w:rPr>
              <w:t>中央直达资金-和地财教[2023]60号：2024年城乡义务教育补助经费项目</w:t>
            </w:r>
            <w:r>
              <w:rPr>
                <w:rStyle w:val="59"/>
                <w:rFonts w:hint="eastAsia" w:ascii="宋体" w:hAnsi="宋体" w:eastAsia="宋体" w:cs="宋体"/>
                <w:sz w:val="21"/>
                <w:szCs w:val="21"/>
                <w:lang w:val="en-US" w:eastAsia="zh-CN"/>
              </w:rPr>
              <w:t>绩效评价指标体系综合评分表</w:t>
            </w:r>
          </w:p>
        </w:tc>
      </w:tr>
      <w:tr w14:paraId="7E5F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86" w:type="pct"/>
            <w:noWrap w:val="0"/>
            <w:vAlign w:val="center"/>
          </w:tcPr>
          <w:p w14:paraId="48C42FF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214" w:type="pct"/>
            <w:noWrap w:val="0"/>
            <w:vAlign w:val="center"/>
          </w:tcPr>
          <w:p w14:paraId="10EE6EB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62" w:type="pct"/>
            <w:noWrap w:val="0"/>
            <w:vAlign w:val="center"/>
          </w:tcPr>
          <w:p w14:paraId="05169F2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214" w:type="pct"/>
            <w:noWrap w:val="0"/>
            <w:vAlign w:val="center"/>
          </w:tcPr>
          <w:p w14:paraId="294F53F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56" w:type="pct"/>
            <w:noWrap w:val="0"/>
            <w:vAlign w:val="center"/>
          </w:tcPr>
          <w:p w14:paraId="2F8B1EC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239" w:type="pct"/>
            <w:noWrap w:val="0"/>
            <w:vAlign w:val="center"/>
          </w:tcPr>
          <w:p w14:paraId="3BA5DD2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49" w:type="pct"/>
            <w:noWrap w:val="0"/>
            <w:vAlign w:val="center"/>
          </w:tcPr>
          <w:p w14:paraId="53B471D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458" w:type="pct"/>
            <w:noWrap w:val="0"/>
            <w:vAlign w:val="center"/>
          </w:tcPr>
          <w:p w14:paraId="2D43715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1722" w:type="pct"/>
            <w:noWrap w:val="0"/>
            <w:vAlign w:val="center"/>
          </w:tcPr>
          <w:p w14:paraId="7825691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339" w:type="pct"/>
            <w:noWrap w:val="0"/>
            <w:vAlign w:val="center"/>
          </w:tcPr>
          <w:p w14:paraId="406AB69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256" w:type="pct"/>
            <w:noWrap w:val="0"/>
            <w:vAlign w:val="center"/>
          </w:tcPr>
          <w:p w14:paraId="5152354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1EDD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6" w:hRule="atLeast"/>
        </w:trPr>
        <w:tc>
          <w:tcPr>
            <w:tcW w:w="286" w:type="pct"/>
            <w:vMerge w:val="restart"/>
            <w:noWrap w:val="0"/>
            <w:vAlign w:val="center"/>
          </w:tcPr>
          <w:p w14:paraId="770E029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214" w:type="pct"/>
            <w:vMerge w:val="restart"/>
            <w:noWrap w:val="0"/>
            <w:vAlign w:val="center"/>
          </w:tcPr>
          <w:p w14:paraId="381BB31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262" w:type="pct"/>
            <w:vMerge w:val="restart"/>
            <w:noWrap w:val="0"/>
            <w:vAlign w:val="center"/>
          </w:tcPr>
          <w:p w14:paraId="67C900B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214" w:type="pct"/>
            <w:vMerge w:val="restart"/>
            <w:noWrap w:val="0"/>
            <w:vAlign w:val="center"/>
          </w:tcPr>
          <w:p w14:paraId="4EE1169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56" w:type="pct"/>
            <w:noWrap w:val="0"/>
            <w:vAlign w:val="center"/>
          </w:tcPr>
          <w:p w14:paraId="4A11A15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239" w:type="pct"/>
            <w:noWrap w:val="0"/>
            <w:vAlign w:val="center"/>
          </w:tcPr>
          <w:p w14:paraId="4521636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49" w:type="pct"/>
            <w:noWrap w:val="0"/>
            <w:vAlign w:val="center"/>
          </w:tcPr>
          <w:p w14:paraId="6B3F630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458" w:type="pct"/>
            <w:noWrap w:val="0"/>
            <w:vAlign w:val="center"/>
          </w:tcPr>
          <w:p w14:paraId="5A3936F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722" w:type="pct"/>
            <w:noWrap w:val="0"/>
            <w:vAlign w:val="center"/>
          </w:tcPr>
          <w:p w14:paraId="128B25C4">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33CCBF70">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533509F0">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3CD654BB">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46A31493">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64EE96D8">
            <w:pPr>
              <w:keepNext w:val="0"/>
              <w:keepLines w:val="0"/>
              <w:pageBreakBefore w:val="0"/>
              <w:widowControl/>
              <w:suppressLineNumbers w:val="0"/>
              <w:kinsoku/>
              <w:wordWrap/>
              <w:overflowPunct/>
              <w:topLinePunct w:val="0"/>
              <w:autoSpaceDE/>
              <w:autoSpaceDN/>
              <w:bidi w:val="0"/>
              <w:adjustRightInd/>
              <w:snapToGrid/>
              <w:spacing w:line="240" w:lineRule="atLeas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339" w:type="pct"/>
            <w:noWrap w:val="0"/>
            <w:vAlign w:val="center"/>
          </w:tcPr>
          <w:p w14:paraId="5765ED9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256" w:type="pct"/>
            <w:noWrap w:val="0"/>
            <w:vAlign w:val="center"/>
          </w:tcPr>
          <w:p w14:paraId="0D8E20B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43A47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86" w:type="pct"/>
            <w:vMerge w:val="continue"/>
            <w:noWrap w:val="0"/>
            <w:vAlign w:val="center"/>
          </w:tcPr>
          <w:p w14:paraId="2075535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5EA9DD8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continue"/>
            <w:noWrap w:val="0"/>
            <w:vAlign w:val="center"/>
          </w:tcPr>
          <w:p w14:paraId="48C1986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61E43DB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56" w:type="pct"/>
            <w:noWrap w:val="0"/>
            <w:vAlign w:val="center"/>
          </w:tcPr>
          <w:p w14:paraId="17885EF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239" w:type="pct"/>
            <w:noWrap w:val="0"/>
            <w:vAlign w:val="center"/>
          </w:tcPr>
          <w:p w14:paraId="627CB6D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749" w:type="pct"/>
            <w:noWrap w:val="0"/>
            <w:vAlign w:val="center"/>
          </w:tcPr>
          <w:p w14:paraId="32BF54B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458" w:type="pct"/>
            <w:noWrap w:val="0"/>
            <w:vAlign w:val="center"/>
          </w:tcPr>
          <w:p w14:paraId="1669AC3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722" w:type="pct"/>
            <w:noWrap w:val="0"/>
            <w:vAlign w:val="center"/>
          </w:tcPr>
          <w:p w14:paraId="18CB4EE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1CD253F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08D663C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195CDF0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339" w:type="pct"/>
            <w:noWrap w:val="0"/>
            <w:vAlign w:val="center"/>
          </w:tcPr>
          <w:p w14:paraId="5DEDCFF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256" w:type="pct"/>
            <w:noWrap w:val="0"/>
            <w:vAlign w:val="center"/>
          </w:tcPr>
          <w:p w14:paraId="608D7E6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14C80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286" w:type="pct"/>
            <w:vMerge w:val="continue"/>
            <w:noWrap w:val="0"/>
            <w:vAlign w:val="center"/>
          </w:tcPr>
          <w:p w14:paraId="13D3082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30AD8CA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restart"/>
            <w:noWrap w:val="0"/>
            <w:vAlign w:val="center"/>
          </w:tcPr>
          <w:p w14:paraId="353E729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214" w:type="pct"/>
            <w:vMerge w:val="restart"/>
            <w:noWrap w:val="0"/>
            <w:vAlign w:val="center"/>
          </w:tcPr>
          <w:p w14:paraId="417B6ED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56" w:type="pct"/>
            <w:noWrap w:val="0"/>
            <w:vAlign w:val="center"/>
          </w:tcPr>
          <w:p w14:paraId="68B5A9C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239" w:type="pct"/>
            <w:noWrap w:val="0"/>
            <w:vAlign w:val="center"/>
          </w:tcPr>
          <w:p w14:paraId="07464DC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49" w:type="pct"/>
            <w:noWrap w:val="0"/>
            <w:vAlign w:val="center"/>
          </w:tcPr>
          <w:p w14:paraId="52F976A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458" w:type="pct"/>
            <w:noWrap w:val="0"/>
            <w:vAlign w:val="center"/>
          </w:tcPr>
          <w:p w14:paraId="320FB8A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722" w:type="pct"/>
            <w:noWrap w:val="0"/>
            <w:vAlign w:val="center"/>
          </w:tcPr>
          <w:p w14:paraId="1A759A0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79BAB38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2343B0C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49C0047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1578B60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339" w:type="pct"/>
            <w:noWrap w:val="0"/>
            <w:vAlign w:val="center"/>
          </w:tcPr>
          <w:p w14:paraId="0DD5EFA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56" w:type="pct"/>
            <w:noWrap w:val="0"/>
            <w:vAlign w:val="center"/>
          </w:tcPr>
          <w:p w14:paraId="13565BBC">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7844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trPr>
        <w:tc>
          <w:tcPr>
            <w:tcW w:w="286" w:type="pct"/>
            <w:vMerge w:val="continue"/>
            <w:noWrap w:val="0"/>
            <w:vAlign w:val="center"/>
          </w:tcPr>
          <w:p w14:paraId="5A96D39C">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152EF8A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continue"/>
            <w:noWrap w:val="0"/>
            <w:vAlign w:val="center"/>
          </w:tcPr>
          <w:p w14:paraId="1C8ECC7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3622C46D">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56" w:type="pct"/>
            <w:noWrap w:val="0"/>
            <w:vAlign w:val="center"/>
          </w:tcPr>
          <w:p w14:paraId="4E765C5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239" w:type="pct"/>
            <w:noWrap w:val="0"/>
            <w:vAlign w:val="center"/>
          </w:tcPr>
          <w:p w14:paraId="3ACC021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49" w:type="pct"/>
            <w:noWrap w:val="0"/>
            <w:vAlign w:val="center"/>
          </w:tcPr>
          <w:p w14:paraId="68609A8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458" w:type="pct"/>
            <w:noWrap w:val="0"/>
            <w:vAlign w:val="center"/>
          </w:tcPr>
          <w:p w14:paraId="146E842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722" w:type="pct"/>
            <w:noWrap w:val="0"/>
            <w:vAlign w:val="center"/>
          </w:tcPr>
          <w:p w14:paraId="507D7FE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50A669F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464BD13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04C3057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339" w:type="pct"/>
            <w:noWrap w:val="0"/>
            <w:vAlign w:val="center"/>
          </w:tcPr>
          <w:p w14:paraId="3992946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256" w:type="pct"/>
            <w:noWrap w:val="0"/>
            <w:vAlign w:val="center"/>
          </w:tcPr>
          <w:p w14:paraId="279EC7C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6ACF5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86" w:type="pct"/>
            <w:vMerge w:val="continue"/>
            <w:noWrap w:val="0"/>
            <w:vAlign w:val="center"/>
          </w:tcPr>
          <w:p w14:paraId="4BC32F1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61EFBCB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restart"/>
            <w:noWrap w:val="0"/>
            <w:vAlign w:val="center"/>
          </w:tcPr>
          <w:p w14:paraId="4F0E488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214" w:type="pct"/>
            <w:vMerge w:val="restart"/>
            <w:noWrap w:val="0"/>
            <w:vAlign w:val="center"/>
          </w:tcPr>
          <w:p w14:paraId="7E5DE59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256" w:type="pct"/>
            <w:noWrap w:val="0"/>
            <w:vAlign w:val="center"/>
          </w:tcPr>
          <w:p w14:paraId="3D882F3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239" w:type="pct"/>
            <w:noWrap w:val="0"/>
            <w:vAlign w:val="center"/>
          </w:tcPr>
          <w:p w14:paraId="38B0B77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49" w:type="pct"/>
            <w:noWrap w:val="0"/>
            <w:vAlign w:val="center"/>
          </w:tcPr>
          <w:p w14:paraId="295524D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458" w:type="pct"/>
            <w:noWrap w:val="0"/>
            <w:vAlign w:val="center"/>
          </w:tcPr>
          <w:p w14:paraId="09602E9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722" w:type="pct"/>
            <w:noWrap w:val="0"/>
            <w:vAlign w:val="center"/>
          </w:tcPr>
          <w:p w14:paraId="683117F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54AA310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6FEEBD2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0E7A6FE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32513B2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339" w:type="pct"/>
            <w:noWrap w:val="0"/>
            <w:vAlign w:val="center"/>
          </w:tcPr>
          <w:p w14:paraId="791B993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256" w:type="pct"/>
            <w:noWrap w:val="0"/>
            <w:vAlign w:val="center"/>
          </w:tcPr>
          <w:p w14:paraId="70665B3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4AAE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286" w:type="pct"/>
            <w:vMerge w:val="continue"/>
            <w:noWrap w:val="0"/>
            <w:vAlign w:val="center"/>
          </w:tcPr>
          <w:p w14:paraId="2BA24D3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76C62D4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continue"/>
            <w:noWrap w:val="0"/>
            <w:vAlign w:val="center"/>
          </w:tcPr>
          <w:p w14:paraId="360A4F0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41012C0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56" w:type="pct"/>
            <w:noWrap w:val="0"/>
            <w:vAlign w:val="center"/>
          </w:tcPr>
          <w:p w14:paraId="65BA1D7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239" w:type="pct"/>
            <w:noWrap w:val="0"/>
            <w:vAlign w:val="center"/>
          </w:tcPr>
          <w:p w14:paraId="5D14115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49" w:type="pct"/>
            <w:noWrap w:val="0"/>
            <w:vAlign w:val="center"/>
          </w:tcPr>
          <w:p w14:paraId="28999EA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458" w:type="pct"/>
            <w:noWrap w:val="0"/>
            <w:vAlign w:val="center"/>
          </w:tcPr>
          <w:p w14:paraId="7859B9A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722" w:type="pct"/>
            <w:noWrap w:val="0"/>
            <w:vAlign w:val="center"/>
          </w:tcPr>
          <w:p w14:paraId="0197B49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6DB87E5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5F54AAB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339" w:type="pct"/>
            <w:noWrap w:val="0"/>
            <w:vAlign w:val="center"/>
          </w:tcPr>
          <w:p w14:paraId="138E927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56" w:type="pct"/>
            <w:noWrap w:val="0"/>
            <w:vAlign w:val="center"/>
          </w:tcPr>
          <w:p w14:paraId="30E4212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2F92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286" w:type="pct"/>
            <w:vMerge w:val="restart"/>
            <w:noWrap w:val="0"/>
            <w:vAlign w:val="center"/>
          </w:tcPr>
          <w:p w14:paraId="1FF0EAD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214" w:type="pct"/>
            <w:vMerge w:val="restart"/>
            <w:noWrap w:val="0"/>
            <w:vAlign w:val="center"/>
          </w:tcPr>
          <w:p w14:paraId="06CE13F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262" w:type="pct"/>
            <w:vMerge w:val="restart"/>
            <w:noWrap w:val="0"/>
            <w:vAlign w:val="center"/>
          </w:tcPr>
          <w:p w14:paraId="231562BE">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214" w:type="pct"/>
            <w:vMerge w:val="restart"/>
            <w:noWrap w:val="0"/>
            <w:vAlign w:val="center"/>
          </w:tcPr>
          <w:p w14:paraId="6933A9B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56" w:type="pct"/>
            <w:noWrap w:val="0"/>
            <w:vAlign w:val="center"/>
          </w:tcPr>
          <w:p w14:paraId="2E2506D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239" w:type="pct"/>
            <w:noWrap w:val="0"/>
            <w:vAlign w:val="center"/>
          </w:tcPr>
          <w:p w14:paraId="00E538A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749" w:type="pct"/>
            <w:noWrap w:val="0"/>
            <w:vAlign w:val="center"/>
          </w:tcPr>
          <w:p w14:paraId="67192F3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458" w:type="pct"/>
            <w:noWrap w:val="0"/>
            <w:vAlign w:val="center"/>
          </w:tcPr>
          <w:p w14:paraId="234EC9A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722" w:type="pct"/>
            <w:noWrap w:val="0"/>
            <w:vAlign w:val="center"/>
          </w:tcPr>
          <w:p w14:paraId="36B738D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5EA37CC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339" w:type="pct"/>
            <w:noWrap w:val="0"/>
            <w:vAlign w:val="center"/>
          </w:tcPr>
          <w:p w14:paraId="57655C8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56" w:type="pct"/>
            <w:noWrap w:val="0"/>
            <w:vAlign w:val="center"/>
          </w:tcPr>
          <w:p w14:paraId="5AC076A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r>
      <w:tr w14:paraId="1FC24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286" w:type="pct"/>
            <w:vMerge w:val="continue"/>
            <w:noWrap w:val="0"/>
            <w:vAlign w:val="center"/>
          </w:tcPr>
          <w:p w14:paraId="0389EA0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08C9B97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continue"/>
            <w:noWrap w:val="0"/>
            <w:vAlign w:val="center"/>
          </w:tcPr>
          <w:p w14:paraId="763ACCA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1E7F495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56" w:type="pct"/>
            <w:noWrap w:val="0"/>
            <w:vAlign w:val="center"/>
          </w:tcPr>
          <w:p w14:paraId="66EE9FC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239" w:type="pct"/>
            <w:noWrap w:val="0"/>
            <w:vAlign w:val="center"/>
          </w:tcPr>
          <w:p w14:paraId="221F599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49" w:type="pct"/>
            <w:noWrap w:val="0"/>
            <w:vAlign w:val="center"/>
          </w:tcPr>
          <w:p w14:paraId="4983544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458" w:type="pct"/>
            <w:noWrap w:val="0"/>
            <w:vAlign w:val="center"/>
          </w:tcPr>
          <w:p w14:paraId="3F20F5C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722" w:type="pct"/>
            <w:noWrap w:val="0"/>
            <w:vAlign w:val="center"/>
          </w:tcPr>
          <w:p w14:paraId="66A69E3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7521ECB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339" w:type="pct"/>
            <w:noWrap w:val="0"/>
            <w:vAlign w:val="center"/>
          </w:tcPr>
          <w:p w14:paraId="76141A9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100%</w:t>
            </w:r>
          </w:p>
        </w:tc>
        <w:tc>
          <w:tcPr>
            <w:tcW w:w="256" w:type="pct"/>
            <w:noWrap w:val="0"/>
            <w:vAlign w:val="center"/>
          </w:tcPr>
          <w:p w14:paraId="1855551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4169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9" w:hRule="atLeast"/>
        </w:trPr>
        <w:tc>
          <w:tcPr>
            <w:tcW w:w="286" w:type="pct"/>
            <w:vMerge w:val="continue"/>
            <w:noWrap w:val="0"/>
            <w:vAlign w:val="center"/>
          </w:tcPr>
          <w:p w14:paraId="3DE4BBA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2FFE7DC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continue"/>
            <w:noWrap w:val="0"/>
            <w:vAlign w:val="center"/>
          </w:tcPr>
          <w:p w14:paraId="205932E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4E899E0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56" w:type="pct"/>
            <w:noWrap w:val="0"/>
            <w:vAlign w:val="center"/>
          </w:tcPr>
          <w:p w14:paraId="447E194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239" w:type="pct"/>
            <w:noWrap w:val="0"/>
            <w:vAlign w:val="center"/>
          </w:tcPr>
          <w:p w14:paraId="2947A2E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749" w:type="pct"/>
            <w:noWrap w:val="0"/>
            <w:vAlign w:val="center"/>
          </w:tcPr>
          <w:p w14:paraId="3B99003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458" w:type="pct"/>
            <w:noWrap w:val="0"/>
            <w:vAlign w:val="center"/>
          </w:tcPr>
          <w:p w14:paraId="610A753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722" w:type="pct"/>
            <w:noWrap w:val="0"/>
            <w:vAlign w:val="center"/>
          </w:tcPr>
          <w:p w14:paraId="7D9867C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35AB910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0A3126B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46A96CC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3BED36D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339" w:type="pct"/>
            <w:noWrap w:val="0"/>
            <w:vAlign w:val="center"/>
          </w:tcPr>
          <w:p w14:paraId="27EE654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256" w:type="pct"/>
            <w:noWrap w:val="0"/>
            <w:vAlign w:val="center"/>
          </w:tcPr>
          <w:p w14:paraId="0DB98E0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199A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trPr>
        <w:tc>
          <w:tcPr>
            <w:tcW w:w="286" w:type="pct"/>
            <w:vMerge w:val="continue"/>
            <w:noWrap w:val="0"/>
            <w:vAlign w:val="center"/>
          </w:tcPr>
          <w:p w14:paraId="30B9355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52F1935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restart"/>
            <w:noWrap w:val="0"/>
            <w:vAlign w:val="center"/>
          </w:tcPr>
          <w:p w14:paraId="61EF0EF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214" w:type="pct"/>
            <w:vMerge w:val="restart"/>
            <w:noWrap w:val="0"/>
            <w:vAlign w:val="center"/>
          </w:tcPr>
          <w:p w14:paraId="5FF565D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56" w:type="pct"/>
            <w:noWrap w:val="0"/>
            <w:vAlign w:val="center"/>
          </w:tcPr>
          <w:p w14:paraId="05085B6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239" w:type="pct"/>
            <w:noWrap w:val="0"/>
            <w:vAlign w:val="center"/>
          </w:tcPr>
          <w:p w14:paraId="1A0B0BA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749" w:type="pct"/>
            <w:noWrap w:val="0"/>
            <w:vAlign w:val="center"/>
          </w:tcPr>
          <w:p w14:paraId="0958275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458" w:type="pct"/>
            <w:noWrap w:val="0"/>
            <w:vAlign w:val="center"/>
          </w:tcPr>
          <w:p w14:paraId="307472A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722" w:type="pct"/>
            <w:noWrap w:val="0"/>
            <w:vAlign w:val="center"/>
          </w:tcPr>
          <w:p w14:paraId="7FDAECA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3981002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5F5AC97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339" w:type="pct"/>
            <w:noWrap w:val="0"/>
            <w:vAlign w:val="center"/>
          </w:tcPr>
          <w:p w14:paraId="3CC23C2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256" w:type="pct"/>
            <w:noWrap w:val="0"/>
            <w:vAlign w:val="center"/>
          </w:tcPr>
          <w:p w14:paraId="28ED502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7B0E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286" w:type="pct"/>
            <w:vMerge w:val="continue"/>
            <w:noWrap w:val="0"/>
            <w:vAlign w:val="center"/>
          </w:tcPr>
          <w:p w14:paraId="5C31E8A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5D8870C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continue"/>
            <w:noWrap w:val="0"/>
            <w:vAlign w:val="center"/>
          </w:tcPr>
          <w:p w14:paraId="3BC1189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2B067AB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56" w:type="pct"/>
            <w:noWrap w:val="0"/>
            <w:vAlign w:val="center"/>
          </w:tcPr>
          <w:p w14:paraId="297AD5F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239" w:type="pct"/>
            <w:noWrap w:val="0"/>
            <w:vAlign w:val="center"/>
          </w:tcPr>
          <w:p w14:paraId="1EA9B38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749" w:type="pct"/>
            <w:noWrap w:val="0"/>
            <w:vAlign w:val="center"/>
          </w:tcPr>
          <w:p w14:paraId="353F788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458" w:type="pct"/>
            <w:noWrap w:val="0"/>
            <w:vAlign w:val="center"/>
          </w:tcPr>
          <w:p w14:paraId="22822EA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722" w:type="pct"/>
            <w:noWrap w:val="0"/>
            <w:vAlign w:val="center"/>
          </w:tcPr>
          <w:p w14:paraId="3C0DFB7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2A67C26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087EC50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576DFE6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339" w:type="pct"/>
            <w:noWrap w:val="0"/>
            <w:vAlign w:val="center"/>
          </w:tcPr>
          <w:p w14:paraId="7571602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256" w:type="pct"/>
            <w:noWrap w:val="0"/>
            <w:vAlign w:val="center"/>
          </w:tcPr>
          <w:p w14:paraId="5C994AF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3966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trPr>
        <w:tc>
          <w:tcPr>
            <w:tcW w:w="286" w:type="pct"/>
            <w:vMerge w:val="restart"/>
            <w:noWrap w:val="0"/>
            <w:vAlign w:val="center"/>
          </w:tcPr>
          <w:p w14:paraId="7495596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214" w:type="pct"/>
            <w:vMerge w:val="restart"/>
            <w:noWrap w:val="0"/>
            <w:vAlign w:val="center"/>
          </w:tcPr>
          <w:p w14:paraId="567D2F61">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262" w:type="pct"/>
            <w:noWrap w:val="0"/>
            <w:vAlign w:val="center"/>
          </w:tcPr>
          <w:p w14:paraId="7400AF8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214" w:type="pct"/>
            <w:noWrap w:val="0"/>
            <w:vAlign w:val="center"/>
          </w:tcPr>
          <w:p w14:paraId="77E3CAC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56" w:type="pct"/>
            <w:noWrap w:val="0"/>
            <w:vAlign w:val="center"/>
          </w:tcPr>
          <w:p w14:paraId="399647A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239" w:type="pct"/>
            <w:noWrap w:val="0"/>
            <w:vAlign w:val="center"/>
          </w:tcPr>
          <w:p w14:paraId="5C3DAEE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749" w:type="pct"/>
            <w:noWrap w:val="0"/>
            <w:vAlign w:val="center"/>
          </w:tcPr>
          <w:p w14:paraId="76ADBE2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受益学生数</w:t>
            </w:r>
          </w:p>
        </w:tc>
        <w:tc>
          <w:tcPr>
            <w:tcW w:w="458" w:type="pct"/>
            <w:noWrap w:val="0"/>
            <w:vAlign w:val="center"/>
          </w:tcPr>
          <w:p w14:paraId="61B02F1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w:t>
            </w:r>
            <w:r>
              <w:rPr>
                <w:rFonts w:hint="eastAsia" w:ascii="宋体" w:hAnsi="宋体" w:eastAsia="宋体" w:cs="宋体"/>
                <w:i w:val="0"/>
                <w:iCs w:val="0"/>
                <w:color w:val="000000"/>
                <w:sz w:val="21"/>
                <w:szCs w:val="21"/>
                <w:u w:val="none"/>
                <w:lang w:val="en-US" w:eastAsia="zh-CN"/>
              </w:rPr>
              <w:t>3966</w:t>
            </w:r>
            <w:r>
              <w:rPr>
                <w:rFonts w:hint="eastAsia" w:ascii="宋体" w:hAnsi="宋体" w:eastAsia="宋体" w:cs="宋体"/>
                <w:i w:val="0"/>
                <w:iCs w:val="0"/>
                <w:color w:val="000000"/>
                <w:sz w:val="21"/>
                <w:szCs w:val="21"/>
                <w:u w:val="none"/>
              </w:rPr>
              <w:t>人</w:t>
            </w:r>
          </w:p>
        </w:tc>
        <w:tc>
          <w:tcPr>
            <w:tcW w:w="1722" w:type="pct"/>
            <w:noWrap w:val="0"/>
            <w:vAlign w:val="center"/>
          </w:tcPr>
          <w:p w14:paraId="74638499">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实际完成率=（实际完成/预期完成）×100%。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①实际完成率≥100%，且偏离程度＜20%，得满分；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②实际完成率≥100%，偏离程度≥20%，得0分；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③实际完成率×100%＜100%，得分=实际完成率×指标分值。</w:t>
            </w:r>
          </w:p>
        </w:tc>
        <w:tc>
          <w:tcPr>
            <w:tcW w:w="339" w:type="pct"/>
            <w:noWrap w:val="0"/>
            <w:vAlign w:val="center"/>
          </w:tcPr>
          <w:p w14:paraId="10D0D47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3966</w:t>
            </w:r>
            <w:r>
              <w:rPr>
                <w:rFonts w:hint="eastAsia" w:ascii="宋体" w:hAnsi="宋体" w:eastAsia="宋体" w:cs="宋体"/>
                <w:i w:val="0"/>
                <w:iCs w:val="0"/>
                <w:color w:val="000000"/>
                <w:sz w:val="21"/>
                <w:szCs w:val="21"/>
                <w:u w:val="none"/>
              </w:rPr>
              <w:t>人</w:t>
            </w:r>
          </w:p>
        </w:tc>
        <w:tc>
          <w:tcPr>
            <w:tcW w:w="256" w:type="pct"/>
            <w:noWrap w:val="0"/>
            <w:vAlign w:val="center"/>
          </w:tcPr>
          <w:p w14:paraId="76D6270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0068E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286" w:type="pct"/>
            <w:vMerge w:val="continue"/>
            <w:noWrap w:val="0"/>
            <w:vAlign w:val="center"/>
          </w:tcPr>
          <w:p w14:paraId="12AD803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7D679BB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restart"/>
            <w:noWrap w:val="0"/>
            <w:vAlign w:val="center"/>
          </w:tcPr>
          <w:p w14:paraId="5BAA2C2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214" w:type="pct"/>
            <w:vMerge w:val="restart"/>
            <w:noWrap w:val="0"/>
            <w:vAlign w:val="center"/>
          </w:tcPr>
          <w:p w14:paraId="03ABD0C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56" w:type="pct"/>
            <w:vMerge w:val="restart"/>
            <w:noWrap w:val="0"/>
            <w:vAlign w:val="center"/>
          </w:tcPr>
          <w:p w14:paraId="122D9DE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239" w:type="pct"/>
            <w:vMerge w:val="restart"/>
            <w:noWrap w:val="0"/>
            <w:vAlign w:val="center"/>
          </w:tcPr>
          <w:p w14:paraId="30A7107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749" w:type="pct"/>
            <w:noWrap w:val="0"/>
            <w:vAlign w:val="center"/>
          </w:tcPr>
          <w:p w14:paraId="1B9188A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资金使用覆盖率</w:t>
            </w:r>
          </w:p>
        </w:tc>
        <w:tc>
          <w:tcPr>
            <w:tcW w:w="458" w:type="pct"/>
            <w:noWrap w:val="0"/>
            <w:vAlign w:val="center"/>
          </w:tcPr>
          <w:p w14:paraId="13244F7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1722" w:type="pct"/>
            <w:vMerge w:val="restart"/>
            <w:noWrap w:val="0"/>
            <w:vAlign w:val="center"/>
          </w:tcPr>
          <w:p w14:paraId="5B75792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p w14:paraId="0CE6811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339" w:type="pct"/>
            <w:noWrap w:val="0"/>
            <w:vAlign w:val="center"/>
          </w:tcPr>
          <w:p w14:paraId="061C0C9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000000"/>
                <w:sz w:val="21"/>
                <w:szCs w:val="21"/>
                <w:u w:val="none"/>
              </w:rPr>
              <w:t>100%</w:t>
            </w:r>
          </w:p>
        </w:tc>
        <w:tc>
          <w:tcPr>
            <w:tcW w:w="256" w:type="pct"/>
            <w:noWrap w:val="0"/>
            <w:vAlign w:val="center"/>
          </w:tcPr>
          <w:p w14:paraId="7AA4FFE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3F268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286" w:type="pct"/>
            <w:vMerge w:val="continue"/>
            <w:noWrap w:val="0"/>
            <w:vAlign w:val="center"/>
          </w:tcPr>
          <w:p w14:paraId="27C3F8F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14" w:type="pct"/>
            <w:vMerge w:val="continue"/>
            <w:noWrap w:val="0"/>
            <w:vAlign w:val="center"/>
          </w:tcPr>
          <w:p w14:paraId="635451F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62" w:type="pct"/>
            <w:vMerge w:val="continue"/>
            <w:noWrap w:val="0"/>
            <w:vAlign w:val="center"/>
          </w:tcPr>
          <w:p w14:paraId="195E4CA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14" w:type="pct"/>
            <w:vMerge w:val="continue"/>
            <w:noWrap w:val="0"/>
            <w:vAlign w:val="center"/>
          </w:tcPr>
          <w:p w14:paraId="03BDA12D">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56" w:type="pct"/>
            <w:vMerge w:val="continue"/>
            <w:noWrap w:val="0"/>
            <w:vAlign w:val="center"/>
          </w:tcPr>
          <w:p w14:paraId="282A2B7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39" w:type="pct"/>
            <w:vMerge w:val="continue"/>
            <w:noWrap w:val="0"/>
            <w:vAlign w:val="center"/>
          </w:tcPr>
          <w:p w14:paraId="79B25E6C">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749" w:type="pct"/>
            <w:noWrap w:val="0"/>
            <w:vAlign w:val="center"/>
          </w:tcPr>
          <w:p w14:paraId="72F29AC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资金使用合规率</w:t>
            </w:r>
          </w:p>
        </w:tc>
        <w:tc>
          <w:tcPr>
            <w:tcW w:w="458" w:type="pct"/>
            <w:noWrap w:val="0"/>
            <w:vAlign w:val="center"/>
          </w:tcPr>
          <w:p w14:paraId="7674191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&gt;100%</w:t>
            </w:r>
          </w:p>
        </w:tc>
        <w:tc>
          <w:tcPr>
            <w:tcW w:w="1722" w:type="pct"/>
            <w:vMerge w:val="continue"/>
            <w:noWrap w:val="0"/>
            <w:vAlign w:val="center"/>
          </w:tcPr>
          <w:p w14:paraId="1251AEF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339" w:type="pct"/>
            <w:noWrap w:val="0"/>
            <w:vAlign w:val="center"/>
          </w:tcPr>
          <w:p w14:paraId="3EC997C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256" w:type="pct"/>
            <w:noWrap w:val="0"/>
            <w:vAlign w:val="center"/>
          </w:tcPr>
          <w:p w14:paraId="070D0E3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4384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286" w:type="pct"/>
            <w:vMerge w:val="continue"/>
            <w:noWrap w:val="0"/>
            <w:vAlign w:val="center"/>
          </w:tcPr>
          <w:p w14:paraId="1EA7FE9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20DB851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restart"/>
            <w:noWrap w:val="0"/>
            <w:vAlign w:val="center"/>
          </w:tcPr>
          <w:p w14:paraId="35415BC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214" w:type="pct"/>
            <w:vMerge w:val="restart"/>
            <w:noWrap w:val="0"/>
            <w:vAlign w:val="center"/>
          </w:tcPr>
          <w:p w14:paraId="66451D2A">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56" w:type="pct"/>
            <w:vMerge w:val="restart"/>
            <w:noWrap w:val="0"/>
            <w:vAlign w:val="center"/>
          </w:tcPr>
          <w:p w14:paraId="7928052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239" w:type="pct"/>
            <w:vMerge w:val="restart"/>
            <w:noWrap w:val="0"/>
            <w:vAlign w:val="center"/>
          </w:tcPr>
          <w:p w14:paraId="1D03A6BD">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749" w:type="pct"/>
            <w:noWrap w:val="0"/>
            <w:vAlign w:val="center"/>
          </w:tcPr>
          <w:p w14:paraId="0D5DC60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项目开始时间</w:t>
            </w:r>
          </w:p>
        </w:tc>
        <w:tc>
          <w:tcPr>
            <w:tcW w:w="458" w:type="pct"/>
            <w:noWrap w:val="0"/>
            <w:vAlign w:val="center"/>
          </w:tcPr>
          <w:p w14:paraId="038562C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2024年1月</w:t>
            </w:r>
          </w:p>
        </w:tc>
        <w:tc>
          <w:tcPr>
            <w:tcW w:w="1722" w:type="pct"/>
            <w:vMerge w:val="restart"/>
            <w:noWrap w:val="0"/>
            <w:vAlign w:val="center"/>
          </w:tcPr>
          <w:p w14:paraId="46E1FD3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p w14:paraId="2CC8039F">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339" w:type="pct"/>
            <w:noWrap w:val="0"/>
            <w:vAlign w:val="center"/>
          </w:tcPr>
          <w:p w14:paraId="61DBE71C">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rPr>
              <w:t>2024年1月</w:t>
            </w:r>
          </w:p>
        </w:tc>
        <w:tc>
          <w:tcPr>
            <w:tcW w:w="256" w:type="pct"/>
            <w:noWrap w:val="0"/>
            <w:vAlign w:val="center"/>
          </w:tcPr>
          <w:p w14:paraId="697CEB3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610F1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286" w:type="pct"/>
            <w:vMerge w:val="continue"/>
            <w:noWrap w:val="0"/>
            <w:vAlign w:val="center"/>
          </w:tcPr>
          <w:p w14:paraId="6891F03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14" w:type="pct"/>
            <w:vMerge w:val="continue"/>
            <w:noWrap w:val="0"/>
            <w:vAlign w:val="center"/>
          </w:tcPr>
          <w:p w14:paraId="4BAA93A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62" w:type="pct"/>
            <w:vMerge w:val="continue"/>
            <w:noWrap w:val="0"/>
            <w:vAlign w:val="center"/>
          </w:tcPr>
          <w:p w14:paraId="47BD864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14" w:type="pct"/>
            <w:vMerge w:val="continue"/>
            <w:noWrap w:val="0"/>
            <w:vAlign w:val="center"/>
          </w:tcPr>
          <w:p w14:paraId="299B3F0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56" w:type="pct"/>
            <w:vMerge w:val="continue"/>
            <w:noWrap w:val="0"/>
            <w:vAlign w:val="center"/>
          </w:tcPr>
          <w:p w14:paraId="381D4A8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39" w:type="pct"/>
            <w:vMerge w:val="continue"/>
            <w:noWrap w:val="0"/>
            <w:vAlign w:val="center"/>
          </w:tcPr>
          <w:p w14:paraId="74CBBED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749" w:type="pct"/>
            <w:noWrap w:val="0"/>
            <w:vAlign w:val="center"/>
          </w:tcPr>
          <w:p w14:paraId="1DEB25F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项目完成时间</w:t>
            </w:r>
          </w:p>
        </w:tc>
        <w:tc>
          <w:tcPr>
            <w:tcW w:w="458" w:type="pct"/>
            <w:noWrap w:val="0"/>
            <w:vAlign w:val="center"/>
          </w:tcPr>
          <w:p w14:paraId="0244BDA4">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2024年1</w:t>
            </w:r>
            <w:r>
              <w:rPr>
                <w:rFonts w:hint="eastAsia" w:ascii="宋体" w:hAnsi="宋体" w:eastAsia="宋体" w:cs="宋体"/>
                <w:i w:val="0"/>
                <w:iCs w:val="0"/>
                <w:color w:val="000000"/>
                <w:sz w:val="21"/>
                <w:szCs w:val="21"/>
                <w:u w:val="none"/>
                <w:lang w:val="en-US" w:eastAsia="zh-CN"/>
              </w:rPr>
              <w:t>2</w:t>
            </w:r>
            <w:r>
              <w:rPr>
                <w:rFonts w:hint="eastAsia" w:ascii="宋体" w:hAnsi="宋体" w:eastAsia="宋体" w:cs="宋体"/>
                <w:i w:val="0"/>
                <w:iCs w:val="0"/>
                <w:color w:val="000000"/>
                <w:sz w:val="21"/>
                <w:szCs w:val="21"/>
                <w:u w:val="none"/>
              </w:rPr>
              <w:t>月</w:t>
            </w:r>
          </w:p>
        </w:tc>
        <w:tc>
          <w:tcPr>
            <w:tcW w:w="1722" w:type="pct"/>
            <w:vMerge w:val="continue"/>
            <w:noWrap w:val="0"/>
            <w:vAlign w:val="center"/>
          </w:tcPr>
          <w:p w14:paraId="5A17489C">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339" w:type="pct"/>
            <w:noWrap w:val="0"/>
            <w:vAlign w:val="center"/>
          </w:tcPr>
          <w:p w14:paraId="2329C21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rPr>
              <w:t>2024年1</w:t>
            </w:r>
            <w:r>
              <w:rPr>
                <w:rFonts w:hint="eastAsia" w:ascii="宋体" w:hAnsi="宋体" w:eastAsia="宋体" w:cs="宋体"/>
                <w:i w:val="0"/>
                <w:iCs w:val="0"/>
                <w:color w:val="000000"/>
                <w:sz w:val="21"/>
                <w:szCs w:val="21"/>
                <w:u w:val="none"/>
                <w:lang w:val="en-US" w:eastAsia="zh-CN"/>
              </w:rPr>
              <w:t>2</w:t>
            </w:r>
            <w:r>
              <w:rPr>
                <w:rFonts w:hint="eastAsia" w:ascii="宋体" w:hAnsi="宋体" w:eastAsia="宋体" w:cs="宋体"/>
                <w:i w:val="0"/>
                <w:iCs w:val="0"/>
                <w:color w:val="000000"/>
                <w:sz w:val="21"/>
                <w:szCs w:val="21"/>
                <w:u w:val="none"/>
              </w:rPr>
              <w:t>月</w:t>
            </w:r>
          </w:p>
        </w:tc>
        <w:tc>
          <w:tcPr>
            <w:tcW w:w="256" w:type="pct"/>
            <w:noWrap w:val="0"/>
            <w:vAlign w:val="center"/>
          </w:tcPr>
          <w:p w14:paraId="4772150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4602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86" w:type="pct"/>
            <w:vMerge w:val="continue"/>
            <w:noWrap w:val="0"/>
            <w:vAlign w:val="center"/>
          </w:tcPr>
          <w:p w14:paraId="39D1556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2D38844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restart"/>
            <w:noWrap w:val="0"/>
            <w:vAlign w:val="center"/>
          </w:tcPr>
          <w:p w14:paraId="4133BAF3">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214" w:type="pct"/>
            <w:vMerge w:val="restart"/>
            <w:noWrap w:val="0"/>
            <w:vAlign w:val="center"/>
          </w:tcPr>
          <w:p w14:paraId="09DB8BD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56" w:type="pct"/>
            <w:vMerge w:val="restart"/>
            <w:noWrap w:val="0"/>
            <w:vAlign w:val="center"/>
          </w:tcPr>
          <w:p w14:paraId="4096634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239" w:type="pct"/>
            <w:vMerge w:val="restart"/>
            <w:noWrap w:val="0"/>
            <w:vAlign w:val="center"/>
          </w:tcPr>
          <w:p w14:paraId="596CB33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749" w:type="pct"/>
            <w:noWrap w:val="0"/>
            <w:vAlign w:val="center"/>
          </w:tcPr>
          <w:p w14:paraId="338F884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公用经费</w:t>
            </w:r>
          </w:p>
        </w:tc>
        <w:tc>
          <w:tcPr>
            <w:tcW w:w="458" w:type="pct"/>
            <w:noWrap w:val="0"/>
            <w:vAlign w:val="center"/>
          </w:tcPr>
          <w:p w14:paraId="58CEC4B4">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lang w:val="en-US" w:eastAsia="zh-CN"/>
              </w:rPr>
              <w:t>329.4</w:t>
            </w:r>
            <w:r>
              <w:rPr>
                <w:rFonts w:hint="eastAsia" w:ascii="宋体" w:hAnsi="宋体" w:eastAsia="宋体" w:cs="宋体"/>
                <w:i w:val="0"/>
                <w:iCs w:val="0"/>
                <w:color w:val="000000"/>
                <w:sz w:val="21"/>
                <w:szCs w:val="21"/>
                <w:u w:val="none"/>
              </w:rPr>
              <w:t>万元</w:t>
            </w:r>
          </w:p>
        </w:tc>
        <w:tc>
          <w:tcPr>
            <w:tcW w:w="1722" w:type="pct"/>
            <w:vMerge w:val="restart"/>
            <w:noWrap w:val="0"/>
            <w:vAlign w:val="center"/>
          </w:tcPr>
          <w:p w14:paraId="64ACDAF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①实际完成率＞年度指标值，得0得分；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②实际完成率≤年度指标值，且偏离程度＜20%，得满分；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339" w:type="pct"/>
            <w:noWrap w:val="0"/>
            <w:vAlign w:val="center"/>
          </w:tcPr>
          <w:p w14:paraId="72AA622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000000"/>
                <w:sz w:val="21"/>
                <w:szCs w:val="21"/>
                <w:u w:val="none"/>
                <w:lang w:val="en-US" w:eastAsia="zh-CN"/>
              </w:rPr>
              <w:t>329.4</w:t>
            </w:r>
            <w:r>
              <w:rPr>
                <w:rFonts w:hint="eastAsia" w:ascii="宋体" w:hAnsi="宋体" w:eastAsia="宋体" w:cs="宋体"/>
                <w:i w:val="0"/>
                <w:iCs w:val="0"/>
                <w:color w:val="000000"/>
                <w:sz w:val="21"/>
                <w:szCs w:val="21"/>
                <w:u w:val="none"/>
              </w:rPr>
              <w:t>万元</w:t>
            </w:r>
          </w:p>
        </w:tc>
        <w:tc>
          <w:tcPr>
            <w:tcW w:w="256" w:type="pct"/>
            <w:noWrap w:val="0"/>
            <w:vAlign w:val="center"/>
          </w:tcPr>
          <w:p w14:paraId="50EC13AC">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1CBE4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86" w:type="pct"/>
            <w:vMerge w:val="continue"/>
            <w:noWrap w:val="0"/>
            <w:vAlign w:val="center"/>
          </w:tcPr>
          <w:p w14:paraId="3179599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14" w:type="pct"/>
            <w:vMerge w:val="continue"/>
            <w:noWrap w:val="0"/>
            <w:vAlign w:val="center"/>
          </w:tcPr>
          <w:p w14:paraId="2898BBD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62" w:type="pct"/>
            <w:vMerge w:val="continue"/>
            <w:noWrap w:val="0"/>
            <w:vAlign w:val="center"/>
          </w:tcPr>
          <w:p w14:paraId="753BFBC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14" w:type="pct"/>
            <w:vMerge w:val="continue"/>
            <w:noWrap w:val="0"/>
            <w:vAlign w:val="center"/>
          </w:tcPr>
          <w:p w14:paraId="1E964B2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56" w:type="pct"/>
            <w:vMerge w:val="continue"/>
            <w:noWrap w:val="0"/>
            <w:vAlign w:val="center"/>
          </w:tcPr>
          <w:p w14:paraId="77CCEF9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239" w:type="pct"/>
            <w:vMerge w:val="continue"/>
            <w:noWrap w:val="0"/>
            <w:vAlign w:val="center"/>
          </w:tcPr>
          <w:p w14:paraId="7442D21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pPr>
          </w:p>
        </w:tc>
        <w:tc>
          <w:tcPr>
            <w:tcW w:w="749" w:type="pct"/>
            <w:noWrap w:val="0"/>
            <w:vAlign w:val="center"/>
          </w:tcPr>
          <w:p w14:paraId="4B25622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非寄宿生生活补助</w:t>
            </w:r>
          </w:p>
        </w:tc>
        <w:tc>
          <w:tcPr>
            <w:tcW w:w="458" w:type="pct"/>
            <w:noWrap w:val="0"/>
            <w:vAlign w:val="center"/>
          </w:tcPr>
          <w:p w14:paraId="281C4B9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万元</w:t>
            </w:r>
          </w:p>
        </w:tc>
        <w:tc>
          <w:tcPr>
            <w:tcW w:w="1722" w:type="pct"/>
            <w:vMerge w:val="continue"/>
            <w:noWrap w:val="0"/>
            <w:vAlign w:val="center"/>
          </w:tcPr>
          <w:p w14:paraId="5A79E3C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339" w:type="pct"/>
            <w:noWrap w:val="0"/>
            <w:vAlign w:val="center"/>
          </w:tcPr>
          <w:p w14:paraId="65820D11">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万元</w:t>
            </w:r>
          </w:p>
        </w:tc>
        <w:tc>
          <w:tcPr>
            <w:tcW w:w="256" w:type="pct"/>
            <w:noWrap w:val="0"/>
            <w:vAlign w:val="center"/>
          </w:tcPr>
          <w:p w14:paraId="07353E78">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r>
      <w:tr w14:paraId="595D8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86" w:type="pct"/>
            <w:vMerge w:val="continue"/>
            <w:noWrap w:val="0"/>
            <w:vAlign w:val="center"/>
          </w:tcPr>
          <w:p w14:paraId="69A939E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0C5B617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continue"/>
            <w:noWrap w:val="0"/>
            <w:vAlign w:val="center"/>
          </w:tcPr>
          <w:p w14:paraId="2988467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240CDB1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56" w:type="pct"/>
            <w:vMerge w:val="continue"/>
            <w:noWrap w:val="0"/>
            <w:vAlign w:val="center"/>
          </w:tcPr>
          <w:p w14:paraId="22D4709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39" w:type="pct"/>
            <w:vMerge w:val="continue"/>
            <w:noWrap w:val="0"/>
            <w:vAlign w:val="center"/>
          </w:tcPr>
          <w:p w14:paraId="43A4C47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749" w:type="pct"/>
            <w:noWrap w:val="0"/>
            <w:vAlign w:val="center"/>
          </w:tcPr>
          <w:p w14:paraId="3ACC2E3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寄宿生生活补助</w:t>
            </w:r>
          </w:p>
        </w:tc>
        <w:tc>
          <w:tcPr>
            <w:tcW w:w="458" w:type="pct"/>
            <w:noWrap w:val="0"/>
            <w:vAlign w:val="center"/>
          </w:tcPr>
          <w:p w14:paraId="15272FF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lang w:val="en-US" w:eastAsia="zh-CN"/>
              </w:rPr>
              <w:t>111.35</w:t>
            </w:r>
            <w:r>
              <w:rPr>
                <w:rFonts w:hint="eastAsia" w:ascii="宋体" w:hAnsi="宋体" w:eastAsia="宋体" w:cs="宋体"/>
                <w:i w:val="0"/>
                <w:iCs w:val="0"/>
                <w:color w:val="000000"/>
                <w:sz w:val="21"/>
                <w:szCs w:val="21"/>
                <w:u w:val="none"/>
              </w:rPr>
              <w:t>万元</w:t>
            </w:r>
          </w:p>
        </w:tc>
        <w:tc>
          <w:tcPr>
            <w:tcW w:w="1722" w:type="pct"/>
            <w:vMerge w:val="continue"/>
            <w:noWrap w:val="0"/>
            <w:vAlign w:val="center"/>
          </w:tcPr>
          <w:p w14:paraId="6031B70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339" w:type="pct"/>
            <w:noWrap w:val="0"/>
            <w:vAlign w:val="center"/>
          </w:tcPr>
          <w:p w14:paraId="5962549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111.35</w:t>
            </w:r>
            <w:r>
              <w:rPr>
                <w:rFonts w:hint="eastAsia" w:ascii="宋体" w:hAnsi="宋体" w:eastAsia="宋体" w:cs="宋体"/>
                <w:i w:val="0"/>
                <w:iCs w:val="0"/>
                <w:color w:val="000000"/>
                <w:sz w:val="21"/>
                <w:szCs w:val="21"/>
                <w:u w:val="none"/>
              </w:rPr>
              <w:t>万元</w:t>
            </w:r>
          </w:p>
        </w:tc>
        <w:tc>
          <w:tcPr>
            <w:tcW w:w="256" w:type="pct"/>
            <w:noWrap w:val="0"/>
            <w:vAlign w:val="center"/>
          </w:tcPr>
          <w:p w14:paraId="2BD580C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2.5</w:t>
            </w:r>
          </w:p>
        </w:tc>
      </w:tr>
      <w:tr w14:paraId="224D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86" w:type="pct"/>
            <w:vMerge w:val="continue"/>
            <w:noWrap w:val="0"/>
            <w:vAlign w:val="center"/>
          </w:tcPr>
          <w:p w14:paraId="342E225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6BE8546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continue"/>
            <w:noWrap w:val="0"/>
            <w:vAlign w:val="center"/>
          </w:tcPr>
          <w:p w14:paraId="203A6C0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0A21616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56" w:type="pct"/>
            <w:vMerge w:val="continue"/>
            <w:noWrap w:val="0"/>
            <w:vAlign w:val="center"/>
          </w:tcPr>
          <w:p w14:paraId="1C3BE44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39" w:type="pct"/>
            <w:vMerge w:val="continue"/>
            <w:noWrap w:val="0"/>
            <w:vAlign w:val="center"/>
          </w:tcPr>
          <w:p w14:paraId="384D97C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749" w:type="pct"/>
            <w:noWrap w:val="0"/>
            <w:vAlign w:val="center"/>
          </w:tcPr>
          <w:p w14:paraId="490D599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营养改善</w:t>
            </w:r>
          </w:p>
        </w:tc>
        <w:tc>
          <w:tcPr>
            <w:tcW w:w="458" w:type="pct"/>
            <w:noWrap w:val="0"/>
            <w:vAlign w:val="center"/>
          </w:tcPr>
          <w:p w14:paraId="3E40AC3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lang w:val="en-US" w:eastAsia="zh-CN"/>
              </w:rPr>
              <w:t>409.07</w:t>
            </w:r>
          </w:p>
          <w:p w14:paraId="2375477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万元</w:t>
            </w:r>
          </w:p>
        </w:tc>
        <w:tc>
          <w:tcPr>
            <w:tcW w:w="1722" w:type="pct"/>
            <w:vMerge w:val="continue"/>
            <w:noWrap w:val="0"/>
            <w:vAlign w:val="center"/>
          </w:tcPr>
          <w:p w14:paraId="0D7B9DA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339" w:type="pct"/>
            <w:noWrap w:val="0"/>
            <w:vAlign w:val="center"/>
          </w:tcPr>
          <w:p w14:paraId="4A423EA3">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409.07</w:t>
            </w:r>
            <w:r>
              <w:rPr>
                <w:rFonts w:hint="eastAsia" w:ascii="宋体" w:hAnsi="宋体" w:eastAsia="宋体" w:cs="宋体"/>
                <w:i w:val="0"/>
                <w:iCs w:val="0"/>
                <w:color w:val="000000"/>
                <w:sz w:val="21"/>
                <w:szCs w:val="21"/>
                <w:u w:val="none"/>
              </w:rPr>
              <w:t>万元</w:t>
            </w:r>
          </w:p>
        </w:tc>
        <w:tc>
          <w:tcPr>
            <w:tcW w:w="256" w:type="pct"/>
            <w:noWrap w:val="0"/>
            <w:vAlign w:val="center"/>
          </w:tcPr>
          <w:p w14:paraId="697C76C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2.5</w:t>
            </w:r>
          </w:p>
        </w:tc>
      </w:tr>
      <w:tr w14:paraId="6D25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286" w:type="pct"/>
            <w:vMerge w:val="restart"/>
            <w:noWrap w:val="0"/>
            <w:vAlign w:val="center"/>
          </w:tcPr>
          <w:p w14:paraId="465EE444">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14" w:type="pct"/>
            <w:vMerge w:val="restart"/>
            <w:noWrap w:val="0"/>
            <w:vAlign w:val="center"/>
          </w:tcPr>
          <w:p w14:paraId="62EA454C">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62" w:type="pct"/>
            <w:vMerge w:val="restart"/>
            <w:noWrap w:val="0"/>
            <w:vAlign w:val="center"/>
          </w:tcPr>
          <w:p w14:paraId="2AB183E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14" w:type="pct"/>
            <w:vMerge w:val="restart"/>
            <w:noWrap w:val="0"/>
            <w:vAlign w:val="center"/>
          </w:tcPr>
          <w:p w14:paraId="7A36E2C8">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56" w:type="pct"/>
            <w:noWrap w:val="0"/>
            <w:vAlign w:val="center"/>
          </w:tcPr>
          <w:p w14:paraId="46FCB62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239" w:type="pct"/>
            <w:noWrap w:val="0"/>
            <w:vAlign w:val="center"/>
          </w:tcPr>
          <w:p w14:paraId="0F7A820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c>
          <w:tcPr>
            <w:tcW w:w="749" w:type="pct"/>
            <w:noWrap w:val="0"/>
            <w:vAlign w:val="center"/>
          </w:tcPr>
          <w:p w14:paraId="74A7B3A6">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提高学校教育教学质量，学校环境质量</w:t>
            </w:r>
          </w:p>
        </w:tc>
        <w:tc>
          <w:tcPr>
            <w:tcW w:w="458" w:type="pct"/>
            <w:noWrap w:val="0"/>
            <w:vAlign w:val="center"/>
          </w:tcPr>
          <w:p w14:paraId="3478B765">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有效提高</w:t>
            </w:r>
          </w:p>
        </w:tc>
        <w:tc>
          <w:tcPr>
            <w:tcW w:w="1722" w:type="pct"/>
            <w:noWrap w:val="0"/>
            <w:vAlign w:val="center"/>
          </w:tcPr>
          <w:p w14:paraId="71C8EF27">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339" w:type="pct"/>
            <w:noWrap w:val="0"/>
            <w:vAlign w:val="center"/>
          </w:tcPr>
          <w:p w14:paraId="606067FD">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有效提高</w:t>
            </w:r>
          </w:p>
        </w:tc>
        <w:tc>
          <w:tcPr>
            <w:tcW w:w="256" w:type="pct"/>
            <w:noWrap w:val="0"/>
            <w:vAlign w:val="center"/>
          </w:tcPr>
          <w:p w14:paraId="589B6D4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w:t>
            </w:r>
          </w:p>
        </w:tc>
      </w:tr>
      <w:tr w14:paraId="46EA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86" w:type="pct"/>
            <w:vMerge w:val="continue"/>
            <w:noWrap w:val="0"/>
            <w:vAlign w:val="center"/>
          </w:tcPr>
          <w:p w14:paraId="45D013AC">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37045B2B">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62" w:type="pct"/>
            <w:vMerge w:val="continue"/>
            <w:noWrap w:val="0"/>
            <w:vAlign w:val="center"/>
          </w:tcPr>
          <w:p w14:paraId="6D5676A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vMerge w:val="continue"/>
            <w:noWrap w:val="0"/>
            <w:vAlign w:val="center"/>
          </w:tcPr>
          <w:p w14:paraId="120F8F3E">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56" w:type="pct"/>
            <w:noWrap w:val="0"/>
            <w:vAlign w:val="center"/>
          </w:tcPr>
          <w:p w14:paraId="115B4FFB">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239" w:type="pct"/>
            <w:noWrap w:val="0"/>
            <w:vAlign w:val="center"/>
          </w:tcPr>
          <w:p w14:paraId="6D4FD98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49" w:type="pct"/>
            <w:noWrap w:val="0"/>
            <w:vAlign w:val="center"/>
          </w:tcPr>
          <w:p w14:paraId="22BCE42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受益学生满意度</w:t>
            </w:r>
          </w:p>
        </w:tc>
        <w:tc>
          <w:tcPr>
            <w:tcW w:w="458" w:type="pct"/>
            <w:noWrap w:val="0"/>
            <w:vAlign w:val="center"/>
          </w:tcPr>
          <w:p w14:paraId="5E276F59">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eastAsia="zh-CN"/>
              </w:rPr>
              <w:t>≥</w:t>
            </w:r>
            <w:r>
              <w:rPr>
                <w:rFonts w:hint="eastAsia" w:ascii="宋体" w:hAnsi="宋体" w:eastAsia="宋体" w:cs="宋体"/>
                <w:i w:val="0"/>
                <w:iCs w:val="0"/>
                <w:color w:val="000000"/>
                <w:sz w:val="21"/>
                <w:szCs w:val="21"/>
                <w:u w:val="none"/>
              </w:rPr>
              <w:t>95%</w:t>
            </w:r>
          </w:p>
        </w:tc>
        <w:tc>
          <w:tcPr>
            <w:tcW w:w="1722" w:type="pct"/>
            <w:noWrap w:val="0"/>
            <w:vAlign w:val="center"/>
          </w:tcPr>
          <w:p w14:paraId="41F09BF6">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339" w:type="pct"/>
            <w:noWrap w:val="0"/>
            <w:vAlign w:val="center"/>
          </w:tcPr>
          <w:p w14:paraId="65A1DBBF">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95%</w:t>
            </w:r>
          </w:p>
        </w:tc>
        <w:tc>
          <w:tcPr>
            <w:tcW w:w="256" w:type="pct"/>
            <w:noWrap w:val="0"/>
            <w:vAlign w:val="center"/>
          </w:tcPr>
          <w:p w14:paraId="4CE87BE2">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w:t>
            </w:r>
          </w:p>
        </w:tc>
      </w:tr>
      <w:tr w14:paraId="75E6C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86" w:type="pct"/>
            <w:noWrap w:val="0"/>
            <w:vAlign w:val="center"/>
          </w:tcPr>
          <w:p w14:paraId="04E8F3A0">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214" w:type="pct"/>
            <w:noWrap w:val="0"/>
            <w:vAlign w:val="center"/>
          </w:tcPr>
          <w:p w14:paraId="74F6F99D">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62" w:type="pct"/>
            <w:noWrap w:val="0"/>
            <w:vAlign w:val="center"/>
          </w:tcPr>
          <w:p w14:paraId="46CBABF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14" w:type="pct"/>
            <w:noWrap w:val="0"/>
            <w:vAlign w:val="center"/>
          </w:tcPr>
          <w:p w14:paraId="05D83B85">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56" w:type="pct"/>
            <w:noWrap w:val="0"/>
            <w:vAlign w:val="center"/>
          </w:tcPr>
          <w:p w14:paraId="342678F7">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39" w:type="pct"/>
            <w:noWrap w:val="0"/>
            <w:vAlign w:val="center"/>
          </w:tcPr>
          <w:p w14:paraId="07D9388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49" w:type="pct"/>
            <w:noWrap w:val="0"/>
            <w:vAlign w:val="center"/>
          </w:tcPr>
          <w:p w14:paraId="1B901B9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458" w:type="pct"/>
            <w:noWrap w:val="0"/>
            <w:vAlign w:val="center"/>
          </w:tcPr>
          <w:p w14:paraId="13A5CD62">
            <w:pPr>
              <w:keepNext w:val="0"/>
              <w:keepLines w:val="0"/>
              <w:pageBreakBefore w:val="0"/>
              <w:widowControl/>
              <w:suppressLineNumbers w:val="0"/>
              <w:kinsoku/>
              <w:wordWrap/>
              <w:overflowPunct/>
              <w:topLinePunct w:val="0"/>
              <w:autoSpaceDE/>
              <w:autoSpaceDN/>
              <w:bidi w:val="0"/>
              <w:adjustRightInd/>
              <w:snapToGrid/>
              <w:spacing w:line="240" w:lineRule="atLeas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1722" w:type="pct"/>
            <w:noWrap w:val="0"/>
            <w:vAlign w:val="center"/>
          </w:tcPr>
          <w:p w14:paraId="5476AFB2">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eastAsia" w:ascii="宋体" w:hAnsi="宋体" w:eastAsia="宋体" w:cs="宋体"/>
                <w:i w:val="0"/>
                <w:iCs w:val="0"/>
                <w:color w:val="000000"/>
                <w:sz w:val="21"/>
                <w:szCs w:val="21"/>
                <w:u w:val="none"/>
              </w:rPr>
            </w:pPr>
          </w:p>
        </w:tc>
        <w:tc>
          <w:tcPr>
            <w:tcW w:w="339" w:type="pct"/>
            <w:noWrap w:val="0"/>
            <w:vAlign w:val="center"/>
          </w:tcPr>
          <w:p w14:paraId="4C927A1A">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eastAsia" w:ascii="宋体" w:hAnsi="宋体" w:eastAsia="宋体" w:cs="宋体"/>
                <w:i w:val="0"/>
                <w:iCs w:val="0"/>
                <w:color w:val="000000"/>
                <w:sz w:val="21"/>
                <w:szCs w:val="21"/>
                <w:u w:val="none"/>
              </w:rPr>
            </w:pPr>
          </w:p>
        </w:tc>
        <w:tc>
          <w:tcPr>
            <w:tcW w:w="256" w:type="pct"/>
            <w:noWrap w:val="0"/>
            <w:vAlign w:val="center"/>
          </w:tcPr>
          <w:p w14:paraId="234CF650">
            <w:pPr>
              <w:keepNext w:val="0"/>
              <w:keepLines w:val="0"/>
              <w:pageBreakBefore w:val="0"/>
              <w:widowControl/>
              <w:kinsoku/>
              <w:wordWrap/>
              <w:overflowPunct/>
              <w:topLinePunct w:val="0"/>
              <w:autoSpaceDE/>
              <w:autoSpaceDN/>
              <w:bidi w:val="0"/>
              <w:adjustRightInd/>
              <w:snapToGrid/>
              <w:spacing w:line="240" w:lineRule="atLeas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100</w:t>
            </w:r>
          </w:p>
        </w:tc>
      </w:tr>
    </w:tbl>
    <w:p w14:paraId="17429A3B">
      <w:pPr>
        <w:pStyle w:val="10"/>
        <w:rPr>
          <w:rFonts w:hint="eastAsia" w:ascii="宋体" w:hAnsi="宋体" w:eastAsia="宋体" w:cs="宋体"/>
          <w:sz w:val="24"/>
          <w:szCs w:val="24"/>
          <w:lang w:eastAsia="zh-CN"/>
        </w:rPr>
      </w:pPr>
    </w:p>
    <w:p w14:paraId="37281806">
      <w:pPr>
        <w:pStyle w:val="10"/>
        <w:rPr>
          <w:rFonts w:hint="eastAsia" w:ascii="宋体" w:hAnsi="宋体" w:eastAsia="宋体" w:cs="宋体"/>
          <w:sz w:val="24"/>
          <w:szCs w:val="24"/>
          <w:lang w:eastAsia="zh-CN"/>
        </w:rPr>
      </w:pPr>
    </w:p>
    <w:p w14:paraId="630FE487">
      <w:pPr>
        <w:pStyle w:val="10"/>
        <w:ind w:left="0" w:leftChars="0" w:firstLine="0" w:firstLineChars="0"/>
        <w:jc w:val="both"/>
        <w:rPr>
          <w:rFonts w:hint="eastAsia" w:ascii="宋体" w:hAnsi="宋体" w:eastAsia="宋体" w:cs="宋体"/>
          <w:sz w:val="24"/>
          <w:szCs w:val="24"/>
          <w:lang w:val="en-US" w:eastAsia="zh-CN"/>
        </w:rPr>
      </w:pPr>
    </w:p>
    <w:p w14:paraId="79469EE1">
      <w:pPr>
        <w:pStyle w:val="10"/>
        <w:ind w:left="0" w:leftChars="0" w:firstLine="0" w:firstLineChars="0"/>
        <w:jc w:val="both"/>
        <w:rPr>
          <w:rFonts w:hint="eastAsia" w:ascii="宋体" w:hAnsi="宋体" w:eastAsia="宋体" w:cs="宋体"/>
          <w:color w:val="auto"/>
          <w:sz w:val="24"/>
          <w:szCs w:val="24"/>
          <w:lang w:val="en-US" w:eastAsia="zh-CN"/>
        </w:rPr>
      </w:pPr>
    </w:p>
    <w:p w14:paraId="6505EA07">
      <w:pPr>
        <w:pStyle w:val="10"/>
        <w:ind w:left="0" w:leftChars="0" w:firstLine="0" w:firstLineChars="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4"/>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67D58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1C3522F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1EC98BF0">
            <w:pPr>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68071832">
            <w:pPr>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288721F3">
            <w:pPr>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2526E5B2">
            <w:pPr>
              <w:rPr>
                <w:rFonts w:hint="eastAsia" w:ascii="宋体" w:hAnsi="宋体" w:eastAsia="宋体" w:cs="宋体"/>
                <w:i w:val="0"/>
                <w:iCs w:val="0"/>
                <w:color w:val="000000"/>
                <w:sz w:val="22"/>
                <w:szCs w:val="22"/>
                <w:highlight w:val="none"/>
                <w:u w:val="none"/>
              </w:rPr>
            </w:pPr>
          </w:p>
        </w:tc>
        <w:tc>
          <w:tcPr>
            <w:tcW w:w="1331" w:type="dxa"/>
            <w:tcBorders>
              <w:top w:val="nil"/>
              <w:left w:val="nil"/>
              <w:bottom w:val="nil"/>
              <w:right w:val="nil"/>
            </w:tcBorders>
            <w:noWrap/>
            <w:vAlign w:val="center"/>
          </w:tcPr>
          <w:p w14:paraId="7882ADCD">
            <w:pPr>
              <w:rPr>
                <w:rFonts w:hint="eastAsia" w:ascii="宋体" w:hAnsi="宋体" w:eastAsia="宋体" w:cs="宋体"/>
                <w:i w:val="0"/>
                <w:iCs w:val="0"/>
                <w:color w:val="000000"/>
                <w:sz w:val="22"/>
                <w:szCs w:val="22"/>
                <w:highlight w:val="none"/>
                <w:u w:val="none"/>
              </w:rPr>
            </w:pPr>
          </w:p>
        </w:tc>
      </w:tr>
      <w:tr w14:paraId="3A015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6EA52D63">
            <w:pPr>
              <w:keepNext w:val="0"/>
              <w:keepLines w:val="0"/>
              <w:widowControl/>
              <w:suppressLineNumbers w:val="0"/>
              <w:jc w:val="center"/>
              <w:textAlignment w:val="center"/>
              <w:rPr>
                <w:rFonts w:hint="eastAsia" w:ascii="宋体" w:hAnsi="宋体" w:eastAsia="宋体" w:cs="宋体"/>
                <w:b/>
                <w:bCs/>
                <w:i w:val="0"/>
                <w:iCs w:val="0"/>
                <w:color w:val="FF0000"/>
                <w:sz w:val="36"/>
                <w:szCs w:val="36"/>
                <w:highlight w:val="none"/>
                <w:u w:val="none"/>
              </w:rPr>
            </w:pPr>
            <w:r>
              <w:rPr>
                <w:rFonts w:hint="eastAsia" w:ascii="宋体" w:hAnsi="宋体" w:eastAsia="宋体" w:cs="宋体"/>
                <w:b/>
                <w:bCs/>
                <w:i w:val="0"/>
                <w:iCs w:val="0"/>
                <w:color w:val="auto"/>
                <w:kern w:val="0"/>
                <w:sz w:val="28"/>
                <w:szCs w:val="28"/>
                <w:u w:val="none"/>
                <w:lang w:val="en-US" w:eastAsia="zh-CN"/>
              </w:rPr>
              <w:t>中央直达资金-和地财教[2023]60号：2024年城乡义务教育补助经费项目综合得分表</w:t>
            </w:r>
          </w:p>
        </w:tc>
      </w:tr>
      <w:tr w14:paraId="210A3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29C88D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A4D6B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10317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6AA69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989EC4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2FF479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04373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5D6EA7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596AB1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37C362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520500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03CA8C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2BF7A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100.00 </w:t>
            </w:r>
          </w:p>
        </w:tc>
      </w:tr>
      <w:tr w14:paraId="0E9DE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7F584CA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8159A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4B132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8EF02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5AD240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75263B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r w14:paraId="587D6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218400A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296AA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E90C8A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4A977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DD2DB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5AB8F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bl>
    <w:p w14:paraId="214CA1DC">
      <w:pPr>
        <w:pStyle w:val="10"/>
        <w:ind w:left="0" w:leftChars="0" w:firstLine="0" w:firstLineChars="0"/>
        <w:jc w:val="both"/>
        <w:rPr>
          <w:rFonts w:hint="default" w:ascii="宋体" w:hAnsi="宋体" w:eastAsia="宋体" w:cs="宋体"/>
          <w:sz w:val="24"/>
          <w:szCs w:val="24"/>
          <w:lang w:val="en-US" w:eastAsia="zh-CN"/>
        </w:rPr>
      </w:pPr>
    </w:p>
    <w:p w14:paraId="21165C91">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540DF56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234DB9D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洛浦县洛浦镇中心小学项目满意度调查问卷分析报告</w:t>
      </w:r>
    </w:p>
    <w:p w14:paraId="32AEF79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756EF7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一、该问卷调查从2025年2月1日开始至2025年2月28日结束，调查问卷共设置2道题目。</w:t>
      </w:r>
    </w:p>
    <w:p w14:paraId="002DA54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1.调查对象</w:t>
      </w:r>
    </w:p>
    <w:p w14:paraId="171F235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本次调查的受益对象为本校学生与家长。</w:t>
      </w:r>
    </w:p>
    <w:p w14:paraId="05C968D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2.调查内容</w:t>
      </w:r>
    </w:p>
    <w:p w14:paraId="596745E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①您认为项目实施过后对于提高学生的校园生活质量的程度怎么样？</w:t>
      </w:r>
    </w:p>
    <w:p w14:paraId="5F788CF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A.有效提高    B.提高    C.无效果</w:t>
      </w:r>
    </w:p>
    <w:p w14:paraId="0E827CB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②总的来说，您对目前专项资金-和地财教[2023]73号：2024年新疆西藏等地区特殊教育补助资金-学前三年免费保障经费-伙食费-洛财教【2024】22号项目实施后的整体满意程度如何？</w:t>
      </w:r>
    </w:p>
    <w:p w14:paraId="4BB016D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A.有效提高    B.提高    C.无效果</w:t>
      </w:r>
    </w:p>
    <w:p w14:paraId="2B671380">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3.调查方法</w:t>
      </w:r>
    </w:p>
    <w:p w14:paraId="65E414B1">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问卷调查采取分层抽样和随机抽样相结合的方式进行。在全面调查开展之前会先进行论证，依据论证结果对问卷和抽样方案再进行一次修改和调整之后再付诸实施。</w:t>
      </w:r>
    </w:p>
    <w:p w14:paraId="227344D1">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4.抽样方式</w:t>
      </w:r>
    </w:p>
    <w:p w14:paraId="38DC2542">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为确保问卷调查的全面性和代表性，本次调查问卷调查采取随机抽样和分层抽样相结合方式进行。</w:t>
      </w:r>
    </w:p>
    <w:p w14:paraId="0C6AB760">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5.问卷的发放和回收</w:t>
      </w:r>
    </w:p>
    <w:p w14:paraId="4FD9F4B4">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为了给调查对象营造良好的作答环境，保证调查的科学性和严谨性，由我单位工作人员在线下发放问卷，邀请相应的调查对象填写问卷。到目前为止共回收问卷50份，其中有效问卷50份，有效问卷回收率为100%。</w:t>
      </w:r>
    </w:p>
    <w:p w14:paraId="24EE282C">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7653ACFB">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本次调查过程中，评价小组实际发放问卷50份，回收问卷50份，问卷回收率为100.00%，有效问卷50份，有效回收率100.00%，本次调查的整体情况如下：</w:t>
      </w:r>
    </w:p>
    <w:p w14:paraId="22078C10">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第一个问题：该项统计有效问卷数量50份，选择有效提高的人数为47人。选择提高的人数为3人，选择无效果的人数0人。</w:t>
      </w:r>
    </w:p>
    <w:p w14:paraId="3D980609">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第二个问题：该项统计有效问卷数量50份，选择有效提高 的人数为50人。选择提高的人数为0人，选择无效果的人数0人。</w:t>
      </w:r>
    </w:p>
    <w:p w14:paraId="350E6C7F">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31A55AD0">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中央直达资金-和地财教[2023]60号-2024年城乡义务教育补助经费-家庭经济困难学生生活补助-洛财教【2024】4号，专项资金-和地财教[2023]73号：2024年新疆西藏等地区特殊教育补助资金-学前三年免费保障经费-伙食费-洛财教【2024】22号项目针对受益人员发放50份调查问卷，最终统计受益人群满意度为100%。</w:t>
      </w:r>
    </w:p>
    <w:p w14:paraId="5B4E511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宋体" w:hAnsi="宋体" w:eastAsia="宋体" w:cs="宋体"/>
          <w:sz w:val="30"/>
          <w:szCs w:val="30"/>
          <w:highlight w:val="none"/>
          <w:lang w:val="en-US" w:eastAsia="zh-CN"/>
        </w:rPr>
      </w:pPr>
    </w:p>
    <w:p w14:paraId="2379B75B">
      <w:pPr>
        <w:pStyle w:val="2"/>
        <w:rPr>
          <w:rFonts w:hint="eastAsia"/>
          <w:lang w:val="en-US" w:eastAsia="zh-CN"/>
        </w:rPr>
      </w:pPr>
    </w:p>
    <w:p w14:paraId="05D761D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00" w:firstLineChars="200"/>
        <w:jc w:val="right"/>
        <w:textAlignment w:val="auto"/>
        <w:rPr>
          <w:rFonts w:hint="eastAsia" w:cs="宋体"/>
          <w:sz w:val="30"/>
          <w:szCs w:val="30"/>
          <w:highlight w:val="none"/>
          <w:lang w:val="en-US" w:eastAsia="zh-CN"/>
        </w:rPr>
      </w:pPr>
      <w:r>
        <w:rPr>
          <w:rFonts w:hint="eastAsia" w:cs="宋体"/>
          <w:sz w:val="30"/>
          <w:szCs w:val="30"/>
          <w:highlight w:val="none"/>
          <w:lang w:val="en-US" w:eastAsia="zh-CN"/>
        </w:rPr>
        <w:t>洛浦</w:t>
      </w:r>
      <w:r>
        <w:rPr>
          <w:rFonts w:hint="eastAsia" w:ascii="宋体" w:hAnsi="宋体" w:eastAsia="宋体" w:cs="宋体"/>
          <w:sz w:val="30"/>
          <w:szCs w:val="30"/>
          <w:highlight w:val="none"/>
          <w:lang w:val="en-US" w:eastAsia="zh-CN"/>
        </w:rPr>
        <w:t>县</w:t>
      </w:r>
      <w:r>
        <w:rPr>
          <w:rFonts w:hint="eastAsia" w:cs="宋体"/>
          <w:sz w:val="30"/>
          <w:szCs w:val="30"/>
          <w:highlight w:val="none"/>
          <w:lang w:val="en-US" w:eastAsia="zh-CN"/>
        </w:rPr>
        <w:t>洛浦镇中心小学</w:t>
      </w:r>
    </w:p>
    <w:p w14:paraId="4BD5E47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00" w:firstLineChars="200"/>
        <w:jc w:val="right"/>
        <w:textAlignment w:val="auto"/>
        <w:rPr>
          <w:rFonts w:hint="eastAsia" w:ascii="宋体" w:hAnsi="宋体" w:eastAsia="宋体" w:cs="宋体"/>
          <w:sz w:val="24"/>
          <w:szCs w:val="24"/>
          <w:lang w:eastAsia="zh-CN"/>
        </w:rPr>
      </w:pPr>
      <w:r>
        <w:rPr>
          <w:rFonts w:hint="eastAsia" w:ascii="宋体" w:hAnsi="宋体" w:eastAsia="宋体" w:cs="宋体"/>
          <w:sz w:val="30"/>
          <w:szCs w:val="30"/>
          <w:highlight w:val="none"/>
          <w:lang w:val="en-US" w:eastAsia="zh-CN"/>
        </w:rPr>
        <w:t>2025年</w:t>
      </w:r>
      <w:r>
        <w:rPr>
          <w:rFonts w:hint="eastAsia" w:cs="宋体"/>
          <w:sz w:val="30"/>
          <w:szCs w:val="30"/>
          <w:highlight w:val="none"/>
          <w:lang w:val="en-US" w:eastAsia="zh-CN"/>
        </w:rPr>
        <w:t>3</w:t>
      </w:r>
      <w:r>
        <w:rPr>
          <w:rFonts w:hint="eastAsia" w:ascii="宋体" w:hAnsi="宋体" w:eastAsia="宋体" w:cs="宋体"/>
          <w:sz w:val="30"/>
          <w:szCs w:val="30"/>
          <w:highlight w:val="none"/>
          <w:lang w:val="en-US" w:eastAsia="zh-CN"/>
        </w:rPr>
        <w:t>月</w:t>
      </w:r>
      <w:r>
        <w:rPr>
          <w:rFonts w:hint="eastAsia" w:cs="宋体"/>
          <w:sz w:val="30"/>
          <w:szCs w:val="30"/>
          <w:highlight w:val="none"/>
          <w:lang w:val="en-US" w:eastAsia="zh-CN"/>
        </w:rPr>
        <w:t>24</w:t>
      </w:r>
      <w:r>
        <w:rPr>
          <w:rFonts w:hint="eastAsia" w:ascii="宋体" w:hAnsi="宋体" w:eastAsia="宋体" w:cs="宋体"/>
          <w:sz w:val="30"/>
          <w:szCs w:val="30"/>
          <w:highlight w:val="none"/>
          <w:lang w:val="en-US" w:eastAsia="zh-CN"/>
        </w:rPr>
        <w:t>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86DC1">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B6073">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multilevel"/>
    <w:tmpl w:val="0053208E"/>
    <w:lvl w:ilvl="0" w:tentative="0">
      <w:start w:val="1"/>
      <w:numFmt w:val="chineseCountingThousand"/>
      <w:pStyle w:val="6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1BB14D1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qFormat/>
    <w:uiPriority w:val="0"/>
    <w:pPr>
      <w:ind w:firstLine="420"/>
    </w:pPr>
  </w:style>
  <w:style w:type="paragraph" w:styleId="3">
    <w:name w:val="Body Text Indent"/>
    <w:basedOn w:val="1"/>
    <w:link w:val="31"/>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9"/>
    <w:unhideWhenUsed/>
    <w:uiPriority w:val="99"/>
    <w:rPr>
      <w:rFonts w:cs="Times New Roman"/>
      <w:kern w:val="0"/>
      <w:sz w:val="18"/>
      <w:szCs w:val="18"/>
    </w:rPr>
  </w:style>
  <w:style w:type="paragraph" w:styleId="15">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Body Text 2"/>
    <w:basedOn w:val="1"/>
    <w:qFormat/>
    <w:uiPriority w:val="0"/>
    <w:pPr>
      <w:spacing w:after="120" w:line="480" w:lineRule="auto"/>
    </w:pPr>
    <w:rPr>
      <w:rFonts w:ascii="Times New Roman" w:hAnsi="Times New Roman" w:eastAsia="宋体"/>
    </w:rPr>
  </w:style>
  <w:style w:type="paragraph" w:styleId="23">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正文文本缩进 Char"/>
    <w:link w:val="3"/>
    <w:semiHidden/>
    <w:uiPriority w:val="99"/>
    <w:rPr>
      <w:rFonts w:ascii="Calibri" w:hAnsi="Calibri" w:eastAsia="仿宋_GB2312" w:cs="黑体"/>
      <w:sz w:val="28"/>
    </w:rPr>
  </w:style>
  <w:style w:type="character" w:customStyle="1" w:styleId="32">
    <w:name w:val="正文首行缩进 2 Char"/>
    <w:link w:val="2"/>
    <w:uiPriority w:val="0"/>
    <w:rPr>
      <w:rFonts w:ascii="Calibri" w:hAnsi="Calibri" w:eastAsia="仿宋_GB2312" w:cs="黑体"/>
      <w:sz w:val="28"/>
    </w:rPr>
  </w:style>
  <w:style w:type="character" w:customStyle="1" w:styleId="33">
    <w:name w:val="标题 1 Char"/>
    <w:link w:val="4"/>
    <w:uiPriority w:val="9"/>
    <w:rPr>
      <w:rFonts w:ascii="Times New Roman" w:hAnsi="Times New Roman" w:eastAsia="仿宋_GB2312" w:cs="Times New Roman"/>
      <w:b/>
      <w:bCs/>
      <w:kern w:val="44"/>
      <w:sz w:val="32"/>
      <w:szCs w:val="44"/>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4"/>
    <w:semiHidden/>
    <w:uiPriority w:val="99"/>
    <w:rPr>
      <w:rFonts w:ascii="Calibri" w:hAnsi="Calibri" w:eastAsia="仿宋_GB2312" w:cs="黑体"/>
      <w:sz w:val="18"/>
      <w:szCs w:val="18"/>
    </w:rPr>
  </w:style>
  <w:style w:type="character" w:customStyle="1" w:styleId="40">
    <w:name w:val="页脚 Char"/>
    <w:link w:val="15"/>
    <w:uiPriority w:val="99"/>
    <w:rPr>
      <w:rFonts w:ascii="Calibri" w:hAnsi="Calibri" w:eastAsia="仿宋_GB2312" w:cs="黑体"/>
      <w:sz w:val="18"/>
      <w:szCs w:val="18"/>
    </w:rPr>
  </w:style>
  <w:style w:type="character" w:customStyle="1" w:styleId="41">
    <w:name w:val="页眉 Char"/>
    <w:link w:val="16"/>
    <w:uiPriority w:val="99"/>
    <w:rPr>
      <w:rFonts w:ascii="Calibri" w:hAnsi="Calibri" w:eastAsia="仿宋_GB2312" w:cs="黑体"/>
      <w:sz w:val="18"/>
      <w:szCs w:val="18"/>
    </w:rPr>
  </w:style>
  <w:style w:type="character" w:customStyle="1" w:styleId="42">
    <w:name w:val="标题 Char"/>
    <w:link w:val="23"/>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6"/>
    <w:uiPriority w:val="0"/>
    <w:rPr>
      <w:rFonts w:hint="eastAsia" w:ascii="微软雅黑" w:hAnsi="微软雅黑" w:eastAsia="微软雅黑" w:cs="微软雅黑"/>
      <w:b/>
      <w:bCs/>
      <w:color w:val="000000"/>
      <w:sz w:val="32"/>
      <w:szCs w:val="32"/>
      <w:u w:val="none"/>
    </w:rPr>
  </w:style>
  <w:style w:type="paragraph" w:customStyle="1" w:styleId="60">
    <w:name w:val="标题2"/>
    <w:basedOn w:val="5"/>
    <w:qFormat/>
    <w:uiPriority w:val="0"/>
    <w:pPr>
      <w:numPr>
        <w:ilvl w:val="0"/>
        <w:numId w:val="1"/>
      </w:numPr>
      <w:spacing w:before="120" w:after="120" w:line="500" w:lineRule="exact"/>
    </w:pPr>
    <w:rPr>
      <w:rFonts w:ascii="仿宋_GB2312" w:eastAsia="仿宋_GB2312" w:cs="Times New Roman"/>
    </w:rPr>
  </w:style>
  <w:style w:type="paragraph" w:customStyle="1" w:styleId="61">
    <w:name w:val="Char"/>
    <w:basedOn w:val="1"/>
    <w:qFormat/>
    <w:uiPriority w:val="0"/>
    <w:rPr>
      <w:rFonts w:ascii="仿宋_GB2312" w:eastAsia="仿宋_GB2312" w:cs="黑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069A60C1221449D4AF53CE7FDBAE1489_13</vt:lpwstr>
  </property>
  <property fmtid="{D5CDD505-2E9C-101B-9397-08002B2CF9AE}" pid="4" name="KSOTemplateDocerSaveRecord">
    <vt:lpwstr>eyJoZGlkIjoiYmQwYWZhN2I5ZmZiODZiY2U1OWFkMDgyMjQzZWRiY2MifQ==</vt:lpwstr>
  </property>
</Properties>
</file>

<file path=customXml/itemProps1.xml><?xml version="1.0" encoding="utf-8"?>
<ds:datastoreItem xmlns:ds="http://schemas.openxmlformats.org/officeDocument/2006/customXml" ds:itemID="{e078d273-986d-426e-805f-6372c97b2d3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9481</Words>
  <Characters>10171</Characters>
  <Lines>44</Lines>
  <Paragraphs>12</Paragraphs>
  <TotalTime>39</TotalTime>
  <ScaleCrop>false</ScaleCrop>
  <LinksUpToDate>false</LinksUpToDate>
  <CharactersWithSpaces>10239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2025-10-10T10:46:46Z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069A60C1221449D4AF53CE7FDBAE1489_13</vt:lpwstr>
  </property>
  <property fmtid="{D5CDD505-2E9C-101B-9397-08002B2CF9AE}" pid="4" name="KSOTemplateDocerSaveRecord">
    <vt:lpwstr>eyJoZGlkIjoiYmQwYWZhN2I5ZmZiODZiY2U1OWFkMDgyMjQzZWRiY2MifQ_x003D__x003D_</vt:lpwstr>
  </property>
</Properties>
</file>