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7B369FF">
      <w:bookmarkStart w:id="26" w:name="_GoBack"/>
      <w:bookmarkEnd w:id="26"/>
    </w:p>
    <w:p w14:paraId="2072D92A">
      <w:pPr>
        <w:spacing w:line="560" w:lineRule="exact"/>
        <w:ind w:firstLine="0" w:firstLineChars="0"/>
        <w:rPr>
          <w:rFonts w:eastAsia="方正仿宋_GBK" w:cs="方正仿宋_GBK"/>
          <w:b/>
          <w:color w:val="000000"/>
          <w:kern w:val="0"/>
          <w:sz w:val="32"/>
          <w:szCs w:val="32"/>
          <w:lang w:bidi="en-US"/>
        </w:rPr>
      </w:pPr>
    </w:p>
    <w:p w14:paraId="763A1420">
      <w:pPr>
        <w:tabs>
          <w:tab w:val="left" w:pos="1680"/>
        </w:tabs>
        <w:spacing w:line="360" w:lineRule="auto"/>
        <w:ind w:firstLine="723"/>
        <w:jc w:val="center"/>
        <w:outlineLvl w:val="0"/>
        <w:rPr>
          <w:rFonts w:hint="eastAsia" w:ascii="黑体" w:hAnsi="黑体" w:eastAsia="黑体"/>
          <w:b/>
          <w:color w:val="000000"/>
          <w:sz w:val="36"/>
          <w:szCs w:val="36"/>
        </w:rPr>
      </w:pPr>
      <w:r>
        <w:rPr>
          <w:rFonts w:hint="eastAsia" w:ascii="黑体" w:hAnsi="黑体" w:eastAsia="黑体"/>
          <w:b/>
          <w:color w:val="000000"/>
          <w:sz w:val="36"/>
          <w:szCs w:val="36"/>
        </w:rPr>
        <w:t>和田地区洛浦县杭桂镇中学中央直达资金-和地财教[2023]60号：2024年城乡义务教育补助</w:t>
      </w:r>
    </w:p>
    <w:p w14:paraId="2B7C037E">
      <w:pPr>
        <w:tabs>
          <w:tab w:val="left" w:pos="1680"/>
        </w:tabs>
        <w:spacing w:line="360" w:lineRule="auto"/>
        <w:ind w:firstLine="723"/>
        <w:jc w:val="center"/>
        <w:outlineLvl w:val="0"/>
        <w:rPr>
          <w:color w:val="000000"/>
        </w:rPr>
      </w:pPr>
      <w:r>
        <w:rPr>
          <w:rFonts w:hint="eastAsia" w:ascii="黑体" w:hAnsi="黑体" w:eastAsia="黑体"/>
          <w:b/>
          <w:color w:val="000000"/>
          <w:sz w:val="36"/>
          <w:szCs w:val="36"/>
        </w:rPr>
        <w:t>经费项目支出绩效评价报告</w:t>
      </w:r>
    </w:p>
    <w:p w14:paraId="4FC385C8">
      <w:pPr>
        <w:pStyle w:val="6"/>
        <w:ind w:firstLine="560"/>
        <w:jc w:val="center"/>
        <w:rPr>
          <w:rFonts w:hint="eastAsia"/>
          <w:color w:val="000000"/>
        </w:rPr>
      </w:pPr>
      <w:r>
        <w:rPr>
          <w:rFonts w:hint="eastAsia"/>
          <w:color w:val="000000"/>
        </w:rPr>
        <w:t>（2024年度）</w:t>
      </w:r>
    </w:p>
    <w:p w14:paraId="7F011E11">
      <w:pPr>
        <w:spacing w:line="560" w:lineRule="exact"/>
        <w:ind w:firstLine="0" w:firstLineChars="0"/>
        <w:jc w:val="center"/>
        <w:rPr>
          <w:rFonts w:hint="eastAsia" w:eastAsia="方正仿宋_GBK" w:cs="方正仿宋_GBK"/>
          <w:b/>
          <w:color w:val="000000"/>
          <w:kern w:val="0"/>
          <w:sz w:val="32"/>
          <w:szCs w:val="32"/>
          <w:lang w:bidi="en-US"/>
        </w:rPr>
      </w:pPr>
    </w:p>
    <w:p w14:paraId="725F0B6F">
      <w:pPr>
        <w:spacing w:line="560" w:lineRule="exact"/>
        <w:ind w:firstLine="0" w:firstLineChars="0"/>
        <w:jc w:val="center"/>
        <w:rPr>
          <w:rFonts w:hint="eastAsia" w:eastAsia="方正仿宋_GBK" w:cs="方正仿宋_GBK"/>
          <w:b/>
          <w:color w:val="000000"/>
          <w:kern w:val="0"/>
          <w:sz w:val="32"/>
          <w:szCs w:val="32"/>
          <w:lang w:bidi="en-US"/>
        </w:rPr>
      </w:pPr>
    </w:p>
    <w:p w14:paraId="65539499">
      <w:pPr>
        <w:pStyle w:val="6"/>
        <w:ind w:firstLine="640"/>
        <w:rPr>
          <w:rFonts w:hint="eastAsia" w:eastAsia="方正仿宋_GBK" w:cs="方正仿宋_GBK"/>
          <w:b/>
          <w:color w:val="000000"/>
          <w:sz w:val="32"/>
          <w:lang w:bidi="en-US"/>
        </w:rPr>
      </w:pPr>
    </w:p>
    <w:p w14:paraId="73BB8403">
      <w:pPr>
        <w:ind w:firstLine="640"/>
        <w:rPr>
          <w:rFonts w:hint="eastAsia" w:eastAsia="方正仿宋_GBK" w:cs="方正仿宋_GBK"/>
          <w:b/>
          <w:color w:val="000000"/>
          <w:kern w:val="0"/>
          <w:sz w:val="32"/>
          <w:szCs w:val="32"/>
          <w:lang w:bidi="en-US"/>
        </w:rPr>
      </w:pPr>
    </w:p>
    <w:p w14:paraId="594658D4">
      <w:pPr>
        <w:pStyle w:val="6"/>
        <w:ind w:firstLine="560"/>
        <w:rPr>
          <w:rFonts w:hint="eastAsia"/>
          <w:color w:val="000000"/>
        </w:rPr>
      </w:pPr>
    </w:p>
    <w:p w14:paraId="7FF4EF50">
      <w:pPr>
        <w:pStyle w:val="6"/>
        <w:spacing w:before="0" w:after="0" w:line="560" w:lineRule="exact"/>
        <w:ind w:firstLine="640"/>
        <w:rPr>
          <w:rFonts w:hint="eastAsia" w:eastAsia="方正仿宋_GBK" w:cs="方正仿宋_GBK"/>
          <w:b/>
          <w:color w:val="000000"/>
          <w:sz w:val="32"/>
          <w:lang w:bidi="en-US"/>
        </w:rPr>
      </w:pPr>
    </w:p>
    <w:p w14:paraId="0B3723AA">
      <w:pPr>
        <w:spacing w:line="560" w:lineRule="exact"/>
        <w:ind w:firstLine="560"/>
        <w:rPr>
          <w:rFonts w:hint="eastAsia"/>
          <w:color w:val="000000"/>
        </w:rPr>
      </w:pPr>
    </w:p>
    <w:p w14:paraId="5D7C6CD4">
      <w:pPr>
        <w:spacing w:line="560" w:lineRule="exact"/>
        <w:ind w:firstLine="0" w:firstLineChars="0"/>
        <w:rPr>
          <w:rFonts w:hint="eastAsia" w:eastAsia="方正仿宋_GBK" w:cs="方正仿宋_GBK"/>
          <w:color w:val="000000"/>
          <w:kern w:val="0"/>
          <w:sz w:val="32"/>
          <w:szCs w:val="32"/>
          <w:lang w:bidi="en-US"/>
        </w:rPr>
      </w:pPr>
    </w:p>
    <w:p w14:paraId="1AA6FB80">
      <w:pPr>
        <w:spacing w:line="560" w:lineRule="exact"/>
        <w:ind w:left="2800" w:leftChars="500" w:hanging="1400" w:hangingChars="500"/>
        <w:jc w:val="left"/>
        <w:rPr>
          <w:rFonts w:hint="eastAsia" w:ascii="宋体" w:hAnsi="宋体" w:eastAsia="宋体" w:cs="宋体"/>
          <w:color w:val="000000"/>
          <w:kern w:val="0"/>
          <w:szCs w:val="28"/>
          <w:lang w:bidi="en-US"/>
        </w:rPr>
      </w:pPr>
      <w:r>
        <w:rPr>
          <w:rFonts w:hint="eastAsia" w:ascii="宋体" w:hAnsi="宋体" w:eastAsia="宋体" w:cs="宋体"/>
          <w:color w:val="000000"/>
          <w:kern w:val="0"/>
          <w:szCs w:val="28"/>
          <w:lang w:bidi="en-US"/>
        </w:rPr>
        <w:t>项目名称：</w:t>
      </w:r>
      <w:bookmarkStart w:id="0" w:name="OLE_LINK6"/>
      <w:bookmarkStart w:id="1" w:name="OLE_LINK7"/>
      <w:r>
        <w:rPr>
          <w:rFonts w:hint="eastAsia" w:ascii="宋体" w:hAnsi="宋体" w:eastAsia="宋体" w:cs="宋体"/>
          <w:color w:val="000000"/>
          <w:kern w:val="0"/>
          <w:szCs w:val="28"/>
          <w:lang w:bidi="en-US"/>
        </w:rPr>
        <w:t>中央直达资金-和地财教[2023]60号：2024年城乡义务教育补助经费</w:t>
      </w:r>
      <w:bookmarkEnd w:id="0"/>
      <w:bookmarkEnd w:id="1"/>
    </w:p>
    <w:p w14:paraId="5DF10A2F">
      <w:pPr>
        <w:spacing w:line="560" w:lineRule="exact"/>
        <w:ind w:firstLine="1234" w:firstLineChars="441"/>
        <w:jc w:val="left"/>
        <w:rPr>
          <w:rFonts w:hint="eastAsia" w:ascii="宋体" w:hAnsi="宋体" w:eastAsia="宋体" w:cs="宋体"/>
          <w:color w:val="000000"/>
          <w:kern w:val="0"/>
          <w:szCs w:val="28"/>
          <w:lang w:bidi="en-US"/>
        </w:rPr>
      </w:pPr>
      <w:r>
        <w:rPr>
          <w:rFonts w:hint="eastAsia" w:ascii="宋体" w:hAnsi="宋体" w:eastAsia="宋体" w:cs="宋体"/>
          <w:color w:val="000000"/>
          <w:kern w:val="0"/>
          <w:szCs w:val="28"/>
          <w:lang w:bidi="en-US"/>
        </w:rPr>
        <w:t>项目单位：洛浦县教育局</w:t>
      </w:r>
    </w:p>
    <w:p w14:paraId="1158CE38">
      <w:pPr>
        <w:spacing w:line="560" w:lineRule="exact"/>
        <w:ind w:firstLine="1234" w:firstLineChars="441"/>
        <w:jc w:val="left"/>
        <w:rPr>
          <w:rFonts w:hint="eastAsia" w:ascii="宋体" w:hAnsi="宋体" w:eastAsia="宋体" w:cs="宋体"/>
          <w:color w:val="000000"/>
          <w:kern w:val="0"/>
          <w:szCs w:val="28"/>
          <w:lang w:bidi="en-US"/>
        </w:rPr>
      </w:pPr>
      <w:r>
        <w:rPr>
          <w:rFonts w:hint="eastAsia" w:ascii="宋体" w:hAnsi="宋体" w:eastAsia="宋体" w:cs="宋体"/>
          <w:color w:val="000000"/>
          <w:kern w:val="0"/>
          <w:szCs w:val="28"/>
          <w:lang w:bidi="en-US"/>
        </w:rPr>
        <w:t>主管部门：洛浦县杭桂镇中学</w:t>
      </w:r>
    </w:p>
    <w:p w14:paraId="6FE1BB74">
      <w:pPr>
        <w:spacing w:line="560" w:lineRule="exact"/>
        <w:ind w:firstLine="1234" w:firstLineChars="441"/>
        <w:jc w:val="left"/>
        <w:rPr>
          <w:rFonts w:ascii="宋体" w:hAnsi="宋体" w:eastAsia="宋体" w:cs="宋体"/>
          <w:color w:val="000000"/>
          <w:kern w:val="0"/>
          <w:szCs w:val="28"/>
          <w:lang w:bidi="en-US"/>
        </w:rPr>
      </w:pPr>
      <w:r>
        <w:rPr>
          <w:rFonts w:hint="eastAsia" w:ascii="宋体" w:hAnsi="宋体" w:eastAsia="宋体" w:cs="宋体"/>
          <w:color w:val="000000"/>
          <w:kern w:val="0"/>
          <w:szCs w:val="28"/>
          <w:lang w:bidi="en-US"/>
        </w:rPr>
        <w:t>项目负责人：艾则孜</w:t>
      </w:r>
    </w:p>
    <w:p w14:paraId="48287E55">
      <w:pPr>
        <w:spacing w:line="560" w:lineRule="exact"/>
        <w:ind w:firstLine="1234" w:firstLineChars="441"/>
        <w:jc w:val="left"/>
        <w:rPr>
          <w:rFonts w:hint="eastAsia" w:eastAsia="方正仿宋_GBK" w:cs="方正仿宋_GBK"/>
          <w:b/>
          <w:color w:val="000000"/>
          <w:kern w:val="0"/>
          <w:szCs w:val="28"/>
          <w:lang w:bidi="en-US"/>
        </w:rPr>
      </w:pPr>
      <w:r>
        <w:rPr>
          <w:rFonts w:hint="eastAsia" w:ascii="宋体" w:hAnsi="宋体" w:eastAsia="宋体" w:cs="宋体"/>
          <w:color w:val="000000"/>
          <w:kern w:val="0"/>
          <w:szCs w:val="28"/>
          <w:lang w:bidi="en-US"/>
        </w:rPr>
        <w:t>填报时间：2025年3月</w:t>
      </w:r>
      <w:r>
        <w:rPr>
          <w:rFonts w:hint="eastAsia" w:ascii="宋体" w:hAnsi="宋体" w:eastAsia="宋体" w:cs="宋体"/>
          <w:color w:val="000000"/>
          <w:kern w:val="0"/>
          <w:szCs w:val="28"/>
          <w:lang w:val="en-US" w:eastAsia="zh-CN" w:bidi="en-US"/>
        </w:rPr>
        <w:t>31</w:t>
      </w:r>
      <w:r>
        <w:rPr>
          <w:rFonts w:hint="eastAsia" w:ascii="宋体" w:hAnsi="宋体" w:eastAsia="宋体" w:cs="宋体"/>
          <w:color w:val="000000"/>
          <w:kern w:val="0"/>
          <w:szCs w:val="28"/>
          <w:lang w:bidi="en-US"/>
        </w:rPr>
        <w:t>日</w:t>
      </w:r>
    </w:p>
    <w:p w14:paraId="69F16DE8">
      <w:pPr>
        <w:pStyle w:val="4"/>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黑体" w:hAnsi="黑体" w:eastAsia="黑体" w:cs="黑体"/>
          <w:color w:val="000000"/>
          <w:sz w:val="24"/>
          <w:szCs w:val="24"/>
        </w:rPr>
      </w:pPr>
      <w:bookmarkStart w:id="2" w:name="_Toc68364657"/>
      <w:r>
        <w:rPr>
          <w:rFonts w:hint="eastAsia" w:ascii="黑体" w:hAnsi="黑体" w:eastAsia="黑体" w:cs="黑体"/>
          <w:color w:val="000000"/>
          <w:sz w:val="24"/>
          <w:szCs w:val="24"/>
        </w:rPr>
        <w:t>一、基本情况</w:t>
      </w:r>
      <w:bookmarkEnd w:id="2"/>
    </w:p>
    <w:p w14:paraId="51205B91">
      <w:pPr>
        <w:pStyle w:val="50"/>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color w:val="000000"/>
          <w:sz w:val="24"/>
          <w:szCs w:val="24"/>
        </w:rPr>
      </w:pPr>
      <w:bookmarkStart w:id="3" w:name="_Toc68364658"/>
      <w:r>
        <w:rPr>
          <w:rFonts w:hint="eastAsia" w:ascii="宋体" w:hAnsi="宋体" w:eastAsia="宋体" w:cs="宋体"/>
          <w:color w:val="000000"/>
          <w:sz w:val="24"/>
          <w:szCs w:val="24"/>
        </w:rPr>
        <w:t>（一）项目概况</w:t>
      </w:r>
      <w:bookmarkEnd w:id="3"/>
    </w:p>
    <w:p w14:paraId="24A3BFA6">
      <w:pPr>
        <w:pStyle w:val="47"/>
        <w:pageBreakBefore w:val="0"/>
        <w:widowControl w:val="0"/>
        <w:kinsoku/>
        <w:wordWrap/>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000000"/>
          <w:sz w:val="24"/>
          <w:szCs w:val="24"/>
        </w:rPr>
      </w:pPr>
      <w:r>
        <w:rPr>
          <w:rFonts w:hint="eastAsia" w:ascii="宋体" w:hAnsi="宋体" w:eastAsia="宋体" w:cs="宋体"/>
          <w:b/>
          <w:bCs/>
          <w:color w:val="000000"/>
          <w:sz w:val="24"/>
          <w:szCs w:val="24"/>
        </w:rPr>
        <w:t>1. 项目背景</w:t>
      </w:r>
    </w:p>
    <w:p w14:paraId="35BDDD37">
      <w:pPr>
        <w:pStyle w:val="47"/>
        <w:pageBreakBefore w:val="0"/>
        <w:widowControl w:val="0"/>
        <w:kinsoku/>
        <w:wordWrap/>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color w:val="000000"/>
          <w:sz w:val="24"/>
          <w:szCs w:val="24"/>
        </w:rPr>
      </w:pPr>
      <w:r>
        <w:rPr>
          <w:rFonts w:hint="eastAsia" w:ascii="宋体" w:hAnsi="宋体" w:eastAsia="宋体" w:cs="宋体"/>
          <w:bCs/>
          <w:color w:val="000000"/>
          <w:sz w:val="24"/>
          <w:szCs w:val="24"/>
        </w:rPr>
        <w:t>认真贯彻落实党和国家的教育方针、政策，正确执行上级主管部门的决议和指示，根据教育规律、社会要求和学校实际，组织制定学校发展的远景规划、近期目标、学年和学期各项工作计划以及各项工作指标并组织实施。制定教师队伍建设规划，不断提高他们的政治素质、文化业务水平和科研水平。全面实施素质教育，培养德、智、体、美等方面全面发展的社会主义事业的建设者和接班人</w:t>
      </w:r>
      <w:r>
        <w:rPr>
          <w:rFonts w:hint="eastAsia" w:ascii="宋体" w:hAnsi="宋体" w:eastAsia="宋体" w:cs="宋体"/>
          <w:color w:val="000000"/>
          <w:sz w:val="24"/>
          <w:szCs w:val="24"/>
        </w:rPr>
        <w:t xml:space="preserve">     </w:t>
      </w:r>
    </w:p>
    <w:p w14:paraId="0F9E4694">
      <w:pPr>
        <w:pStyle w:val="47"/>
        <w:pageBreakBefore w:val="0"/>
        <w:widowControl w:val="0"/>
        <w:kinsoku/>
        <w:wordWrap/>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000000"/>
          <w:sz w:val="24"/>
          <w:szCs w:val="24"/>
        </w:rPr>
      </w:pPr>
      <w:r>
        <w:rPr>
          <w:rFonts w:hint="eastAsia" w:ascii="宋体" w:hAnsi="宋体" w:eastAsia="宋体" w:cs="宋体"/>
          <w:color w:val="000000"/>
          <w:sz w:val="24"/>
          <w:szCs w:val="24"/>
        </w:rPr>
        <w:t>2.</w:t>
      </w:r>
      <w:r>
        <w:rPr>
          <w:rFonts w:hint="eastAsia" w:ascii="宋体" w:hAnsi="宋体" w:eastAsia="宋体" w:cs="宋体"/>
          <w:b/>
          <w:bCs/>
          <w:color w:val="000000"/>
          <w:sz w:val="24"/>
          <w:szCs w:val="24"/>
        </w:rPr>
        <w:t>主要内容及实施情况</w:t>
      </w:r>
    </w:p>
    <w:p w14:paraId="3C0BA578">
      <w:pPr>
        <w:pStyle w:val="47"/>
        <w:pageBreakBefore w:val="0"/>
        <w:widowControl w:val="0"/>
        <w:kinsoku/>
        <w:wordWrap/>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b/>
          <w:bCs/>
          <w:color w:val="000000"/>
          <w:sz w:val="24"/>
          <w:szCs w:val="24"/>
        </w:rPr>
      </w:pPr>
      <w:r>
        <w:rPr>
          <w:rFonts w:hint="eastAsia" w:ascii="宋体" w:hAnsi="宋体" w:eastAsia="宋体" w:cs="宋体"/>
          <w:b/>
          <w:bCs/>
          <w:color w:val="000000"/>
          <w:sz w:val="24"/>
          <w:szCs w:val="24"/>
        </w:rPr>
        <w:t>（1）主要内容</w:t>
      </w:r>
    </w:p>
    <w:p w14:paraId="2D02EF7F">
      <w:pPr>
        <w:pStyle w:val="47"/>
        <w:pageBreakBefore w:val="0"/>
        <w:widowControl w:val="0"/>
        <w:kinsoku/>
        <w:wordWrap/>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该项目</w:t>
      </w:r>
      <w:r>
        <w:rPr>
          <w:rFonts w:hint="eastAsia" w:ascii="宋体" w:hAnsi="宋体" w:eastAsia="宋体" w:cs="宋体"/>
          <w:color w:val="000000"/>
          <w:sz w:val="24"/>
          <w:szCs w:val="24"/>
          <w:lang w:bidi="en-US"/>
        </w:rPr>
        <w:t>中央直达资金-和地财教[2023]60号：2024年城乡义务教育补助经费保障学生的日常公用经费,营养改善计划,寄宿生生活补助.</w:t>
      </w:r>
    </w:p>
    <w:p w14:paraId="690D368C">
      <w:pPr>
        <w:pStyle w:val="47"/>
        <w:pageBreakBefore w:val="0"/>
        <w:widowControl w:val="0"/>
        <w:kinsoku/>
        <w:wordWrap/>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000000"/>
          <w:sz w:val="24"/>
          <w:szCs w:val="24"/>
        </w:rPr>
      </w:pPr>
      <w:r>
        <w:rPr>
          <w:rFonts w:hint="eastAsia" w:ascii="宋体" w:hAnsi="宋体" w:eastAsia="宋体" w:cs="宋体"/>
          <w:b/>
          <w:bCs/>
          <w:color w:val="000000"/>
          <w:sz w:val="24"/>
          <w:szCs w:val="24"/>
        </w:rPr>
        <w:t>2.实施情况</w:t>
      </w:r>
    </w:p>
    <w:p w14:paraId="29406DB1">
      <w:pPr>
        <w:pStyle w:val="47"/>
        <w:pageBreakBefore w:val="0"/>
        <w:widowControl w:val="0"/>
        <w:kinsoku/>
        <w:wordWrap/>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000000"/>
          <w:sz w:val="24"/>
          <w:szCs w:val="24"/>
        </w:rPr>
      </w:pPr>
      <w:r>
        <w:rPr>
          <w:rFonts w:hint="eastAsia" w:ascii="宋体" w:hAnsi="宋体" w:eastAsia="宋体" w:cs="宋体"/>
          <w:b/>
          <w:bCs/>
          <w:color w:val="000000"/>
          <w:sz w:val="24"/>
          <w:szCs w:val="24"/>
        </w:rPr>
        <w:t>（1）项目实施主体</w:t>
      </w:r>
    </w:p>
    <w:p w14:paraId="671DAC8A">
      <w:pPr>
        <w:pStyle w:val="47"/>
        <w:pageBreakBefore w:val="0"/>
        <w:widowControl w:val="0"/>
        <w:kinsoku/>
        <w:wordWrap/>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color w:val="000000"/>
          <w:sz w:val="24"/>
          <w:szCs w:val="24"/>
        </w:rPr>
      </w:pPr>
      <w:r>
        <w:rPr>
          <w:rFonts w:hint="eastAsia" w:ascii="宋体" w:hAnsi="宋体" w:eastAsia="宋体" w:cs="宋体"/>
          <w:color w:val="000000"/>
          <w:sz w:val="24"/>
          <w:szCs w:val="24"/>
        </w:rPr>
        <w:t>本项目主管部门为洛浦县教育局，实施单位为洛浦县洛浦县杭桂镇中学。</w:t>
      </w:r>
    </w:p>
    <w:p w14:paraId="699BF258">
      <w:pPr>
        <w:pStyle w:val="47"/>
        <w:pageBreakBefore w:val="0"/>
        <w:widowControl w:val="0"/>
        <w:kinsoku/>
        <w:wordWrap/>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color w:val="000000"/>
          <w:sz w:val="24"/>
          <w:szCs w:val="24"/>
        </w:rPr>
      </w:pPr>
      <w:r>
        <w:rPr>
          <w:rFonts w:hint="eastAsia" w:ascii="宋体" w:hAnsi="宋体" w:eastAsia="宋体" w:cs="宋体"/>
          <w:b/>
          <w:bCs/>
          <w:color w:val="000000"/>
          <w:sz w:val="24"/>
          <w:szCs w:val="24"/>
        </w:rPr>
        <w:t>（2）项目实施时间：</w:t>
      </w:r>
      <w:r>
        <w:rPr>
          <w:rFonts w:hint="eastAsia" w:ascii="宋体" w:hAnsi="宋体" w:eastAsia="宋体" w:cs="宋体"/>
          <w:color w:val="000000"/>
          <w:sz w:val="24"/>
          <w:szCs w:val="24"/>
        </w:rPr>
        <w:t>2024年1月-2024年12月</w:t>
      </w:r>
    </w:p>
    <w:p w14:paraId="4D69CF6B">
      <w:pPr>
        <w:pStyle w:val="47"/>
        <w:pageBreakBefore w:val="0"/>
        <w:widowControl w:val="0"/>
        <w:kinsoku/>
        <w:wordWrap/>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000000"/>
          <w:sz w:val="24"/>
          <w:szCs w:val="24"/>
        </w:rPr>
      </w:pPr>
      <w:r>
        <w:rPr>
          <w:rFonts w:hint="eastAsia" w:ascii="宋体" w:hAnsi="宋体" w:eastAsia="宋体" w:cs="宋体"/>
          <w:b/>
          <w:bCs/>
          <w:color w:val="000000"/>
          <w:sz w:val="24"/>
          <w:szCs w:val="24"/>
        </w:rPr>
        <w:t>（3）项目实施情况</w:t>
      </w:r>
    </w:p>
    <w:p w14:paraId="66A0C1F8">
      <w:pPr>
        <w:pageBreakBefore w:val="0"/>
        <w:widowControl w:val="0"/>
        <w:kinsoku/>
        <w:wordWrap/>
        <w:topLinePunct w:val="0"/>
        <w:autoSpaceDE/>
        <w:autoSpaceDN/>
        <w:bidi w:val="0"/>
        <w:adjustRightInd/>
        <w:snapToGrid/>
        <w:spacing w:line="360" w:lineRule="auto"/>
        <w:ind w:left="0" w:leftChars="0" w:firstLine="464" w:firstLineChars="200"/>
        <w:textAlignment w:val="auto"/>
        <w:rPr>
          <w:rFonts w:hint="eastAsia" w:ascii="宋体" w:hAnsi="宋体" w:eastAsia="宋体" w:cs="宋体"/>
          <w:bCs/>
          <w:color w:val="000000"/>
          <w:spacing w:val="-4"/>
          <w:sz w:val="24"/>
          <w:szCs w:val="24"/>
        </w:rPr>
      </w:pPr>
      <w:r>
        <w:rPr>
          <w:rStyle w:val="27"/>
          <w:rFonts w:hint="eastAsia" w:ascii="宋体" w:hAnsi="宋体" w:eastAsia="宋体" w:cs="宋体"/>
          <w:b w:val="0"/>
          <w:color w:val="000000"/>
          <w:spacing w:val="-4"/>
          <w:sz w:val="24"/>
          <w:szCs w:val="24"/>
        </w:rPr>
        <w:t xml:space="preserve">加强学校安全工作管理。认真贯彻落实各级安全工作 文件、会议精神，继续贯彻落实“安全教育制度”，增强安全工作的责任感与紧迫感。强化保安管理机制。 </w:t>
      </w:r>
    </w:p>
    <w:p w14:paraId="0D5248BB">
      <w:pPr>
        <w:pStyle w:val="47"/>
        <w:pageBreakBefore w:val="0"/>
        <w:widowControl w:val="0"/>
        <w:kinsoku/>
        <w:wordWrap/>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000000"/>
          <w:sz w:val="24"/>
          <w:szCs w:val="24"/>
        </w:rPr>
      </w:pPr>
      <w:r>
        <w:rPr>
          <w:rFonts w:hint="eastAsia" w:ascii="宋体" w:hAnsi="宋体" w:eastAsia="宋体" w:cs="宋体"/>
          <w:b/>
          <w:bCs/>
          <w:color w:val="000000"/>
          <w:sz w:val="24"/>
          <w:szCs w:val="24"/>
        </w:rPr>
        <w:t>4. 资金投入和使用情况</w:t>
      </w:r>
    </w:p>
    <w:p w14:paraId="628392B3">
      <w:pPr>
        <w:pStyle w:val="47"/>
        <w:pageBreakBefore w:val="0"/>
        <w:widowControl w:val="0"/>
        <w:kinsoku/>
        <w:wordWrap/>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b/>
          <w:bCs/>
          <w:color w:val="000000"/>
          <w:sz w:val="24"/>
          <w:szCs w:val="24"/>
        </w:rPr>
      </w:pPr>
      <w:r>
        <w:rPr>
          <w:rFonts w:hint="eastAsia" w:ascii="宋体" w:hAnsi="宋体" w:eastAsia="宋体" w:cs="宋体"/>
          <w:b/>
          <w:bCs/>
          <w:color w:val="000000"/>
          <w:sz w:val="24"/>
          <w:szCs w:val="24"/>
        </w:rPr>
        <w:t>（1）项目资金安排、投入情况</w:t>
      </w:r>
    </w:p>
    <w:p w14:paraId="1DB61A2D">
      <w:pPr>
        <w:pStyle w:val="47"/>
        <w:pageBreakBefore w:val="0"/>
        <w:widowControl w:val="0"/>
        <w:kinsoku/>
        <w:wordWrap/>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本项目预算安排总额为479.33万元，资金来源为部门预算中央专项资金，其中：财政资金479.33万元，其他资金（含自有资金、社会资金及以前年度结转结余资金）0万元，2024年实际收到预算资金</w:t>
      </w:r>
      <w:bookmarkStart w:id="4" w:name="OLE_LINK10"/>
      <w:bookmarkStart w:id="5" w:name="OLE_LINK9"/>
      <w:r>
        <w:rPr>
          <w:rFonts w:hint="eastAsia" w:ascii="宋体" w:hAnsi="宋体" w:eastAsia="宋体" w:cs="宋体"/>
          <w:color w:val="000000"/>
          <w:sz w:val="24"/>
          <w:szCs w:val="24"/>
        </w:rPr>
        <w:t>479.33</w:t>
      </w:r>
      <w:bookmarkEnd w:id="4"/>
      <w:bookmarkEnd w:id="5"/>
      <w:r>
        <w:rPr>
          <w:rFonts w:hint="eastAsia" w:ascii="宋体" w:hAnsi="宋体" w:eastAsia="宋体" w:cs="宋体"/>
          <w:color w:val="000000"/>
          <w:sz w:val="24"/>
          <w:szCs w:val="24"/>
        </w:rPr>
        <w:t>万元，预算资金到位率为100%。</w:t>
      </w:r>
    </w:p>
    <w:p w14:paraId="704920EB">
      <w:pPr>
        <w:pStyle w:val="47"/>
        <w:pageBreakBefore w:val="0"/>
        <w:widowControl w:val="0"/>
        <w:kinsoku/>
        <w:wordWrap/>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b/>
          <w:bCs/>
          <w:color w:val="000000"/>
          <w:sz w:val="24"/>
          <w:szCs w:val="24"/>
        </w:rPr>
      </w:pPr>
      <w:r>
        <w:rPr>
          <w:rFonts w:hint="eastAsia" w:ascii="宋体" w:hAnsi="宋体" w:eastAsia="宋体" w:cs="宋体"/>
          <w:b/>
          <w:bCs/>
          <w:color w:val="000000"/>
          <w:sz w:val="24"/>
          <w:szCs w:val="24"/>
        </w:rPr>
        <w:t>（2）项目资金实际使用情况分析</w:t>
      </w:r>
    </w:p>
    <w:p w14:paraId="336C6E98">
      <w:pPr>
        <w:pStyle w:val="47"/>
        <w:pageBreakBefore w:val="0"/>
        <w:widowControl w:val="0"/>
        <w:kinsoku/>
        <w:wordWrap/>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本项目实际支付资金479.33万元，预算执行率100%。本项目资金主要用于支付公用经费费</w:t>
      </w:r>
      <w:r>
        <w:rPr>
          <w:rFonts w:hint="eastAsia" w:ascii="宋体" w:hAnsi="宋体" w:eastAsia="宋体" w:cs="宋体"/>
          <w:color w:val="000000"/>
          <w:sz w:val="24"/>
          <w:szCs w:val="24"/>
          <w:u w:val="none"/>
        </w:rPr>
        <w:t>用187.21万元、</w:t>
      </w:r>
      <w:r>
        <w:rPr>
          <w:rFonts w:hint="eastAsia" w:ascii="宋体" w:hAnsi="宋体" w:eastAsia="宋体" w:cs="宋体"/>
          <w:color w:val="000000"/>
          <w:sz w:val="24"/>
          <w:szCs w:val="24"/>
        </w:rPr>
        <w:t>寄宿生生活补助费用115.39万元，营养改善补助费用176.73万元等。</w:t>
      </w:r>
    </w:p>
    <w:p w14:paraId="3D1CDF42">
      <w:pPr>
        <w:pStyle w:val="50"/>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color w:val="000000"/>
          <w:sz w:val="24"/>
          <w:szCs w:val="24"/>
        </w:rPr>
      </w:pPr>
      <w:bookmarkStart w:id="6" w:name="_Toc68364659"/>
      <w:r>
        <w:rPr>
          <w:rFonts w:hint="eastAsia" w:ascii="宋体" w:hAnsi="宋体" w:eastAsia="宋体" w:cs="宋体"/>
          <w:color w:val="000000"/>
          <w:sz w:val="24"/>
          <w:szCs w:val="24"/>
        </w:rPr>
        <w:t>（二）项目绩效目标</w:t>
      </w:r>
      <w:bookmarkEnd w:id="6"/>
    </w:p>
    <w:p w14:paraId="023A98AD">
      <w:pPr>
        <w:pStyle w:val="47"/>
        <w:pageBreakBefore w:val="0"/>
        <w:widowControl w:val="0"/>
        <w:kinsoku/>
        <w:wordWrap/>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项目绩效目标包括项目总体目标和阶段性目标。</w:t>
      </w:r>
    </w:p>
    <w:p w14:paraId="3B415E4B">
      <w:pPr>
        <w:pStyle w:val="47"/>
        <w:pageBreakBefore w:val="0"/>
        <w:widowControl w:val="0"/>
        <w:kinsoku/>
        <w:wordWrap/>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000000"/>
          <w:sz w:val="24"/>
          <w:szCs w:val="24"/>
        </w:rPr>
      </w:pPr>
      <w:r>
        <w:rPr>
          <w:rFonts w:hint="eastAsia" w:ascii="宋体" w:hAnsi="宋体" w:eastAsia="宋体" w:cs="宋体"/>
          <w:b/>
          <w:bCs/>
          <w:color w:val="000000"/>
          <w:sz w:val="24"/>
          <w:szCs w:val="24"/>
        </w:rPr>
        <w:t>1.总体目标</w:t>
      </w:r>
    </w:p>
    <w:p w14:paraId="41F5F3AB">
      <w:pPr>
        <w:pStyle w:val="47"/>
        <w:pageBreakBefore w:val="0"/>
        <w:widowControl w:val="0"/>
        <w:kinsoku/>
        <w:wordWrap/>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color w:val="000000"/>
          <w:sz w:val="24"/>
          <w:szCs w:val="24"/>
        </w:rPr>
      </w:pPr>
      <w:r>
        <w:rPr>
          <w:rFonts w:hint="eastAsia" w:ascii="宋体" w:hAnsi="宋体" w:eastAsia="宋体" w:cs="宋体"/>
          <w:color w:val="000000"/>
          <w:sz w:val="24"/>
          <w:szCs w:val="24"/>
        </w:rPr>
        <w:t>学校公用经费是保障学校正常运转的专项资金，只要用于教学，管理，后勤保障等日常支出。保障基本半血条件，支持教育教学活动，优化管理效率。</w:t>
      </w:r>
    </w:p>
    <w:p w14:paraId="7F74E9F7">
      <w:pPr>
        <w:pStyle w:val="47"/>
        <w:pageBreakBefore w:val="0"/>
        <w:widowControl w:val="0"/>
        <w:kinsoku/>
        <w:wordWrap/>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color w:val="000000"/>
          <w:sz w:val="24"/>
          <w:szCs w:val="24"/>
        </w:rPr>
      </w:pPr>
      <w:r>
        <w:rPr>
          <w:rFonts w:hint="eastAsia" w:ascii="宋体" w:hAnsi="宋体" w:eastAsia="宋体" w:cs="宋体"/>
          <w:color w:val="000000"/>
          <w:sz w:val="24"/>
          <w:szCs w:val="24"/>
        </w:rPr>
        <w:t>营养改善项目旨在通过膳食干预提升学生健康水平。</w:t>
      </w:r>
    </w:p>
    <w:p w14:paraId="488BA342">
      <w:pPr>
        <w:pStyle w:val="47"/>
        <w:pageBreakBefore w:val="0"/>
        <w:widowControl w:val="0"/>
        <w:numPr>
          <w:ilvl w:val="0"/>
          <w:numId w:val="2"/>
        </w:numPr>
        <w:kinsoku/>
        <w:wordWrap/>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000000"/>
          <w:sz w:val="24"/>
          <w:szCs w:val="24"/>
        </w:rPr>
      </w:pPr>
      <w:r>
        <w:rPr>
          <w:rFonts w:hint="eastAsia" w:ascii="宋体" w:hAnsi="宋体" w:eastAsia="宋体" w:cs="宋体"/>
          <w:b/>
          <w:bCs/>
          <w:color w:val="000000"/>
          <w:sz w:val="24"/>
          <w:szCs w:val="24"/>
        </w:rPr>
        <w:t>阶段性目标</w:t>
      </w:r>
    </w:p>
    <w:p w14:paraId="6024706E">
      <w:pPr>
        <w:pStyle w:val="47"/>
        <w:pageBreakBefore w:val="0"/>
        <w:widowControl w:val="0"/>
        <w:kinsoku/>
        <w:wordWrap/>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color w:val="000000"/>
          <w:sz w:val="24"/>
          <w:szCs w:val="24"/>
        </w:rPr>
      </w:pPr>
      <w:bookmarkStart w:id="7" w:name="_Toc68364660"/>
      <w:r>
        <w:rPr>
          <w:rFonts w:hint="eastAsia" w:ascii="宋体" w:hAnsi="宋体" w:eastAsia="宋体" w:cs="宋体"/>
          <w:color w:val="000000"/>
          <w:sz w:val="24"/>
          <w:szCs w:val="24"/>
        </w:rPr>
        <w:t>我单位根据《项目支出绩效评价管理办法》（财预〔2020〕10号）《关于印发〈自治区财政支出绩效评价管理暂行办法〉的通知》（新财预〔2018〕189号）以及自治区财政厅《关于印发〈自治区项目支出绩效目标设置指引〉的通知》（新财预〔2022〕42号）的规定，结合项目相关信息，设置了年度绩效目标如下：</w:t>
      </w:r>
    </w:p>
    <w:p w14:paraId="1F6CA27C">
      <w:pPr>
        <w:pStyle w:val="47"/>
        <w:pageBreakBefore w:val="0"/>
        <w:widowControl w:val="0"/>
        <w:numPr>
          <w:ilvl w:val="0"/>
          <w:numId w:val="3"/>
        </w:numPr>
        <w:kinsoku/>
        <w:wordWrap/>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color w:val="000000"/>
          <w:sz w:val="24"/>
          <w:szCs w:val="24"/>
        </w:rPr>
      </w:pPr>
      <w:r>
        <w:rPr>
          <w:rFonts w:hint="eastAsia" w:ascii="宋体" w:hAnsi="宋体" w:eastAsia="宋体" w:cs="宋体"/>
          <w:color w:val="000000"/>
          <w:sz w:val="24"/>
          <w:szCs w:val="24"/>
        </w:rPr>
        <w:t>产出指标</w:t>
      </w:r>
    </w:p>
    <w:p w14:paraId="693B96DE">
      <w:pPr>
        <w:pStyle w:val="47"/>
        <w:pageBreakBefore w:val="0"/>
        <w:widowControl w:val="0"/>
        <w:numPr>
          <w:ilvl w:val="0"/>
          <w:numId w:val="0"/>
        </w:numPr>
        <w:kinsoku/>
        <w:wordWrap/>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color w:val="000000"/>
          <w:sz w:val="24"/>
          <w:szCs w:val="24"/>
        </w:rPr>
      </w:pPr>
      <w:r>
        <w:rPr>
          <w:rFonts w:hint="eastAsia" w:ascii="宋体" w:hAnsi="宋体" w:eastAsia="宋体" w:cs="宋体"/>
          <w:color w:val="000000"/>
          <w:kern w:val="0"/>
          <w:sz w:val="24"/>
          <w:szCs w:val="24"/>
          <w:lang w:val="en-US" w:eastAsia="zh-CN" w:bidi="ar-SA"/>
        </w:rPr>
        <w:t>1）</w:t>
      </w:r>
      <w:r>
        <w:rPr>
          <w:rFonts w:hint="eastAsia" w:ascii="宋体" w:hAnsi="宋体" w:eastAsia="宋体" w:cs="宋体"/>
          <w:color w:val="000000"/>
          <w:sz w:val="24"/>
          <w:szCs w:val="24"/>
        </w:rPr>
        <w:t>数量指标:</w:t>
      </w:r>
    </w:p>
    <w:p w14:paraId="46291178">
      <w:pPr>
        <w:pStyle w:val="47"/>
        <w:pageBreakBefore w:val="0"/>
        <w:widowControl w:val="0"/>
        <w:kinsoku/>
        <w:wordWrap/>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color w:val="000000"/>
          <w:sz w:val="24"/>
          <w:szCs w:val="24"/>
        </w:rPr>
      </w:pPr>
      <w:r>
        <w:rPr>
          <w:rFonts w:hint="eastAsia" w:ascii="宋体" w:hAnsi="宋体" w:eastAsia="宋体" w:cs="宋体"/>
          <w:color w:val="000000"/>
          <w:sz w:val="24"/>
          <w:szCs w:val="24"/>
        </w:rPr>
        <w:t>指标1：受益学生数，预期指标值：=1765人</w:t>
      </w:r>
    </w:p>
    <w:p w14:paraId="3C8BDDE3">
      <w:pPr>
        <w:pStyle w:val="47"/>
        <w:pageBreakBefore w:val="0"/>
        <w:widowControl w:val="0"/>
        <w:kinsoku/>
        <w:wordWrap/>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color w:val="000000"/>
          <w:sz w:val="24"/>
          <w:szCs w:val="24"/>
        </w:rPr>
      </w:pPr>
      <w:r>
        <w:rPr>
          <w:rFonts w:hint="eastAsia" w:ascii="宋体" w:hAnsi="宋体" w:eastAsia="宋体" w:cs="宋体"/>
          <w:color w:val="000000"/>
          <w:sz w:val="24"/>
          <w:szCs w:val="24"/>
        </w:rPr>
        <w:t>2）质量指标：</w:t>
      </w:r>
    </w:p>
    <w:p w14:paraId="19397703">
      <w:pPr>
        <w:pStyle w:val="47"/>
        <w:pageBreakBefore w:val="0"/>
        <w:widowControl w:val="0"/>
        <w:kinsoku/>
        <w:wordWrap/>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color w:val="000000"/>
          <w:sz w:val="24"/>
          <w:szCs w:val="24"/>
        </w:rPr>
      </w:pPr>
      <w:r>
        <w:rPr>
          <w:rFonts w:hint="eastAsia" w:ascii="宋体" w:hAnsi="宋体" w:eastAsia="宋体" w:cs="宋体"/>
          <w:color w:val="000000"/>
          <w:sz w:val="24"/>
          <w:szCs w:val="24"/>
        </w:rPr>
        <w:t>指标1：资金使用覆盖率，预期指标值：=100%</w:t>
      </w:r>
    </w:p>
    <w:p w14:paraId="1CE0129C">
      <w:pPr>
        <w:pStyle w:val="47"/>
        <w:pageBreakBefore w:val="0"/>
        <w:widowControl w:val="0"/>
        <w:kinsoku/>
        <w:wordWrap/>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color w:val="000000"/>
          <w:sz w:val="24"/>
          <w:szCs w:val="24"/>
        </w:rPr>
      </w:pPr>
      <w:r>
        <w:rPr>
          <w:rFonts w:hint="eastAsia" w:ascii="宋体" w:hAnsi="宋体" w:eastAsia="宋体" w:cs="宋体"/>
          <w:color w:val="000000"/>
          <w:sz w:val="24"/>
          <w:szCs w:val="24"/>
        </w:rPr>
        <w:t>指标2：资金使用合规率，预期指标值：&gt;100%</w:t>
      </w:r>
    </w:p>
    <w:p w14:paraId="2F685AAE">
      <w:pPr>
        <w:pStyle w:val="47"/>
        <w:pageBreakBefore w:val="0"/>
        <w:widowControl w:val="0"/>
        <w:numPr>
          <w:ilvl w:val="0"/>
          <w:numId w:val="0"/>
        </w:numPr>
        <w:kinsoku/>
        <w:wordWrap/>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color w:val="000000"/>
          <w:sz w:val="24"/>
          <w:szCs w:val="24"/>
          <w:lang w:val="en-US" w:eastAsia="zh-CN"/>
        </w:rPr>
      </w:pPr>
      <w:r>
        <w:rPr>
          <w:rFonts w:hint="eastAsia" w:ascii="宋体" w:hAnsi="宋体" w:eastAsia="宋体" w:cs="宋体"/>
          <w:color w:val="000000"/>
          <w:kern w:val="0"/>
          <w:sz w:val="24"/>
          <w:szCs w:val="24"/>
          <w:lang w:val="en-US" w:eastAsia="zh-CN" w:bidi="ar-SA"/>
        </w:rPr>
        <w:t>3）</w:t>
      </w:r>
      <w:r>
        <w:rPr>
          <w:rFonts w:hint="eastAsia" w:ascii="宋体" w:hAnsi="宋体" w:eastAsia="宋体" w:cs="宋体"/>
          <w:color w:val="000000"/>
          <w:sz w:val="24"/>
          <w:szCs w:val="24"/>
          <w:lang w:val="en-US" w:eastAsia="zh-CN"/>
        </w:rPr>
        <w:t>时效指标</w:t>
      </w:r>
    </w:p>
    <w:p w14:paraId="62B968E6">
      <w:pPr>
        <w:pStyle w:val="47"/>
        <w:pageBreakBefore w:val="0"/>
        <w:widowControl w:val="0"/>
        <w:numPr>
          <w:ilvl w:val="0"/>
          <w:numId w:val="0"/>
        </w:numPr>
        <w:kinsoku/>
        <w:wordWrap/>
        <w:topLinePunct w:val="0"/>
        <w:autoSpaceDE/>
        <w:autoSpaceDN/>
        <w:bidi w:val="0"/>
        <w:adjustRightInd/>
        <w:snapToGrid/>
        <w:spacing w:line="360" w:lineRule="auto"/>
        <w:ind w:leftChars="0" w:firstLine="480" w:firstLineChars="200"/>
        <w:textAlignment w:val="auto"/>
        <w:outlineLvl w:val="2"/>
        <w:rPr>
          <w:rFonts w:hint="eastAsia" w:ascii="宋体" w:hAnsi="宋体" w:eastAsia="宋体" w:cs="宋体"/>
          <w:color w:val="000000"/>
          <w:sz w:val="24"/>
          <w:szCs w:val="24"/>
          <w:lang w:val="en-US" w:eastAsia="zh-CN"/>
        </w:rPr>
      </w:pPr>
      <w:r>
        <w:rPr>
          <w:rFonts w:hint="eastAsia" w:ascii="宋体" w:hAnsi="宋体" w:eastAsia="宋体" w:cs="宋体"/>
          <w:color w:val="000000"/>
          <w:sz w:val="24"/>
          <w:szCs w:val="24"/>
          <w:lang w:val="en-US" w:eastAsia="zh-CN"/>
        </w:rPr>
        <w:t>指标1：项目开始时间，预期指标值：2024年1月</w:t>
      </w:r>
    </w:p>
    <w:p w14:paraId="5D873738">
      <w:pPr>
        <w:pStyle w:val="47"/>
        <w:pageBreakBefore w:val="0"/>
        <w:widowControl w:val="0"/>
        <w:numPr>
          <w:ilvl w:val="0"/>
          <w:numId w:val="0"/>
        </w:numPr>
        <w:kinsoku/>
        <w:wordWrap/>
        <w:topLinePunct w:val="0"/>
        <w:autoSpaceDE/>
        <w:autoSpaceDN/>
        <w:bidi w:val="0"/>
        <w:adjustRightInd/>
        <w:snapToGrid/>
        <w:spacing w:line="360" w:lineRule="auto"/>
        <w:ind w:leftChars="0" w:firstLine="480" w:firstLineChars="200"/>
        <w:textAlignment w:val="auto"/>
        <w:outlineLvl w:val="2"/>
        <w:rPr>
          <w:rFonts w:hint="eastAsia" w:ascii="宋体" w:hAnsi="宋体" w:eastAsia="宋体" w:cs="宋体"/>
          <w:color w:val="000000"/>
          <w:sz w:val="24"/>
          <w:szCs w:val="24"/>
          <w:lang w:val="en-US" w:eastAsia="zh-CN"/>
        </w:rPr>
      </w:pPr>
      <w:r>
        <w:rPr>
          <w:rFonts w:hint="eastAsia" w:ascii="宋体" w:hAnsi="宋体" w:eastAsia="宋体" w:cs="宋体"/>
          <w:color w:val="000000"/>
          <w:sz w:val="24"/>
          <w:szCs w:val="24"/>
          <w:lang w:val="en-US" w:eastAsia="zh-CN"/>
        </w:rPr>
        <w:t>指标2：项目完成时间，预期指标值：2024年12月</w:t>
      </w:r>
    </w:p>
    <w:p w14:paraId="54613E9E">
      <w:pPr>
        <w:pStyle w:val="47"/>
        <w:pageBreakBefore w:val="0"/>
        <w:widowControl w:val="0"/>
        <w:numPr>
          <w:ilvl w:val="0"/>
          <w:numId w:val="0"/>
        </w:numPr>
        <w:kinsoku/>
        <w:wordWrap/>
        <w:topLinePunct w:val="0"/>
        <w:autoSpaceDE/>
        <w:autoSpaceDN/>
        <w:bidi w:val="0"/>
        <w:adjustRightInd/>
        <w:snapToGrid/>
        <w:spacing w:line="360" w:lineRule="auto"/>
        <w:ind w:leftChars="0" w:firstLine="480" w:firstLineChars="200"/>
        <w:textAlignment w:val="auto"/>
        <w:outlineLvl w:val="2"/>
        <w:rPr>
          <w:rFonts w:hint="eastAsia" w:ascii="宋体" w:hAnsi="宋体" w:eastAsia="宋体" w:cs="宋体"/>
          <w:color w:val="000000"/>
          <w:sz w:val="24"/>
          <w:szCs w:val="24"/>
          <w:lang w:val="en-US" w:eastAsia="zh-CN"/>
        </w:rPr>
      </w:pPr>
      <w:r>
        <w:rPr>
          <w:rFonts w:hint="eastAsia" w:ascii="宋体" w:hAnsi="宋体" w:eastAsia="宋体" w:cs="宋体"/>
          <w:color w:val="000000"/>
          <w:sz w:val="24"/>
          <w:szCs w:val="24"/>
          <w:lang w:val="en-US" w:eastAsia="zh-CN"/>
        </w:rPr>
        <w:t>4）成本指标</w:t>
      </w:r>
    </w:p>
    <w:p w14:paraId="02FA9EE8">
      <w:pPr>
        <w:pStyle w:val="47"/>
        <w:pageBreakBefore w:val="0"/>
        <w:widowControl w:val="0"/>
        <w:numPr>
          <w:ilvl w:val="0"/>
          <w:numId w:val="0"/>
        </w:numPr>
        <w:kinsoku/>
        <w:wordWrap/>
        <w:topLinePunct w:val="0"/>
        <w:autoSpaceDE/>
        <w:autoSpaceDN/>
        <w:bidi w:val="0"/>
        <w:adjustRightInd/>
        <w:snapToGrid/>
        <w:spacing w:line="360" w:lineRule="auto"/>
        <w:ind w:leftChars="0" w:firstLine="480" w:firstLineChars="200"/>
        <w:textAlignment w:val="auto"/>
        <w:outlineLvl w:val="2"/>
        <w:rPr>
          <w:rFonts w:hint="eastAsia" w:ascii="宋体" w:hAnsi="宋体" w:eastAsia="宋体" w:cs="宋体"/>
          <w:color w:val="000000"/>
          <w:sz w:val="24"/>
          <w:szCs w:val="24"/>
          <w:lang w:val="en-US" w:eastAsia="zh-CN"/>
        </w:rPr>
      </w:pPr>
      <w:r>
        <w:rPr>
          <w:rFonts w:hint="eastAsia" w:ascii="宋体" w:hAnsi="宋体" w:eastAsia="宋体" w:cs="宋体"/>
          <w:color w:val="000000"/>
          <w:sz w:val="24"/>
          <w:szCs w:val="24"/>
          <w:lang w:val="en-US" w:eastAsia="zh-CN"/>
        </w:rPr>
        <w:t>指标1：公用经费，预期指标值：≤187.21万元</w:t>
      </w:r>
    </w:p>
    <w:p w14:paraId="384A8746">
      <w:pPr>
        <w:pStyle w:val="47"/>
        <w:pageBreakBefore w:val="0"/>
        <w:widowControl w:val="0"/>
        <w:numPr>
          <w:ilvl w:val="0"/>
          <w:numId w:val="0"/>
        </w:numPr>
        <w:kinsoku/>
        <w:wordWrap/>
        <w:topLinePunct w:val="0"/>
        <w:autoSpaceDE/>
        <w:autoSpaceDN/>
        <w:bidi w:val="0"/>
        <w:adjustRightInd/>
        <w:snapToGrid/>
        <w:spacing w:line="360" w:lineRule="auto"/>
        <w:ind w:leftChars="0" w:firstLine="480" w:firstLineChars="200"/>
        <w:textAlignment w:val="auto"/>
        <w:outlineLvl w:val="2"/>
        <w:rPr>
          <w:rFonts w:hint="eastAsia" w:ascii="宋体" w:hAnsi="宋体" w:eastAsia="宋体" w:cs="宋体"/>
          <w:color w:val="000000"/>
          <w:sz w:val="24"/>
          <w:szCs w:val="24"/>
          <w:lang w:val="en-US" w:eastAsia="zh-CN"/>
        </w:rPr>
      </w:pPr>
      <w:r>
        <w:rPr>
          <w:rFonts w:hint="eastAsia" w:ascii="宋体" w:hAnsi="宋体" w:eastAsia="宋体" w:cs="宋体"/>
          <w:color w:val="000000"/>
          <w:sz w:val="24"/>
          <w:szCs w:val="24"/>
          <w:lang w:val="en-US" w:eastAsia="zh-CN"/>
        </w:rPr>
        <w:t>指标2：非寄宿生生活补助，预期指标值：≤0万元</w:t>
      </w:r>
    </w:p>
    <w:p w14:paraId="4143CC37">
      <w:pPr>
        <w:pStyle w:val="47"/>
        <w:pageBreakBefore w:val="0"/>
        <w:widowControl w:val="0"/>
        <w:numPr>
          <w:ilvl w:val="0"/>
          <w:numId w:val="0"/>
        </w:numPr>
        <w:kinsoku/>
        <w:wordWrap/>
        <w:topLinePunct w:val="0"/>
        <w:autoSpaceDE/>
        <w:autoSpaceDN/>
        <w:bidi w:val="0"/>
        <w:adjustRightInd/>
        <w:snapToGrid/>
        <w:spacing w:line="360" w:lineRule="auto"/>
        <w:ind w:leftChars="0" w:firstLine="480" w:firstLineChars="200"/>
        <w:textAlignment w:val="auto"/>
        <w:outlineLvl w:val="2"/>
        <w:rPr>
          <w:rFonts w:hint="eastAsia" w:ascii="宋体" w:hAnsi="宋体" w:eastAsia="宋体" w:cs="宋体"/>
          <w:color w:val="000000"/>
          <w:sz w:val="24"/>
          <w:szCs w:val="24"/>
          <w:lang w:val="en-US" w:eastAsia="zh-CN"/>
        </w:rPr>
      </w:pPr>
      <w:r>
        <w:rPr>
          <w:rFonts w:hint="eastAsia" w:ascii="宋体" w:hAnsi="宋体" w:eastAsia="宋体" w:cs="宋体"/>
          <w:color w:val="000000"/>
          <w:sz w:val="24"/>
          <w:szCs w:val="24"/>
          <w:lang w:val="en-US" w:eastAsia="zh-CN"/>
        </w:rPr>
        <w:t>指标3：寄宿生生活补助，预期指标值：≤115.39万元</w:t>
      </w:r>
    </w:p>
    <w:p w14:paraId="08D59893">
      <w:pPr>
        <w:pStyle w:val="47"/>
        <w:pageBreakBefore w:val="0"/>
        <w:widowControl w:val="0"/>
        <w:numPr>
          <w:ilvl w:val="0"/>
          <w:numId w:val="0"/>
        </w:numPr>
        <w:kinsoku/>
        <w:wordWrap/>
        <w:topLinePunct w:val="0"/>
        <w:autoSpaceDE/>
        <w:autoSpaceDN/>
        <w:bidi w:val="0"/>
        <w:adjustRightInd/>
        <w:snapToGrid/>
        <w:spacing w:line="360" w:lineRule="auto"/>
        <w:ind w:leftChars="0" w:firstLine="480" w:firstLineChars="200"/>
        <w:textAlignment w:val="auto"/>
        <w:outlineLvl w:val="2"/>
        <w:rPr>
          <w:rFonts w:hint="eastAsia" w:ascii="宋体" w:hAnsi="宋体" w:eastAsia="宋体" w:cs="宋体"/>
          <w:color w:val="000000"/>
          <w:sz w:val="24"/>
          <w:szCs w:val="24"/>
          <w:lang w:val="en-US" w:eastAsia="zh-CN"/>
        </w:rPr>
      </w:pPr>
      <w:r>
        <w:rPr>
          <w:rFonts w:hint="eastAsia" w:ascii="宋体" w:hAnsi="宋体" w:eastAsia="宋体" w:cs="宋体"/>
          <w:color w:val="000000"/>
          <w:sz w:val="24"/>
          <w:szCs w:val="24"/>
          <w:lang w:val="en-US" w:eastAsia="zh-CN"/>
        </w:rPr>
        <w:t>指标4：营养改善，预期指标值：≤176.73万元</w:t>
      </w:r>
    </w:p>
    <w:p w14:paraId="48700504">
      <w:pPr>
        <w:pStyle w:val="47"/>
        <w:pageBreakBefore w:val="0"/>
        <w:widowControl w:val="0"/>
        <w:numPr>
          <w:ilvl w:val="0"/>
          <w:numId w:val="3"/>
        </w:numPr>
        <w:kinsoku/>
        <w:wordWrap/>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color w:val="000000"/>
          <w:sz w:val="24"/>
          <w:szCs w:val="24"/>
          <w:lang w:val="en-US" w:eastAsia="zh-CN"/>
        </w:rPr>
      </w:pPr>
      <w:r>
        <w:rPr>
          <w:rFonts w:hint="eastAsia" w:ascii="宋体" w:hAnsi="宋体" w:eastAsia="宋体" w:cs="宋体"/>
          <w:color w:val="000000"/>
          <w:sz w:val="24"/>
          <w:szCs w:val="24"/>
          <w:lang w:val="en-US" w:eastAsia="zh-CN"/>
        </w:rPr>
        <w:t>效益指标</w:t>
      </w:r>
    </w:p>
    <w:p w14:paraId="57086B32">
      <w:pPr>
        <w:pStyle w:val="47"/>
        <w:pageBreakBefore w:val="0"/>
        <w:widowControl w:val="0"/>
        <w:numPr>
          <w:ilvl w:val="0"/>
          <w:numId w:val="4"/>
        </w:numPr>
        <w:kinsoku/>
        <w:wordWrap/>
        <w:topLinePunct w:val="0"/>
        <w:autoSpaceDE/>
        <w:autoSpaceDN/>
        <w:bidi w:val="0"/>
        <w:adjustRightInd/>
        <w:snapToGrid/>
        <w:spacing w:line="360" w:lineRule="auto"/>
        <w:ind w:leftChars="0" w:firstLine="480" w:firstLineChars="200"/>
        <w:textAlignment w:val="auto"/>
        <w:outlineLvl w:val="2"/>
        <w:rPr>
          <w:rFonts w:hint="eastAsia" w:ascii="宋体" w:hAnsi="宋体" w:eastAsia="宋体" w:cs="宋体"/>
          <w:color w:val="000000"/>
          <w:sz w:val="24"/>
          <w:szCs w:val="24"/>
          <w:lang w:val="en-US" w:eastAsia="zh-CN"/>
        </w:rPr>
      </w:pPr>
      <w:r>
        <w:rPr>
          <w:rFonts w:hint="eastAsia" w:ascii="宋体" w:hAnsi="宋体" w:eastAsia="宋体" w:cs="宋体"/>
          <w:color w:val="000000"/>
          <w:sz w:val="24"/>
          <w:szCs w:val="24"/>
          <w:lang w:val="en-US" w:eastAsia="zh-CN"/>
        </w:rPr>
        <w:t>经济效益指标</w:t>
      </w:r>
    </w:p>
    <w:p w14:paraId="5DA8F75C">
      <w:pPr>
        <w:pStyle w:val="47"/>
        <w:pageBreakBefore w:val="0"/>
        <w:widowControl w:val="0"/>
        <w:numPr>
          <w:ilvl w:val="0"/>
          <w:numId w:val="0"/>
        </w:numPr>
        <w:kinsoku/>
        <w:wordWrap/>
        <w:topLinePunct w:val="0"/>
        <w:autoSpaceDE/>
        <w:autoSpaceDN/>
        <w:bidi w:val="0"/>
        <w:adjustRightInd/>
        <w:snapToGrid/>
        <w:spacing w:line="360" w:lineRule="auto"/>
        <w:ind w:leftChars="0" w:firstLine="480" w:firstLineChars="200"/>
        <w:textAlignment w:val="auto"/>
        <w:outlineLvl w:val="2"/>
        <w:rPr>
          <w:rFonts w:hint="eastAsia" w:ascii="宋体" w:hAnsi="宋体" w:eastAsia="宋体" w:cs="宋体"/>
          <w:color w:val="000000"/>
          <w:sz w:val="24"/>
          <w:szCs w:val="24"/>
          <w:lang w:val="en-US" w:eastAsia="zh-CN"/>
        </w:rPr>
      </w:pPr>
      <w:r>
        <w:rPr>
          <w:rFonts w:hint="eastAsia" w:ascii="宋体" w:hAnsi="宋体" w:eastAsia="宋体" w:cs="宋体"/>
          <w:color w:val="000000"/>
          <w:sz w:val="24"/>
          <w:szCs w:val="24"/>
          <w:lang w:val="en-US" w:eastAsia="zh-CN"/>
        </w:rPr>
        <w:t>该项目不涉及经济效益指标。</w:t>
      </w:r>
    </w:p>
    <w:p w14:paraId="75CDAC57">
      <w:pPr>
        <w:pStyle w:val="47"/>
        <w:pageBreakBefore w:val="0"/>
        <w:widowControl w:val="0"/>
        <w:numPr>
          <w:ilvl w:val="0"/>
          <w:numId w:val="4"/>
        </w:numPr>
        <w:kinsoku/>
        <w:wordWrap/>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color w:val="000000"/>
          <w:sz w:val="24"/>
          <w:szCs w:val="24"/>
          <w:lang w:val="en-US" w:eastAsia="zh-CN"/>
        </w:rPr>
      </w:pPr>
      <w:r>
        <w:rPr>
          <w:rFonts w:hint="eastAsia" w:ascii="宋体" w:hAnsi="宋体" w:eastAsia="宋体" w:cs="宋体"/>
          <w:color w:val="000000"/>
          <w:sz w:val="24"/>
          <w:szCs w:val="24"/>
          <w:lang w:val="en-US" w:eastAsia="zh-CN"/>
        </w:rPr>
        <w:t>生态效益指标</w:t>
      </w:r>
    </w:p>
    <w:p w14:paraId="2D1EFE20">
      <w:pPr>
        <w:pStyle w:val="47"/>
        <w:pageBreakBefore w:val="0"/>
        <w:widowControl w:val="0"/>
        <w:numPr>
          <w:ilvl w:val="0"/>
          <w:numId w:val="0"/>
        </w:numPr>
        <w:kinsoku/>
        <w:wordWrap/>
        <w:topLinePunct w:val="0"/>
        <w:autoSpaceDE/>
        <w:autoSpaceDN/>
        <w:bidi w:val="0"/>
        <w:adjustRightInd/>
        <w:snapToGrid/>
        <w:spacing w:line="360" w:lineRule="auto"/>
        <w:ind w:leftChars="0" w:firstLine="480" w:firstLineChars="200"/>
        <w:textAlignment w:val="auto"/>
        <w:outlineLvl w:val="2"/>
        <w:rPr>
          <w:rFonts w:hint="eastAsia" w:ascii="宋体" w:hAnsi="宋体" w:eastAsia="宋体" w:cs="宋体"/>
          <w:color w:val="000000"/>
          <w:sz w:val="24"/>
          <w:szCs w:val="24"/>
          <w:lang w:val="en-US" w:eastAsia="zh-CN"/>
        </w:rPr>
      </w:pPr>
      <w:r>
        <w:rPr>
          <w:rFonts w:hint="eastAsia" w:ascii="宋体" w:hAnsi="宋体" w:eastAsia="宋体" w:cs="宋体"/>
          <w:color w:val="000000"/>
          <w:sz w:val="24"/>
          <w:szCs w:val="24"/>
          <w:lang w:val="en-US" w:eastAsia="zh-CN"/>
        </w:rPr>
        <w:t>该项目不涉及生态效益指标。</w:t>
      </w:r>
    </w:p>
    <w:p w14:paraId="705E9F39">
      <w:pPr>
        <w:pStyle w:val="47"/>
        <w:pageBreakBefore w:val="0"/>
        <w:widowControl w:val="0"/>
        <w:numPr>
          <w:ilvl w:val="0"/>
          <w:numId w:val="4"/>
        </w:numPr>
        <w:kinsoku/>
        <w:wordWrap/>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color w:val="000000"/>
          <w:sz w:val="24"/>
          <w:szCs w:val="24"/>
          <w:lang w:val="en-US" w:eastAsia="zh-CN"/>
        </w:rPr>
      </w:pPr>
      <w:r>
        <w:rPr>
          <w:rFonts w:hint="eastAsia" w:ascii="宋体" w:hAnsi="宋体" w:eastAsia="宋体" w:cs="宋体"/>
          <w:color w:val="000000"/>
          <w:sz w:val="24"/>
          <w:szCs w:val="24"/>
          <w:lang w:val="en-US" w:eastAsia="zh-CN"/>
        </w:rPr>
        <w:t>社会效益指标</w:t>
      </w:r>
    </w:p>
    <w:p w14:paraId="02D54418">
      <w:pPr>
        <w:pStyle w:val="47"/>
        <w:pageBreakBefore w:val="0"/>
        <w:widowControl w:val="0"/>
        <w:numPr>
          <w:ilvl w:val="0"/>
          <w:numId w:val="0"/>
        </w:numPr>
        <w:kinsoku/>
        <w:wordWrap/>
        <w:topLinePunct w:val="0"/>
        <w:autoSpaceDE/>
        <w:autoSpaceDN/>
        <w:bidi w:val="0"/>
        <w:adjustRightInd/>
        <w:snapToGrid/>
        <w:spacing w:line="360" w:lineRule="auto"/>
        <w:ind w:leftChars="0" w:firstLine="480" w:firstLineChars="200"/>
        <w:textAlignment w:val="auto"/>
        <w:outlineLvl w:val="2"/>
        <w:rPr>
          <w:rFonts w:hint="eastAsia" w:ascii="宋体" w:hAnsi="宋体" w:eastAsia="宋体" w:cs="宋体"/>
          <w:color w:val="000000"/>
          <w:sz w:val="24"/>
          <w:szCs w:val="24"/>
          <w:lang w:val="en-US" w:eastAsia="zh-CN"/>
        </w:rPr>
      </w:pPr>
      <w:r>
        <w:rPr>
          <w:rFonts w:hint="eastAsia" w:ascii="宋体" w:hAnsi="宋体" w:eastAsia="宋体" w:cs="宋体"/>
          <w:color w:val="000000"/>
          <w:sz w:val="24"/>
          <w:szCs w:val="24"/>
          <w:lang w:val="en-US" w:eastAsia="zh-CN"/>
        </w:rPr>
        <w:t>指标1：提高学校教育教学质量，学校环境质量，预期指标值：有效提升</w:t>
      </w:r>
    </w:p>
    <w:p w14:paraId="7D0C6823">
      <w:pPr>
        <w:pStyle w:val="47"/>
        <w:pageBreakBefore w:val="0"/>
        <w:widowControl w:val="0"/>
        <w:numPr>
          <w:ilvl w:val="0"/>
          <w:numId w:val="3"/>
        </w:numPr>
        <w:kinsoku/>
        <w:wordWrap/>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color w:val="000000"/>
          <w:sz w:val="24"/>
          <w:szCs w:val="24"/>
          <w:lang w:val="en-US" w:eastAsia="zh-CN"/>
        </w:rPr>
      </w:pPr>
      <w:r>
        <w:rPr>
          <w:rFonts w:hint="eastAsia" w:ascii="宋体" w:hAnsi="宋体" w:eastAsia="宋体" w:cs="宋体"/>
          <w:color w:val="000000"/>
          <w:sz w:val="24"/>
          <w:szCs w:val="24"/>
          <w:lang w:val="en-US" w:eastAsia="zh-CN"/>
        </w:rPr>
        <w:t>满意度指标</w:t>
      </w:r>
    </w:p>
    <w:p w14:paraId="70F68BF2">
      <w:pPr>
        <w:pStyle w:val="47"/>
        <w:pageBreakBefore w:val="0"/>
        <w:widowControl w:val="0"/>
        <w:numPr>
          <w:ilvl w:val="0"/>
          <w:numId w:val="5"/>
        </w:numPr>
        <w:kinsoku/>
        <w:wordWrap/>
        <w:topLinePunct w:val="0"/>
        <w:autoSpaceDE/>
        <w:autoSpaceDN/>
        <w:bidi w:val="0"/>
        <w:adjustRightInd/>
        <w:snapToGrid/>
        <w:spacing w:line="360" w:lineRule="auto"/>
        <w:ind w:leftChars="0" w:firstLine="480" w:firstLineChars="200"/>
        <w:textAlignment w:val="auto"/>
        <w:outlineLvl w:val="2"/>
        <w:rPr>
          <w:rFonts w:hint="eastAsia" w:ascii="宋体" w:hAnsi="宋体" w:eastAsia="宋体" w:cs="宋体"/>
          <w:color w:val="000000"/>
          <w:sz w:val="24"/>
          <w:szCs w:val="24"/>
          <w:lang w:val="en-US" w:eastAsia="zh-CN"/>
        </w:rPr>
      </w:pPr>
      <w:r>
        <w:rPr>
          <w:rFonts w:hint="eastAsia" w:ascii="宋体" w:hAnsi="宋体" w:eastAsia="宋体" w:cs="宋体"/>
          <w:color w:val="000000"/>
          <w:sz w:val="24"/>
          <w:szCs w:val="24"/>
          <w:lang w:val="en-US" w:eastAsia="zh-CN"/>
        </w:rPr>
        <w:t>满意度指标</w:t>
      </w:r>
    </w:p>
    <w:p w14:paraId="561B18A0">
      <w:pPr>
        <w:pStyle w:val="47"/>
        <w:pageBreakBefore w:val="0"/>
        <w:widowControl w:val="0"/>
        <w:numPr>
          <w:ilvl w:val="0"/>
          <w:numId w:val="0"/>
        </w:numPr>
        <w:kinsoku/>
        <w:wordWrap/>
        <w:topLinePunct w:val="0"/>
        <w:autoSpaceDE/>
        <w:autoSpaceDN/>
        <w:bidi w:val="0"/>
        <w:adjustRightInd/>
        <w:snapToGrid/>
        <w:spacing w:line="360" w:lineRule="auto"/>
        <w:ind w:left="560" w:leftChars="200"/>
        <w:textAlignment w:val="auto"/>
        <w:outlineLvl w:val="2"/>
        <w:rPr>
          <w:rFonts w:hint="eastAsia" w:ascii="宋体" w:hAnsi="宋体" w:eastAsia="宋体" w:cs="宋体"/>
          <w:color w:val="000000"/>
          <w:sz w:val="24"/>
          <w:szCs w:val="24"/>
        </w:rPr>
      </w:pPr>
      <w:r>
        <w:rPr>
          <w:rFonts w:hint="eastAsia" w:ascii="宋体" w:hAnsi="宋体" w:eastAsia="宋体" w:cs="宋体"/>
          <w:b w:val="0"/>
          <w:bCs w:val="0"/>
          <w:color w:val="000000"/>
          <w:sz w:val="24"/>
          <w:szCs w:val="24"/>
          <w:lang w:val="en-US" w:eastAsia="zh-CN"/>
        </w:rPr>
        <w:t>指标1：受益学生满意度，预期指标值：≥95%；</w:t>
      </w:r>
    </w:p>
    <w:p w14:paraId="4DEDEDC5">
      <w:pPr>
        <w:pStyle w:val="4"/>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color w:val="000000"/>
          <w:sz w:val="24"/>
          <w:szCs w:val="24"/>
        </w:rPr>
      </w:pPr>
    </w:p>
    <w:p w14:paraId="34107283">
      <w:pPr>
        <w:pStyle w:val="4"/>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二、绩效评价工作开展情况</w:t>
      </w:r>
      <w:bookmarkEnd w:id="7"/>
    </w:p>
    <w:p w14:paraId="4919151B">
      <w:pPr>
        <w:pStyle w:val="50"/>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color w:val="000000"/>
          <w:sz w:val="24"/>
          <w:szCs w:val="24"/>
        </w:rPr>
      </w:pPr>
      <w:bookmarkStart w:id="8" w:name="_Toc68364661"/>
      <w:r>
        <w:rPr>
          <w:rFonts w:hint="eastAsia" w:ascii="宋体" w:hAnsi="宋体" w:eastAsia="宋体" w:cs="宋体"/>
          <w:color w:val="000000"/>
          <w:sz w:val="24"/>
          <w:szCs w:val="24"/>
        </w:rPr>
        <w:t>（一）绩效评价目的、对象和范围</w:t>
      </w:r>
      <w:bookmarkEnd w:id="8"/>
    </w:p>
    <w:p w14:paraId="02B7FD0A">
      <w:pPr>
        <w:pStyle w:val="47"/>
        <w:pageBreakBefore w:val="0"/>
        <w:widowControl w:val="0"/>
        <w:kinsoku/>
        <w:wordWrap/>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000000"/>
          <w:sz w:val="24"/>
          <w:szCs w:val="24"/>
        </w:rPr>
      </w:pPr>
      <w:r>
        <w:rPr>
          <w:rFonts w:hint="eastAsia" w:ascii="宋体" w:hAnsi="宋体" w:eastAsia="宋体" w:cs="宋体"/>
          <w:b/>
          <w:bCs/>
          <w:color w:val="000000"/>
          <w:sz w:val="24"/>
          <w:szCs w:val="24"/>
        </w:rPr>
        <w:t>1. 绩效评价目的</w:t>
      </w:r>
    </w:p>
    <w:p w14:paraId="629344F9">
      <w:pPr>
        <w:pStyle w:val="47"/>
        <w:pageBreakBefore w:val="0"/>
        <w:widowControl w:val="0"/>
        <w:kinsoku/>
        <w:wordWrap/>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本次绩效评价遵循财政部《项目支出绩效评价管理办法》（财预〔2020〕10号）《自治区财政支出绩效评价管理暂行办法》（新财预〔2018〕189号）及自治区财政厅《关于印发〈自治区项目支出绩效目标设置指引〉的通知》（新财预〔2022〕42号）等相关政策文件与规定，对中央直达资金-和地财教[2023]60号：2024年城乡义务教育补助经费项目开展本次部门项目支出绩效评价工作。全面了解中央直达资金-和地财教[2023]60号：2024年城乡义务教育补助经费项目预算编制合理性、资金使用合规性、项目管理的规范性、项目目标的实现情况、服务对象的满意度等项目实施前期、过程及实施效果情况。</w:t>
      </w:r>
    </w:p>
    <w:p w14:paraId="74084BB7">
      <w:pPr>
        <w:pStyle w:val="47"/>
        <w:pageBreakBefore w:val="0"/>
        <w:widowControl w:val="0"/>
        <w:kinsoku/>
        <w:wordWrap/>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通过部门项目支出绩效评价，进一步严格落实《中华人民共和国预算法》以及《中共中央国务院关于全面实施预算绩效管理的意见》（中发〔2018〕34号）《自治区党委自治区人民政府关于全面实施预算绩效管理的实施意见》（新党发〔2018〕30号）政策文件的指示精神，有助于建立健全“花钱必问效、无效必问责”的绩效预算管理机制</w:t>
      </w:r>
    </w:p>
    <w:p w14:paraId="7926147F">
      <w:pPr>
        <w:pStyle w:val="47"/>
        <w:pageBreakBefore w:val="0"/>
        <w:widowControl w:val="0"/>
        <w:kinsoku/>
        <w:wordWrap/>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通过部门项目支出绩效评价，进一步做实绩效目标，将绩效指标细化为数量指标、质量指标、时效指标、成本指标、经济效益指标、社会效益指标、服务对象满意度指标等内容，保证项目绩效指标设置科学、规范、合理、可衡量。</w:t>
      </w:r>
    </w:p>
    <w:p w14:paraId="185814BF">
      <w:pPr>
        <w:pStyle w:val="47"/>
        <w:pageBreakBefore w:val="0"/>
        <w:widowControl w:val="0"/>
        <w:kinsoku/>
        <w:wordWrap/>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b/>
          <w:bCs/>
          <w:color w:val="000000"/>
          <w:sz w:val="24"/>
          <w:szCs w:val="24"/>
        </w:rPr>
      </w:pPr>
      <w:r>
        <w:rPr>
          <w:rFonts w:hint="eastAsia" w:ascii="宋体" w:hAnsi="宋体" w:eastAsia="宋体" w:cs="宋体"/>
          <w:color w:val="000000"/>
          <w:sz w:val="24"/>
          <w:szCs w:val="24"/>
        </w:rPr>
        <w:t>同时，通过部门项目支出绩效评价，可促进本单位发现预算项目管理中的问题、总结经验、改进工作，以提高财政预算资金使用的效率及效益。</w:t>
      </w:r>
    </w:p>
    <w:p w14:paraId="769FC1B5">
      <w:pPr>
        <w:pStyle w:val="47"/>
        <w:pageBreakBefore w:val="0"/>
        <w:widowControl w:val="0"/>
        <w:kinsoku/>
        <w:wordWrap/>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000000"/>
          <w:sz w:val="24"/>
          <w:szCs w:val="24"/>
        </w:rPr>
      </w:pPr>
      <w:r>
        <w:rPr>
          <w:rFonts w:hint="eastAsia" w:ascii="宋体" w:hAnsi="宋体" w:eastAsia="宋体" w:cs="宋体"/>
          <w:b/>
          <w:bCs/>
          <w:color w:val="000000"/>
          <w:sz w:val="24"/>
          <w:szCs w:val="24"/>
        </w:rPr>
        <w:t>2. 绩效评价对象</w:t>
      </w:r>
    </w:p>
    <w:p w14:paraId="22D55B96">
      <w:pPr>
        <w:pStyle w:val="47"/>
        <w:pageBreakBefore w:val="0"/>
        <w:widowControl w:val="0"/>
        <w:kinsoku/>
        <w:wordWrap/>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此次绩效评价遵循财政部《项目支出绩效评价管理办法》（财预〔2020〕10号）和《自治区财政支出绩效评价管理暂行办法》（新财预〔2018〕189号）等政策文件规定，以中央直达资金-和地财教[2023]60号：2024年城乡义务教育补助经费项目为评价对象，对该项目决策、项目资金管理、项目实施过程管理，以及项目实施所带来的产出和效果等内容，进行综合评价。</w:t>
      </w:r>
    </w:p>
    <w:p w14:paraId="1A6D2396">
      <w:pPr>
        <w:pStyle w:val="47"/>
        <w:pageBreakBefore w:val="0"/>
        <w:widowControl w:val="0"/>
        <w:kinsoku/>
        <w:wordWrap/>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b/>
          <w:bCs/>
          <w:color w:val="000000"/>
          <w:sz w:val="24"/>
          <w:szCs w:val="24"/>
        </w:rPr>
      </w:pPr>
      <w:r>
        <w:rPr>
          <w:rFonts w:hint="eastAsia" w:ascii="宋体" w:hAnsi="宋体" w:eastAsia="宋体" w:cs="宋体"/>
          <w:b/>
          <w:bCs/>
          <w:color w:val="000000"/>
          <w:sz w:val="24"/>
          <w:szCs w:val="24"/>
        </w:rPr>
        <w:t>3. 绩效评价范围</w:t>
      </w:r>
    </w:p>
    <w:p w14:paraId="04B8BA7B">
      <w:pPr>
        <w:pStyle w:val="47"/>
        <w:pageBreakBefore w:val="0"/>
        <w:widowControl w:val="0"/>
        <w:kinsoku/>
        <w:wordWrap/>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本次绩效评价主要围绕中央直达资金-和地财教[2023]60号：2024年城乡义务教育补助经费决策、项目资金管理、项目实施过程管理，以及项目实施所带来的产出和效果等内容，进行综合评价。范围涵盖项目总体绩效目标、各项绩效指标完成情况以及预算执行情况</w:t>
      </w:r>
      <w:bookmarkStart w:id="9" w:name="_Toc68364662"/>
      <w:r>
        <w:rPr>
          <w:rFonts w:hint="eastAsia" w:ascii="宋体" w:hAnsi="宋体" w:eastAsia="宋体" w:cs="宋体"/>
          <w:color w:val="000000"/>
          <w:sz w:val="24"/>
          <w:szCs w:val="24"/>
        </w:rPr>
        <w:t>，覆盖预算资金支出项目的所有内容进行评价。</w:t>
      </w:r>
    </w:p>
    <w:p w14:paraId="680E6329">
      <w:pPr>
        <w:pStyle w:val="50"/>
        <w:pageBreakBefore w:val="0"/>
        <w:widowControl w:val="0"/>
        <w:kinsoku/>
        <w:wordWrap/>
        <w:topLinePunct w:val="0"/>
        <w:autoSpaceDE/>
        <w:autoSpaceDN/>
        <w:bidi w:val="0"/>
        <w:adjustRightInd/>
        <w:snapToGrid/>
        <w:spacing w:before="0" w:after="0" w:line="360" w:lineRule="auto"/>
        <w:ind w:left="0" w:leftChars="0"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（二）绩效评价原则、评价指标体系、评价方法评价标准</w:t>
      </w:r>
      <w:bookmarkEnd w:id="9"/>
    </w:p>
    <w:p w14:paraId="2E4D865C">
      <w:pPr>
        <w:pStyle w:val="47"/>
        <w:pageBreakBefore w:val="0"/>
        <w:widowControl w:val="0"/>
        <w:kinsoku/>
        <w:wordWrap/>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000000"/>
          <w:sz w:val="24"/>
          <w:szCs w:val="24"/>
        </w:rPr>
      </w:pPr>
      <w:r>
        <w:rPr>
          <w:rFonts w:hint="eastAsia" w:ascii="宋体" w:hAnsi="宋体" w:eastAsia="宋体" w:cs="宋体"/>
          <w:b/>
          <w:bCs/>
          <w:color w:val="000000"/>
          <w:sz w:val="24"/>
          <w:szCs w:val="24"/>
        </w:rPr>
        <w:t>1. 绩效评价原则</w:t>
      </w:r>
    </w:p>
    <w:p w14:paraId="0ACD936F">
      <w:pPr>
        <w:pStyle w:val="47"/>
        <w:pageBreakBefore w:val="0"/>
        <w:widowControl w:val="0"/>
        <w:kinsoku/>
        <w:wordWrap/>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依据《中华人民共和国预算法》《中共 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关于印发&lt;自治区项目支出绩效目标设置指引&gt;的通知》（新财预〔2022〕42号）等要求，绩效评价应遵循如下原则：</w:t>
      </w:r>
    </w:p>
    <w:p w14:paraId="1889ED0B">
      <w:pPr>
        <w:pStyle w:val="47"/>
        <w:pageBreakBefore w:val="0"/>
        <w:widowControl w:val="0"/>
        <w:kinsoku/>
        <w:wordWrap/>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color w:val="000000"/>
          <w:sz w:val="24"/>
          <w:szCs w:val="24"/>
        </w:rPr>
      </w:pPr>
      <w:r>
        <w:rPr>
          <w:rFonts w:hint="eastAsia" w:ascii="宋体" w:hAnsi="宋体" w:eastAsia="宋体" w:cs="宋体"/>
          <w:color w:val="000000"/>
          <w:sz w:val="24"/>
          <w:szCs w:val="24"/>
        </w:rPr>
        <w:t>（1）科学公正。绩效评价应当运用科学合理的方法，按照规范的程序，对项目绩效进行客观、公正的反映。</w:t>
      </w:r>
    </w:p>
    <w:p w14:paraId="7BA44E67">
      <w:pPr>
        <w:pStyle w:val="47"/>
        <w:pageBreakBefore w:val="0"/>
        <w:widowControl w:val="0"/>
        <w:kinsoku/>
        <w:wordWrap/>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color w:val="000000"/>
          <w:sz w:val="24"/>
          <w:szCs w:val="24"/>
        </w:rPr>
      </w:pPr>
      <w:r>
        <w:rPr>
          <w:rFonts w:hint="eastAsia" w:ascii="宋体" w:hAnsi="宋体" w:eastAsia="宋体" w:cs="宋体"/>
          <w:color w:val="000000"/>
          <w:sz w:val="24"/>
          <w:szCs w:val="24"/>
        </w:rPr>
        <w:t>（2）统筹兼顾。单位自评、部门评价和财政评价应职责明确，各有侧重，相互衔接。单位自评应由项目单位自主实施，即“谁支出、谁自评”。部门评价和财政评价应在单位自评的基础上开展，必要时可委托第三方机构实施。</w:t>
      </w:r>
    </w:p>
    <w:p w14:paraId="1761CB70">
      <w:pPr>
        <w:pStyle w:val="47"/>
        <w:pageBreakBefore w:val="0"/>
        <w:widowControl w:val="0"/>
        <w:kinsoku/>
        <w:wordWrap/>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color w:val="000000"/>
          <w:sz w:val="24"/>
          <w:szCs w:val="24"/>
        </w:rPr>
      </w:pPr>
      <w:r>
        <w:rPr>
          <w:rFonts w:hint="eastAsia" w:ascii="宋体" w:hAnsi="宋体" w:eastAsia="宋体" w:cs="宋体"/>
          <w:color w:val="000000"/>
          <w:sz w:val="24"/>
          <w:szCs w:val="24"/>
        </w:rPr>
        <w:t>（3）激励约束。绩效评价结果应与预算安排、政策调整、改进管理实质性挂钩，体现奖优罚劣和激励相容导向，有效要安排、低效要压减、无效要问责。</w:t>
      </w:r>
    </w:p>
    <w:p w14:paraId="4A852F17">
      <w:pPr>
        <w:pStyle w:val="47"/>
        <w:pageBreakBefore w:val="0"/>
        <w:widowControl w:val="0"/>
        <w:kinsoku/>
        <w:wordWrap/>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color w:val="000000"/>
          <w:sz w:val="24"/>
          <w:szCs w:val="24"/>
        </w:rPr>
      </w:pPr>
      <w:r>
        <w:rPr>
          <w:rFonts w:hint="eastAsia" w:ascii="宋体" w:hAnsi="宋体" w:eastAsia="宋体" w:cs="宋体"/>
          <w:color w:val="000000"/>
          <w:sz w:val="24"/>
          <w:szCs w:val="24"/>
        </w:rPr>
        <w:t>（4）公开透明。绩效评价结果应依法依规公开，并自觉接受社会监督。</w:t>
      </w:r>
    </w:p>
    <w:p w14:paraId="23C17EA4">
      <w:pPr>
        <w:pStyle w:val="47"/>
        <w:pageBreakBefore w:val="0"/>
        <w:widowControl w:val="0"/>
        <w:kinsoku/>
        <w:wordWrap/>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000000"/>
          <w:sz w:val="24"/>
          <w:szCs w:val="24"/>
        </w:rPr>
      </w:pPr>
      <w:r>
        <w:rPr>
          <w:rFonts w:hint="eastAsia" w:ascii="宋体" w:hAnsi="宋体" w:eastAsia="宋体" w:cs="宋体"/>
          <w:b/>
          <w:bCs/>
          <w:color w:val="000000"/>
          <w:sz w:val="24"/>
          <w:szCs w:val="24"/>
        </w:rPr>
        <w:t>根据以上原则，绩效评价应遵循如下要求:</w:t>
      </w:r>
    </w:p>
    <w:p w14:paraId="1CA353AA">
      <w:pPr>
        <w:pStyle w:val="47"/>
        <w:pageBreakBefore w:val="0"/>
        <w:widowControl w:val="0"/>
        <w:kinsoku/>
        <w:wordWrap/>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color w:val="000000"/>
          <w:sz w:val="24"/>
          <w:szCs w:val="24"/>
        </w:rPr>
      </w:pPr>
      <w:r>
        <w:rPr>
          <w:rFonts w:hint="eastAsia" w:ascii="宋体" w:hAnsi="宋体" w:eastAsia="宋体" w:cs="宋体"/>
          <w:color w:val="000000"/>
          <w:sz w:val="24"/>
          <w:szCs w:val="24"/>
        </w:rPr>
        <w:t>（1）在数据采集时，采取客观数据，主管部门审查、社会中介组织复查，与问卷调查相结合的形式，以保证各项指标的真实性。</w:t>
      </w:r>
    </w:p>
    <w:p w14:paraId="2F5869A0">
      <w:pPr>
        <w:pStyle w:val="47"/>
        <w:pageBreakBefore w:val="0"/>
        <w:widowControl w:val="0"/>
        <w:kinsoku/>
        <w:wordWrap/>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color w:val="000000"/>
          <w:sz w:val="24"/>
          <w:szCs w:val="24"/>
        </w:rPr>
      </w:pPr>
      <w:r>
        <w:rPr>
          <w:rFonts w:hint="eastAsia" w:ascii="宋体" w:hAnsi="宋体" w:eastAsia="宋体" w:cs="宋体"/>
          <w:color w:val="000000"/>
          <w:sz w:val="24"/>
          <w:szCs w:val="24"/>
        </w:rPr>
        <w:t>（2）保证评价结果的真实性、公正性，提高评价报告的公信力。</w:t>
      </w:r>
    </w:p>
    <w:p w14:paraId="64D8EBFE">
      <w:pPr>
        <w:pStyle w:val="47"/>
        <w:pageBreakBefore w:val="0"/>
        <w:widowControl w:val="0"/>
        <w:kinsoku/>
        <w:wordWrap/>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color w:val="000000"/>
          <w:sz w:val="24"/>
          <w:szCs w:val="24"/>
        </w:rPr>
      </w:pPr>
      <w:r>
        <w:rPr>
          <w:rFonts w:hint="eastAsia" w:ascii="宋体" w:hAnsi="宋体" w:eastAsia="宋体" w:cs="宋体"/>
          <w:color w:val="000000"/>
          <w:sz w:val="24"/>
          <w:szCs w:val="24"/>
        </w:rPr>
        <w:t>（3）绩效评价报告应当简明扼要，除了对绩效评价的过程、结果描述外，还应总结经验，指出问题，并就共性问题提出可操作性改进建议。评价工作组本着科学规范、公平公正、绩效相关的原则，采用全面、重点、现场和非现场相结合的方式进行评价。</w:t>
      </w:r>
    </w:p>
    <w:p w14:paraId="779FEC50">
      <w:pPr>
        <w:pStyle w:val="47"/>
        <w:pageBreakBefore w:val="0"/>
        <w:widowControl w:val="0"/>
        <w:kinsoku/>
        <w:wordWrap/>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000000"/>
          <w:sz w:val="24"/>
          <w:szCs w:val="24"/>
        </w:rPr>
      </w:pPr>
      <w:r>
        <w:rPr>
          <w:rFonts w:hint="eastAsia" w:ascii="宋体" w:hAnsi="宋体" w:eastAsia="宋体" w:cs="宋体"/>
          <w:b/>
          <w:bCs/>
          <w:color w:val="000000"/>
          <w:sz w:val="24"/>
          <w:szCs w:val="24"/>
        </w:rPr>
        <w:t>2. 绩效评价指标体系</w:t>
      </w:r>
    </w:p>
    <w:p w14:paraId="6C53DB6E">
      <w:pPr>
        <w:pStyle w:val="47"/>
        <w:pageBreakBefore w:val="0"/>
        <w:widowControl w:val="0"/>
        <w:kinsoku/>
        <w:wordWrap/>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本项目绩效评价体系根据《关于印发〈项目支出绩效评价管理办法〉的通知》（财预﹝2020﹞10号）文件中共性指标及个性化指标设置，主要分为共性指标和个性指标两大类。共性指标下设决策与过程2个一级指标，其中：项目决策下设项目立项、绩效目标、资金投入3个二级指标；过程下设资金管理和组织实施2个二级指标。个性指标下设产出和效益2个一级指标，其中：产出下设产出数量、产出质量、产出时效、产出成本4个2级指标，效益下设项目效益及满意度2个二级指标。项目绩效评价体系。详细指标体系见“附件1：项目支出绩效评价体系”。</w:t>
      </w:r>
    </w:p>
    <w:p w14:paraId="2710F415">
      <w:pPr>
        <w:pStyle w:val="47"/>
        <w:pageBreakBefore w:val="0"/>
        <w:widowControl w:val="0"/>
        <w:kinsoku/>
        <w:wordWrap/>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000000"/>
          <w:sz w:val="24"/>
          <w:szCs w:val="24"/>
        </w:rPr>
      </w:pPr>
      <w:r>
        <w:rPr>
          <w:rFonts w:hint="eastAsia" w:ascii="宋体" w:hAnsi="宋体" w:eastAsia="宋体" w:cs="宋体"/>
          <w:b/>
          <w:bCs/>
          <w:color w:val="000000"/>
          <w:sz w:val="24"/>
          <w:szCs w:val="24"/>
        </w:rPr>
        <w:t>3. 绩效评价方法</w:t>
      </w:r>
    </w:p>
    <w:p w14:paraId="38181192">
      <w:pPr>
        <w:pStyle w:val="47"/>
        <w:pageBreakBefore w:val="0"/>
        <w:widowControl w:val="0"/>
        <w:kinsoku/>
        <w:wordWrap/>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Cs/>
          <w:color w:val="000000"/>
          <w:sz w:val="24"/>
          <w:szCs w:val="24"/>
        </w:rPr>
      </w:pPr>
      <w:r>
        <w:rPr>
          <w:rFonts w:hint="eastAsia" w:ascii="宋体" w:hAnsi="宋体" w:eastAsia="宋体" w:cs="宋体"/>
          <w:bCs/>
          <w:color w:val="000000"/>
          <w:sz w:val="24"/>
          <w:szCs w:val="24"/>
        </w:rPr>
        <w:t>绩效评价方法主要包括成本效益分析法、比较法、因素分析法、最低成本法、公众评判法、标杆管理法等。我单位根据本项目资金的性质和特点，选用比较法、因素分析法、公众评判法以及文献法对项目进行评价，旨在通过综合分析影响绩效目标实现、实施效果的内外部因素，从而评价本项目绩效。</w:t>
      </w:r>
    </w:p>
    <w:p w14:paraId="56720F3B">
      <w:pPr>
        <w:pStyle w:val="47"/>
        <w:pageBreakBefore w:val="0"/>
        <w:widowControl w:val="0"/>
        <w:kinsoku/>
        <w:wordWrap/>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val="0"/>
          <w:color w:val="000000"/>
          <w:sz w:val="24"/>
          <w:szCs w:val="24"/>
        </w:rPr>
      </w:pPr>
      <w:r>
        <w:rPr>
          <w:rFonts w:hint="eastAsia" w:ascii="宋体" w:hAnsi="宋体" w:eastAsia="宋体" w:cs="宋体"/>
          <w:b/>
          <w:bCs w:val="0"/>
          <w:color w:val="000000"/>
          <w:sz w:val="24"/>
          <w:szCs w:val="24"/>
        </w:rPr>
        <w:t>具体评价方法的应用如下:</w:t>
      </w:r>
    </w:p>
    <w:p w14:paraId="29BA0A46">
      <w:pPr>
        <w:pStyle w:val="47"/>
        <w:pageBreakBefore w:val="0"/>
        <w:widowControl w:val="0"/>
        <w:kinsoku/>
        <w:wordWrap/>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Cs/>
          <w:color w:val="000000"/>
          <w:sz w:val="24"/>
          <w:szCs w:val="24"/>
        </w:rPr>
      </w:pPr>
      <w:r>
        <w:rPr>
          <w:rFonts w:hint="eastAsia" w:ascii="宋体" w:hAnsi="宋体" w:eastAsia="宋体" w:cs="宋体"/>
          <w:bCs/>
          <w:color w:val="000000"/>
          <w:sz w:val="24"/>
          <w:szCs w:val="24"/>
        </w:rPr>
        <w:t>立项依据充分性：比较法、文献法，查找法律法规政策以及规划，对比实际执行内容和政策支持内容是否匹配。</w:t>
      </w:r>
    </w:p>
    <w:p w14:paraId="2F28E511">
      <w:pPr>
        <w:pStyle w:val="47"/>
        <w:pageBreakBefore w:val="0"/>
        <w:widowControl w:val="0"/>
        <w:kinsoku/>
        <w:wordWrap/>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Cs/>
          <w:color w:val="000000"/>
          <w:sz w:val="24"/>
          <w:szCs w:val="24"/>
        </w:rPr>
      </w:pPr>
      <w:r>
        <w:rPr>
          <w:rFonts w:hint="eastAsia" w:ascii="宋体" w:hAnsi="宋体" w:eastAsia="宋体" w:cs="宋体"/>
          <w:bCs/>
          <w:color w:val="000000"/>
          <w:sz w:val="24"/>
          <w:szCs w:val="24"/>
        </w:rPr>
        <w:t>立项程序规范性：比较法、文献法，查找相关项目设立的政策和文件要求，对比分析实际执行程序是否按照政策及文件要求执行，分析立项程序的规范性。</w:t>
      </w:r>
    </w:p>
    <w:p w14:paraId="1EE45BFF">
      <w:pPr>
        <w:pStyle w:val="47"/>
        <w:pageBreakBefore w:val="0"/>
        <w:widowControl w:val="0"/>
        <w:kinsoku/>
        <w:wordWrap/>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Cs/>
          <w:color w:val="000000"/>
          <w:sz w:val="24"/>
          <w:szCs w:val="24"/>
        </w:rPr>
      </w:pPr>
      <w:r>
        <w:rPr>
          <w:rFonts w:hint="eastAsia" w:ascii="宋体" w:hAnsi="宋体" w:eastAsia="宋体" w:cs="宋体"/>
          <w:bCs/>
          <w:color w:val="000000"/>
          <w:sz w:val="24"/>
          <w:szCs w:val="24"/>
        </w:rPr>
        <w:t>绩效目标合理性：比较法，对比分析年初编制项目支出绩效目标表与项目内容的相关性、资金的匹配性等。</w:t>
      </w:r>
    </w:p>
    <w:p w14:paraId="7BE13441">
      <w:pPr>
        <w:pStyle w:val="47"/>
        <w:pageBreakBefore w:val="0"/>
        <w:widowControl w:val="0"/>
        <w:kinsoku/>
        <w:wordWrap/>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Cs/>
          <w:color w:val="000000"/>
          <w:sz w:val="24"/>
          <w:szCs w:val="24"/>
        </w:rPr>
      </w:pPr>
      <w:r>
        <w:rPr>
          <w:rFonts w:hint="eastAsia" w:ascii="宋体" w:hAnsi="宋体" w:eastAsia="宋体" w:cs="宋体"/>
          <w:bCs/>
          <w:color w:val="000000"/>
          <w:sz w:val="24"/>
          <w:szCs w:val="24"/>
        </w:rPr>
        <w:t>绩效指标明确性：比较法，比较分析年初编制项目支出绩效目标表是否符合双七原则，是否可衡量。</w:t>
      </w:r>
    </w:p>
    <w:p w14:paraId="5991F0F5">
      <w:pPr>
        <w:pStyle w:val="47"/>
        <w:pageBreakBefore w:val="0"/>
        <w:widowControl w:val="0"/>
        <w:kinsoku/>
        <w:wordWrap/>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Cs/>
          <w:color w:val="000000"/>
          <w:sz w:val="24"/>
          <w:szCs w:val="24"/>
        </w:rPr>
      </w:pPr>
      <w:r>
        <w:rPr>
          <w:rFonts w:hint="eastAsia" w:ascii="宋体" w:hAnsi="宋体" w:eastAsia="宋体" w:cs="宋体"/>
          <w:bCs/>
          <w:color w:val="000000"/>
          <w:sz w:val="24"/>
          <w:szCs w:val="24"/>
        </w:rPr>
        <w:t>预算编制科学性：成本效益分析法，分析在产出一定的情况下，成本取值是否有依据，是否经过询价，是否按照市场最低成本编制。</w:t>
      </w:r>
    </w:p>
    <w:p w14:paraId="7D82DBBE">
      <w:pPr>
        <w:pStyle w:val="47"/>
        <w:pageBreakBefore w:val="0"/>
        <w:widowControl w:val="0"/>
        <w:kinsoku/>
        <w:wordWrap/>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Cs/>
          <w:color w:val="000000"/>
          <w:sz w:val="24"/>
          <w:szCs w:val="24"/>
        </w:rPr>
      </w:pPr>
      <w:r>
        <w:rPr>
          <w:rFonts w:hint="eastAsia" w:ascii="宋体" w:hAnsi="宋体" w:eastAsia="宋体" w:cs="宋体"/>
          <w:bCs/>
          <w:color w:val="000000"/>
          <w:sz w:val="24"/>
          <w:szCs w:val="24"/>
        </w:rPr>
        <w:t>资金分配合理性：因素分析法，综合分析资金的分配依据是否充分，分配金额是否与项目实施单位需求金额一致。</w:t>
      </w:r>
    </w:p>
    <w:p w14:paraId="7E124990">
      <w:pPr>
        <w:pStyle w:val="47"/>
        <w:pageBreakBefore w:val="0"/>
        <w:widowControl w:val="0"/>
        <w:kinsoku/>
        <w:wordWrap/>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Cs/>
          <w:color w:val="000000"/>
          <w:sz w:val="24"/>
          <w:szCs w:val="24"/>
        </w:rPr>
      </w:pPr>
      <w:r>
        <w:rPr>
          <w:rFonts w:hint="eastAsia" w:ascii="宋体" w:hAnsi="宋体" w:eastAsia="宋体" w:cs="宋体"/>
          <w:bCs/>
          <w:color w:val="000000"/>
          <w:sz w:val="24"/>
          <w:szCs w:val="24"/>
        </w:rPr>
        <w:t>资金到位率：比较法，资金到位率预期指标值应为100%，通过实际计算，分析实际完成值和预期指标值之间的差距和原因。</w:t>
      </w:r>
    </w:p>
    <w:p w14:paraId="218C70EC">
      <w:pPr>
        <w:pStyle w:val="47"/>
        <w:pageBreakBefore w:val="0"/>
        <w:widowControl w:val="0"/>
        <w:kinsoku/>
        <w:wordWrap/>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Cs/>
          <w:color w:val="000000"/>
          <w:sz w:val="24"/>
          <w:szCs w:val="24"/>
        </w:rPr>
      </w:pPr>
      <w:r>
        <w:rPr>
          <w:rFonts w:hint="eastAsia" w:ascii="宋体" w:hAnsi="宋体" w:eastAsia="宋体" w:cs="宋体"/>
          <w:bCs/>
          <w:color w:val="000000"/>
          <w:sz w:val="24"/>
          <w:szCs w:val="24"/>
        </w:rPr>
        <w:t>预算执行率：比较法，预算执行率预期指标值应为100%，通过实际计算，分析实际完成值和预期指标值之间的差距和原因。</w:t>
      </w:r>
    </w:p>
    <w:p w14:paraId="5A8F4F46">
      <w:pPr>
        <w:pStyle w:val="47"/>
        <w:pageBreakBefore w:val="0"/>
        <w:widowControl w:val="0"/>
        <w:kinsoku/>
        <w:wordWrap/>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Cs/>
          <w:color w:val="000000"/>
          <w:sz w:val="24"/>
          <w:szCs w:val="24"/>
        </w:rPr>
      </w:pPr>
      <w:r>
        <w:rPr>
          <w:rFonts w:hint="eastAsia" w:ascii="宋体" w:hAnsi="宋体" w:eastAsia="宋体" w:cs="宋体"/>
          <w:bCs/>
          <w:color w:val="000000"/>
          <w:sz w:val="24"/>
          <w:szCs w:val="24"/>
        </w:rPr>
        <w:t>资金使用合规性：文献法、实地勘察法，一是查找资金管理办法，包括专项资金管理办法和单位自有资金管理办法；二是通过查账了解具体开支情况，是否专用专用，是否按照标准支出。</w:t>
      </w:r>
    </w:p>
    <w:p w14:paraId="4F6066EA">
      <w:pPr>
        <w:pStyle w:val="47"/>
        <w:pageBreakBefore w:val="0"/>
        <w:widowControl w:val="0"/>
        <w:kinsoku/>
        <w:wordWrap/>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Cs/>
          <w:color w:val="000000"/>
          <w:sz w:val="24"/>
          <w:szCs w:val="24"/>
        </w:rPr>
      </w:pPr>
      <w:r>
        <w:rPr>
          <w:rFonts w:hint="eastAsia" w:ascii="宋体" w:hAnsi="宋体" w:eastAsia="宋体" w:cs="宋体"/>
          <w:bCs/>
          <w:color w:val="000000"/>
          <w:sz w:val="24"/>
          <w:szCs w:val="24"/>
        </w:rPr>
        <w:t>管理制度健全性：文献法、比较法，查阅项目实施人员提供的财务和业务管理制度，将已建立的制度与现行的法律法规和政策要求进行对比，分析项目制度的合法性、合规性、完整性。</w:t>
      </w:r>
    </w:p>
    <w:p w14:paraId="2A2B009A">
      <w:pPr>
        <w:pStyle w:val="47"/>
        <w:pageBreakBefore w:val="0"/>
        <w:widowControl w:val="0"/>
        <w:kinsoku/>
        <w:wordWrap/>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Cs/>
          <w:color w:val="000000"/>
          <w:sz w:val="24"/>
          <w:szCs w:val="24"/>
        </w:rPr>
      </w:pPr>
      <w:r>
        <w:rPr>
          <w:rFonts w:hint="eastAsia" w:ascii="宋体" w:hAnsi="宋体" w:eastAsia="宋体" w:cs="宋体"/>
          <w:bCs/>
          <w:color w:val="000000"/>
          <w:sz w:val="24"/>
          <w:szCs w:val="24"/>
        </w:rPr>
        <w:t>制度执行有效性：比较法，结合项目实际实施过程性文件，根据已建设的财务管理制度和项目管理制度综合分析制度执行的有效性。</w:t>
      </w:r>
    </w:p>
    <w:p w14:paraId="79C32182">
      <w:pPr>
        <w:pStyle w:val="47"/>
        <w:pageBreakBefore w:val="0"/>
        <w:widowControl w:val="0"/>
        <w:kinsoku/>
        <w:wordWrap/>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Cs/>
          <w:color w:val="000000"/>
          <w:sz w:val="24"/>
          <w:szCs w:val="24"/>
        </w:rPr>
      </w:pPr>
      <w:r>
        <w:rPr>
          <w:rFonts w:hint="eastAsia" w:ascii="宋体" w:hAnsi="宋体" w:eastAsia="宋体" w:cs="宋体"/>
          <w:bCs/>
          <w:color w:val="000000"/>
          <w:sz w:val="24"/>
          <w:szCs w:val="24"/>
        </w:rPr>
        <w:t>定量指标：比较法，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p>
    <w:p w14:paraId="505BC507">
      <w:pPr>
        <w:pStyle w:val="47"/>
        <w:pageBreakBefore w:val="0"/>
        <w:widowControl w:val="0"/>
        <w:kinsoku/>
        <w:wordWrap/>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Cs/>
          <w:color w:val="000000"/>
          <w:sz w:val="24"/>
          <w:szCs w:val="24"/>
        </w:rPr>
      </w:pPr>
      <w:r>
        <w:rPr>
          <w:rFonts w:hint="eastAsia" w:ascii="宋体" w:hAnsi="宋体" w:eastAsia="宋体" w:cs="宋体"/>
          <w:bCs/>
          <w:color w:val="000000"/>
          <w:sz w:val="24"/>
          <w:szCs w:val="24"/>
        </w:rPr>
        <w:t>定性指标：公众评判法，通过问卷及抽样调查等方式评价本项目实施后社会公众对于其实施效果的满意程度。</w:t>
      </w:r>
    </w:p>
    <w:p w14:paraId="00184C87">
      <w:pPr>
        <w:pStyle w:val="47"/>
        <w:pageBreakBefore w:val="0"/>
        <w:widowControl w:val="0"/>
        <w:kinsoku/>
        <w:wordWrap/>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000000"/>
          <w:sz w:val="24"/>
          <w:szCs w:val="24"/>
        </w:rPr>
      </w:pPr>
      <w:r>
        <w:rPr>
          <w:rFonts w:hint="eastAsia" w:ascii="宋体" w:hAnsi="宋体" w:eastAsia="宋体" w:cs="宋体"/>
          <w:b/>
          <w:bCs/>
          <w:color w:val="000000"/>
          <w:sz w:val="24"/>
          <w:szCs w:val="24"/>
        </w:rPr>
        <w:t>4. 绩效评价标准</w:t>
      </w:r>
    </w:p>
    <w:p w14:paraId="1E6D063F">
      <w:pPr>
        <w:pageBreakBefore w:val="0"/>
        <w:widowControl w:val="0"/>
        <w:kinsoku/>
        <w:wordWrap/>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000000"/>
          <w:sz w:val="24"/>
          <w:szCs w:val="24"/>
        </w:rPr>
      </w:pPr>
      <w:bookmarkStart w:id="10" w:name="_Toc68364663"/>
      <w:r>
        <w:rPr>
          <w:rFonts w:hint="eastAsia" w:ascii="宋体" w:hAnsi="宋体" w:eastAsia="宋体" w:cs="宋体"/>
          <w:color w:val="000000"/>
          <w:sz w:val="24"/>
          <w:szCs w:val="24"/>
        </w:rPr>
        <w:t>绩效评价标准通常包括计划标准、行业标准、历史标准等，用于对绩效指标完成情况进行比较、分析、评价。本次评价主要采用了财务管理制度标准。</w:t>
      </w:r>
    </w:p>
    <w:p w14:paraId="1B49E8B5">
      <w:pPr>
        <w:pageBreakBefore w:val="0"/>
        <w:widowControl w:val="0"/>
        <w:kinsoku/>
        <w:wordWrap/>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000000"/>
          <w:sz w:val="24"/>
          <w:szCs w:val="24"/>
        </w:rPr>
      </w:pPr>
      <w:bookmarkStart w:id="11" w:name="_Toc17882"/>
      <w:bookmarkStart w:id="12" w:name="_Toc31464"/>
      <w:r>
        <w:rPr>
          <w:rFonts w:hint="eastAsia" w:ascii="宋体" w:hAnsi="宋体" w:eastAsia="宋体" w:cs="宋体"/>
          <w:b/>
          <w:bCs/>
          <w:color w:val="000000"/>
          <w:sz w:val="24"/>
          <w:szCs w:val="24"/>
        </w:rPr>
        <w:t>计划标准：</w:t>
      </w:r>
      <w:r>
        <w:rPr>
          <w:rFonts w:hint="eastAsia" w:ascii="宋体" w:hAnsi="宋体" w:eastAsia="宋体" w:cs="宋体"/>
          <w:color w:val="000000"/>
          <w:sz w:val="24"/>
          <w:szCs w:val="24"/>
        </w:rPr>
        <w:t>指以预先制定的目标、计划、预算、定额等作为评价标准。</w:t>
      </w:r>
      <w:bookmarkEnd w:id="11"/>
      <w:bookmarkEnd w:id="12"/>
    </w:p>
    <w:p w14:paraId="49707E5E">
      <w:pPr>
        <w:pageBreakBefore w:val="0"/>
        <w:widowControl w:val="0"/>
        <w:kinsoku/>
        <w:wordWrap/>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000000"/>
          <w:sz w:val="24"/>
          <w:szCs w:val="24"/>
        </w:rPr>
      </w:pPr>
      <w:bookmarkStart w:id="13" w:name="_Toc5633"/>
      <w:bookmarkStart w:id="14" w:name="_Toc2318"/>
      <w:r>
        <w:rPr>
          <w:rFonts w:hint="eastAsia" w:ascii="宋体" w:hAnsi="宋体" w:eastAsia="宋体" w:cs="宋体"/>
          <w:b/>
          <w:bCs/>
          <w:color w:val="000000"/>
          <w:sz w:val="24"/>
          <w:szCs w:val="24"/>
        </w:rPr>
        <w:t>行业标准：</w:t>
      </w:r>
      <w:r>
        <w:rPr>
          <w:rFonts w:hint="eastAsia" w:ascii="宋体" w:hAnsi="宋体" w:eastAsia="宋体" w:cs="宋体"/>
          <w:color w:val="000000"/>
          <w:sz w:val="24"/>
          <w:szCs w:val="24"/>
        </w:rPr>
        <w:t>指参照国家公布的行业指标数据制定的评价标准。</w:t>
      </w:r>
      <w:bookmarkEnd w:id="13"/>
      <w:bookmarkEnd w:id="14"/>
    </w:p>
    <w:p w14:paraId="54D3D792">
      <w:pPr>
        <w:pageBreakBefore w:val="0"/>
        <w:widowControl w:val="0"/>
        <w:kinsoku/>
        <w:wordWrap/>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000000"/>
          <w:sz w:val="24"/>
          <w:szCs w:val="24"/>
        </w:rPr>
      </w:pPr>
      <w:bookmarkStart w:id="15" w:name="_Toc430"/>
      <w:bookmarkStart w:id="16" w:name="_Toc16028"/>
      <w:r>
        <w:rPr>
          <w:rFonts w:hint="eastAsia" w:ascii="宋体" w:hAnsi="宋体" w:eastAsia="宋体" w:cs="宋体"/>
          <w:b/>
          <w:bCs/>
          <w:color w:val="000000"/>
          <w:sz w:val="24"/>
          <w:szCs w:val="24"/>
        </w:rPr>
        <w:t>历史标准：</w:t>
      </w:r>
      <w:r>
        <w:rPr>
          <w:rFonts w:hint="eastAsia" w:ascii="宋体" w:hAnsi="宋体" w:eastAsia="宋体" w:cs="宋体"/>
          <w:color w:val="000000"/>
          <w:sz w:val="24"/>
          <w:szCs w:val="24"/>
        </w:rPr>
        <w:t>指参照历史数据制定的评价标准，为体现绩效改进的原则，在可实现的条件下应当确定相对较高的评价标准。</w:t>
      </w:r>
      <w:bookmarkEnd w:id="15"/>
      <w:bookmarkEnd w:id="16"/>
    </w:p>
    <w:p w14:paraId="69D50E42">
      <w:pPr>
        <w:pStyle w:val="50"/>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（三）绩效评价工作过程</w:t>
      </w:r>
      <w:bookmarkEnd w:id="10"/>
    </w:p>
    <w:p w14:paraId="5B9E4D35">
      <w:pPr>
        <w:pStyle w:val="6"/>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color w:val="000000"/>
          <w:sz w:val="24"/>
          <w:szCs w:val="24"/>
        </w:rPr>
      </w:pPr>
      <w:bookmarkStart w:id="17" w:name="_Toc68364664"/>
      <w:r>
        <w:rPr>
          <w:rFonts w:hint="eastAsia" w:ascii="宋体" w:hAnsi="宋体" w:eastAsia="宋体" w:cs="宋体"/>
          <w:color w:val="000000"/>
          <w:sz w:val="24"/>
          <w:szCs w:val="24"/>
        </w:rPr>
        <w:t>1.前期准备</w:t>
      </w:r>
    </w:p>
    <w:p w14:paraId="17C4B041">
      <w:pPr>
        <w:pageBreakBefore w:val="0"/>
        <w:widowControl w:val="0"/>
        <w:kinsoku/>
        <w:wordWrap/>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我单位于2025年1月22日，确定绩效评价工作小组，正式开始前期准备工作，通过对评价对象前期调研，确定了评价的目的、方法以及评价的原则，根据项目的内容和特征制定了评价指标体系及评价标准。绩效评价工作小组人员名单及分工如下：</w:t>
      </w:r>
    </w:p>
    <w:p w14:paraId="55F2763D">
      <w:pPr>
        <w:pageBreakBefore w:val="0"/>
        <w:widowControl w:val="0"/>
        <w:kinsoku/>
        <w:wordWrap/>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艾则孜（评价小组组长）：主要负责全盘工作;</w:t>
      </w:r>
    </w:p>
    <w:p w14:paraId="77AF1A8A">
      <w:pPr>
        <w:pageBreakBefore w:val="0"/>
        <w:widowControl w:val="0"/>
        <w:kinsoku/>
        <w:wordWrap/>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张卫东（评价小组组员）：主要负责项目顺利的达标;</w:t>
      </w:r>
    </w:p>
    <w:p w14:paraId="0AD54098">
      <w:pPr>
        <w:pageBreakBefore w:val="0"/>
        <w:widowControl w:val="0"/>
        <w:kinsoku/>
        <w:wordWrap/>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阿不力米提（评价小组组员）：主要负责执行该项目。</w:t>
      </w:r>
    </w:p>
    <w:p w14:paraId="0127CB96">
      <w:pPr>
        <w:pStyle w:val="6"/>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2.组织实施</w:t>
      </w:r>
    </w:p>
    <w:p w14:paraId="29BADEB1">
      <w:pPr>
        <w:pageBreakBefore w:val="0"/>
        <w:widowControl w:val="0"/>
        <w:kinsoku/>
        <w:wordWrap/>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2025年2月5日-3月28日，评价工作进入实施阶段。在数据采集方面，评价小组整理单位前期提交的资料，与项目实施负责人沟通，了解资金的内容、操作流程、管理机制、资金使用方向等情况并采集信息，了解项目设置背景及资金使用等情况。</w:t>
      </w:r>
    </w:p>
    <w:p w14:paraId="6DDA4FC2">
      <w:pPr>
        <w:pStyle w:val="6"/>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3.分析评价</w:t>
      </w:r>
    </w:p>
    <w:p w14:paraId="1F0C686A">
      <w:pPr>
        <w:pageBreakBefore w:val="0"/>
        <w:widowControl w:val="0"/>
        <w:kinsoku/>
        <w:wordWrap/>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2025年3月11日-3月25日，评价小组按照绩效评价的原则和规范，对取得的资料进行审查核实，对采集的数据进行分析，按照绩效评价指标评分表逐项进行打分、分析、汇总各方评价结果。</w:t>
      </w:r>
    </w:p>
    <w:p w14:paraId="221C0396">
      <w:pPr>
        <w:pStyle w:val="6"/>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4.撰写与提交评价报告</w:t>
      </w:r>
    </w:p>
    <w:p w14:paraId="2C24EB2C">
      <w:pPr>
        <w:pageBreakBefore w:val="0"/>
        <w:widowControl w:val="0"/>
        <w:kinsoku/>
        <w:wordWrap/>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2025年4月1日-4月8日评价小组撰写绩效评价报告，按照新疆维吾尔自治区财政绩效管理信息系统绩效评价模块中统一格式和文本框架撰写绩效评价报告并提交审核。</w:t>
      </w:r>
    </w:p>
    <w:p w14:paraId="29BB2E8A">
      <w:pPr>
        <w:pStyle w:val="6"/>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5.问题整改</w:t>
      </w:r>
    </w:p>
    <w:p w14:paraId="1A962341">
      <w:pPr>
        <w:pageBreakBefore w:val="0"/>
        <w:widowControl w:val="0"/>
        <w:kinsoku/>
        <w:wordWrap/>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经审核通过后，由评价小组将报告推送至项目实施人员，由项目实施人员根据报告评价结论、存在的问题以及改进建议落实问题整改，并形成整改报告，由评价小组负责监督和核查整改落实情况，确保绩效评价落到实处。</w:t>
      </w:r>
    </w:p>
    <w:p w14:paraId="054EA652">
      <w:pPr>
        <w:pStyle w:val="6"/>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6.档案整理</w:t>
      </w:r>
    </w:p>
    <w:p w14:paraId="2D937386">
      <w:pPr>
        <w:pageBreakBefore w:val="0"/>
        <w:widowControl w:val="0"/>
        <w:kinsoku/>
        <w:wordWrap/>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建立和落实档案管理制度，将项目相关资料存档，包括但不限于：评价项目基本情况和相关文件、评价实施方案、项目支付资料等相关档案。</w:t>
      </w:r>
    </w:p>
    <w:p w14:paraId="2DEFA332">
      <w:pPr>
        <w:pStyle w:val="4"/>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黑体" w:hAnsi="黑体" w:eastAsia="黑体" w:cs="黑体"/>
          <w:color w:val="000000"/>
          <w:sz w:val="24"/>
          <w:szCs w:val="24"/>
        </w:rPr>
      </w:pPr>
    </w:p>
    <w:p w14:paraId="52E1E0F5">
      <w:pPr>
        <w:pStyle w:val="4"/>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黑体" w:hAnsi="黑体" w:eastAsia="黑体" w:cs="黑体"/>
          <w:color w:val="000000"/>
          <w:sz w:val="24"/>
          <w:szCs w:val="24"/>
        </w:rPr>
      </w:pPr>
      <w:r>
        <w:rPr>
          <w:rFonts w:hint="eastAsia" w:ascii="黑体" w:hAnsi="黑体" w:eastAsia="黑体" w:cs="黑体"/>
          <w:color w:val="000000"/>
          <w:sz w:val="24"/>
          <w:szCs w:val="24"/>
        </w:rPr>
        <w:t>三、综合评价情况及评价结论</w:t>
      </w:r>
      <w:bookmarkEnd w:id="17"/>
    </w:p>
    <w:p w14:paraId="7F026675">
      <w:pPr>
        <w:pStyle w:val="50"/>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color w:val="000000"/>
          <w:sz w:val="24"/>
          <w:szCs w:val="24"/>
        </w:rPr>
      </w:pPr>
      <w:bookmarkStart w:id="18" w:name="_Toc68364665"/>
      <w:r>
        <w:rPr>
          <w:rFonts w:hint="eastAsia" w:ascii="宋体" w:hAnsi="宋体" w:eastAsia="宋体" w:cs="宋体"/>
          <w:color w:val="000000"/>
          <w:sz w:val="24"/>
          <w:szCs w:val="24"/>
        </w:rPr>
        <w:t>（一）综合评价情况</w:t>
      </w:r>
      <w:bookmarkEnd w:id="18"/>
    </w:p>
    <w:p w14:paraId="6A983128">
      <w:pPr>
        <w:pageBreakBefore w:val="0"/>
        <w:widowControl w:val="0"/>
        <w:kinsoku/>
        <w:wordWrap/>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000000"/>
          <w:sz w:val="24"/>
          <w:szCs w:val="24"/>
        </w:rPr>
      </w:pPr>
      <w:bookmarkStart w:id="19" w:name="_Toc68364666"/>
      <w:r>
        <w:rPr>
          <w:rFonts w:hint="eastAsia" w:ascii="宋体" w:hAnsi="宋体" w:eastAsia="宋体" w:cs="宋体"/>
          <w:color w:val="000000"/>
          <w:sz w:val="24"/>
          <w:szCs w:val="24"/>
        </w:rPr>
        <w:t>通过实施中央直达资金-和地财教[2023]60号：2024年城乡义务教育补助经费项目产生提高学校教育教学质量，学校环境质量效益。项目实施主要通过项目决策、项目过程、项目产出以及项目效益等方面进行评价，其中：</w:t>
      </w:r>
    </w:p>
    <w:p w14:paraId="4012EF66">
      <w:pPr>
        <w:pStyle w:val="47"/>
        <w:pageBreakBefore w:val="0"/>
        <w:widowControl w:val="0"/>
        <w:kinsoku/>
        <w:wordWrap/>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 xml:space="preserve">项目决策：该项目主要通过和地财教【2023】60号文件立项，项目实施符合通知要求，项目立项依据充分，立项程序规范。 </w:t>
      </w:r>
    </w:p>
    <w:p w14:paraId="3F48E140">
      <w:pPr>
        <w:pageBreakBefore w:val="0"/>
        <w:widowControl w:val="0"/>
        <w:kinsoku/>
        <w:wordWrap/>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项目过程：中央直达资金-和地财教[2023]60号：2024年城乡义务教育补助经费项目预算安排</w:t>
      </w:r>
      <w:r>
        <w:rPr>
          <w:rFonts w:hint="eastAsia" w:ascii="宋体" w:hAnsi="宋体" w:eastAsia="宋体" w:cs="宋体"/>
          <w:color w:val="000000"/>
          <w:sz w:val="24"/>
          <w:szCs w:val="24"/>
          <w:lang w:val="en-US" w:eastAsia="zh-CN"/>
        </w:rPr>
        <w:t>497.33</w:t>
      </w:r>
      <w:r>
        <w:rPr>
          <w:rFonts w:hint="eastAsia" w:ascii="宋体" w:hAnsi="宋体" w:eastAsia="宋体" w:cs="宋体"/>
          <w:color w:val="000000"/>
          <w:sz w:val="24"/>
          <w:szCs w:val="24"/>
        </w:rPr>
        <w:t>万元，实际支出497.33万元，预算执行率100%。项目资金使用合规，项目财务管理制度健全，财务监控到位，所有资金支付均按照国库集中支付制度严格执行，现有项目管理制度执行情况良好。</w:t>
      </w:r>
    </w:p>
    <w:p w14:paraId="206B7F4C">
      <w:pPr>
        <w:pStyle w:val="50"/>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（二）综合评价结论</w:t>
      </w:r>
    </w:p>
    <w:p w14:paraId="5537D613">
      <w:pPr>
        <w:pageBreakBefore w:val="0"/>
        <w:widowControl w:val="0"/>
        <w:kinsoku/>
        <w:wordWrap/>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依据《中共中央国务院关于全面实施预算绩效管理的意见》《项目支出绩效评价管理办法》（财预〔2020〕10号）文件，绩效评价总分设置为100分，划分为四档：90（含）-100分为“优”、80（含）-90分为“良”、70（含）-80分为“中”、70分以下为“差”。经对中央直达资金-和地财教[2023]60号：2024年城乡义务教育补助经费项目进行客观评价，最终评分结果：评价总分</w:t>
      </w:r>
      <w:r>
        <w:rPr>
          <w:rFonts w:hint="eastAsia" w:ascii="宋体" w:hAnsi="宋体" w:eastAsia="宋体" w:cs="宋体"/>
          <w:color w:val="000000"/>
          <w:sz w:val="24"/>
          <w:szCs w:val="24"/>
          <w:lang w:val="en-US" w:eastAsia="zh-CN"/>
        </w:rPr>
        <w:t>100</w:t>
      </w:r>
      <w:r>
        <w:rPr>
          <w:rFonts w:hint="eastAsia" w:ascii="宋体" w:hAnsi="宋体" w:eastAsia="宋体" w:cs="宋体"/>
          <w:color w:val="000000"/>
          <w:sz w:val="24"/>
          <w:szCs w:val="24"/>
        </w:rPr>
        <w:t>分，绩效等级为“优”。</w:t>
      </w:r>
      <w:bookmarkEnd w:id="19"/>
    </w:p>
    <w:p w14:paraId="2638171E">
      <w:pPr>
        <w:pStyle w:val="4"/>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color w:val="000000"/>
          <w:sz w:val="24"/>
          <w:szCs w:val="24"/>
        </w:rPr>
      </w:pPr>
      <w:bookmarkStart w:id="20" w:name="_Toc68364667"/>
    </w:p>
    <w:p w14:paraId="2BA5AE68">
      <w:pPr>
        <w:pStyle w:val="4"/>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四、绩效评价指标分析</w:t>
      </w:r>
      <w:bookmarkEnd w:id="20"/>
    </w:p>
    <w:p w14:paraId="495459FC">
      <w:pPr>
        <w:pStyle w:val="50"/>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color w:val="000000"/>
          <w:sz w:val="24"/>
          <w:szCs w:val="24"/>
          <w:highlight w:val="none"/>
        </w:rPr>
      </w:pPr>
      <w:bookmarkStart w:id="21" w:name="_Toc68364668"/>
      <w:r>
        <w:rPr>
          <w:rFonts w:hint="eastAsia" w:ascii="宋体" w:hAnsi="宋体" w:eastAsia="宋体" w:cs="宋体"/>
          <w:color w:val="000000"/>
          <w:sz w:val="24"/>
          <w:szCs w:val="24"/>
        </w:rPr>
        <w:t>（一）项目决策情况</w:t>
      </w:r>
    </w:p>
    <w:p w14:paraId="7C4CC7E6">
      <w:pPr>
        <w:pageBreakBefore w:val="0"/>
        <w:widowControl w:val="0"/>
        <w:kinsoku/>
        <w:wordWrap/>
        <w:overflowPunct w:val="0"/>
        <w:topLinePunct w:val="0"/>
        <w:autoSpaceDE/>
        <w:autoSpaceDN/>
        <w:bidi w:val="0"/>
        <w:adjustRightInd/>
        <w:snapToGrid/>
        <w:spacing w:line="360" w:lineRule="auto"/>
        <w:ind w:left="0" w:leftChars="0" w:firstLine="480" w:firstLineChars="200"/>
        <w:contextualSpacing/>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项目决策类指标包括项目立项、绩效目标和资金投入三方面的内容，由6个三级指标构成，权重分为</w:t>
      </w:r>
      <w:r>
        <w:rPr>
          <w:rFonts w:hint="eastAsia" w:ascii="宋体" w:hAnsi="宋体" w:eastAsia="宋体" w:cs="宋体"/>
          <w:color w:val="000000"/>
          <w:sz w:val="24"/>
          <w:szCs w:val="24"/>
          <w:highlight w:val="none"/>
          <w:lang w:val="en-US" w:eastAsia="zh-CN"/>
        </w:rPr>
        <w:t>23</w:t>
      </w:r>
      <w:r>
        <w:rPr>
          <w:rFonts w:hint="eastAsia" w:ascii="宋体" w:hAnsi="宋体" w:eastAsia="宋体" w:cs="宋体"/>
          <w:color w:val="000000"/>
          <w:sz w:val="24"/>
          <w:szCs w:val="24"/>
          <w:highlight w:val="none"/>
        </w:rPr>
        <w:t>分，实际得分</w:t>
      </w:r>
      <w:r>
        <w:rPr>
          <w:rFonts w:hint="eastAsia" w:ascii="宋体" w:hAnsi="宋体" w:eastAsia="宋体" w:cs="宋体"/>
          <w:color w:val="000000"/>
          <w:sz w:val="24"/>
          <w:szCs w:val="24"/>
          <w:highlight w:val="none"/>
          <w:lang w:val="en-US" w:eastAsia="zh-CN"/>
        </w:rPr>
        <w:t>23</w:t>
      </w:r>
      <w:r>
        <w:rPr>
          <w:rFonts w:hint="eastAsia" w:ascii="宋体" w:hAnsi="宋体" w:eastAsia="宋体" w:cs="宋体"/>
          <w:color w:val="000000"/>
          <w:sz w:val="24"/>
          <w:szCs w:val="24"/>
          <w:highlight w:val="none"/>
        </w:rPr>
        <w:t>分，得分率为100%。</w:t>
      </w:r>
    </w:p>
    <w:p w14:paraId="36FC3832">
      <w:pPr>
        <w:pageBreakBefore w:val="0"/>
        <w:widowControl w:val="0"/>
        <w:numPr>
          <w:ilvl w:val="0"/>
          <w:numId w:val="6"/>
        </w:numPr>
        <w:kinsoku/>
        <w:wordWrap/>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b/>
          <w:bCs/>
          <w:color w:val="000000"/>
          <w:sz w:val="24"/>
          <w:szCs w:val="24"/>
          <w:highlight w:val="none"/>
        </w:rPr>
      </w:pPr>
      <w:r>
        <w:rPr>
          <w:rFonts w:hint="eastAsia" w:ascii="宋体" w:hAnsi="宋体" w:eastAsia="宋体" w:cs="宋体"/>
          <w:b/>
          <w:bCs/>
          <w:color w:val="000000"/>
          <w:sz w:val="24"/>
          <w:szCs w:val="24"/>
          <w:highlight w:val="none"/>
        </w:rPr>
        <w:t>立项依据充分性：</w:t>
      </w:r>
    </w:p>
    <w:p w14:paraId="20E4AF93">
      <w:pPr>
        <w:pageBreakBefore w:val="0"/>
        <w:widowControl w:val="0"/>
        <w:kinsoku/>
        <w:wordWrap/>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本项目立项符合自治区财政厅颁发的</w:t>
      </w:r>
      <w:r>
        <w:rPr>
          <w:rFonts w:hint="eastAsia" w:ascii="宋体" w:hAnsi="宋体" w:eastAsia="宋体" w:cs="宋体"/>
          <w:color w:val="000000"/>
          <w:sz w:val="24"/>
          <w:szCs w:val="24"/>
          <w:highlight w:val="none"/>
          <w:lang w:eastAsia="zh-CN"/>
        </w:rPr>
        <w:t>《中央直达资金-和地财教[2023]60号：2024年城乡义务教育补助经费》</w:t>
      </w:r>
      <w:r>
        <w:rPr>
          <w:rFonts w:hint="eastAsia" w:ascii="宋体" w:hAnsi="宋体" w:eastAsia="宋体" w:cs="宋体"/>
          <w:color w:val="000000"/>
          <w:sz w:val="24"/>
          <w:szCs w:val="24"/>
          <w:highlight w:val="none"/>
        </w:rPr>
        <w:t>；本项目立项符合《中央直达资金-和地财教[2023]60号：2024年城乡义务教育补助经费》内容，符合行业发展规划和政策要求；本项目立项符合《洛浦县杭桂镇中学单位配置内设机构和人员编制规定》中职责范围中的“公用经费，营养改善</w:t>
      </w:r>
      <w:r>
        <w:rPr>
          <w:rFonts w:hint="eastAsia" w:ascii="宋体" w:hAnsi="宋体" w:eastAsia="宋体" w:cs="宋体"/>
          <w:color w:val="000000"/>
          <w:sz w:val="24"/>
          <w:szCs w:val="24"/>
          <w:highlight w:val="none"/>
          <w:lang w:val="en-US" w:eastAsia="zh-CN"/>
        </w:rPr>
        <w:t>及</w:t>
      </w:r>
      <w:r>
        <w:rPr>
          <w:rFonts w:ascii="宋体" w:hAnsi="宋体" w:eastAsia="宋体" w:cs="宋体"/>
          <w:sz w:val="24"/>
          <w:szCs w:val="24"/>
          <w:highlight w:val="none"/>
        </w:rPr>
        <w:t>家庭经济困难学生生活补助</w:t>
      </w:r>
      <w:r>
        <w:rPr>
          <w:rFonts w:hint="eastAsia" w:ascii="宋体" w:hAnsi="宋体" w:eastAsia="宋体" w:cs="宋体"/>
          <w:color w:val="000000"/>
          <w:sz w:val="24"/>
          <w:szCs w:val="24"/>
          <w:highlight w:val="none"/>
        </w:rPr>
        <w:t>”，属于我单位履职所需；根据《财政资金直接支付申请书》；经检查我单位财政应用平台指标，本项目不存在重复。</w:t>
      </w:r>
    </w:p>
    <w:p w14:paraId="45DCE464">
      <w:pPr>
        <w:pageBreakBefore w:val="0"/>
        <w:widowControl w:val="0"/>
        <w:kinsoku/>
        <w:wordWrap/>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b/>
          <w:bCs/>
          <w:color w:val="000000"/>
          <w:sz w:val="24"/>
          <w:szCs w:val="24"/>
          <w:highlight w:val="none"/>
        </w:rPr>
      </w:pPr>
      <w:r>
        <w:rPr>
          <w:rFonts w:hint="eastAsia" w:ascii="宋体" w:hAnsi="宋体" w:eastAsia="宋体" w:cs="宋体"/>
          <w:color w:val="000000"/>
          <w:sz w:val="24"/>
          <w:szCs w:val="24"/>
          <w:highlight w:val="none"/>
        </w:rPr>
        <w:t>综上所述，本指标满分为2分，根据评分标准得2分，本项目立项依据充分。</w:t>
      </w:r>
    </w:p>
    <w:p w14:paraId="2C6284E3">
      <w:pPr>
        <w:pageBreakBefore w:val="0"/>
        <w:widowControl w:val="0"/>
        <w:kinsoku/>
        <w:wordWrap/>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b/>
          <w:bCs/>
          <w:color w:val="000000"/>
          <w:sz w:val="24"/>
          <w:szCs w:val="24"/>
          <w:highlight w:val="none"/>
        </w:rPr>
      </w:pPr>
      <w:r>
        <w:rPr>
          <w:rFonts w:hint="eastAsia" w:ascii="宋体" w:hAnsi="宋体" w:eastAsia="宋体" w:cs="宋体"/>
          <w:b/>
          <w:bCs/>
          <w:color w:val="000000"/>
          <w:sz w:val="24"/>
          <w:szCs w:val="24"/>
          <w:highlight w:val="none"/>
        </w:rPr>
        <w:t>（2）立项程序规范性：</w:t>
      </w:r>
    </w:p>
    <w:p w14:paraId="515637A6">
      <w:pPr>
        <w:pageBreakBefore w:val="0"/>
        <w:widowControl w:val="0"/>
        <w:kinsoku/>
        <w:wordWrap/>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该项目按照规定的程序申请设立，具体内容为“2024年度自治区基层政协补助经费”；项目审批文件、材料符合相关要求，均按照</w:t>
      </w:r>
      <w:r>
        <w:rPr>
          <w:rFonts w:hint="eastAsia" w:ascii="宋体" w:hAnsi="宋体" w:eastAsia="宋体" w:cs="宋体"/>
          <w:color w:val="000000"/>
          <w:sz w:val="24"/>
          <w:szCs w:val="24"/>
          <w:highlight w:val="none"/>
          <w:lang w:eastAsia="zh-CN"/>
        </w:rPr>
        <w:t>《中央直达资金-和地财教[2023]60号：2024年城乡义务教育补助经费》</w:t>
      </w:r>
      <w:r>
        <w:rPr>
          <w:rFonts w:hint="eastAsia" w:ascii="宋体" w:hAnsi="宋体" w:eastAsia="宋体" w:cs="宋体"/>
          <w:color w:val="000000"/>
          <w:sz w:val="24"/>
          <w:szCs w:val="24"/>
          <w:highlight w:val="none"/>
        </w:rPr>
        <w:t>文件精神，制定本单位《资金使用方案》、做好绩效目标；该项目不涉及事前绩效评估和风险评估，但经过单位集体决策。</w:t>
      </w:r>
    </w:p>
    <w:p w14:paraId="2EE9DC36">
      <w:pPr>
        <w:pageBreakBefore w:val="0"/>
        <w:widowControl w:val="0"/>
        <w:kinsoku/>
        <w:wordWrap/>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b/>
          <w:bCs/>
          <w:color w:val="000000"/>
          <w:sz w:val="24"/>
          <w:szCs w:val="24"/>
          <w:highlight w:val="none"/>
        </w:rPr>
      </w:pPr>
      <w:r>
        <w:rPr>
          <w:rFonts w:hint="eastAsia" w:ascii="宋体" w:hAnsi="宋体" w:eastAsia="宋体" w:cs="宋体"/>
          <w:color w:val="000000"/>
          <w:sz w:val="24"/>
          <w:szCs w:val="24"/>
          <w:highlight w:val="none"/>
        </w:rPr>
        <w:t>综上所述，本指标满分为</w:t>
      </w:r>
      <w:r>
        <w:rPr>
          <w:rFonts w:hint="eastAsia" w:ascii="宋体" w:hAnsi="宋体" w:eastAsia="宋体" w:cs="宋体"/>
          <w:color w:val="000000"/>
          <w:sz w:val="24"/>
          <w:szCs w:val="24"/>
          <w:highlight w:val="none"/>
          <w:lang w:val="en-US" w:eastAsia="zh-CN"/>
        </w:rPr>
        <w:t>3</w:t>
      </w:r>
      <w:r>
        <w:rPr>
          <w:rFonts w:hint="eastAsia" w:ascii="宋体" w:hAnsi="宋体" w:eastAsia="宋体" w:cs="宋体"/>
          <w:color w:val="000000"/>
          <w:sz w:val="24"/>
          <w:szCs w:val="24"/>
          <w:highlight w:val="none"/>
        </w:rPr>
        <w:t>分，根据评分标准得</w:t>
      </w:r>
      <w:r>
        <w:rPr>
          <w:rFonts w:hint="eastAsia" w:ascii="宋体" w:hAnsi="宋体" w:eastAsia="宋体" w:cs="宋体"/>
          <w:color w:val="000000"/>
          <w:sz w:val="24"/>
          <w:szCs w:val="24"/>
          <w:highlight w:val="none"/>
          <w:lang w:val="en-US" w:eastAsia="zh-CN"/>
        </w:rPr>
        <w:t>3</w:t>
      </w:r>
      <w:r>
        <w:rPr>
          <w:rFonts w:hint="eastAsia" w:ascii="宋体" w:hAnsi="宋体" w:eastAsia="宋体" w:cs="宋体"/>
          <w:color w:val="000000"/>
          <w:sz w:val="24"/>
          <w:szCs w:val="24"/>
          <w:highlight w:val="none"/>
        </w:rPr>
        <w:t>分，本项目立项依据充分。</w:t>
      </w:r>
    </w:p>
    <w:p w14:paraId="4CD68109">
      <w:pPr>
        <w:pageBreakBefore w:val="0"/>
        <w:widowControl w:val="0"/>
        <w:kinsoku/>
        <w:wordWrap/>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000000"/>
          <w:sz w:val="24"/>
          <w:szCs w:val="24"/>
          <w:highlight w:val="none"/>
        </w:rPr>
      </w:pPr>
      <w:r>
        <w:rPr>
          <w:rFonts w:hint="eastAsia" w:ascii="宋体" w:hAnsi="宋体" w:eastAsia="宋体" w:cs="宋体"/>
          <w:b/>
          <w:bCs/>
          <w:color w:val="000000"/>
          <w:sz w:val="24"/>
          <w:szCs w:val="24"/>
          <w:highlight w:val="none"/>
        </w:rPr>
        <w:t>（3）绩效目标合理性</w:t>
      </w:r>
      <w:r>
        <w:rPr>
          <w:rFonts w:hint="eastAsia" w:ascii="宋体" w:hAnsi="宋体" w:eastAsia="宋体" w:cs="宋体"/>
          <w:color w:val="000000"/>
          <w:sz w:val="24"/>
          <w:szCs w:val="24"/>
          <w:highlight w:val="none"/>
        </w:rPr>
        <w:t>：</w:t>
      </w:r>
    </w:p>
    <w:p w14:paraId="5D2E6A2A">
      <w:pPr>
        <w:pageBreakBefore w:val="0"/>
        <w:widowControl w:val="0"/>
        <w:kinsoku/>
        <w:wordWrap/>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①该项目已设置年度绩效目标，</w:t>
      </w:r>
      <w:r>
        <w:rPr>
          <w:rFonts w:ascii="宋体" w:hAnsi="宋体" w:eastAsia="宋体" w:cs="宋体"/>
          <w:sz w:val="24"/>
          <w:szCs w:val="24"/>
          <w:highlight w:val="none"/>
        </w:rPr>
        <w:t>根据【2023】60号文件实施此项目，项目主要内容保障学生数量1765人的寄宿生生活补助和营养改善及学校公用经费，通过项目的实施，有效提升学校的教育教学能力，持续推行素质教育，争取受益学生及受益在职人员满意度达到95%以上</w:t>
      </w:r>
      <w:r>
        <w:rPr>
          <w:rFonts w:hint="eastAsia" w:ascii="宋体" w:hAnsi="宋体" w:eastAsia="宋体" w:cs="宋体"/>
          <w:color w:val="000000"/>
          <w:sz w:val="24"/>
          <w:szCs w:val="24"/>
          <w:highlight w:val="none"/>
        </w:rPr>
        <w:t>。</w:t>
      </w:r>
    </w:p>
    <w:p w14:paraId="26DFA1E9">
      <w:pPr>
        <w:pageBreakBefore w:val="0"/>
        <w:widowControl w:val="0"/>
        <w:kinsoku/>
        <w:wordWrap/>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根据评分标准，该指标不扣分，得</w:t>
      </w:r>
      <w:r>
        <w:rPr>
          <w:rFonts w:hint="eastAsia" w:ascii="宋体" w:hAnsi="宋体" w:eastAsia="宋体" w:cs="宋体"/>
          <w:color w:val="000000"/>
          <w:sz w:val="24"/>
          <w:szCs w:val="24"/>
          <w:highlight w:val="none"/>
          <w:lang w:val="en-US" w:eastAsia="zh-CN"/>
        </w:rPr>
        <w:t>5</w:t>
      </w:r>
      <w:r>
        <w:rPr>
          <w:rFonts w:hint="eastAsia" w:ascii="宋体" w:hAnsi="宋体" w:eastAsia="宋体" w:cs="宋体"/>
          <w:color w:val="000000"/>
          <w:sz w:val="24"/>
          <w:szCs w:val="24"/>
          <w:highlight w:val="none"/>
        </w:rPr>
        <w:t>分。</w:t>
      </w:r>
    </w:p>
    <w:p w14:paraId="35BAEC2D">
      <w:pPr>
        <w:pageBreakBefore w:val="0"/>
        <w:widowControl w:val="0"/>
        <w:kinsoku/>
        <w:wordWrap/>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000000"/>
          <w:sz w:val="24"/>
          <w:szCs w:val="24"/>
        </w:rPr>
      </w:pPr>
      <w:r>
        <w:rPr>
          <w:rFonts w:hint="eastAsia" w:ascii="宋体" w:hAnsi="宋体" w:eastAsia="宋体" w:cs="宋体"/>
          <w:b/>
          <w:bCs/>
          <w:color w:val="000000"/>
          <w:sz w:val="24"/>
          <w:szCs w:val="24"/>
        </w:rPr>
        <w:t>（4）绩效指标明确性：</w:t>
      </w:r>
      <w:r>
        <w:rPr>
          <w:rFonts w:hint="eastAsia" w:ascii="宋体" w:hAnsi="宋体" w:eastAsia="宋体" w:cs="宋体"/>
          <w:color w:val="000000"/>
          <w:sz w:val="24"/>
          <w:szCs w:val="24"/>
        </w:rPr>
        <w:t>经检查我单位年初设置的《项目支出绩效目标表》，得出如下结论：本项目已将年度绩效目标进行细化为绩效指标体系，共设置一级指标5个，二级指标6个，三级指标7个，定量指标0个，定性指标7个，指标量化率为85.7%，量化率达75.0%以上，将项目绩效目标细化分解为具体的绩效指标。</w:t>
      </w:r>
    </w:p>
    <w:p w14:paraId="32120687">
      <w:pPr>
        <w:pageBreakBefore w:val="0"/>
        <w:widowControl w:val="0"/>
        <w:kinsoku/>
        <w:wordWrap/>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该《项目绩效目标申报表》中，数量指标指标值为=1765人、三级指标的年度指标值与年度绩效目标中任务数一致，已设置时效指标“=100%”。已设置的绩效目标具备明确性、可衡量性、可实现性、相关性、时限性。</w:t>
      </w:r>
    </w:p>
    <w:p w14:paraId="46B6658D">
      <w:pPr>
        <w:pageBreakBefore w:val="0"/>
        <w:widowControl w:val="0"/>
        <w:kinsoku/>
        <w:wordWrap/>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b w:val="0"/>
          <w:bCs w:val="0"/>
          <w:color w:val="000000"/>
          <w:sz w:val="24"/>
          <w:szCs w:val="24"/>
        </w:rPr>
      </w:pPr>
      <w:r>
        <w:rPr>
          <w:rFonts w:hint="eastAsia" w:ascii="宋体" w:hAnsi="宋体" w:eastAsia="宋体" w:cs="宋体"/>
          <w:color w:val="000000"/>
          <w:sz w:val="24"/>
          <w:szCs w:val="24"/>
        </w:rPr>
        <w:t>根据评分标准，该指标不扣</w:t>
      </w:r>
      <w:r>
        <w:rPr>
          <w:rFonts w:hint="eastAsia" w:ascii="宋体" w:hAnsi="宋体" w:eastAsia="宋体" w:cs="宋体"/>
          <w:b w:val="0"/>
          <w:bCs w:val="0"/>
          <w:color w:val="000000"/>
          <w:sz w:val="24"/>
          <w:szCs w:val="24"/>
        </w:rPr>
        <w:t>分，得</w:t>
      </w:r>
      <w:r>
        <w:rPr>
          <w:rFonts w:hint="eastAsia" w:ascii="宋体" w:hAnsi="宋体" w:eastAsia="宋体" w:cs="宋体"/>
          <w:b w:val="0"/>
          <w:bCs w:val="0"/>
          <w:color w:val="000000"/>
          <w:sz w:val="24"/>
          <w:szCs w:val="24"/>
          <w:lang w:val="en-US" w:eastAsia="zh-CN"/>
        </w:rPr>
        <w:t>5</w:t>
      </w:r>
      <w:r>
        <w:rPr>
          <w:rFonts w:hint="eastAsia" w:ascii="宋体" w:hAnsi="宋体" w:eastAsia="宋体" w:cs="宋体"/>
          <w:b w:val="0"/>
          <w:bCs w:val="0"/>
          <w:color w:val="000000"/>
          <w:sz w:val="24"/>
          <w:szCs w:val="24"/>
        </w:rPr>
        <w:t>分。</w:t>
      </w:r>
    </w:p>
    <w:p w14:paraId="64D08DC1">
      <w:pPr>
        <w:pageBreakBefore w:val="0"/>
        <w:widowControl w:val="0"/>
        <w:numPr>
          <w:ilvl w:val="0"/>
          <w:numId w:val="7"/>
        </w:numPr>
        <w:kinsoku/>
        <w:wordWrap/>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b/>
          <w:bCs/>
          <w:color w:val="000000"/>
          <w:sz w:val="24"/>
          <w:szCs w:val="24"/>
        </w:rPr>
      </w:pPr>
      <w:r>
        <w:rPr>
          <w:rFonts w:hint="eastAsia" w:ascii="宋体" w:hAnsi="宋体" w:eastAsia="宋体" w:cs="宋体"/>
          <w:b/>
          <w:bCs/>
          <w:color w:val="000000"/>
          <w:sz w:val="24"/>
          <w:szCs w:val="24"/>
        </w:rPr>
        <w:t>预算编制科学性：</w:t>
      </w:r>
    </w:p>
    <w:p w14:paraId="116FC496">
      <w:pPr>
        <w:pageBreakBefore w:val="0"/>
        <w:widowControl w:val="0"/>
        <w:kinsoku/>
        <w:wordWrap/>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通过实施本项目，该项目目标与实际工作内容具有相关性；该项目按照绩效目标完成数量指标、质量指标、时效指标、成本指标，完成率为100%，达到</w:t>
      </w:r>
      <w:r>
        <w:rPr>
          <w:rFonts w:hint="eastAsia" w:ascii="宋体" w:hAnsi="宋体" w:eastAsia="宋体" w:cs="宋体"/>
          <w:color w:val="000000"/>
          <w:sz w:val="24"/>
          <w:szCs w:val="24"/>
          <w:lang w:eastAsia="zh-CN"/>
        </w:rPr>
        <w:t>有效提升</w:t>
      </w:r>
      <w:r>
        <w:rPr>
          <w:rFonts w:hint="eastAsia" w:ascii="宋体" w:hAnsi="宋体" w:eastAsia="宋体" w:cs="宋体"/>
          <w:color w:val="000000"/>
          <w:sz w:val="24"/>
          <w:szCs w:val="24"/>
        </w:rPr>
        <w:t xml:space="preserve">政协委员参政议政职能水平，提高政协委员建言献策质量和监督水平，提升召开政协会议对社会的影响力，确保单位各项工作正常运行，预期产出效益和效果是均符合正常的业绩水平； </w:t>
      </w:r>
    </w:p>
    <w:p w14:paraId="095CA5C5">
      <w:pPr>
        <w:pageBreakBefore w:val="0"/>
        <w:widowControl w:val="0"/>
        <w:kinsoku/>
        <w:wordWrap/>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根据评分标准，该指标不扣分，得</w:t>
      </w:r>
      <w:r>
        <w:rPr>
          <w:rFonts w:hint="eastAsia" w:ascii="宋体" w:hAnsi="宋体" w:eastAsia="宋体" w:cs="宋体"/>
          <w:color w:val="000000"/>
          <w:sz w:val="24"/>
          <w:szCs w:val="24"/>
          <w:lang w:val="en-US" w:eastAsia="zh-CN"/>
        </w:rPr>
        <w:t>4</w:t>
      </w:r>
      <w:r>
        <w:rPr>
          <w:rFonts w:hint="eastAsia" w:ascii="宋体" w:hAnsi="宋体" w:eastAsia="宋体" w:cs="宋体"/>
          <w:color w:val="000000"/>
          <w:sz w:val="24"/>
          <w:szCs w:val="24"/>
        </w:rPr>
        <w:t>分。</w:t>
      </w:r>
    </w:p>
    <w:p w14:paraId="68CD3443">
      <w:pPr>
        <w:pageBreakBefore w:val="0"/>
        <w:widowControl w:val="0"/>
        <w:numPr>
          <w:ilvl w:val="0"/>
          <w:numId w:val="7"/>
        </w:numPr>
        <w:kinsoku/>
        <w:wordWrap/>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b/>
          <w:bCs/>
          <w:color w:val="000000"/>
          <w:sz w:val="24"/>
          <w:szCs w:val="24"/>
        </w:rPr>
      </w:pPr>
      <w:r>
        <w:rPr>
          <w:rFonts w:hint="eastAsia" w:ascii="宋体" w:hAnsi="宋体" w:eastAsia="宋体" w:cs="宋体"/>
          <w:b/>
          <w:bCs/>
          <w:color w:val="000000"/>
          <w:sz w:val="24"/>
          <w:szCs w:val="24"/>
        </w:rPr>
        <w:t>资金分配合理性：</w:t>
      </w:r>
    </w:p>
    <w:p w14:paraId="18DC6469">
      <w:pPr>
        <w:pageBreakBefore w:val="0"/>
        <w:widowControl w:val="0"/>
        <w:kinsoku/>
        <w:wordWrap/>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本项目立项符合自治区财政厅颁发的</w:t>
      </w:r>
      <w:r>
        <w:rPr>
          <w:rFonts w:hint="eastAsia" w:ascii="宋体" w:hAnsi="宋体" w:eastAsia="宋体" w:cs="宋体"/>
          <w:color w:val="000000"/>
          <w:sz w:val="24"/>
          <w:szCs w:val="24"/>
          <w:lang w:eastAsia="zh-CN"/>
        </w:rPr>
        <w:t>中央直达资金-和地财教[2023]60号：2024年城乡义务教育补助经费</w:t>
      </w:r>
      <w:r>
        <w:rPr>
          <w:rFonts w:hint="eastAsia" w:ascii="宋体" w:hAnsi="宋体" w:eastAsia="宋体" w:cs="宋体"/>
          <w:color w:val="000000"/>
          <w:sz w:val="24"/>
          <w:szCs w:val="24"/>
        </w:rPr>
        <w:t>中：“中央直达资金-和地财教[2023]60号：2024年城乡义务教育补助经费”；本项目立项符合《自治区财政厅颁发的</w:t>
      </w:r>
      <w:r>
        <w:rPr>
          <w:rFonts w:hint="eastAsia" w:ascii="宋体" w:hAnsi="宋体" w:eastAsia="宋体" w:cs="宋体"/>
          <w:color w:val="000000"/>
          <w:sz w:val="24"/>
          <w:szCs w:val="24"/>
          <w:lang w:eastAsia="zh-CN"/>
        </w:rPr>
        <w:t>中央直达资金-和地财教[2023]60号：2024年城乡义务教育补助经费</w:t>
      </w:r>
      <w:r>
        <w:rPr>
          <w:rFonts w:hint="eastAsia" w:ascii="宋体" w:hAnsi="宋体" w:eastAsia="宋体" w:cs="宋体"/>
          <w:color w:val="000000"/>
          <w:sz w:val="24"/>
          <w:szCs w:val="24"/>
        </w:rPr>
        <w:t>》中：“中央直达资金-和地财教[2023]60号：2024年城乡义务教育补助经费”内容，符合行业发展规划和政策要求；本项目立项符合《洛浦县杭桂镇中学单位配置内设机构和人员编制规定》中职责范围中的“公用经费，营养改善”，属于我单位履职所需；</w:t>
      </w:r>
    </w:p>
    <w:p w14:paraId="454A78BB">
      <w:pPr>
        <w:pageBreakBefore w:val="0"/>
        <w:widowControl w:val="0"/>
        <w:kinsoku/>
        <w:wordWrap/>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根据评分标准，该指标不扣分，得</w:t>
      </w:r>
      <w:r>
        <w:rPr>
          <w:rFonts w:hint="eastAsia" w:ascii="宋体" w:hAnsi="宋体" w:eastAsia="宋体" w:cs="宋体"/>
          <w:color w:val="000000"/>
          <w:sz w:val="24"/>
          <w:szCs w:val="24"/>
          <w:lang w:val="en-US" w:eastAsia="zh-CN"/>
        </w:rPr>
        <w:t>4</w:t>
      </w:r>
      <w:r>
        <w:rPr>
          <w:rFonts w:hint="eastAsia" w:ascii="宋体" w:hAnsi="宋体" w:eastAsia="宋体" w:cs="宋体"/>
          <w:color w:val="000000"/>
          <w:sz w:val="24"/>
          <w:szCs w:val="24"/>
        </w:rPr>
        <w:t>分。</w:t>
      </w:r>
    </w:p>
    <w:p w14:paraId="4190E8A4">
      <w:pPr>
        <w:pStyle w:val="50"/>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（二）项目过程情况</w:t>
      </w:r>
    </w:p>
    <w:p w14:paraId="35AB3B14">
      <w:pPr>
        <w:pageBreakBefore w:val="0"/>
        <w:widowControl w:val="0"/>
        <w:kinsoku/>
        <w:wordWrap/>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项目过程类指标包括资金管理和组织实施两方面的内容，由7个三级指标构成，权重分为</w:t>
      </w:r>
      <w:r>
        <w:rPr>
          <w:rFonts w:hint="eastAsia" w:ascii="宋体" w:hAnsi="宋体" w:eastAsia="宋体" w:cs="宋体"/>
          <w:color w:val="000000"/>
          <w:sz w:val="24"/>
          <w:szCs w:val="24"/>
          <w:lang w:val="en-US" w:eastAsia="zh-CN"/>
        </w:rPr>
        <w:t>12</w:t>
      </w:r>
      <w:r>
        <w:rPr>
          <w:rFonts w:hint="eastAsia" w:ascii="宋体" w:hAnsi="宋体" w:eastAsia="宋体" w:cs="宋体"/>
          <w:color w:val="000000"/>
          <w:sz w:val="24"/>
          <w:szCs w:val="24"/>
        </w:rPr>
        <w:t>分，实际得分</w:t>
      </w:r>
      <w:r>
        <w:rPr>
          <w:rFonts w:hint="eastAsia" w:ascii="宋体" w:hAnsi="宋体" w:eastAsia="宋体" w:cs="宋体"/>
          <w:color w:val="000000"/>
          <w:sz w:val="24"/>
          <w:szCs w:val="24"/>
          <w:lang w:val="en-US" w:eastAsia="zh-CN"/>
        </w:rPr>
        <w:t>12</w:t>
      </w:r>
      <w:r>
        <w:rPr>
          <w:rFonts w:hint="eastAsia" w:ascii="宋体" w:hAnsi="宋体" w:eastAsia="宋体" w:cs="宋体"/>
          <w:color w:val="000000"/>
          <w:sz w:val="24"/>
          <w:szCs w:val="24"/>
        </w:rPr>
        <w:t>分，得分率为100%。</w:t>
      </w:r>
    </w:p>
    <w:p w14:paraId="626597A3">
      <w:pPr>
        <w:pageBreakBefore w:val="0"/>
        <w:widowControl w:val="0"/>
        <w:kinsoku/>
        <w:wordWrap/>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000000"/>
          <w:sz w:val="24"/>
          <w:szCs w:val="24"/>
        </w:rPr>
      </w:pPr>
      <w:r>
        <w:rPr>
          <w:rFonts w:hint="eastAsia" w:ascii="宋体" w:hAnsi="宋体" w:eastAsia="宋体" w:cs="宋体"/>
          <w:b/>
          <w:bCs/>
          <w:color w:val="000000"/>
          <w:sz w:val="24"/>
          <w:szCs w:val="24"/>
        </w:rPr>
        <w:t>（1）资金到位率：</w:t>
      </w:r>
      <w:r>
        <w:rPr>
          <w:rFonts w:hint="eastAsia" w:ascii="宋体" w:hAnsi="宋体" w:eastAsia="宋体" w:cs="宋体"/>
          <w:color w:val="000000"/>
          <w:sz w:val="24"/>
          <w:szCs w:val="24"/>
        </w:rPr>
        <w:t>本项目预算资金为497.33万元，其中：财政安排资金497.33万元，其他资金0万元，实际到位资金497.33万元，资金到位率=100%；通过分析可知，该项目财政资金足额拨付到位，能够及时足额支付给实施单位。根据评分标准，该指标不扣分，得</w:t>
      </w:r>
      <w:r>
        <w:rPr>
          <w:rFonts w:hint="eastAsia" w:ascii="宋体" w:hAnsi="宋体" w:eastAsia="宋体" w:cs="宋体"/>
          <w:color w:val="000000"/>
          <w:sz w:val="24"/>
          <w:szCs w:val="24"/>
          <w:lang w:val="en-US" w:eastAsia="zh-CN"/>
        </w:rPr>
        <w:t>1</w:t>
      </w:r>
      <w:r>
        <w:rPr>
          <w:rFonts w:hint="eastAsia" w:ascii="宋体" w:hAnsi="宋体" w:eastAsia="宋体" w:cs="宋体"/>
          <w:color w:val="000000"/>
          <w:sz w:val="24"/>
          <w:szCs w:val="24"/>
        </w:rPr>
        <w:t xml:space="preserve">分。   </w:t>
      </w:r>
    </w:p>
    <w:p w14:paraId="001B590D">
      <w:pPr>
        <w:pageBreakBefore w:val="0"/>
        <w:widowControl w:val="0"/>
        <w:kinsoku/>
        <w:wordWrap/>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000000"/>
          <w:sz w:val="24"/>
          <w:szCs w:val="24"/>
        </w:rPr>
      </w:pPr>
      <w:r>
        <w:rPr>
          <w:rFonts w:hint="eastAsia" w:ascii="宋体" w:hAnsi="宋体" w:eastAsia="宋体" w:cs="宋体"/>
          <w:b/>
          <w:bCs/>
          <w:color w:val="000000"/>
          <w:sz w:val="24"/>
          <w:szCs w:val="24"/>
        </w:rPr>
        <w:t>（2）预算执行率：</w:t>
      </w:r>
      <w:r>
        <w:rPr>
          <w:rFonts w:hint="eastAsia" w:ascii="宋体" w:hAnsi="宋体" w:eastAsia="宋体" w:cs="宋体"/>
          <w:color w:val="000000"/>
          <w:sz w:val="24"/>
          <w:szCs w:val="24"/>
        </w:rPr>
        <w:t>本项目实际支出资金497.33万元，预算执行率=（实际支出资金/实际到位资金）×100.0%=100</w:t>
      </w:r>
      <w:r>
        <w:rPr>
          <w:rFonts w:hint="eastAsia" w:ascii="宋体" w:hAnsi="宋体" w:eastAsia="宋体" w:cs="宋体"/>
          <w:b w:val="0"/>
          <w:bCs w:val="0"/>
          <w:color w:val="000000"/>
          <w:sz w:val="24"/>
          <w:szCs w:val="24"/>
        </w:rPr>
        <w:t>%；通过分析可知，该项目预算编制较为详细，</w:t>
      </w:r>
      <w:r>
        <w:rPr>
          <w:rFonts w:hint="eastAsia" w:ascii="宋体" w:hAnsi="宋体" w:eastAsia="宋体" w:cs="宋体"/>
          <w:color w:val="000000"/>
          <w:sz w:val="24"/>
          <w:szCs w:val="24"/>
        </w:rPr>
        <w:t>项目资金支出总体能够按照预算执行，根据评分标准，该指标不扣分，得</w:t>
      </w:r>
      <w:r>
        <w:rPr>
          <w:rFonts w:hint="eastAsia" w:ascii="宋体" w:hAnsi="宋体" w:eastAsia="宋体" w:cs="宋体"/>
          <w:color w:val="000000"/>
          <w:sz w:val="24"/>
          <w:szCs w:val="24"/>
          <w:lang w:val="en-US" w:eastAsia="zh-CN"/>
        </w:rPr>
        <w:t>2</w:t>
      </w:r>
      <w:r>
        <w:rPr>
          <w:rFonts w:hint="eastAsia" w:ascii="宋体" w:hAnsi="宋体" w:eastAsia="宋体" w:cs="宋体"/>
          <w:color w:val="000000"/>
          <w:sz w:val="24"/>
          <w:szCs w:val="24"/>
        </w:rPr>
        <w:t>分。</w:t>
      </w:r>
    </w:p>
    <w:p w14:paraId="4C8029CF">
      <w:pPr>
        <w:pageBreakBefore w:val="0"/>
        <w:widowControl w:val="0"/>
        <w:kinsoku/>
        <w:wordWrap/>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000000"/>
          <w:sz w:val="24"/>
          <w:szCs w:val="24"/>
        </w:rPr>
      </w:pPr>
      <w:r>
        <w:rPr>
          <w:rFonts w:hint="eastAsia" w:ascii="宋体" w:hAnsi="宋体" w:eastAsia="宋体" w:cs="宋体"/>
          <w:b/>
          <w:bCs/>
          <w:color w:val="000000"/>
          <w:sz w:val="24"/>
          <w:szCs w:val="24"/>
        </w:rPr>
        <w:t>（3）资金使用合规性：</w:t>
      </w:r>
      <w:r>
        <w:rPr>
          <w:rFonts w:hint="eastAsia" w:ascii="宋体" w:hAnsi="宋体" w:eastAsia="宋体" w:cs="宋体"/>
          <w:color w:val="000000"/>
          <w:sz w:val="24"/>
          <w:szCs w:val="24"/>
        </w:rPr>
        <w:t>通过检查项目资金申请文件、国库支付凭证等财务资料，得出本项目资金支出符合国家财经法规、《政府会计制度》《洛浦县杭桂镇中学单位资金管理办法》《中央直达资金专项资金管理办法》，资金的拨付有完整的审批程序和手续，资金实际使用方向与预算批复用途一致，不存在截留、挤占、挪用、虚列支出的情况。我单位制定了相关的制度和管理规定对经费使用进行规范管理，财务制度健全、执行严格，根据评分标准，该指标不扣分，得</w:t>
      </w:r>
      <w:r>
        <w:rPr>
          <w:rFonts w:hint="eastAsia" w:ascii="宋体" w:hAnsi="宋体" w:eastAsia="宋体" w:cs="宋体"/>
          <w:color w:val="000000"/>
          <w:sz w:val="24"/>
          <w:szCs w:val="24"/>
          <w:lang w:val="en-US" w:eastAsia="zh-CN"/>
        </w:rPr>
        <w:t>3</w:t>
      </w:r>
      <w:r>
        <w:rPr>
          <w:rFonts w:hint="eastAsia" w:ascii="宋体" w:hAnsi="宋体" w:eastAsia="宋体" w:cs="宋体"/>
          <w:color w:val="000000"/>
          <w:sz w:val="24"/>
          <w:szCs w:val="24"/>
        </w:rPr>
        <w:t>分。</w:t>
      </w:r>
    </w:p>
    <w:p w14:paraId="3F8B0EF4">
      <w:pPr>
        <w:pageBreakBefore w:val="0"/>
        <w:widowControl w:val="0"/>
        <w:kinsoku/>
        <w:wordWrap/>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w:t>
      </w:r>
      <w:r>
        <w:rPr>
          <w:rFonts w:hint="eastAsia" w:ascii="宋体" w:hAnsi="宋体" w:eastAsia="宋体" w:cs="宋体"/>
          <w:b/>
          <w:bCs/>
          <w:color w:val="000000"/>
          <w:sz w:val="24"/>
          <w:szCs w:val="24"/>
        </w:rPr>
        <w:t>4）管理制度健全性：</w:t>
      </w:r>
      <w:r>
        <w:rPr>
          <w:rFonts w:hint="eastAsia" w:ascii="宋体" w:hAnsi="宋体" w:eastAsia="宋体" w:cs="宋体"/>
          <w:color w:val="000000"/>
          <w:sz w:val="24"/>
          <w:szCs w:val="24"/>
        </w:rPr>
        <w:t>我单位已制定《洛浦县</w:t>
      </w:r>
      <w:r>
        <w:rPr>
          <w:rFonts w:hint="eastAsia" w:ascii="宋体" w:hAnsi="宋体" w:eastAsia="宋体" w:cs="宋体"/>
          <w:color w:val="000000"/>
          <w:sz w:val="24"/>
          <w:szCs w:val="24"/>
          <w:lang w:val="en-US" w:eastAsia="zh-CN"/>
        </w:rPr>
        <w:t>杭桂镇中学</w:t>
      </w:r>
      <w:r>
        <w:rPr>
          <w:rFonts w:hint="eastAsia" w:ascii="宋体" w:hAnsi="宋体" w:eastAsia="宋体" w:cs="宋体"/>
          <w:color w:val="000000"/>
          <w:sz w:val="24"/>
          <w:szCs w:val="24"/>
        </w:rPr>
        <w:t>资金管理办法》《洛浦县</w:t>
      </w:r>
      <w:r>
        <w:rPr>
          <w:rFonts w:hint="eastAsia" w:ascii="宋体" w:hAnsi="宋体" w:eastAsia="宋体" w:cs="宋体"/>
          <w:color w:val="000000"/>
          <w:sz w:val="24"/>
          <w:szCs w:val="24"/>
          <w:lang w:val="en-US" w:eastAsia="zh-CN"/>
        </w:rPr>
        <w:t>杭桂镇中学</w:t>
      </w:r>
      <w:r>
        <w:rPr>
          <w:rFonts w:hint="eastAsia" w:ascii="宋体" w:hAnsi="宋体" w:eastAsia="宋体" w:cs="宋体"/>
          <w:color w:val="000000"/>
          <w:sz w:val="24"/>
          <w:szCs w:val="24"/>
        </w:rPr>
        <w:t>收支业务管理制度》《洛浦县</w:t>
      </w:r>
      <w:r>
        <w:rPr>
          <w:rFonts w:hint="eastAsia" w:ascii="宋体" w:hAnsi="宋体" w:eastAsia="宋体" w:cs="宋体"/>
          <w:color w:val="000000"/>
          <w:sz w:val="24"/>
          <w:szCs w:val="24"/>
          <w:lang w:val="en-US" w:eastAsia="zh-CN"/>
        </w:rPr>
        <w:t>杭桂镇中学</w:t>
      </w:r>
      <w:r>
        <w:rPr>
          <w:rFonts w:hint="eastAsia" w:ascii="宋体" w:hAnsi="宋体" w:eastAsia="宋体" w:cs="宋体"/>
          <w:color w:val="000000"/>
          <w:sz w:val="24"/>
          <w:szCs w:val="24"/>
        </w:rPr>
        <w:t>政府采购业务管理制度》《洛浦县</w:t>
      </w:r>
      <w:r>
        <w:rPr>
          <w:rFonts w:hint="eastAsia" w:ascii="宋体" w:hAnsi="宋体" w:eastAsia="宋体" w:cs="宋体"/>
          <w:color w:val="000000"/>
          <w:sz w:val="24"/>
          <w:szCs w:val="24"/>
          <w:lang w:val="en-US" w:eastAsia="zh-CN"/>
        </w:rPr>
        <w:t>杭桂镇中学</w:t>
      </w:r>
      <w:r>
        <w:rPr>
          <w:rFonts w:hint="eastAsia" w:ascii="宋体" w:hAnsi="宋体" w:eastAsia="宋体" w:cs="宋体"/>
          <w:color w:val="000000"/>
          <w:sz w:val="24"/>
          <w:szCs w:val="24"/>
        </w:rPr>
        <w:t>合同管理制度》，相关制度均符合行政事业单位内控管理要求，财务和业务管理制度合法、合规、完整，本项目执行符合上述制度规定。根据评分标准，该指标不扣分，得</w:t>
      </w:r>
      <w:r>
        <w:rPr>
          <w:rFonts w:hint="eastAsia" w:ascii="宋体" w:hAnsi="宋体" w:eastAsia="宋体" w:cs="宋体"/>
          <w:color w:val="000000"/>
          <w:sz w:val="24"/>
          <w:szCs w:val="24"/>
          <w:lang w:val="en-US" w:eastAsia="zh-CN"/>
        </w:rPr>
        <w:t>3</w:t>
      </w:r>
      <w:r>
        <w:rPr>
          <w:rFonts w:hint="eastAsia" w:ascii="宋体" w:hAnsi="宋体" w:eastAsia="宋体" w:cs="宋体"/>
          <w:color w:val="000000"/>
          <w:sz w:val="24"/>
          <w:szCs w:val="24"/>
        </w:rPr>
        <w:t>分。</w:t>
      </w:r>
    </w:p>
    <w:p w14:paraId="2366399B">
      <w:pPr>
        <w:pageBreakBefore w:val="0"/>
        <w:widowControl w:val="0"/>
        <w:kinsoku/>
        <w:wordWrap/>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000000"/>
          <w:sz w:val="24"/>
          <w:szCs w:val="24"/>
        </w:rPr>
      </w:pPr>
      <w:r>
        <w:rPr>
          <w:rFonts w:hint="eastAsia" w:ascii="宋体" w:hAnsi="宋体" w:eastAsia="宋体" w:cs="宋体"/>
          <w:b/>
          <w:bCs/>
          <w:color w:val="000000"/>
          <w:sz w:val="24"/>
          <w:szCs w:val="24"/>
        </w:rPr>
        <w:t>（5）制度执行有效性</w:t>
      </w:r>
      <w:r>
        <w:rPr>
          <w:rFonts w:hint="eastAsia" w:ascii="宋体" w:hAnsi="宋体" w:eastAsia="宋体" w:cs="宋体"/>
          <w:color w:val="000000"/>
          <w:sz w:val="24"/>
          <w:szCs w:val="24"/>
        </w:rPr>
        <w:t>：①该项目的实施符合《</w:t>
      </w:r>
      <w:r>
        <w:rPr>
          <w:rFonts w:hint="eastAsia" w:ascii="宋体" w:hAnsi="宋体" w:eastAsia="宋体" w:cs="宋体"/>
          <w:color w:val="000000"/>
          <w:sz w:val="24"/>
          <w:szCs w:val="24"/>
          <w:lang w:eastAsia="zh-CN"/>
        </w:rPr>
        <w:t>洛浦县杭桂镇中学</w:t>
      </w:r>
      <w:r>
        <w:rPr>
          <w:rFonts w:hint="eastAsia" w:ascii="宋体" w:hAnsi="宋体" w:eastAsia="宋体" w:cs="宋体"/>
          <w:color w:val="000000"/>
          <w:sz w:val="24"/>
          <w:szCs w:val="24"/>
        </w:rPr>
        <w:t>资金管理办法》《</w:t>
      </w:r>
      <w:r>
        <w:rPr>
          <w:rFonts w:hint="eastAsia" w:ascii="宋体" w:hAnsi="宋体" w:eastAsia="宋体" w:cs="宋体"/>
          <w:color w:val="000000"/>
          <w:sz w:val="24"/>
          <w:szCs w:val="24"/>
          <w:lang w:eastAsia="zh-CN"/>
        </w:rPr>
        <w:t>洛浦县杭桂镇中学</w:t>
      </w:r>
      <w:r>
        <w:rPr>
          <w:rFonts w:hint="eastAsia" w:ascii="宋体" w:hAnsi="宋体" w:eastAsia="宋体" w:cs="宋体"/>
          <w:color w:val="000000"/>
          <w:sz w:val="24"/>
          <w:szCs w:val="24"/>
        </w:rPr>
        <w:t>政府采购业务管理制度》《</w:t>
      </w:r>
      <w:r>
        <w:rPr>
          <w:rFonts w:hint="eastAsia" w:ascii="宋体" w:hAnsi="宋体" w:eastAsia="宋体" w:cs="宋体"/>
          <w:color w:val="000000"/>
          <w:sz w:val="24"/>
          <w:szCs w:val="24"/>
          <w:lang w:eastAsia="zh-CN"/>
        </w:rPr>
        <w:t>洛浦县杭桂镇中学</w:t>
      </w:r>
      <w:r>
        <w:rPr>
          <w:rFonts w:hint="eastAsia" w:ascii="宋体" w:hAnsi="宋体" w:eastAsia="宋体" w:cs="宋体"/>
          <w:color w:val="000000"/>
          <w:sz w:val="24"/>
          <w:szCs w:val="24"/>
        </w:rPr>
        <w:t>合同管理制度》等相关法律法规及管理规定，项目具备完整规范的立项程序；经查证项目实施过程资料，项目采购、实施、验收等过程均按照采购管理办法和合同管理办法等相关制度执行，基本完成既定目标；经查证党委会议纪要、项目资金支付审批表、记账凭证等资金拨付流程资料，项目资金拨付流程完整、手续齐全。综上分析，项目执行遵守相关法律法规和相关管理规定。</w:t>
      </w:r>
    </w:p>
    <w:p w14:paraId="6FEBA272">
      <w:pPr>
        <w:pageBreakBefore w:val="0"/>
        <w:widowControl w:val="0"/>
        <w:kinsoku/>
        <w:wordWrap/>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②经现场查证项目合同书、验收评审表、财务支付凭证等资料齐全并及时归档。</w:t>
      </w:r>
    </w:p>
    <w:p w14:paraId="228C08C4">
      <w:pPr>
        <w:pageBreakBefore w:val="0"/>
        <w:widowControl w:val="0"/>
        <w:kinsoku/>
        <w:wordWrap/>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③该项目是否存在调整，调整手续是否齐全，如未调整，则填“该项目实施过程中不存在调整事项”。</w:t>
      </w:r>
    </w:p>
    <w:p w14:paraId="20AA963F">
      <w:pPr>
        <w:pageBreakBefore w:val="0"/>
        <w:widowControl w:val="0"/>
        <w:kinsoku/>
        <w:wordWrap/>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④该项目实施所需要的项目人员和场地设备均已落实到位，具体涉及内容包括：项目资金支出严格按照自治区、地区以及本单位资金管理办法执行，项目启动实施后，为了加快本项目的实施，成立了中央直达资金-和地财教[2023]60号：2024年城乡义务教育补助经费项目工作领导小组，由艾则孜任组长，负责项目的组织工作；阿卜杜热依木任副组长，负责项目的实施工作；组员包括：阿卜杜瓦伊提和阿卜力孜，主要负责项目监督管理、验收以及资金核拨等工作。</w:t>
      </w:r>
    </w:p>
    <w:p w14:paraId="2D89E4C1">
      <w:pPr>
        <w:pageBreakBefore w:val="0"/>
        <w:widowControl w:val="0"/>
        <w:kinsoku/>
        <w:wordWrap/>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根据评分标准，该指标不扣分，得</w:t>
      </w:r>
      <w:r>
        <w:rPr>
          <w:rFonts w:hint="eastAsia" w:ascii="宋体" w:hAnsi="宋体" w:eastAsia="宋体" w:cs="宋体"/>
          <w:color w:val="000000"/>
          <w:sz w:val="24"/>
          <w:szCs w:val="24"/>
          <w:lang w:val="en-US" w:eastAsia="zh-CN"/>
        </w:rPr>
        <w:t>3</w:t>
      </w:r>
      <w:r>
        <w:rPr>
          <w:rFonts w:hint="eastAsia" w:ascii="宋体" w:hAnsi="宋体" w:eastAsia="宋体" w:cs="宋体"/>
          <w:color w:val="000000"/>
          <w:sz w:val="24"/>
          <w:szCs w:val="24"/>
        </w:rPr>
        <w:t>分。</w:t>
      </w:r>
    </w:p>
    <w:p w14:paraId="403EABD5">
      <w:pPr>
        <w:pStyle w:val="50"/>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（三）项目产出情况</w:t>
      </w:r>
    </w:p>
    <w:p w14:paraId="747F5EA1">
      <w:pPr>
        <w:pageBreakBefore w:val="0"/>
        <w:widowControl w:val="0"/>
        <w:kinsoku/>
        <w:wordWrap/>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项目产出类指标包括产出数量、产出质量、产出时效等三方面的内容，由3个三级指标构成，权重分为40分，实际得分40分，得分率为100%。</w:t>
      </w:r>
    </w:p>
    <w:p w14:paraId="145DA09E">
      <w:pPr>
        <w:pageBreakBefore w:val="0"/>
        <w:widowControl w:val="0"/>
        <w:numPr>
          <w:ilvl w:val="0"/>
          <w:numId w:val="8"/>
        </w:numPr>
        <w:kinsoku/>
        <w:wordWrap/>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b/>
          <w:bCs/>
          <w:color w:val="000000"/>
          <w:sz w:val="24"/>
          <w:szCs w:val="24"/>
        </w:rPr>
      </w:pPr>
      <w:r>
        <w:rPr>
          <w:rFonts w:hint="eastAsia" w:ascii="宋体" w:hAnsi="宋体" w:eastAsia="宋体" w:cs="宋体"/>
          <w:b/>
          <w:bCs/>
          <w:color w:val="000000"/>
          <w:sz w:val="24"/>
          <w:szCs w:val="24"/>
        </w:rPr>
        <w:t>对于“产出数量”</w:t>
      </w:r>
    </w:p>
    <w:p w14:paraId="4AC9D433">
      <w:pPr>
        <w:pageBreakBefore w:val="0"/>
        <w:widowControl w:val="0"/>
        <w:kinsoku/>
        <w:wordWrap/>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保障学生数量指标，预期指标值为1765人，实际完成值为1765人，指标完成率为100%，与预期目标一致，根据评分标准，该指标不扣分，得</w:t>
      </w:r>
      <w:r>
        <w:rPr>
          <w:rFonts w:hint="eastAsia" w:ascii="宋体" w:hAnsi="宋体" w:eastAsia="宋体" w:cs="宋体"/>
          <w:color w:val="000000"/>
          <w:sz w:val="24"/>
          <w:szCs w:val="24"/>
          <w:lang w:val="en-US" w:eastAsia="zh-CN"/>
        </w:rPr>
        <w:t>10</w:t>
      </w:r>
      <w:r>
        <w:rPr>
          <w:rFonts w:hint="eastAsia" w:ascii="宋体" w:hAnsi="宋体" w:eastAsia="宋体" w:cs="宋体"/>
          <w:color w:val="000000"/>
          <w:sz w:val="24"/>
          <w:szCs w:val="24"/>
        </w:rPr>
        <w:t>分。</w:t>
      </w:r>
    </w:p>
    <w:p w14:paraId="4593D792">
      <w:pPr>
        <w:pStyle w:val="10"/>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b w:val="0"/>
          <w:bCs/>
          <w:color w:val="000000"/>
          <w:sz w:val="24"/>
          <w:szCs w:val="24"/>
        </w:rPr>
      </w:pPr>
      <w:r>
        <w:rPr>
          <w:rFonts w:hint="eastAsia" w:ascii="宋体" w:hAnsi="宋体" w:eastAsia="宋体" w:cs="宋体"/>
          <w:b w:val="0"/>
          <w:bCs/>
          <w:color w:val="000000"/>
          <w:sz w:val="24"/>
          <w:szCs w:val="24"/>
        </w:rPr>
        <w:t>根据评分标准，该指标不扣分，得8分。</w:t>
      </w:r>
    </w:p>
    <w:p w14:paraId="01291CCC">
      <w:pPr>
        <w:pageBreakBefore w:val="0"/>
        <w:widowControl w:val="0"/>
        <w:numPr>
          <w:ilvl w:val="0"/>
          <w:numId w:val="8"/>
        </w:numPr>
        <w:kinsoku/>
        <w:wordWrap/>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b/>
          <w:bCs/>
          <w:color w:val="000000"/>
          <w:sz w:val="24"/>
          <w:szCs w:val="24"/>
        </w:rPr>
      </w:pPr>
      <w:r>
        <w:rPr>
          <w:rFonts w:hint="eastAsia" w:ascii="宋体" w:hAnsi="宋体" w:eastAsia="宋体" w:cs="宋体"/>
          <w:b/>
          <w:bCs/>
          <w:color w:val="000000"/>
          <w:sz w:val="24"/>
          <w:szCs w:val="24"/>
        </w:rPr>
        <w:t>对于“产出质量”：</w:t>
      </w:r>
    </w:p>
    <w:p w14:paraId="6472A95A">
      <w:pPr>
        <w:pageBreakBefore w:val="0"/>
        <w:widowControl w:val="0"/>
        <w:kinsoku/>
        <w:wordWrap/>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资金使用覆盖率指标，预期指标值为100%，实际完成值为</w:t>
      </w:r>
      <w:r>
        <w:rPr>
          <w:rFonts w:hint="eastAsia" w:ascii="宋体" w:hAnsi="宋体" w:eastAsia="宋体" w:cs="宋体"/>
          <w:color w:val="000000"/>
          <w:sz w:val="24"/>
          <w:szCs w:val="24"/>
          <w:lang w:val="en-US" w:eastAsia="zh-CN"/>
        </w:rPr>
        <w:t>100%</w:t>
      </w:r>
      <w:r>
        <w:rPr>
          <w:rFonts w:hint="eastAsia" w:ascii="宋体" w:hAnsi="宋体" w:eastAsia="宋体" w:cs="宋体"/>
          <w:color w:val="000000"/>
          <w:sz w:val="24"/>
          <w:szCs w:val="24"/>
        </w:rPr>
        <w:t>，指标完成率为100%，与预期目标一致，根据评分标准，该指标不扣分，得</w:t>
      </w:r>
      <w:r>
        <w:rPr>
          <w:rFonts w:hint="eastAsia" w:ascii="宋体" w:hAnsi="宋体" w:eastAsia="宋体" w:cs="宋体"/>
          <w:color w:val="000000"/>
          <w:sz w:val="24"/>
          <w:szCs w:val="24"/>
          <w:lang w:val="en-US" w:eastAsia="zh-CN"/>
        </w:rPr>
        <w:t>5</w:t>
      </w:r>
      <w:r>
        <w:rPr>
          <w:rFonts w:hint="eastAsia" w:ascii="宋体" w:hAnsi="宋体" w:eastAsia="宋体" w:cs="宋体"/>
          <w:color w:val="000000"/>
          <w:sz w:val="24"/>
          <w:szCs w:val="24"/>
        </w:rPr>
        <w:t>分。</w:t>
      </w:r>
    </w:p>
    <w:p w14:paraId="3ADCEEC4">
      <w:pPr>
        <w:pageBreakBefore w:val="0"/>
        <w:widowControl w:val="0"/>
        <w:kinsoku/>
        <w:wordWrap/>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资金使用合规率指标，预期指标值为100%，实际完成值为100%，指标完成率为100%，与预期目标一致，根据评分标准，该指标不扣分，得</w:t>
      </w:r>
      <w:r>
        <w:rPr>
          <w:rFonts w:hint="eastAsia" w:ascii="宋体" w:hAnsi="宋体" w:eastAsia="宋体" w:cs="宋体"/>
          <w:color w:val="000000"/>
          <w:sz w:val="24"/>
          <w:szCs w:val="24"/>
          <w:lang w:val="en-US" w:eastAsia="zh-CN"/>
        </w:rPr>
        <w:t>5</w:t>
      </w:r>
      <w:r>
        <w:rPr>
          <w:rFonts w:hint="eastAsia" w:ascii="宋体" w:hAnsi="宋体" w:eastAsia="宋体" w:cs="宋体"/>
          <w:color w:val="000000"/>
          <w:sz w:val="24"/>
          <w:szCs w:val="24"/>
        </w:rPr>
        <w:t>分。</w:t>
      </w:r>
    </w:p>
    <w:p w14:paraId="7C9851E9">
      <w:pPr>
        <w:pStyle w:val="10"/>
        <w:pageBreakBefore w:val="0"/>
        <w:widowControl w:val="0"/>
        <w:numPr>
          <w:ilvl w:val="0"/>
          <w:numId w:val="8"/>
        </w:numPr>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bCs/>
          <w:color w:val="000000"/>
          <w:sz w:val="24"/>
          <w:szCs w:val="24"/>
        </w:rPr>
      </w:pPr>
      <w:r>
        <w:rPr>
          <w:rFonts w:hint="eastAsia" w:ascii="宋体" w:hAnsi="宋体" w:eastAsia="宋体" w:cs="宋体"/>
          <w:bCs/>
          <w:color w:val="000000"/>
          <w:sz w:val="24"/>
          <w:szCs w:val="24"/>
        </w:rPr>
        <w:t>对于“产出时效”：</w:t>
      </w:r>
    </w:p>
    <w:p w14:paraId="39B16323">
      <w:pPr>
        <w:pStyle w:val="10"/>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b w:val="0"/>
          <w:color w:val="000000"/>
          <w:sz w:val="24"/>
          <w:szCs w:val="24"/>
        </w:rPr>
      </w:pPr>
      <w:r>
        <w:rPr>
          <w:rFonts w:hint="eastAsia" w:ascii="宋体" w:hAnsi="宋体" w:eastAsia="宋体" w:cs="宋体"/>
          <w:b w:val="0"/>
          <w:color w:val="000000"/>
          <w:sz w:val="24"/>
          <w:szCs w:val="24"/>
        </w:rPr>
        <w:t>资金支付及时率指标，预期指标值为</w:t>
      </w:r>
      <w:r>
        <w:rPr>
          <w:rFonts w:hint="eastAsia" w:ascii="宋体" w:hAnsi="宋体" w:eastAsia="宋体" w:cs="宋体"/>
          <w:b w:val="0"/>
          <w:color w:val="000000"/>
          <w:sz w:val="24"/>
          <w:szCs w:val="24"/>
          <w:lang w:val="en-US" w:eastAsia="zh-CN"/>
        </w:rPr>
        <w:t>=100%</w:t>
      </w:r>
      <w:r>
        <w:rPr>
          <w:rFonts w:hint="eastAsia" w:ascii="宋体" w:hAnsi="宋体" w:eastAsia="宋体" w:cs="宋体"/>
          <w:b w:val="0"/>
          <w:color w:val="000000"/>
          <w:sz w:val="24"/>
          <w:szCs w:val="24"/>
        </w:rPr>
        <w:t>，实际完成值为</w:t>
      </w:r>
      <w:r>
        <w:rPr>
          <w:rFonts w:hint="eastAsia" w:ascii="宋体" w:hAnsi="宋体" w:eastAsia="宋体" w:cs="宋体"/>
          <w:b w:val="0"/>
          <w:color w:val="000000"/>
          <w:sz w:val="24"/>
          <w:szCs w:val="24"/>
          <w:lang w:val="en-US" w:eastAsia="zh-CN"/>
        </w:rPr>
        <w:t>100%</w:t>
      </w:r>
      <w:r>
        <w:rPr>
          <w:rFonts w:hint="eastAsia" w:ascii="宋体" w:hAnsi="宋体" w:eastAsia="宋体" w:cs="宋体"/>
          <w:b w:val="0"/>
          <w:color w:val="000000"/>
          <w:sz w:val="24"/>
          <w:szCs w:val="24"/>
        </w:rPr>
        <w:t>，指标完成率为100%，与预期目标一致，根据评分标准，该指标不扣分，得</w:t>
      </w:r>
      <w:r>
        <w:rPr>
          <w:rFonts w:hint="eastAsia" w:ascii="宋体" w:hAnsi="宋体" w:eastAsia="宋体" w:cs="宋体"/>
          <w:b w:val="0"/>
          <w:color w:val="000000"/>
          <w:sz w:val="24"/>
          <w:szCs w:val="24"/>
          <w:lang w:val="en-US" w:eastAsia="zh-CN"/>
        </w:rPr>
        <w:t>5</w:t>
      </w:r>
      <w:r>
        <w:rPr>
          <w:rFonts w:hint="eastAsia" w:ascii="宋体" w:hAnsi="宋体" w:eastAsia="宋体" w:cs="宋体"/>
          <w:b w:val="0"/>
          <w:color w:val="000000"/>
          <w:sz w:val="24"/>
          <w:szCs w:val="24"/>
        </w:rPr>
        <w:t>分。</w:t>
      </w:r>
    </w:p>
    <w:p w14:paraId="147164B8">
      <w:pPr>
        <w:pStyle w:val="10"/>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b w:val="0"/>
          <w:color w:val="000000"/>
          <w:sz w:val="24"/>
          <w:szCs w:val="24"/>
        </w:rPr>
      </w:pPr>
      <w:r>
        <w:rPr>
          <w:rFonts w:hint="eastAsia" w:ascii="宋体" w:hAnsi="宋体" w:eastAsia="宋体" w:cs="宋体"/>
          <w:b w:val="0"/>
          <w:color w:val="000000"/>
          <w:sz w:val="24"/>
          <w:szCs w:val="24"/>
        </w:rPr>
        <w:t>项目完成时间指标，预期指标值为2024年12月，实际完成值为2024年12月，指标完成率为100%，与预期目标一致，根据评分标准，该指标不扣分，得</w:t>
      </w:r>
      <w:r>
        <w:rPr>
          <w:rFonts w:hint="eastAsia" w:ascii="宋体" w:hAnsi="宋体" w:eastAsia="宋体" w:cs="宋体"/>
          <w:b w:val="0"/>
          <w:color w:val="000000"/>
          <w:sz w:val="24"/>
          <w:szCs w:val="24"/>
          <w:lang w:val="en-US" w:eastAsia="zh-CN"/>
        </w:rPr>
        <w:t>5</w:t>
      </w:r>
      <w:r>
        <w:rPr>
          <w:rFonts w:hint="eastAsia" w:ascii="宋体" w:hAnsi="宋体" w:eastAsia="宋体" w:cs="宋体"/>
          <w:b w:val="0"/>
          <w:color w:val="000000"/>
          <w:sz w:val="24"/>
          <w:szCs w:val="24"/>
        </w:rPr>
        <w:t>分。</w:t>
      </w:r>
    </w:p>
    <w:p w14:paraId="2DC5A06B">
      <w:pPr>
        <w:pStyle w:val="47"/>
        <w:pageBreakBefore w:val="0"/>
        <w:widowControl w:val="0"/>
        <w:kinsoku/>
        <w:wordWrap/>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b/>
          <w:bCs/>
          <w:color w:val="000000"/>
          <w:sz w:val="24"/>
          <w:szCs w:val="24"/>
        </w:rPr>
      </w:pPr>
      <w:r>
        <w:rPr>
          <w:rFonts w:hint="eastAsia" w:ascii="宋体" w:hAnsi="宋体" w:eastAsia="宋体" w:cs="宋体"/>
          <w:b/>
          <w:bCs/>
          <w:color w:val="000000"/>
          <w:sz w:val="24"/>
          <w:szCs w:val="24"/>
        </w:rPr>
        <w:t>（4）对于“产出成本”：</w:t>
      </w:r>
    </w:p>
    <w:p w14:paraId="6D0BCBE8">
      <w:pPr>
        <w:pStyle w:val="10"/>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b w:val="0"/>
          <w:color w:val="000000"/>
          <w:sz w:val="24"/>
          <w:szCs w:val="24"/>
        </w:rPr>
      </w:pPr>
      <w:r>
        <w:rPr>
          <w:rFonts w:hint="eastAsia" w:ascii="宋体" w:hAnsi="宋体" w:eastAsia="宋体" w:cs="宋体"/>
          <w:b w:val="0"/>
          <w:color w:val="000000"/>
          <w:sz w:val="24"/>
          <w:szCs w:val="24"/>
        </w:rPr>
        <w:t>家庭经济困难学生生活补助指标，预期指标值为</w:t>
      </w:r>
      <w:r>
        <w:rPr>
          <w:rFonts w:hint="eastAsia" w:ascii="宋体" w:hAnsi="宋体" w:eastAsia="宋体" w:cs="宋体"/>
          <w:b w:val="0"/>
          <w:color w:val="000000"/>
          <w:sz w:val="24"/>
          <w:szCs w:val="24"/>
          <w:lang w:val="en-US" w:eastAsia="zh-CN"/>
        </w:rPr>
        <w:t>≤115.39万元</w:t>
      </w:r>
      <w:r>
        <w:rPr>
          <w:rFonts w:hint="eastAsia" w:ascii="宋体" w:hAnsi="宋体" w:eastAsia="宋体" w:cs="宋体"/>
          <w:b w:val="0"/>
          <w:color w:val="000000"/>
          <w:sz w:val="24"/>
          <w:szCs w:val="24"/>
        </w:rPr>
        <w:t>，实际完成值为</w:t>
      </w:r>
      <w:r>
        <w:rPr>
          <w:rFonts w:hint="eastAsia" w:ascii="宋体" w:hAnsi="宋体" w:eastAsia="宋体" w:cs="宋体"/>
          <w:b w:val="0"/>
          <w:color w:val="000000"/>
          <w:sz w:val="24"/>
          <w:szCs w:val="24"/>
          <w:lang w:val="en-US" w:eastAsia="zh-CN"/>
        </w:rPr>
        <w:t>115.39万元</w:t>
      </w:r>
      <w:r>
        <w:rPr>
          <w:rFonts w:hint="eastAsia" w:ascii="宋体" w:hAnsi="宋体" w:eastAsia="宋体" w:cs="宋体"/>
          <w:b w:val="0"/>
          <w:color w:val="000000"/>
          <w:sz w:val="24"/>
          <w:szCs w:val="24"/>
        </w:rPr>
        <w:t>，指标完成率为100%，与预期目标一致，根据评分标准，该指标不扣分，得</w:t>
      </w:r>
      <w:r>
        <w:rPr>
          <w:rFonts w:hint="eastAsia" w:ascii="宋体" w:hAnsi="宋体" w:eastAsia="宋体" w:cs="宋体"/>
          <w:b w:val="0"/>
          <w:color w:val="000000"/>
          <w:sz w:val="24"/>
          <w:szCs w:val="24"/>
          <w:lang w:val="en-US" w:eastAsia="zh-CN"/>
        </w:rPr>
        <w:t>5</w:t>
      </w:r>
      <w:r>
        <w:rPr>
          <w:rFonts w:hint="eastAsia" w:ascii="宋体" w:hAnsi="宋体" w:eastAsia="宋体" w:cs="宋体"/>
          <w:b w:val="0"/>
          <w:color w:val="000000"/>
          <w:sz w:val="24"/>
          <w:szCs w:val="24"/>
        </w:rPr>
        <w:t>分。</w:t>
      </w:r>
    </w:p>
    <w:p w14:paraId="57F8DAD1">
      <w:pPr>
        <w:pStyle w:val="10"/>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b w:val="0"/>
          <w:color w:val="000000"/>
          <w:sz w:val="24"/>
          <w:szCs w:val="24"/>
        </w:rPr>
      </w:pPr>
      <w:r>
        <w:rPr>
          <w:rFonts w:hint="eastAsia" w:ascii="宋体" w:hAnsi="宋体" w:eastAsia="宋体" w:cs="宋体"/>
          <w:b w:val="0"/>
          <w:color w:val="000000"/>
          <w:sz w:val="24"/>
          <w:szCs w:val="24"/>
        </w:rPr>
        <w:t>营养改善资金指标，预期指标值为</w:t>
      </w:r>
      <w:r>
        <w:rPr>
          <w:rFonts w:hint="eastAsia" w:ascii="宋体" w:hAnsi="宋体" w:eastAsia="宋体" w:cs="宋体"/>
          <w:b w:val="0"/>
          <w:color w:val="000000"/>
          <w:sz w:val="24"/>
          <w:szCs w:val="24"/>
          <w:lang w:val="en-US" w:eastAsia="zh-CN"/>
        </w:rPr>
        <w:t>≤176.73万元</w:t>
      </w:r>
      <w:r>
        <w:rPr>
          <w:rFonts w:hint="eastAsia" w:ascii="宋体" w:hAnsi="宋体" w:eastAsia="宋体" w:cs="宋体"/>
          <w:b w:val="0"/>
          <w:color w:val="000000"/>
          <w:sz w:val="24"/>
          <w:szCs w:val="24"/>
        </w:rPr>
        <w:t>，实际完成值为</w:t>
      </w:r>
      <w:r>
        <w:rPr>
          <w:rFonts w:hint="eastAsia" w:ascii="宋体" w:hAnsi="宋体" w:eastAsia="宋体" w:cs="宋体"/>
          <w:b w:val="0"/>
          <w:color w:val="000000"/>
          <w:sz w:val="24"/>
          <w:szCs w:val="24"/>
          <w:lang w:val="en-US" w:eastAsia="zh-CN"/>
        </w:rPr>
        <w:t>176.73万元</w:t>
      </w:r>
      <w:r>
        <w:rPr>
          <w:rFonts w:hint="eastAsia" w:ascii="宋体" w:hAnsi="宋体" w:eastAsia="宋体" w:cs="宋体"/>
          <w:b w:val="0"/>
          <w:color w:val="000000"/>
          <w:sz w:val="24"/>
          <w:szCs w:val="24"/>
        </w:rPr>
        <w:t>，指标完成率为100%，与预期目标一致，根据评分标准，该指标不扣分，得</w:t>
      </w:r>
      <w:r>
        <w:rPr>
          <w:rFonts w:hint="eastAsia" w:ascii="宋体" w:hAnsi="宋体" w:eastAsia="宋体" w:cs="宋体"/>
          <w:b w:val="0"/>
          <w:color w:val="000000"/>
          <w:sz w:val="24"/>
          <w:szCs w:val="24"/>
          <w:lang w:val="en-US" w:eastAsia="zh-CN"/>
        </w:rPr>
        <w:t>2.5</w:t>
      </w:r>
      <w:r>
        <w:rPr>
          <w:rFonts w:hint="eastAsia" w:ascii="宋体" w:hAnsi="宋体" w:eastAsia="宋体" w:cs="宋体"/>
          <w:b w:val="0"/>
          <w:color w:val="000000"/>
          <w:sz w:val="24"/>
          <w:szCs w:val="24"/>
        </w:rPr>
        <w:t>分。</w:t>
      </w:r>
    </w:p>
    <w:p w14:paraId="1838D3AD">
      <w:pPr>
        <w:pStyle w:val="10"/>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b w:val="0"/>
          <w:color w:val="000000"/>
          <w:sz w:val="24"/>
          <w:szCs w:val="24"/>
        </w:rPr>
      </w:pPr>
      <w:r>
        <w:rPr>
          <w:rFonts w:hint="eastAsia" w:ascii="宋体" w:hAnsi="宋体" w:eastAsia="宋体" w:cs="宋体"/>
          <w:b w:val="0"/>
          <w:color w:val="000000"/>
          <w:sz w:val="24"/>
          <w:szCs w:val="24"/>
        </w:rPr>
        <w:t>公用经费指标，预期指标值为</w:t>
      </w:r>
      <w:r>
        <w:rPr>
          <w:rFonts w:hint="eastAsia" w:ascii="宋体" w:hAnsi="宋体" w:eastAsia="宋体" w:cs="宋体"/>
          <w:b w:val="0"/>
          <w:color w:val="000000"/>
          <w:sz w:val="24"/>
          <w:szCs w:val="24"/>
          <w:lang w:val="en-US" w:eastAsia="zh-CN"/>
        </w:rPr>
        <w:t>≤187.21万元</w:t>
      </w:r>
      <w:r>
        <w:rPr>
          <w:rFonts w:hint="eastAsia" w:ascii="宋体" w:hAnsi="宋体" w:eastAsia="宋体" w:cs="宋体"/>
          <w:b w:val="0"/>
          <w:color w:val="000000"/>
          <w:sz w:val="24"/>
          <w:szCs w:val="24"/>
        </w:rPr>
        <w:t>，实际完成值为</w:t>
      </w:r>
      <w:r>
        <w:rPr>
          <w:rFonts w:hint="eastAsia" w:ascii="宋体" w:hAnsi="宋体" w:eastAsia="宋体" w:cs="宋体"/>
          <w:b w:val="0"/>
          <w:color w:val="000000"/>
          <w:sz w:val="24"/>
          <w:szCs w:val="24"/>
          <w:lang w:val="en-US" w:eastAsia="zh-CN"/>
        </w:rPr>
        <w:t>187.21万元</w:t>
      </w:r>
      <w:r>
        <w:rPr>
          <w:rFonts w:hint="eastAsia" w:ascii="宋体" w:hAnsi="宋体" w:eastAsia="宋体" w:cs="宋体"/>
          <w:b w:val="0"/>
          <w:color w:val="000000"/>
          <w:sz w:val="24"/>
          <w:szCs w:val="24"/>
        </w:rPr>
        <w:t>，指标完成率为100%，与预期目标一致，根据评分标准，该指标不扣分，得</w:t>
      </w:r>
      <w:r>
        <w:rPr>
          <w:rFonts w:hint="eastAsia" w:ascii="宋体" w:hAnsi="宋体" w:eastAsia="宋体" w:cs="宋体"/>
          <w:b w:val="0"/>
          <w:color w:val="000000"/>
          <w:sz w:val="24"/>
          <w:szCs w:val="24"/>
          <w:lang w:val="en-US" w:eastAsia="zh-CN"/>
        </w:rPr>
        <w:t>2.5</w:t>
      </w:r>
      <w:r>
        <w:rPr>
          <w:rFonts w:hint="eastAsia" w:ascii="宋体" w:hAnsi="宋体" w:eastAsia="宋体" w:cs="宋体"/>
          <w:b w:val="0"/>
          <w:color w:val="000000"/>
          <w:sz w:val="24"/>
          <w:szCs w:val="24"/>
        </w:rPr>
        <w:t>分。</w:t>
      </w:r>
    </w:p>
    <w:p w14:paraId="58C2D1F5">
      <w:pPr>
        <w:pStyle w:val="50"/>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（四）项目效益情况</w:t>
      </w:r>
    </w:p>
    <w:p w14:paraId="6B0C796F">
      <w:pPr>
        <w:pageBreakBefore w:val="0"/>
        <w:widowControl w:val="0"/>
        <w:kinsoku/>
        <w:wordWrap/>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项目效益类指标包括项目效益1个方面的内容，由1个三级指标构成，权重分为</w:t>
      </w:r>
      <w:r>
        <w:rPr>
          <w:rFonts w:hint="eastAsia" w:ascii="宋体" w:hAnsi="宋体" w:eastAsia="宋体" w:cs="宋体"/>
          <w:color w:val="000000"/>
          <w:sz w:val="24"/>
          <w:szCs w:val="24"/>
          <w:lang w:val="en-US" w:eastAsia="zh-CN"/>
        </w:rPr>
        <w:t>25</w:t>
      </w:r>
      <w:r>
        <w:rPr>
          <w:rFonts w:hint="eastAsia" w:ascii="宋体" w:hAnsi="宋体" w:eastAsia="宋体" w:cs="宋体"/>
          <w:color w:val="000000"/>
          <w:sz w:val="24"/>
          <w:szCs w:val="24"/>
        </w:rPr>
        <w:t>分，实际得分</w:t>
      </w:r>
      <w:r>
        <w:rPr>
          <w:rFonts w:hint="eastAsia" w:ascii="宋体" w:hAnsi="宋体" w:eastAsia="宋体" w:cs="宋体"/>
          <w:color w:val="000000"/>
          <w:sz w:val="24"/>
          <w:szCs w:val="24"/>
          <w:lang w:val="en-US" w:eastAsia="zh-CN"/>
        </w:rPr>
        <w:t>25</w:t>
      </w:r>
      <w:r>
        <w:rPr>
          <w:rFonts w:hint="eastAsia" w:ascii="宋体" w:hAnsi="宋体" w:eastAsia="宋体" w:cs="宋体"/>
          <w:color w:val="000000"/>
          <w:sz w:val="24"/>
          <w:szCs w:val="24"/>
        </w:rPr>
        <w:t>分，得分率为100%。</w:t>
      </w:r>
    </w:p>
    <w:p w14:paraId="79CF8558">
      <w:pPr>
        <w:pageBreakBefore w:val="0"/>
        <w:widowControl w:val="0"/>
        <w:kinsoku/>
        <w:wordWrap/>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b/>
          <w:bCs/>
          <w:color w:val="000000"/>
          <w:sz w:val="24"/>
          <w:szCs w:val="24"/>
        </w:rPr>
      </w:pPr>
      <w:r>
        <w:rPr>
          <w:rFonts w:hint="eastAsia" w:ascii="宋体" w:hAnsi="宋体" w:eastAsia="宋体" w:cs="宋体"/>
          <w:b/>
          <w:bCs/>
          <w:color w:val="000000"/>
          <w:sz w:val="24"/>
          <w:szCs w:val="24"/>
        </w:rPr>
        <w:t>（1）对于“社会效益指标”：</w:t>
      </w:r>
    </w:p>
    <w:p w14:paraId="6145E45F">
      <w:pPr>
        <w:pageBreakBefore w:val="0"/>
        <w:widowControl w:val="0"/>
        <w:kinsoku/>
        <w:wordWrap/>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提升学校的教育教学能力指标，实际完成值为</w:t>
      </w:r>
      <w:r>
        <w:rPr>
          <w:rFonts w:hint="eastAsia" w:ascii="宋体" w:hAnsi="宋体" w:eastAsia="宋体" w:cs="宋体"/>
          <w:color w:val="000000"/>
          <w:sz w:val="24"/>
          <w:szCs w:val="24"/>
          <w:lang w:eastAsia="zh-CN"/>
        </w:rPr>
        <w:t>有效提升</w:t>
      </w:r>
      <w:r>
        <w:rPr>
          <w:rFonts w:hint="eastAsia" w:ascii="宋体" w:hAnsi="宋体" w:eastAsia="宋体" w:cs="宋体"/>
          <w:color w:val="000000"/>
          <w:sz w:val="24"/>
          <w:szCs w:val="24"/>
        </w:rPr>
        <w:t>，指标完成率为100%，与预期指标一致，根据评分标准，该指标不扣分，得</w:t>
      </w:r>
      <w:r>
        <w:rPr>
          <w:rFonts w:hint="eastAsia" w:ascii="宋体" w:hAnsi="宋体" w:eastAsia="宋体" w:cs="宋体"/>
          <w:color w:val="000000"/>
          <w:sz w:val="24"/>
          <w:szCs w:val="24"/>
          <w:lang w:val="en-US" w:eastAsia="zh-CN"/>
        </w:rPr>
        <w:t>15</w:t>
      </w:r>
      <w:r>
        <w:rPr>
          <w:rFonts w:hint="eastAsia" w:ascii="宋体" w:hAnsi="宋体" w:eastAsia="宋体" w:cs="宋体"/>
          <w:color w:val="000000"/>
          <w:sz w:val="24"/>
          <w:szCs w:val="24"/>
        </w:rPr>
        <w:t>分。</w:t>
      </w:r>
    </w:p>
    <w:p w14:paraId="3012A64F">
      <w:pPr>
        <w:pageBreakBefore w:val="0"/>
        <w:widowControl w:val="0"/>
        <w:kinsoku/>
        <w:wordWrap/>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b/>
          <w:bCs/>
          <w:color w:val="000000"/>
          <w:sz w:val="24"/>
          <w:szCs w:val="24"/>
        </w:rPr>
      </w:pPr>
      <w:r>
        <w:rPr>
          <w:rFonts w:hint="eastAsia" w:ascii="宋体" w:hAnsi="宋体" w:eastAsia="宋体" w:cs="宋体"/>
          <w:b/>
          <w:bCs/>
          <w:color w:val="000000"/>
          <w:sz w:val="24"/>
          <w:szCs w:val="24"/>
        </w:rPr>
        <w:t>（2）对于“经济效益指标”：</w:t>
      </w:r>
    </w:p>
    <w:p w14:paraId="7EF86A1A">
      <w:pPr>
        <w:pStyle w:val="10"/>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b w:val="0"/>
          <w:color w:val="000000"/>
          <w:sz w:val="24"/>
          <w:szCs w:val="24"/>
        </w:rPr>
      </w:pPr>
      <w:r>
        <w:rPr>
          <w:rFonts w:hint="eastAsia" w:ascii="宋体" w:hAnsi="宋体" w:eastAsia="宋体" w:cs="宋体"/>
          <w:b w:val="0"/>
          <w:color w:val="000000"/>
          <w:sz w:val="24"/>
          <w:szCs w:val="24"/>
        </w:rPr>
        <w:t>该项目无经济效益指标。</w:t>
      </w:r>
    </w:p>
    <w:p w14:paraId="56F4F263">
      <w:pPr>
        <w:pStyle w:val="10"/>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color w:val="000000"/>
          <w:sz w:val="24"/>
          <w:szCs w:val="24"/>
        </w:rPr>
      </w:pPr>
      <w:r>
        <w:rPr>
          <w:rFonts w:hint="eastAsia" w:ascii="宋体" w:hAnsi="宋体" w:eastAsia="宋体" w:cs="宋体"/>
          <w:bCs/>
          <w:color w:val="000000"/>
          <w:sz w:val="24"/>
          <w:szCs w:val="24"/>
        </w:rPr>
        <w:t>（3）对于“生态效益指标”：</w:t>
      </w:r>
    </w:p>
    <w:p w14:paraId="2CBB2765">
      <w:pPr>
        <w:pStyle w:val="10"/>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b w:val="0"/>
          <w:color w:val="000000"/>
          <w:sz w:val="24"/>
          <w:szCs w:val="24"/>
        </w:rPr>
      </w:pPr>
      <w:r>
        <w:rPr>
          <w:rFonts w:hint="eastAsia" w:ascii="宋体" w:hAnsi="宋体" w:eastAsia="宋体" w:cs="宋体"/>
          <w:b w:val="0"/>
          <w:color w:val="000000"/>
          <w:sz w:val="24"/>
          <w:szCs w:val="24"/>
        </w:rPr>
        <w:t>该项目无经济效益指标。</w:t>
      </w:r>
    </w:p>
    <w:p w14:paraId="30DC174B">
      <w:pPr>
        <w:pStyle w:val="10"/>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bCs/>
          <w:color w:val="000000"/>
          <w:sz w:val="24"/>
          <w:szCs w:val="24"/>
        </w:rPr>
      </w:pPr>
      <w:r>
        <w:rPr>
          <w:rFonts w:hint="eastAsia" w:ascii="宋体" w:hAnsi="宋体" w:eastAsia="宋体" w:cs="宋体"/>
          <w:bCs/>
          <w:color w:val="000000"/>
          <w:sz w:val="24"/>
          <w:szCs w:val="24"/>
        </w:rPr>
        <w:t>（4）满意度指标分析</w:t>
      </w:r>
    </w:p>
    <w:p w14:paraId="675995F4">
      <w:pPr>
        <w:pStyle w:val="50"/>
        <w:bidi w:val="0"/>
        <w:ind w:firstLine="480" w:firstLineChars="200"/>
        <w:rPr>
          <w:rFonts w:hint="eastAsia" w:ascii="宋体" w:hAnsi="宋体" w:eastAsia="宋体" w:cs="宋体"/>
          <w:b w:val="0"/>
          <w:bCs w:val="0"/>
          <w:color w:val="000000"/>
          <w:kern w:val="2"/>
          <w:sz w:val="24"/>
          <w:szCs w:val="24"/>
          <w:lang w:val="en-US" w:eastAsia="zh-CN" w:bidi="ar-SA"/>
        </w:rPr>
      </w:pPr>
      <w:r>
        <w:rPr>
          <w:rFonts w:hint="eastAsia" w:ascii="宋体" w:hAnsi="宋体" w:eastAsia="宋体" w:cs="宋体"/>
          <w:b w:val="0"/>
          <w:bCs w:val="0"/>
          <w:color w:val="000000"/>
          <w:kern w:val="2"/>
          <w:sz w:val="24"/>
          <w:szCs w:val="24"/>
          <w:lang w:val="en-US" w:eastAsia="zh-CN" w:bidi="ar-SA"/>
        </w:rPr>
        <w:t>对于“学生满意度，该指标预期指标值为≥95%，实际完成值为≥95%，指标完成率为100%，与预期目标一致，根据评分标准，该指标不扣分,得10分。</w:t>
      </w:r>
      <w:bookmarkEnd w:id="21"/>
    </w:p>
    <w:p w14:paraId="0D1740F8">
      <w:pPr>
        <w:pStyle w:val="4"/>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color w:val="000000"/>
          <w:sz w:val="24"/>
          <w:szCs w:val="24"/>
        </w:rPr>
      </w:pPr>
    </w:p>
    <w:p w14:paraId="063164DB">
      <w:pPr>
        <w:pStyle w:val="4"/>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黑体" w:hAnsi="黑体" w:eastAsia="黑体" w:cs="黑体"/>
          <w:color w:val="000000"/>
          <w:sz w:val="24"/>
          <w:szCs w:val="24"/>
        </w:rPr>
      </w:pPr>
      <w:r>
        <w:rPr>
          <w:rFonts w:hint="eastAsia" w:ascii="黑体" w:hAnsi="黑体" w:eastAsia="黑体" w:cs="黑体"/>
          <w:color w:val="000000"/>
          <w:sz w:val="24"/>
          <w:szCs w:val="24"/>
        </w:rPr>
        <w:t>五、预算执行进度与绩效指标偏差情况</w:t>
      </w:r>
    </w:p>
    <w:p w14:paraId="674677D3">
      <w:pPr>
        <w:pStyle w:val="47"/>
        <w:pageBreakBefore w:val="0"/>
        <w:widowControl w:val="0"/>
        <w:kinsoku/>
        <w:wordWrap/>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本项目年初预算资金总额为497.33万元，全年预算数为497.33万元，全年执行数为497.33万元，预算执行率为</w:t>
      </w:r>
      <w:r>
        <w:rPr>
          <w:rFonts w:hint="eastAsia" w:ascii="宋体" w:hAnsi="宋体" w:eastAsia="宋体" w:cs="宋体"/>
          <w:color w:val="000000"/>
          <w:sz w:val="24"/>
          <w:szCs w:val="24"/>
          <w:lang w:val="en-US" w:eastAsia="zh-CN"/>
        </w:rPr>
        <w:t>100</w:t>
      </w:r>
      <w:r>
        <w:rPr>
          <w:rFonts w:hint="eastAsia" w:ascii="宋体" w:hAnsi="宋体" w:eastAsia="宋体" w:cs="宋体"/>
          <w:color w:val="000000"/>
          <w:sz w:val="24"/>
          <w:szCs w:val="24"/>
        </w:rPr>
        <w:t>%。</w:t>
      </w:r>
    </w:p>
    <w:p w14:paraId="4C884C4A">
      <w:pPr>
        <w:pStyle w:val="47"/>
        <w:pageBreakBefore w:val="0"/>
        <w:widowControl w:val="0"/>
        <w:kinsoku/>
        <w:wordWrap/>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本项目共设置三级指标数量</w:t>
      </w:r>
      <w:r>
        <w:rPr>
          <w:rFonts w:hint="eastAsia" w:ascii="宋体" w:hAnsi="宋体" w:eastAsia="宋体" w:cs="宋体"/>
          <w:color w:val="000000"/>
          <w:sz w:val="24"/>
          <w:szCs w:val="24"/>
          <w:lang w:val="en-US" w:eastAsia="zh-CN"/>
        </w:rPr>
        <w:t>10</w:t>
      </w:r>
      <w:r>
        <w:rPr>
          <w:rFonts w:hint="eastAsia" w:ascii="宋体" w:hAnsi="宋体" w:eastAsia="宋体" w:cs="宋体"/>
          <w:color w:val="000000"/>
          <w:sz w:val="24"/>
          <w:szCs w:val="24"/>
        </w:rPr>
        <w:t>个，满分指标数量</w:t>
      </w:r>
      <w:r>
        <w:rPr>
          <w:rFonts w:hint="eastAsia" w:ascii="宋体" w:hAnsi="宋体" w:eastAsia="宋体" w:cs="宋体"/>
          <w:color w:val="000000"/>
          <w:sz w:val="24"/>
          <w:szCs w:val="24"/>
          <w:lang w:val="en-US" w:eastAsia="zh-CN"/>
        </w:rPr>
        <w:t>10</w:t>
      </w:r>
      <w:r>
        <w:rPr>
          <w:rFonts w:hint="eastAsia" w:ascii="宋体" w:hAnsi="宋体" w:eastAsia="宋体" w:cs="宋体"/>
          <w:color w:val="000000"/>
          <w:sz w:val="24"/>
          <w:szCs w:val="24"/>
        </w:rPr>
        <w:t>个，扣分指标数量0个，经分析计算所有三级指标完成率得出，本项目总体完成率为100%。</w:t>
      </w:r>
    </w:p>
    <w:p w14:paraId="3A9CE356">
      <w:pPr>
        <w:pStyle w:val="47"/>
        <w:pageBreakBefore w:val="0"/>
        <w:widowControl w:val="0"/>
        <w:kinsoku/>
        <w:wordWrap/>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综上所述本项目预算执行率与总体完成率之间的偏差为</w:t>
      </w:r>
      <w:r>
        <w:rPr>
          <w:rFonts w:hint="eastAsia" w:ascii="宋体" w:hAnsi="宋体" w:eastAsia="宋体" w:cs="宋体"/>
          <w:color w:val="000000"/>
          <w:sz w:val="24"/>
          <w:szCs w:val="24"/>
          <w:lang w:val="en-US" w:eastAsia="zh-CN"/>
        </w:rPr>
        <w:t>0</w:t>
      </w:r>
      <w:r>
        <w:rPr>
          <w:rFonts w:hint="eastAsia" w:ascii="宋体" w:hAnsi="宋体" w:eastAsia="宋体" w:cs="宋体"/>
          <w:color w:val="000000"/>
          <w:sz w:val="24"/>
          <w:szCs w:val="24"/>
        </w:rPr>
        <w:t>%。</w:t>
      </w:r>
    </w:p>
    <w:p w14:paraId="54B16C26">
      <w:pPr>
        <w:pStyle w:val="4"/>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黑体" w:hAnsi="黑体" w:eastAsia="黑体" w:cs="黑体"/>
          <w:color w:val="000000"/>
          <w:sz w:val="24"/>
          <w:szCs w:val="24"/>
        </w:rPr>
      </w:pPr>
      <w:bookmarkStart w:id="22" w:name="_Toc68364673"/>
    </w:p>
    <w:p w14:paraId="401ADF6B">
      <w:pPr>
        <w:pStyle w:val="4"/>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黑体" w:hAnsi="黑体" w:eastAsia="黑体" w:cs="黑体"/>
          <w:color w:val="000000"/>
          <w:sz w:val="24"/>
          <w:szCs w:val="24"/>
        </w:rPr>
      </w:pPr>
      <w:r>
        <w:rPr>
          <w:rFonts w:hint="eastAsia" w:ascii="黑体" w:hAnsi="黑体" w:eastAsia="黑体" w:cs="黑体"/>
          <w:color w:val="000000"/>
          <w:sz w:val="24"/>
          <w:szCs w:val="24"/>
        </w:rPr>
        <w:t>六、主要经验及做法、存在的问题及原因分析</w:t>
      </w:r>
    </w:p>
    <w:p w14:paraId="2C868E72">
      <w:pPr>
        <w:pStyle w:val="47"/>
        <w:pageBreakBefore w:val="0"/>
        <w:widowControl w:val="0"/>
        <w:kinsoku/>
        <w:wordWrap/>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（一）主要经验及做法</w:t>
      </w:r>
      <w:bookmarkEnd w:id="22"/>
    </w:p>
    <w:p w14:paraId="1733E135">
      <w:pPr>
        <w:pStyle w:val="47"/>
        <w:pageBreakBefore w:val="0"/>
        <w:widowControl w:val="0"/>
        <w:kinsoku/>
        <w:wordWrap/>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一是本项目能够严格按照《项目实施方案》执行，项目执行情况较好。</w:t>
      </w:r>
    </w:p>
    <w:p w14:paraId="5FFAEC4E">
      <w:pPr>
        <w:pStyle w:val="47"/>
        <w:pageBreakBefore w:val="0"/>
        <w:widowControl w:val="0"/>
        <w:kinsoku/>
        <w:wordWrap/>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二是加强组织领导，本项目绩效评价工作，有主要领导亲自挂帅，分管领导具体负责，从项目到资金，均能够很好的执行。</w:t>
      </w:r>
    </w:p>
    <w:p w14:paraId="49EEC7A2">
      <w:pPr>
        <w:pStyle w:val="47"/>
        <w:pageBreakBefore w:val="0"/>
        <w:widowControl w:val="0"/>
        <w:kinsoku/>
        <w:wordWrap/>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三是加强沟通协调，我单位及时向领导汇报项目建设进度，加强与施工单位的沟通，确保项目按期完工。</w:t>
      </w:r>
    </w:p>
    <w:p w14:paraId="40DF9C4C">
      <w:pPr>
        <w:pStyle w:val="47"/>
        <w:pageBreakBefore w:val="0"/>
        <w:widowControl w:val="0"/>
        <w:kinsoku/>
        <w:wordWrap/>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000000"/>
          <w:sz w:val="24"/>
          <w:szCs w:val="24"/>
        </w:rPr>
      </w:pPr>
      <w:bookmarkStart w:id="23" w:name="_Toc68364674"/>
      <w:r>
        <w:rPr>
          <w:rFonts w:hint="eastAsia" w:ascii="宋体" w:hAnsi="宋体" w:eastAsia="宋体" w:cs="宋体"/>
          <w:color w:val="000000"/>
          <w:sz w:val="24"/>
          <w:szCs w:val="24"/>
        </w:rPr>
        <w:t>（二）存在问题及原因分析</w:t>
      </w:r>
      <w:bookmarkEnd w:id="23"/>
      <w:r>
        <w:rPr>
          <w:rFonts w:hint="eastAsia" w:ascii="宋体" w:hAnsi="宋体" w:eastAsia="宋体" w:cs="宋体"/>
          <w:color w:val="000000"/>
          <w:sz w:val="24"/>
          <w:szCs w:val="24"/>
        </w:rPr>
        <w:t>(</w:t>
      </w:r>
      <w:bookmarkStart w:id="24" w:name="_Toc68364675"/>
      <w:r>
        <w:rPr>
          <w:rFonts w:hint="eastAsia" w:ascii="宋体" w:hAnsi="宋体" w:eastAsia="宋体" w:cs="宋体"/>
          <w:color w:val="000000"/>
          <w:sz w:val="24"/>
          <w:szCs w:val="24"/>
        </w:rPr>
        <w:t>1.项目资金管理环节：</w:t>
      </w:r>
    </w:p>
    <w:p w14:paraId="1DCA6B48">
      <w:pPr>
        <w:pStyle w:val="47"/>
        <w:pageBreakBefore w:val="0"/>
        <w:widowControl w:val="0"/>
        <w:kinsoku/>
        <w:wordWrap/>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000000"/>
          <w:kern w:val="2"/>
          <w:sz w:val="24"/>
          <w:szCs w:val="24"/>
        </w:rPr>
      </w:pPr>
      <w:r>
        <w:rPr>
          <w:rFonts w:hint="eastAsia" w:ascii="宋体" w:hAnsi="宋体" w:eastAsia="宋体" w:cs="宋体"/>
          <w:color w:val="000000"/>
          <w:kern w:val="2"/>
          <w:sz w:val="24"/>
          <w:szCs w:val="24"/>
        </w:rPr>
        <w:t>对资金使用缺乏有效的资金监控机制，无法实时掌握资金流向和使用情况；</w:t>
      </w:r>
    </w:p>
    <w:p w14:paraId="5BE4D90E">
      <w:pPr>
        <w:pStyle w:val="47"/>
        <w:pageBreakBefore w:val="0"/>
        <w:widowControl w:val="0"/>
        <w:kinsoku/>
        <w:wordWrap/>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2.项目管理环节：</w:t>
      </w:r>
    </w:p>
    <w:p w14:paraId="2862C38F">
      <w:pPr>
        <w:pStyle w:val="47"/>
        <w:pageBreakBefore w:val="0"/>
        <w:widowControl w:val="0"/>
        <w:kinsoku/>
        <w:wordWrap/>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000000"/>
          <w:kern w:val="2"/>
          <w:sz w:val="24"/>
          <w:szCs w:val="24"/>
        </w:rPr>
      </w:pPr>
      <w:r>
        <w:rPr>
          <w:rFonts w:hint="eastAsia" w:ascii="宋体" w:hAnsi="宋体" w:eastAsia="宋体" w:cs="宋体"/>
          <w:color w:val="000000"/>
          <w:kern w:val="2"/>
          <w:sz w:val="24"/>
          <w:szCs w:val="24"/>
        </w:rPr>
        <w:t>项目计划缺乏详细分解和时间安排，目标不够清晰；对风险和问题考虑不足，缺乏应急措施，项目实际进度落后于计划，延误支付；对进度偏差不敏感，未及时采取调整措施。根据《项目绩效管理办法》及单位相关项目管理制度的规定，对项目的实施进行监督管理。建立健全项目后续各项监督管理制度，确保项目正常运转，长期发挥效益。</w:t>
      </w:r>
    </w:p>
    <w:p w14:paraId="6DD7FCE5">
      <w:pPr>
        <w:pStyle w:val="47"/>
        <w:pageBreakBefore w:val="0"/>
        <w:widowControl w:val="0"/>
        <w:kinsoku/>
        <w:wordWrap/>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3.项目绩效管理环节</w:t>
      </w:r>
    </w:p>
    <w:p w14:paraId="661DA991">
      <w:pPr>
        <w:pageBreakBefore w:val="0"/>
        <w:widowControl w:val="0"/>
        <w:kinsoku/>
        <w:wordWrap/>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成本控制情况：严格按照相关的专项资金管理办法，实行多重审批控制专项经费的支出。</w:t>
      </w:r>
    </w:p>
    <w:p w14:paraId="5CCB15A6">
      <w:pPr>
        <w:pStyle w:val="47"/>
        <w:pageBreakBefore w:val="0"/>
        <w:widowControl w:val="0"/>
        <w:kinsoku/>
        <w:wordWrap/>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kern w:val="2"/>
          <w:sz w:val="24"/>
          <w:szCs w:val="24"/>
        </w:rPr>
        <w:t>成本节约情况：项目根据实际情况做出合理预算，支出严格控制在预算范围内，本着节约成本，防止资源浪费的原则将项目成效最大化。</w:t>
      </w:r>
      <w:r>
        <w:rPr>
          <w:rFonts w:hint="eastAsia" w:ascii="宋体" w:hAnsi="宋体" w:eastAsia="宋体" w:cs="宋体"/>
          <w:color w:val="000000"/>
          <w:sz w:val="24"/>
          <w:szCs w:val="24"/>
        </w:rPr>
        <w:t>4.各级监督检查（项目管理、资金管理、绩效管理）发现问题及原因分析</w:t>
      </w:r>
    </w:p>
    <w:p w14:paraId="579F1A76">
      <w:pPr>
        <w:pStyle w:val="47"/>
        <w:pageBreakBefore w:val="0"/>
        <w:widowControl w:val="0"/>
        <w:kinsoku/>
        <w:wordWrap/>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4.各级监督检查（项目管理、资金管理、绩效管理）发现问题及原因分析</w:t>
      </w:r>
    </w:p>
    <w:p w14:paraId="12E5E9FF">
      <w:pPr>
        <w:pStyle w:val="4"/>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b w:val="0"/>
          <w:bCs w:val="0"/>
          <w:color w:val="000000"/>
          <w:kern w:val="0"/>
          <w:sz w:val="24"/>
          <w:szCs w:val="24"/>
        </w:rPr>
      </w:pPr>
      <w:r>
        <w:rPr>
          <w:rFonts w:hint="eastAsia" w:ascii="宋体" w:hAnsi="宋体" w:eastAsia="宋体" w:cs="宋体"/>
          <w:b w:val="0"/>
          <w:bCs w:val="0"/>
          <w:color w:val="000000"/>
          <w:kern w:val="0"/>
          <w:sz w:val="24"/>
          <w:szCs w:val="24"/>
        </w:rPr>
        <w:t>一是对各项指标和指标值要进一步优化、完善，主要在细化、量化上改进；</w:t>
      </w:r>
    </w:p>
    <w:p w14:paraId="0FD4B822">
      <w:pPr>
        <w:pStyle w:val="4"/>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b w:val="0"/>
          <w:bCs w:val="0"/>
          <w:color w:val="000000"/>
          <w:kern w:val="0"/>
          <w:sz w:val="24"/>
          <w:szCs w:val="24"/>
        </w:rPr>
      </w:pPr>
      <w:r>
        <w:rPr>
          <w:rFonts w:hint="eastAsia" w:ascii="宋体" w:hAnsi="宋体" w:eastAsia="宋体" w:cs="宋体"/>
          <w:b w:val="0"/>
          <w:bCs w:val="0"/>
          <w:color w:val="000000"/>
          <w:kern w:val="0"/>
          <w:sz w:val="24"/>
          <w:szCs w:val="24"/>
        </w:rPr>
        <w:t>二是部门评价工作还存在自我审定的局限性，会影响评价质量，容易造成问题的疏漏，在客观性和公正性上说服力不强；</w:t>
      </w:r>
    </w:p>
    <w:p w14:paraId="555F224E">
      <w:pPr>
        <w:pStyle w:val="4"/>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b w:val="0"/>
          <w:bCs w:val="0"/>
          <w:color w:val="000000"/>
          <w:kern w:val="0"/>
          <w:sz w:val="24"/>
          <w:szCs w:val="24"/>
        </w:rPr>
      </w:pPr>
      <w:r>
        <w:rPr>
          <w:rFonts w:hint="eastAsia" w:ascii="宋体" w:hAnsi="宋体" w:eastAsia="宋体" w:cs="宋体"/>
          <w:b w:val="0"/>
          <w:bCs w:val="0"/>
          <w:color w:val="000000"/>
          <w:kern w:val="0"/>
          <w:sz w:val="24"/>
          <w:szCs w:val="24"/>
        </w:rPr>
        <w:t>三是缺少带着问题去评价的意识；</w:t>
      </w:r>
    </w:p>
    <w:p w14:paraId="16540720">
      <w:pPr>
        <w:pStyle w:val="4"/>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b w:val="0"/>
          <w:bCs w:val="0"/>
          <w:color w:val="000000"/>
          <w:kern w:val="0"/>
          <w:sz w:val="24"/>
          <w:szCs w:val="24"/>
        </w:rPr>
      </w:pPr>
      <w:r>
        <w:rPr>
          <w:rFonts w:hint="eastAsia" w:ascii="宋体" w:hAnsi="宋体" w:eastAsia="宋体" w:cs="宋体"/>
          <w:b w:val="0"/>
          <w:bCs w:val="0"/>
          <w:color w:val="000000"/>
          <w:kern w:val="0"/>
          <w:sz w:val="24"/>
          <w:szCs w:val="24"/>
        </w:rPr>
        <w:t>四是现场评价的工作量少，后续效益评价具体措施和方法较少。</w:t>
      </w:r>
    </w:p>
    <w:p w14:paraId="019CB8F9">
      <w:pPr>
        <w:pStyle w:val="4"/>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b w:val="0"/>
          <w:bCs w:val="0"/>
          <w:color w:val="000000"/>
          <w:sz w:val="24"/>
          <w:szCs w:val="24"/>
        </w:rPr>
      </w:pPr>
    </w:p>
    <w:p w14:paraId="5DD87810">
      <w:pPr>
        <w:pStyle w:val="61"/>
        <w:keepNext w:val="0"/>
        <w:keepLines w:val="0"/>
        <w:pageBreakBefore w:val="0"/>
        <w:widowControl w:val="0"/>
        <w:numPr>
          <w:ilvl w:val="0"/>
          <w:numId w:val="9"/>
        </w:numPr>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黑体" w:hAnsi="黑体" w:eastAsia="黑体" w:cs="黑体"/>
          <w:color w:val="000000"/>
          <w:sz w:val="24"/>
          <w:szCs w:val="24"/>
        </w:rPr>
      </w:pPr>
      <w:r>
        <w:rPr>
          <w:rFonts w:hint="eastAsia" w:ascii="黑体" w:hAnsi="黑体" w:eastAsia="黑体" w:cs="黑体"/>
          <w:color w:val="000000"/>
          <w:sz w:val="24"/>
          <w:szCs w:val="24"/>
        </w:rPr>
        <w:t>有关建议</w:t>
      </w:r>
      <w:bookmarkEnd w:id="24"/>
      <w:bookmarkStart w:id="25" w:name="_Toc68364676"/>
    </w:p>
    <w:p w14:paraId="5935CBCE">
      <w:pPr>
        <w:pStyle w:val="61"/>
        <w:keepNext w:val="0"/>
        <w:keepLines w:val="0"/>
        <w:pageBreakBefore w:val="0"/>
        <w:widowControl w:val="0"/>
        <w:numPr>
          <w:ilvl w:val="0"/>
          <w:numId w:val="0"/>
        </w:numPr>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b w:val="0"/>
          <w:color w:val="000000"/>
          <w:kern w:val="2"/>
          <w:sz w:val="24"/>
          <w:szCs w:val="24"/>
        </w:rPr>
      </w:pPr>
      <w:r>
        <w:rPr>
          <w:rFonts w:hint="eastAsia" w:ascii="宋体" w:hAnsi="宋体" w:eastAsia="宋体" w:cs="宋体"/>
          <w:b w:val="0"/>
          <w:color w:val="000000"/>
          <w:kern w:val="2"/>
          <w:sz w:val="24"/>
          <w:szCs w:val="24"/>
        </w:rPr>
        <w:t>预算编制工作，认真做好预算的编制。全面编制预算项目，优先保障固定性的、相对刚性的费用支出项目，尽量压缩变动性的、有控制空间的费用项目，进一步提高预算编制的科学性、严谨性和可控性。</w:t>
      </w:r>
    </w:p>
    <w:p w14:paraId="3AC16A0C">
      <w:pPr>
        <w:pStyle w:val="62"/>
        <w:pageBreakBefore w:val="0"/>
        <w:widowControl w:val="0"/>
        <w:kinsoku/>
        <w:wordWrap/>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b w:val="0"/>
          <w:color w:val="000000"/>
          <w:sz w:val="24"/>
          <w:szCs w:val="24"/>
        </w:rPr>
      </w:pPr>
      <w:r>
        <w:rPr>
          <w:rFonts w:hint="eastAsia" w:ascii="宋体" w:hAnsi="宋体" w:eastAsia="宋体" w:cs="宋体"/>
          <w:b w:val="0"/>
          <w:color w:val="000000"/>
          <w:sz w:val="24"/>
          <w:szCs w:val="24"/>
        </w:rPr>
        <w:t>开展进度的跟踪，确保项目绩效目标的完成。规范程序，严格把关。进一步完善项目申报、审核、公示、审批等程序，严格审核切实做好项目信息公开，公开内容要及时、完整、真实，确保项目公平、公开、公正。</w:t>
      </w:r>
    </w:p>
    <w:p w14:paraId="37793CC2">
      <w:pPr>
        <w:pStyle w:val="61"/>
        <w:keepNext w:val="0"/>
        <w:keepLines w:val="0"/>
        <w:pageBreakBefore w:val="0"/>
        <w:widowControl w:val="0"/>
        <w:numPr>
          <w:ilvl w:val="0"/>
          <w:numId w:val="0"/>
        </w:numPr>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color w:val="000000"/>
          <w:sz w:val="24"/>
          <w:szCs w:val="24"/>
        </w:rPr>
      </w:pPr>
      <w:r>
        <w:rPr>
          <w:rFonts w:hint="eastAsia" w:ascii="宋体" w:hAnsi="宋体" w:eastAsia="宋体" w:cs="宋体"/>
          <w:b w:val="0"/>
          <w:bCs w:val="0"/>
          <w:color w:val="000000"/>
          <w:kern w:val="2"/>
          <w:sz w:val="24"/>
          <w:szCs w:val="24"/>
        </w:rPr>
        <w:t>健全制度，加强督促。针对项目实施中存在的问题，进一步完善相关制度，加强督促检查，确保质量安全和建设进度；同时及时完善资料。</w:t>
      </w:r>
    </w:p>
    <w:p w14:paraId="10B564DF">
      <w:pPr>
        <w:pStyle w:val="4"/>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黑体" w:hAnsi="黑体" w:eastAsia="黑体" w:cs="黑体"/>
          <w:color w:val="000000"/>
          <w:sz w:val="24"/>
          <w:szCs w:val="24"/>
        </w:rPr>
      </w:pPr>
    </w:p>
    <w:p w14:paraId="14224439">
      <w:pPr>
        <w:pStyle w:val="4"/>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黑体" w:hAnsi="黑体" w:eastAsia="黑体" w:cs="黑体"/>
          <w:color w:val="000000"/>
          <w:sz w:val="24"/>
          <w:szCs w:val="24"/>
        </w:rPr>
      </w:pPr>
      <w:r>
        <w:rPr>
          <w:rFonts w:hint="eastAsia" w:ascii="黑体" w:hAnsi="黑体" w:eastAsia="黑体" w:cs="黑体"/>
          <w:color w:val="000000"/>
          <w:sz w:val="24"/>
          <w:szCs w:val="24"/>
        </w:rPr>
        <w:t>八、其他需要说明的问题</w:t>
      </w:r>
      <w:bookmarkEnd w:id="25"/>
    </w:p>
    <w:p w14:paraId="6F2FE26F">
      <w:pPr>
        <w:pStyle w:val="47"/>
        <w:pageBreakBefore w:val="0"/>
        <w:widowControl w:val="0"/>
        <w:kinsoku/>
        <w:wordWrap/>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000000"/>
          <w:kern w:val="0"/>
          <w:sz w:val="24"/>
          <w:szCs w:val="24"/>
        </w:rPr>
      </w:pPr>
      <w:r>
        <w:rPr>
          <w:rFonts w:hint="eastAsia" w:ascii="宋体" w:hAnsi="宋体" w:eastAsia="宋体" w:cs="宋体"/>
          <w:color w:val="000000"/>
          <w:sz w:val="24"/>
          <w:szCs w:val="24"/>
        </w:rPr>
        <w:t>我单位对上述项目支出绩效评价报告内反映内容的真实性、完整性负责，愿接受上级部门及社会公众监督。</w:t>
      </w:r>
    </w:p>
    <w:p w14:paraId="24D8ED64">
      <w:pPr>
        <w:pageBreakBefore w:val="0"/>
        <w:widowControl w:val="0"/>
        <w:kinsoku/>
        <w:wordWrap/>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附件1：中央直达资金-和地财教[2023]60号：2024年城乡义务教育补助经费项目绩效评价指标体系</w:t>
      </w:r>
    </w:p>
    <w:p w14:paraId="7A126BF9">
      <w:pPr>
        <w:pageBreakBefore w:val="0"/>
        <w:widowControl w:val="0"/>
        <w:kinsoku/>
        <w:wordWrap/>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附件2：中央直达资金-和地财教[2023]60号：2024年城乡义务教育补助经费项目综合得分表</w:t>
      </w:r>
    </w:p>
    <w:p w14:paraId="2134FF1F">
      <w:pPr>
        <w:pageBreakBefore w:val="0"/>
        <w:widowControl w:val="0"/>
        <w:kinsoku/>
        <w:wordWrap/>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附件3：满意度调查问分析情况</w:t>
      </w:r>
    </w:p>
    <w:p w14:paraId="594E1AE6">
      <w:pPr>
        <w:spacing w:line="360" w:lineRule="auto"/>
        <w:ind w:firstLine="480"/>
        <w:rPr>
          <w:rFonts w:hint="eastAsia" w:ascii="宋体" w:hAnsi="宋体" w:eastAsia="宋体" w:cs="宋体"/>
          <w:color w:val="000000"/>
          <w:sz w:val="24"/>
          <w:szCs w:val="24"/>
        </w:rPr>
      </w:pPr>
    </w:p>
    <w:p w14:paraId="7E0CF503">
      <w:pPr>
        <w:pStyle w:val="10"/>
        <w:ind w:firstLine="0" w:firstLineChars="0"/>
        <w:jc w:val="both"/>
        <w:rPr>
          <w:rFonts w:hint="eastAsia" w:ascii="宋体" w:hAnsi="宋体" w:eastAsia="宋体" w:cs="宋体"/>
          <w:color w:val="000000"/>
          <w:sz w:val="24"/>
          <w:szCs w:val="24"/>
        </w:rPr>
      </w:pPr>
    </w:p>
    <w:p w14:paraId="7BF59C0B">
      <w:pPr>
        <w:pStyle w:val="10"/>
        <w:ind w:firstLine="0" w:firstLineChars="0"/>
        <w:jc w:val="both"/>
        <w:rPr>
          <w:rFonts w:hint="eastAsia" w:ascii="宋体" w:hAnsi="宋体" w:eastAsia="宋体" w:cs="宋体"/>
          <w:color w:val="000000"/>
          <w:sz w:val="24"/>
          <w:szCs w:val="24"/>
        </w:rPr>
        <w:sectPr>
          <w:headerReference r:id="rId5" w:type="default"/>
          <w:footerReference r:id="rId6" w:type="default"/>
          <w:pgSz w:w="11906" w:h="16838"/>
          <w:pgMar w:top="1985" w:right="1531" w:bottom="1701" w:left="1531" w:header="851" w:footer="992" w:gutter="0"/>
          <w:pgNumType w:start="1"/>
          <w:cols w:space="720" w:num="1"/>
          <w:docGrid w:type="linesAndChars" w:linePitch="386" w:charSpace="0"/>
        </w:sectPr>
      </w:pPr>
    </w:p>
    <w:tbl>
      <w:tblPr>
        <w:tblStyle w:val="24"/>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681"/>
        <w:gridCol w:w="1173"/>
        <w:gridCol w:w="709"/>
        <w:gridCol w:w="1147"/>
        <w:gridCol w:w="650"/>
        <w:gridCol w:w="1206"/>
        <w:gridCol w:w="1708"/>
        <w:gridCol w:w="848"/>
        <w:gridCol w:w="3567"/>
        <w:gridCol w:w="981"/>
        <w:gridCol w:w="698"/>
      </w:tblGrid>
      <w:tr w14:paraId="5BDAC63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2" w:hRule="atLeast"/>
        </w:trPr>
        <w:tc>
          <w:tcPr>
            <w:tcW w:w="5000" w:type="pct"/>
            <w:gridSpan w:val="11"/>
            <w:tcBorders>
              <w:top w:val="nil"/>
              <w:left w:val="nil"/>
              <w:bottom w:val="nil"/>
              <w:right w:val="nil"/>
            </w:tcBorders>
            <w:noWrap w:val="0"/>
            <w:vAlign w:val="center"/>
          </w:tcPr>
          <w:p w14:paraId="7EE5D5CE">
            <w:pPr>
              <w:keepNext w:val="0"/>
              <w:keepLines w:val="0"/>
              <w:pageBreakBefore w:val="0"/>
              <w:widowControl/>
              <w:kinsoku/>
              <w:wordWrap/>
              <w:overflowPunct/>
              <w:topLinePunct w:val="0"/>
              <w:autoSpaceDE/>
              <w:autoSpaceDN/>
              <w:bidi w:val="0"/>
              <w:adjustRightInd/>
              <w:snapToGrid/>
              <w:spacing w:line="240" w:lineRule="exact"/>
              <w:ind w:firstLine="0" w:firstLineChars="0"/>
              <w:jc w:val="left"/>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rPr>
              <w:t>附件1：</w:t>
            </w:r>
          </w:p>
        </w:tc>
      </w:tr>
      <w:tr w14:paraId="3732991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75" w:hRule="atLeast"/>
        </w:trPr>
        <w:tc>
          <w:tcPr>
            <w:tcW w:w="5000" w:type="pct"/>
            <w:gridSpan w:val="11"/>
            <w:tcBorders>
              <w:top w:val="nil"/>
              <w:left w:val="nil"/>
              <w:bottom w:val="nil"/>
              <w:right w:val="nil"/>
            </w:tcBorders>
            <w:noWrap w:val="0"/>
            <w:vAlign w:val="center"/>
          </w:tcPr>
          <w:p w14:paraId="60F3604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rPr>
              <w:t>中央直达资金-和地财教[2023]60号：2024年城乡义务教育补助经费项目绩效评价指标体系综合评分表</w:t>
            </w:r>
          </w:p>
        </w:tc>
      </w:tr>
      <w:tr w14:paraId="2692EC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5" w:hRule="atLeast"/>
        </w:trPr>
        <w:tc>
          <w:tcPr>
            <w:tcW w:w="255" w:type="pct"/>
            <w:tcBorders>
              <w:top w:val="single" w:color="auto" w:sz="4" w:space="0"/>
              <w:left w:val="single" w:color="auto" w:sz="4" w:space="0"/>
              <w:bottom w:val="single" w:color="auto" w:sz="4" w:space="0"/>
              <w:right w:val="single" w:color="auto" w:sz="4" w:space="0"/>
            </w:tcBorders>
            <w:noWrap w:val="0"/>
            <w:vAlign w:val="center"/>
          </w:tcPr>
          <w:p w14:paraId="06F4205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rPr>
              <w:t>一级指标</w:t>
            </w:r>
          </w:p>
        </w:tc>
        <w:tc>
          <w:tcPr>
            <w:tcW w:w="439" w:type="pct"/>
            <w:tcBorders>
              <w:top w:val="single" w:color="auto" w:sz="4" w:space="0"/>
              <w:left w:val="single" w:color="auto" w:sz="4" w:space="0"/>
              <w:bottom w:val="single" w:color="auto" w:sz="4" w:space="0"/>
              <w:right w:val="single" w:color="auto" w:sz="4" w:space="0"/>
            </w:tcBorders>
            <w:noWrap w:val="0"/>
            <w:vAlign w:val="center"/>
          </w:tcPr>
          <w:p w14:paraId="3697E2F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rPr>
              <w:t>分值</w:t>
            </w:r>
          </w:p>
        </w:tc>
        <w:tc>
          <w:tcPr>
            <w:tcW w:w="265" w:type="pct"/>
            <w:tcBorders>
              <w:top w:val="single" w:color="auto" w:sz="4" w:space="0"/>
              <w:left w:val="single" w:color="auto" w:sz="4" w:space="0"/>
              <w:bottom w:val="single" w:color="auto" w:sz="4" w:space="0"/>
              <w:right w:val="single" w:color="auto" w:sz="4" w:space="0"/>
            </w:tcBorders>
            <w:noWrap w:val="0"/>
            <w:vAlign w:val="center"/>
          </w:tcPr>
          <w:p w14:paraId="129CF16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rPr>
              <w:t>二级指标</w:t>
            </w:r>
          </w:p>
        </w:tc>
        <w:tc>
          <w:tcPr>
            <w:tcW w:w="429" w:type="pct"/>
            <w:tcBorders>
              <w:top w:val="single" w:color="auto" w:sz="4" w:space="0"/>
              <w:left w:val="single" w:color="auto" w:sz="4" w:space="0"/>
              <w:bottom w:val="single" w:color="auto" w:sz="4" w:space="0"/>
              <w:right w:val="single" w:color="auto" w:sz="4" w:space="0"/>
            </w:tcBorders>
            <w:noWrap w:val="0"/>
            <w:vAlign w:val="center"/>
          </w:tcPr>
          <w:p w14:paraId="551D87D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rPr>
              <w:t>分值</w:t>
            </w:r>
          </w:p>
        </w:tc>
        <w:tc>
          <w:tcPr>
            <w:tcW w:w="243" w:type="pct"/>
            <w:tcBorders>
              <w:top w:val="single" w:color="auto" w:sz="4" w:space="0"/>
              <w:left w:val="single" w:color="auto" w:sz="4" w:space="0"/>
              <w:bottom w:val="single" w:color="auto" w:sz="4" w:space="0"/>
              <w:right w:val="single" w:color="auto" w:sz="4" w:space="0"/>
            </w:tcBorders>
            <w:noWrap w:val="0"/>
            <w:vAlign w:val="center"/>
          </w:tcPr>
          <w:p w14:paraId="3B7A4BB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rPr>
              <w:t>三级指标</w:t>
            </w:r>
          </w:p>
        </w:tc>
        <w:tc>
          <w:tcPr>
            <w:tcW w:w="451" w:type="pct"/>
            <w:tcBorders>
              <w:top w:val="single" w:color="auto" w:sz="4" w:space="0"/>
              <w:left w:val="single" w:color="auto" w:sz="4" w:space="0"/>
              <w:bottom w:val="single" w:color="auto" w:sz="4" w:space="0"/>
              <w:right w:val="single" w:color="auto" w:sz="4" w:space="0"/>
            </w:tcBorders>
            <w:noWrap w:val="0"/>
            <w:vAlign w:val="center"/>
          </w:tcPr>
          <w:p w14:paraId="0B8F337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rPr>
              <w:t>分值</w:t>
            </w:r>
          </w:p>
        </w:tc>
        <w:tc>
          <w:tcPr>
            <w:tcW w:w="639" w:type="pct"/>
            <w:tcBorders>
              <w:top w:val="single" w:color="auto" w:sz="4" w:space="0"/>
              <w:left w:val="single" w:color="auto" w:sz="4" w:space="0"/>
              <w:bottom w:val="single" w:color="auto" w:sz="4" w:space="0"/>
              <w:right w:val="single" w:color="auto" w:sz="4" w:space="0"/>
            </w:tcBorders>
            <w:noWrap w:val="0"/>
            <w:vAlign w:val="center"/>
          </w:tcPr>
          <w:p w14:paraId="7EA1542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rPr>
              <w:t>指标解释</w:t>
            </w:r>
          </w:p>
        </w:tc>
        <w:tc>
          <w:tcPr>
            <w:tcW w:w="317" w:type="pct"/>
            <w:tcBorders>
              <w:top w:val="single" w:color="auto" w:sz="4" w:space="0"/>
              <w:left w:val="single" w:color="auto" w:sz="4" w:space="0"/>
              <w:bottom w:val="single" w:color="auto" w:sz="4" w:space="0"/>
              <w:right w:val="single" w:color="auto" w:sz="4" w:space="0"/>
            </w:tcBorders>
            <w:noWrap w:val="0"/>
            <w:vAlign w:val="center"/>
          </w:tcPr>
          <w:p w14:paraId="077DAEE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rPr>
              <w:t>标杆值</w:t>
            </w:r>
          </w:p>
        </w:tc>
        <w:tc>
          <w:tcPr>
            <w:tcW w:w="1334" w:type="pct"/>
            <w:tcBorders>
              <w:top w:val="single" w:color="auto" w:sz="4" w:space="0"/>
              <w:left w:val="single" w:color="auto" w:sz="4" w:space="0"/>
              <w:bottom w:val="single" w:color="auto" w:sz="4" w:space="0"/>
              <w:right w:val="single" w:color="auto" w:sz="4" w:space="0"/>
            </w:tcBorders>
            <w:noWrap w:val="0"/>
            <w:vAlign w:val="center"/>
          </w:tcPr>
          <w:p w14:paraId="62CD67D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rPr>
              <w:t>评分标准</w:t>
            </w:r>
          </w:p>
        </w:tc>
        <w:tc>
          <w:tcPr>
            <w:tcW w:w="367" w:type="pct"/>
            <w:tcBorders>
              <w:top w:val="single" w:color="auto" w:sz="4" w:space="0"/>
              <w:left w:val="single" w:color="auto" w:sz="4" w:space="0"/>
              <w:bottom w:val="single" w:color="auto" w:sz="4" w:space="0"/>
              <w:right w:val="single" w:color="auto" w:sz="4" w:space="0"/>
            </w:tcBorders>
            <w:noWrap w:val="0"/>
            <w:vAlign w:val="center"/>
          </w:tcPr>
          <w:p w14:paraId="29AF507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rPr>
              <w:t>完成值</w:t>
            </w:r>
          </w:p>
        </w:tc>
        <w:tc>
          <w:tcPr>
            <w:tcW w:w="255" w:type="pct"/>
            <w:tcBorders>
              <w:top w:val="single" w:color="auto" w:sz="4" w:space="0"/>
              <w:left w:val="single" w:color="auto" w:sz="4" w:space="0"/>
              <w:bottom w:val="single" w:color="auto" w:sz="4" w:space="0"/>
              <w:right w:val="single" w:color="auto" w:sz="4" w:space="0"/>
            </w:tcBorders>
            <w:noWrap w:val="0"/>
            <w:vAlign w:val="center"/>
          </w:tcPr>
          <w:p w14:paraId="77977BE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rPr>
              <w:t>得分</w:t>
            </w:r>
          </w:p>
        </w:tc>
      </w:tr>
      <w:tr w14:paraId="4F442F6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80" w:hRule="atLeast"/>
        </w:trPr>
        <w:tc>
          <w:tcPr>
            <w:tcW w:w="255" w:type="pct"/>
            <w:vMerge w:val="restart"/>
            <w:tcBorders>
              <w:top w:val="single" w:color="auto" w:sz="4" w:space="0"/>
              <w:left w:val="single" w:color="auto" w:sz="4" w:space="0"/>
              <w:bottom w:val="single" w:color="auto" w:sz="4" w:space="0"/>
              <w:right w:val="single" w:color="auto" w:sz="4" w:space="0"/>
            </w:tcBorders>
            <w:noWrap w:val="0"/>
            <w:vAlign w:val="center"/>
          </w:tcPr>
          <w:p w14:paraId="00FEC36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项目决策</w:t>
            </w:r>
          </w:p>
        </w:tc>
        <w:tc>
          <w:tcPr>
            <w:tcW w:w="439" w:type="pct"/>
            <w:vMerge w:val="restart"/>
            <w:tcBorders>
              <w:top w:val="single" w:color="auto" w:sz="4" w:space="0"/>
              <w:left w:val="single" w:color="auto" w:sz="4" w:space="0"/>
              <w:bottom w:val="single" w:color="auto" w:sz="4" w:space="0"/>
              <w:right w:val="single" w:color="auto" w:sz="4" w:space="0"/>
            </w:tcBorders>
            <w:noWrap w:val="0"/>
            <w:vAlign w:val="center"/>
          </w:tcPr>
          <w:p w14:paraId="321350A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23</w:t>
            </w:r>
          </w:p>
        </w:tc>
        <w:tc>
          <w:tcPr>
            <w:tcW w:w="265" w:type="pct"/>
            <w:vMerge w:val="restart"/>
            <w:tcBorders>
              <w:top w:val="single" w:color="auto" w:sz="4" w:space="0"/>
              <w:left w:val="single" w:color="auto" w:sz="4" w:space="0"/>
              <w:bottom w:val="single" w:color="auto" w:sz="4" w:space="0"/>
              <w:right w:val="single" w:color="auto" w:sz="4" w:space="0"/>
            </w:tcBorders>
            <w:noWrap w:val="0"/>
            <w:vAlign w:val="center"/>
          </w:tcPr>
          <w:p w14:paraId="214D53D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项目立项</w:t>
            </w:r>
          </w:p>
        </w:tc>
        <w:tc>
          <w:tcPr>
            <w:tcW w:w="429" w:type="pct"/>
            <w:vMerge w:val="restart"/>
            <w:tcBorders>
              <w:top w:val="single" w:color="auto" w:sz="4" w:space="0"/>
              <w:left w:val="single" w:color="auto" w:sz="4" w:space="0"/>
              <w:bottom w:val="single" w:color="auto" w:sz="4" w:space="0"/>
              <w:right w:val="single" w:color="auto" w:sz="4" w:space="0"/>
            </w:tcBorders>
            <w:noWrap w:val="0"/>
            <w:vAlign w:val="center"/>
          </w:tcPr>
          <w:p w14:paraId="0FDFB02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5</w:t>
            </w:r>
          </w:p>
        </w:tc>
        <w:tc>
          <w:tcPr>
            <w:tcW w:w="243" w:type="pct"/>
            <w:tcBorders>
              <w:top w:val="single" w:color="auto" w:sz="4" w:space="0"/>
              <w:left w:val="single" w:color="auto" w:sz="4" w:space="0"/>
              <w:bottom w:val="single" w:color="auto" w:sz="4" w:space="0"/>
              <w:right w:val="single" w:color="auto" w:sz="4" w:space="0"/>
            </w:tcBorders>
            <w:noWrap w:val="0"/>
            <w:vAlign w:val="center"/>
          </w:tcPr>
          <w:p w14:paraId="426B3A7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立项依据充分性</w:t>
            </w:r>
          </w:p>
        </w:tc>
        <w:tc>
          <w:tcPr>
            <w:tcW w:w="451" w:type="pct"/>
            <w:tcBorders>
              <w:top w:val="single" w:color="auto" w:sz="4" w:space="0"/>
              <w:left w:val="single" w:color="auto" w:sz="4" w:space="0"/>
              <w:bottom w:val="single" w:color="auto" w:sz="4" w:space="0"/>
              <w:right w:val="single" w:color="auto" w:sz="4" w:space="0"/>
            </w:tcBorders>
            <w:noWrap w:val="0"/>
            <w:vAlign w:val="center"/>
          </w:tcPr>
          <w:p w14:paraId="671458A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2</w:t>
            </w:r>
          </w:p>
        </w:tc>
        <w:tc>
          <w:tcPr>
            <w:tcW w:w="639" w:type="pct"/>
            <w:tcBorders>
              <w:top w:val="single" w:color="auto" w:sz="4" w:space="0"/>
              <w:left w:val="single" w:color="auto" w:sz="4" w:space="0"/>
              <w:bottom w:val="single" w:color="auto" w:sz="4" w:space="0"/>
              <w:right w:val="single" w:color="auto" w:sz="4" w:space="0"/>
            </w:tcBorders>
            <w:noWrap w:val="0"/>
            <w:vAlign w:val="center"/>
          </w:tcPr>
          <w:p w14:paraId="2B817B4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项目立项是否符合法律法规、相关政策、发展规划以及部门职责，用以反映和考核项目立项依据情况。</w:t>
            </w:r>
          </w:p>
        </w:tc>
        <w:tc>
          <w:tcPr>
            <w:tcW w:w="317" w:type="pct"/>
            <w:tcBorders>
              <w:top w:val="single" w:color="auto" w:sz="4" w:space="0"/>
              <w:left w:val="single" w:color="auto" w:sz="4" w:space="0"/>
              <w:bottom w:val="single" w:color="auto" w:sz="4" w:space="0"/>
              <w:right w:val="single" w:color="auto" w:sz="4" w:space="0"/>
            </w:tcBorders>
            <w:noWrap w:val="0"/>
            <w:vAlign w:val="center"/>
          </w:tcPr>
          <w:p w14:paraId="646EFEF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充分</w:t>
            </w:r>
          </w:p>
        </w:tc>
        <w:tc>
          <w:tcPr>
            <w:tcW w:w="1334" w:type="pct"/>
            <w:tcBorders>
              <w:top w:val="single" w:color="auto" w:sz="4" w:space="0"/>
              <w:left w:val="single" w:color="auto" w:sz="4" w:space="0"/>
              <w:bottom w:val="single" w:color="auto" w:sz="4" w:space="0"/>
              <w:right w:val="single" w:color="auto" w:sz="4" w:space="0"/>
            </w:tcBorders>
            <w:noWrap w:val="0"/>
            <w:vAlign w:val="center"/>
          </w:tcPr>
          <w:p w14:paraId="05BE8B0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21"/>
                <w:szCs w:val="21"/>
                <w:u w:val="none"/>
                <w:lang w:val="en-US" w:eastAsia="zh-CN"/>
              </w:rPr>
            </w:pPr>
            <w:r>
              <w:rPr>
                <w:rFonts w:hint="eastAsia" w:ascii="宋体" w:hAnsi="宋体" w:eastAsia="宋体" w:cs="宋体"/>
                <w:i w:val="0"/>
                <w:iCs w:val="0"/>
                <w:color w:val="000000"/>
                <w:kern w:val="0"/>
                <w:sz w:val="21"/>
                <w:szCs w:val="21"/>
                <w:u w:val="none"/>
                <w:lang w:val="en-US" w:eastAsia="zh-CN"/>
              </w:rPr>
              <w:t>①项目立项是否符合国家法律法规、国民经济发展规划和相关政策；</w:t>
            </w:r>
          </w:p>
          <w:p w14:paraId="67E53B6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②项目立项是否符合行业发展规划和政策要求；</w:t>
            </w:r>
          </w:p>
          <w:p w14:paraId="6A6EB3E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③项目立项是否与部门职责范围相符，属于部门履职所需；</w:t>
            </w:r>
          </w:p>
          <w:p w14:paraId="685D948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④项目是否属于公共财政支持范围，是否符合中央、地方事权支出责任划分原则；</w:t>
            </w:r>
          </w:p>
          <w:p w14:paraId="636DC46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⑤项目是否与相关部门同类项目或部门内部相关项目重复。</w:t>
            </w:r>
          </w:p>
          <w:p w14:paraId="0FCD6FF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以上每条要素占权重分的20%，每有一条不符合，扣除对应权重分，扣完为止。</w:t>
            </w:r>
          </w:p>
        </w:tc>
        <w:tc>
          <w:tcPr>
            <w:tcW w:w="367" w:type="pct"/>
            <w:tcBorders>
              <w:top w:val="single" w:color="auto" w:sz="4" w:space="0"/>
              <w:left w:val="single" w:color="auto" w:sz="4" w:space="0"/>
              <w:bottom w:val="single" w:color="auto" w:sz="4" w:space="0"/>
              <w:right w:val="single" w:color="auto" w:sz="4" w:space="0"/>
            </w:tcBorders>
            <w:noWrap w:val="0"/>
            <w:vAlign w:val="center"/>
          </w:tcPr>
          <w:p w14:paraId="4BD729F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充分</w:t>
            </w:r>
          </w:p>
        </w:tc>
        <w:tc>
          <w:tcPr>
            <w:tcW w:w="255" w:type="pct"/>
            <w:tcBorders>
              <w:top w:val="single" w:color="auto" w:sz="4" w:space="0"/>
              <w:left w:val="single" w:color="auto" w:sz="4" w:space="0"/>
              <w:bottom w:val="single" w:color="auto" w:sz="4" w:space="0"/>
              <w:right w:val="single" w:color="auto" w:sz="4" w:space="0"/>
            </w:tcBorders>
            <w:noWrap w:val="0"/>
            <w:vAlign w:val="center"/>
          </w:tcPr>
          <w:p w14:paraId="30462BA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2</w:t>
            </w:r>
          </w:p>
        </w:tc>
      </w:tr>
      <w:tr w14:paraId="388FE95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00" w:hRule="atLeast"/>
        </w:trPr>
        <w:tc>
          <w:tcPr>
            <w:tcW w:w="255" w:type="pct"/>
            <w:vMerge w:val="continue"/>
            <w:tcBorders>
              <w:top w:val="single" w:color="auto" w:sz="4" w:space="0"/>
              <w:left w:val="single" w:color="auto" w:sz="4" w:space="0"/>
              <w:bottom w:val="single" w:color="auto" w:sz="4" w:space="0"/>
              <w:right w:val="single" w:color="auto" w:sz="4" w:space="0"/>
            </w:tcBorders>
            <w:noWrap w:val="0"/>
            <w:vAlign w:val="center"/>
          </w:tcPr>
          <w:p w14:paraId="29EF8864">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439" w:type="pct"/>
            <w:vMerge w:val="continue"/>
            <w:tcBorders>
              <w:top w:val="single" w:color="auto" w:sz="4" w:space="0"/>
              <w:left w:val="single" w:color="auto" w:sz="4" w:space="0"/>
              <w:bottom w:val="single" w:color="auto" w:sz="4" w:space="0"/>
              <w:right w:val="single" w:color="auto" w:sz="4" w:space="0"/>
            </w:tcBorders>
            <w:noWrap w:val="0"/>
            <w:vAlign w:val="center"/>
          </w:tcPr>
          <w:p w14:paraId="70F89F86">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265" w:type="pct"/>
            <w:vMerge w:val="continue"/>
            <w:tcBorders>
              <w:top w:val="single" w:color="auto" w:sz="4" w:space="0"/>
              <w:left w:val="single" w:color="auto" w:sz="4" w:space="0"/>
              <w:bottom w:val="single" w:color="auto" w:sz="4" w:space="0"/>
              <w:right w:val="single" w:color="auto" w:sz="4" w:space="0"/>
            </w:tcBorders>
            <w:noWrap w:val="0"/>
            <w:vAlign w:val="center"/>
          </w:tcPr>
          <w:p w14:paraId="53F63F91">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429" w:type="pct"/>
            <w:vMerge w:val="continue"/>
            <w:tcBorders>
              <w:top w:val="single" w:color="auto" w:sz="4" w:space="0"/>
              <w:left w:val="single" w:color="auto" w:sz="4" w:space="0"/>
              <w:bottom w:val="single" w:color="auto" w:sz="4" w:space="0"/>
              <w:right w:val="single" w:color="auto" w:sz="4" w:space="0"/>
            </w:tcBorders>
            <w:noWrap w:val="0"/>
            <w:vAlign w:val="center"/>
          </w:tcPr>
          <w:p w14:paraId="1D975E75">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243" w:type="pct"/>
            <w:tcBorders>
              <w:top w:val="single" w:color="auto" w:sz="4" w:space="0"/>
              <w:left w:val="single" w:color="auto" w:sz="4" w:space="0"/>
              <w:bottom w:val="single" w:color="auto" w:sz="4" w:space="0"/>
              <w:right w:val="single" w:color="auto" w:sz="4" w:space="0"/>
            </w:tcBorders>
            <w:noWrap w:val="0"/>
            <w:vAlign w:val="center"/>
          </w:tcPr>
          <w:p w14:paraId="6F4C596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立项程序规范性</w:t>
            </w:r>
          </w:p>
        </w:tc>
        <w:tc>
          <w:tcPr>
            <w:tcW w:w="451" w:type="pct"/>
            <w:tcBorders>
              <w:top w:val="single" w:color="auto" w:sz="4" w:space="0"/>
              <w:left w:val="single" w:color="auto" w:sz="4" w:space="0"/>
              <w:bottom w:val="single" w:color="auto" w:sz="4" w:space="0"/>
              <w:right w:val="single" w:color="auto" w:sz="4" w:space="0"/>
            </w:tcBorders>
            <w:noWrap w:val="0"/>
            <w:vAlign w:val="center"/>
          </w:tcPr>
          <w:p w14:paraId="18D6703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3</w:t>
            </w:r>
          </w:p>
        </w:tc>
        <w:tc>
          <w:tcPr>
            <w:tcW w:w="639" w:type="pct"/>
            <w:tcBorders>
              <w:top w:val="single" w:color="auto" w:sz="4" w:space="0"/>
              <w:left w:val="single" w:color="auto" w:sz="4" w:space="0"/>
              <w:bottom w:val="single" w:color="auto" w:sz="4" w:space="0"/>
              <w:right w:val="single" w:color="auto" w:sz="4" w:space="0"/>
            </w:tcBorders>
            <w:noWrap w:val="0"/>
            <w:vAlign w:val="center"/>
          </w:tcPr>
          <w:p w14:paraId="38DF75F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项目申请、设立过程是否符合相关要求，用以反映和考核项目立项的规范情况。</w:t>
            </w:r>
          </w:p>
        </w:tc>
        <w:tc>
          <w:tcPr>
            <w:tcW w:w="317" w:type="pct"/>
            <w:tcBorders>
              <w:top w:val="single" w:color="auto" w:sz="4" w:space="0"/>
              <w:left w:val="single" w:color="auto" w:sz="4" w:space="0"/>
              <w:bottom w:val="single" w:color="auto" w:sz="4" w:space="0"/>
              <w:right w:val="single" w:color="auto" w:sz="4" w:space="0"/>
            </w:tcBorders>
            <w:noWrap w:val="0"/>
            <w:vAlign w:val="center"/>
          </w:tcPr>
          <w:p w14:paraId="5F3F6CC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规范</w:t>
            </w:r>
          </w:p>
        </w:tc>
        <w:tc>
          <w:tcPr>
            <w:tcW w:w="1334" w:type="pct"/>
            <w:tcBorders>
              <w:top w:val="single" w:color="auto" w:sz="4" w:space="0"/>
              <w:left w:val="single" w:color="auto" w:sz="4" w:space="0"/>
              <w:bottom w:val="single" w:color="auto" w:sz="4" w:space="0"/>
              <w:right w:val="single" w:color="auto" w:sz="4" w:space="0"/>
            </w:tcBorders>
            <w:noWrap w:val="0"/>
            <w:vAlign w:val="center"/>
          </w:tcPr>
          <w:p w14:paraId="2387E98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21"/>
                <w:szCs w:val="21"/>
                <w:u w:val="none"/>
                <w:lang w:val="en-US" w:eastAsia="zh-CN"/>
              </w:rPr>
            </w:pPr>
            <w:r>
              <w:rPr>
                <w:rFonts w:hint="eastAsia" w:ascii="宋体" w:hAnsi="宋体" w:eastAsia="宋体" w:cs="宋体"/>
                <w:i w:val="0"/>
                <w:iCs w:val="0"/>
                <w:color w:val="000000"/>
                <w:kern w:val="0"/>
                <w:sz w:val="21"/>
                <w:szCs w:val="21"/>
                <w:u w:val="none"/>
                <w:lang w:val="en-US" w:eastAsia="zh-CN"/>
              </w:rPr>
              <w:t>①项目是否按照规定的程序申请设立；</w:t>
            </w:r>
          </w:p>
          <w:p w14:paraId="3DA23E5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②审批文件、材料是否符合相关要求；</w:t>
            </w:r>
          </w:p>
          <w:p w14:paraId="633A2C0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③事前是否已经过必要的可行性研究、专家论证、风险评估、绩效评估、集体决策。</w:t>
            </w:r>
          </w:p>
          <w:p w14:paraId="0A2BB95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①②③齐全得权重分的100%，缺①扣权重分的40%，缺②扣权重分的30%，缺③扣权重分的30%。</w:t>
            </w:r>
          </w:p>
        </w:tc>
        <w:tc>
          <w:tcPr>
            <w:tcW w:w="367" w:type="pct"/>
            <w:tcBorders>
              <w:top w:val="single" w:color="auto" w:sz="4" w:space="0"/>
              <w:left w:val="single" w:color="auto" w:sz="4" w:space="0"/>
              <w:bottom w:val="single" w:color="auto" w:sz="4" w:space="0"/>
              <w:right w:val="single" w:color="auto" w:sz="4" w:space="0"/>
            </w:tcBorders>
            <w:noWrap w:val="0"/>
            <w:vAlign w:val="center"/>
          </w:tcPr>
          <w:p w14:paraId="24E3304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规范</w:t>
            </w:r>
          </w:p>
        </w:tc>
        <w:tc>
          <w:tcPr>
            <w:tcW w:w="255" w:type="pct"/>
            <w:tcBorders>
              <w:top w:val="single" w:color="auto" w:sz="4" w:space="0"/>
              <w:left w:val="single" w:color="auto" w:sz="4" w:space="0"/>
              <w:bottom w:val="single" w:color="auto" w:sz="4" w:space="0"/>
              <w:right w:val="single" w:color="auto" w:sz="4" w:space="0"/>
            </w:tcBorders>
            <w:noWrap w:val="0"/>
            <w:vAlign w:val="center"/>
          </w:tcPr>
          <w:p w14:paraId="7CC2CA6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3</w:t>
            </w:r>
          </w:p>
        </w:tc>
      </w:tr>
      <w:tr w14:paraId="260D31F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816" w:hRule="atLeast"/>
        </w:trPr>
        <w:tc>
          <w:tcPr>
            <w:tcW w:w="255" w:type="pct"/>
            <w:vMerge w:val="continue"/>
            <w:tcBorders>
              <w:top w:val="single" w:color="auto" w:sz="4" w:space="0"/>
              <w:left w:val="single" w:color="auto" w:sz="4" w:space="0"/>
              <w:bottom w:val="single" w:color="auto" w:sz="4" w:space="0"/>
              <w:right w:val="single" w:color="auto" w:sz="4" w:space="0"/>
            </w:tcBorders>
            <w:noWrap w:val="0"/>
            <w:vAlign w:val="center"/>
          </w:tcPr>
          <w:p w14:paraId="52C4A7FE">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439" w:type="pct"/>
            <w:vMerge w:val="continue"/>
            <w:tcBorders>
              <w:top w:val="single" w:color="auto" w:sz="4" w:space="0"/>
              <w:left w:val="single" w:color="auto" w:sz="4" w:space="0"/>
              <w:bottom w:val="single" w:color="auto" w:sz="4" w:space="0"/>
              <w:right w:val="single" w:color="auto" w:sz="4" w:space="0"/>
            </w:tcBorders>
            <w:noWrap w:val="0"/>
            <w:vAlign w:val="center"/>
          </w:tcPr>
          <w:p w14:paraId="3E8ADAA0">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265" w:type="pct"/>
            <w:vMerge w:val="restart"/>
            <w:tcBorders>
              <w:top w:val="single" w:color="auto" w:sz="4" w:space="0"/>
              <w:left w:val="single" w:color="auto" w:sz="4" w:space="0"/>
              <w:bottom w:val="single" w:color="auto" w:sz="4" w:space="0"/>
              <w:right w:val="single" w:color="auto" w:sz="4" w:space="0"/>
            </w:tcBorders>
            <w:noWrap w:val="0"/>
            <w:vAlign w:val="center"/>
          </w:tcPr>
          <w:p w14:paraId="54C075E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绩效目标</w:t>
            </w:r>
          </w:p>
        </w:tc>
        <w:tc>
          <w:tcPr>
            <w:tcW w:w="429" w:type="pct"/>
            <w:vMerge w:val="restart"/>
            <w:tcBorders>
              <w:top w:val="single" w:color="auto" w:sz="4" w:space="0"/>
              <w:left w:val="single" w:color="auto" w:sz="4" w:space="0"/>
              <w:bottom w:val="single" w:color="auto" w:sz="4" w:space="0"/>
              <w:right w:val="single" w:color="auto" w:sz="4" w:space="0"/>
            </w:tcBorders>
            <w:noWrap w:val="0"/>
            <w:vAlign w:val="center"/>
          </w:tcPr>
          <w:p w14:paraId="1739045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10</w:t>
            </w:r>
          </w:p>
        </w:tc>
        <w:tc>
          <w:tcPr>
            <w:tcW w:w="243" w:type="pct"/>
            <w:tcBorders>
              <w:top w:val="single" w:color="auto" w:sz="4" w:space="0"/>
              <w:left w:val="single" w:color="auto" w:sz="4" w:space="0"/>
              <w:bottom w:val="single" w:color="auto" w:sz="4" w:space="0"/>
              <w:right w:val="single" w:color="auto" w:sz="4" w:space="0"/>
            </w:tcBorders>
            <w:noWrap w:val="0"/>
            <w:vAlign w:val="center"/>
          </w:tcPr>
          <w:p w14:paraId="49ED1D9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绩效目标合理性</w:t>
            </w:r>
          </w:p>
        </w:tc>
        <w:tc>
          <w:tcPr>
            <w:tcW w:w="451" w:type="pct"/>
            <w:tcBorders>
              <w:top w:val="single" w:color="auto" w:sz="4" w:space="0"/>
              <w:left w:val="single" w:color="auto" w:sz="4" w:space="0"/>
              <w:bottom w:val="single" w:color="auto" w:sz="4" w:space="0"/>
              <w:right w:val="single" w:color="auto" w:sz="4" w:space="0"/>
            </w:tcBorders>
            <w:noWrap w:val="0"/>
            <w:vAlign w:val="center"/>
          </w:tcPr>
          <w:p w14:paraId="535DC4F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5</w:t>
            </w:r>
          </w:p>
        </w:tc>
        <w:tc>
          <w:tcPr>
            <w:tcW w:w="639" w:type="pct"/>
            <w:tcBorders>
              <w:top w:val="single" w:color="auto" w:sz="4" w:space="0"/>
              <w:left w:val="single" w:color="auto" w:sz="4" w:space="0"/>
              <w:bottom w:val="single" w:color="auto" w:sz="4" w:space="0"/>
              <w:right w:val="single" w:color="auto" w:sz="4" w:space="0"/>
            </w:tcBorders>
            <w:noWrap w:val="0"/>
            <w:vAlign w:val="center"/>
          </w:tcPr>
          <w:p w14:paraId="35517A5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项目所设定的绩效目标是否依据充分，是否符合客观实际，用以反映和考核项目绩效目标与项目实施的相符情况。</w:t>
            </w:r>
          </w:p>
        </w:tc>
        <w:tc>
          <w:tcPr>
            <w:tcW w:w="317" w:type="pct"/>
            <w:tcBorders>
              <w:top w:val="single" w:color="auto" w:sz="4" w:space="0"/>
              <w:left w:val="single" w:color="auto" w:sz="4" w:space="0"/>
              <w:bottom w:val="single" w:color="auto" w:sz="4" w:space="0"/>
              <w:right w:val="single" w:color="auto" w:sz="4" w:space="0"/>
            </w:tcBorders>
            <w:noWrap w:val="0"/>
            <w:vAlign w:val="center"/>
          </w:tcPr>
          <w:p w14:paraId="610FA72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合理</w:t>
            </w:r>
          </w:p>
        </w:tc>
        <w:tc>
          <w:tcPr>
            <w:tcW w:w="1334" w:type="pct"/>
            <w:tcBorders>
              <w:top w:val="single" w:color="auto" w:sz="4" w:space="0"/>
              <w:left w:val="single" w:color="auto" w:sz="4" w:space="0"/>
              <w:bottom w:val="single" w:color="auto" w:sz="4" w:space="0"/>
              <w:right w:val="single" w:color="auto" w:sz="4" w:space="0"/>
            </w:tcBorders>
            <w:noWrap w:val="0"/>
            <w:vAlign w:val="center"/>
          </w:tcPr>
          <w:p w14:paraId="6FBBE77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21"/>
                <w:szCs w:val="21"/>
                <w:u w:val="none"/>
                <w:lang w:val="en-US" w:eastAsia="zh-CN"/>
              </w:rPr>
            </w:pPr>
            <w:r>
              <w:rPr>
                <w:rFonts w:hint="eastAsia" w:ascii="宋体" w:hAnsi="宋体" w:eastAsia="宋体" w:cs="宋体"/>
                <w:i w:val="0"/>
                <w:iCs w:val="0"/>
                <w:color w:val="000000"/>
                <w:kern w:val="0"/>
                <w:sz w:val="21"/>
                <w:szCs w:val="21"/>
                <w:u w:val="none"/>
                <w:lang w:val="en-US" w:eastAsia="zh-CN"/>
              </w:rPr>
              <w:t>①项目是否有绩效目标；</w:t>
            </w:r>
          </w:p>
          <w:p w14:paraId="2412131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②项目绩效目标与实际工作内容是否具有相关性；</w:t>
            </w:r>
          </w:p>
          <w:p w14:paraId="3F19748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③项目预期产出效益和效果是否符合正常的业绩水平；</w:t>
            </w:r>
          </w:p>
          <w:p w14:paraId="665CC73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④是否与预算确定的项目投资额或资金量相匹配。</w:t>
            </w:r>
          </w:p>
          <w:p w14:paraId="40EA42A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以上每条要素各占权重的25%，每有一条不符合，扣除对应的权重分，扣完为止。</w:t>
            </w:r>
          </w:p>
        </w:tc>
        <w:tc>
          <w:tcPr>
            <w:tcW w:w="367" w:type="pct"/>
            <w:tcBorders>
              <w:top w:val="single" w:color="auto" w:sz="4" w:space="0"/>
              <w:left w:val="single" w:color="auto" w:sz="4" w:space="0"/>
              <w:bottom w:val="single" w:color="auto" w:sz="4" w:space="0"/>
              <w:right w:val="single" w:color="auto" w:sz="4" w:space="0"/>
            </w:tcBorders>
            <w:noWrap w:val="0"/>
            <w:vAlign w:val="center"/>
          </w:tcPr>
          <w:p w14:paraId="453FF80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合理</w:t>
            </w:r>
          </w:p>
        </w:tc>
        <w:tc>
          <w:tcPr>
            <w:tcW w:w="255" w:type="pct"/>
            <w:tcBorders>
              <w:top w:val="single" w:color="auto" w:sz="4" w:space="0"/>
              <w:left w:val="single" w:color="auto" w:sz="4" w:space="0"/>
              <w:bottom w:val="single" w:color="auto" w:sz="4" w:space="0"/>
              <w:right w:val="single" w:color="auto" w:sz="4" w:space="0"/>
            </w:tcBorders>
            <w:noWrap w:val="0"/>
            <w:vAlign w:val="center"/>
          </w:tcPr>
          <w:p w14:paraId="292B655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5</w:t>
            </w:r>
          </w:p>
        </w:tc>
      </w:tr>
      <w:tr w14:paraId="4D34340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007" w:hRule="atLeast"/>
        </w:trPr>
        <w:tc>
          <w:tcPr>
            <w:tcW w:w="255" w:type="pct"/>
            <w:vMerge w:val="continue"/>
            <w:tcBorders>
              <w:top w:val="single" w:color="auto" w:sz="4" w:space="0"/>
              <w:left w:val="single" w:color="auto" w:sz="4" w:space="0"/>
              <w:bottom w:val="single" w:color="auto" w:sz="4" w:space="0"/>
              <w:right w:val="single" w:color="auto" w:sz="4" w:space="0"/>
            </w:tcBorders>
            <w:noWrap w:val="0"/>
            <w:vAlign w:val="center"/>
          </w:tcPr>
          <w:p w14:paraId="073B91E9">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439" w:type="pct"/>
            <w:vMerge w:val="continue"/>
            <w:tcBorders>
              <w:top w:val="single" w:color="auto" w:sz="4" w:space="0"/>
              <w:left w:val="single" w:color="auto" w:sz="4" w:space="0"/>
              <w:bottom w:val="single" w:color="auto" w:sz="4" w:space="0"/>
              <w:right w:val="single" w:color="auto" w:sz="4" w:space="0"/>
            </w:tcBorders>
            <w:noWrap w:val="0"/>
            <w:vAlign w:val="center"/>
          </w:tcPr>
          <w:p w14:paraId="1D8FF840">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265" w:type="pct"/>
            <w:vMerge w:val="continue"/>
            <w:tcBorders>
              <w:top w:val="single" w:color="auto" w:sz="4" w:space="0"/>
              <w:left w:val="single" w:color="auto" w:sz="4" w:space="0"/>
              <w:bottom w:val="single" w:color="auto" w:sz="4" w:space="0"/>
              <w:right w:val="single" w:color="auto" w:sz="4" w:space="0"/>
            </w:tcBorders>
            <w:noWrap w:val="0"/>
            <w:vAlign w:val="center"/>
          </w:tcPr>
          <w:p w14:paraId="2D13D5AB">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429" w:type="pct"/>
            <w:vMerge w:val="continue"/>
            <w:tcBorders>
              <w:top w:val="single" w:color="auto" w:sz="4" w:space="0"/>
              <w:left w:val="single" w:color="auto" w:sz="4" w:space="0"/>
              <w:bottom w:val="single" w:color="auto" w:sz="4" w:space="0"/>
              <w:right w:val="single" w:color="auto" w:sz="4" w:space="0"/>
            </w:tcBorders>
            <w:noWrap w:val="0"/>
            <w:vAlign w:val="center"/>
          </w:tcPr>
          <w:p w14:paraId="2475D35A">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243" w:type="pct"/>
            <w:tcBorders>
              <w:top w:val="single" w:color="auto" w:sz="4" w:space="0"/>
              <w:left w:val="single" w:color="auto" w:sz="4" w:space="0"/>
              <w:bottom w:val="single" w:color="auto" w:sz="4" w:space="0"/>
              <w:right w:val="single" w:color="auto" w:sz="4" w:space="0"/>
            </w:tcBorders>
            <w:noWrap w:val="0"/>
            <w:vAlign w:val="center"/>
          </w:tcPr>
          <w:p w14:paraId="3D3B792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绩效指标明确性</w:t>
            </w:r>
          </w:p>
        </w:tc>
        <w:tc>
          <w:tcPr>
            <w:tcW w:w="451" w:type="pct"/>
            <w:tcBorders>
              <w:top w:val="single" w:color="auto" w:sz="4" w:space="0"/>
              <w:left w:val="single" w:color="auto" w:sz="4" w:space="0"/>
              <w:bottom w:val="single" w:color="auto" w:sz="4" w:space="0"/>
              <w:right w:val="single" w:color="auto" w:sz="4" w:space="0"/>
            </w:tcBorders>
            <w:noWrap w:val="0"/>
            <w:vAlign w:val="center"/>
          </w:tcPr>
          <w:p w14:paraId="581B6E6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5</w:t>
            </w:r>
          </w:p>
        </w:tc>
        <w:tc>
          <w:tcPr>
            <w:tcW w:w="639" w:type="pct"/>
            <w:tcBorders>
              <w:top w:val="single" w:color="auto" w:sz="4" w:space="0"/>
              <w:left w:val="single" w:color="auto" w:sz="4" w:space="0"/>
              <w:bottom w:val="single" w:color="auto" w:sz="4" w:space="0"/>
              <w:right w:val="single" w:color="auto" w:sz="4" w:space="0"/>
            </w:tcBorders>
            <w:noWrap w:val="0"/>
            <w:vAlign w:val="center"/>
          </w:tcPr>
          <w:p w14:paraId="1F596A1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依据绩效目标设定的绩效指标是否清晰、细化、可衡量等，用以反映和考核项目绩效目标的明细化情况。</w:t>
            </w:r>
          </w:p>
        </w:tc>
        <w:tc>
          <w:tcPr>
            <w:tcW w:w="317" w:type="pct"/>
            <w:tcBorders>
              <w:top w:val="single" w:color="auto" w:sz="4" w:space="0"/>
              <w:left w:val="single" w:color="auto" w:sz="4" w:space="0"/>
              <w:bottom w:val="single" w:color="auto" w:sz="4" w:space="0"/>
              <w:right w:val="single" w:color="auto" w:sz="4" w:space="0"/>
            </w:tcBorders>
            <w:noWrap w:val="0"/>
            <w:vAlign w:val="center"/>
          </w:tcPr>
          <w:p w14:paraId="699C11C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明确</w:t>
            </w:r>
          </w:p>
        </w:tc>
        <w:tc>
          <w:tcPr>
            <w:tcW w:w="1334" w:type="pct"/>
            <w:tcBorders>
              <w:top w:val="single" w:color="auto" w:sz="4" w:space="0"/>
              <w:left w:val="single" w:color="auto" w:sz="4" w:space="0"/>
              <w:bottom w:val="single" w:color="auto" w:sz="4" w:space="0"/>
              <w:right w:val="single" w:color="auto" w:sz="4" w:space="0"/>
            </w:tcBorders>
            <w:noWrap w:val="0"/>
            <w:vAlign w:val="center"/>
          </w:tcPr>
          <w:p w14:paraId="29B50A8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21"/>
                <w:szCs w:val="21"/>
                <w:u w:val="none"/>
                <w:lang w:val="en-US" w:eastAsia="zh-CN"/>
              </w:rPr>
            </w:pPr>
            <w:r>
              <w:rPr>
                <w:rFonts w:hint="eastAsia" w:ascii="宋体" w:hAnsi="宋体" w:eastAsia="宋体" w:cs="宋体"/>
                <w:i w:val="0"/>
                <w:iCs w:val="0"/>
                <w:color w:val="000000"/>
                <w:kern w:val="0"/>
                <w:sz w:val="21"/>
                <w:szCs w:val="21"/>
                <w:u w:val="none"/>
                <w:lang w:val="en-US" w:eastAsia="zh-CN"/>
              </w:rPr>
              <w:t>①是否将项目绩效目标细化分解为具体的绩效指标；</w:t>
            </w:r>
          </w:p>
          <w:p w14:paraId="0782C98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②是否通过清晰、可衡量的指标值予以体现；</w:t>
            </w:r>
          </w:p>
          <w:p w14:paraId="4BD18A6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③是否与项目目标任务数或计划数相对应。</w:t>
            </w:r>
          </w:p>
          <w:p w14:paraId="2E36CEF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①②③齐全得权重分的100%，缺①扣权重分的20%，缺②扣权重分的50%，缺③扣权重分的30%。</w:t>
            </w:r>
          </w:p>
        </w:tc>
        <w:tc>
          <w:tcPr>
            <w:tcW w:w="367" w:type="pct"/>
            <w:tcBorders>
              <w:top w:val="single" w:color="auto" w:sz="4" w:space="0"/>
              <w:left w:val="single" w:color="auto" w:sz="4" w:space="0"/>
              <w:bottom w:val="single" w:color="auto" w:sz="4" w:space="0"/>
              <w:right w:val="single" w:color="auto" w:sz="4" w:space="0"/>
            </w:tcBorders>
            <w:noWrap w:val="0"/>
            <w:vAlign w:val="center"/>
          </w:tcPr>
          <w:p w14:paraId="50D569B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明确</w:t>
            </w:r>
          </w:p>
        </w:tc>
        <w:tc>
          <w:tcPr>
            <w:tcW w:w="255" w:type="pct"/>
            <w:tcBorders>
              <w:top w:val="single" w:color="auto" w:sz="4" w:space="0"/>
              <w:left w:val="single" w:color="auto" w:sz="4" w:space="0"/>
              <w:bottom w:val="single" w:color="auto" w:sz="4" w:space="0"/>
              <w:right w:val="single" w:color="auto" w:sz="4" w:space="0"/>
            </w:tcBorders>
            <w:noWrap w:val="0"/>
            <w:vAlign w:val="center"/>
          </w:tcPr>
          <w:p w14:paraId="538C638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5</w:t>
            </w:r>
          </w:p>
        </w:tc>
      </w:tr>
      <w:tr w14:paraId="59C01BB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824" w:hRule="atLeast"/>
        </w:trPr>
        <w:tc>
          <w:tcPr>
            <w:tcW w:w="255" w:type="pct"/>
            <w:vMerge w:val="continue"/>
            <w:tcBorders>
              <w:top w:val="single" w:color="auto" w:sz="4" w:space="0"/>
              <w:left w:val="single" w:color="auto" w:sz="4" w:space="0"/>
              <w:bottom w:val="single" w:color="auto" w:sz="4" w:space="0"/>
              <w:right w:val="single" w:color="auto" w:sz="4" w:space="0"/>
            </w:tcBorders>
            <w:noWrap w:val="0"/>
            <w:vAlign w:val="center"/>
          </w:tcPr>
          <w:p w14:paraId="5DBCC771">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439" w:type="pct"/>
            <w:vMerge w:val="continue"/>
            <w:tcBorders>
              <w:top w:val="single" w:color="auto" w:sz="4" w:space="0"/>
              <w:left w:val="single" w:color="auto" w:sz="4" w:space="0"/>
              <w:bottom w:val="single" w:color="auto" w:sz="4" w:space="0"/>
              <w:right w:val="single" w:color="auto" w:sz="4" w:space="0"/>
            </w:tcBorders>
            <w:noWrap w:val="0"/>
            <w:vAlign w:val="center"/>
          </w:tcPr>
          <w:p w14:paraId="78DEC54B">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265" w:type="pct"/>
            <w:vMerge w:val="restart"/>
            <w:tcBorders>
              <w:top w:val="single" w:color="auto" w:sz="4" w:space="0"/>
              <w:left w:val="single" w:color="auto" w:sz="4" w:space="0"/>
              <w:bottom w:val="single" w:color="auto" w:sz="4" w:space="0"/>
              <w:right w:val="single" w:color="auto" w:sz="4" w:space="0"/>
            </w:tcBorders>
            <w:noWrap w:val="0"/>
            <w:vAlign w:val="center"/>
          </w:tcPr>
          <w:p w14:paraId="16C19AA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资金投入</w:t>
            </w:r>
          </w:p>
        </w:tc>
        <w:tc>
          <w:tcPr>
            <w:tcW w:w="429" w:type="pct"/>
            <w:vMerge w:val="restart"/>
            <w:tcBorders>
              <w:top w:val="single" w:color="auto" w:sz="4" w:space="0"/>
              <w:left w:val="single" w:color="auto" w:sz="4" w:space="0"/>
              <w:bottom w:val="single" w:color="auto" w:sz="4" w:space="0"/>
              <w:right w:val="single" w:color="auto" w:sz="4" w:space="0"/>
            </w:tcBorders>
            <w:noWrap w:val="0"/>
            <w:vAlign w:val="center"/>
          </w:tcPr>
          <w:p w14:paraId="694B54D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8</w:t>
            </w:r>
          </w:p>
        </w:tc>
        <w:tc>
          <w:tcPr>
            <w:tcW w:w="243" w:type="pct"/>
            <w:tcBorders>
              <w:top w:val="single" w:color="auto" w:sz="4" w:space="0"/>
              <w:left w:val="single" w:color="auto" w:sz="4" w:space="0"/>
              <w:bottom w:val="single" w:color="auto" w:sz="4" w:space="0"/>
              <w:right w:val="single" w:color="auto" w:sz="4" w:space="0"/>
            </w:tcBorders>
            <w:noWrap w:val="0"/>
            <w:vAlign w:val="center"/>
          </w:tcPr>
          <w:p w14:paraId="2BB3C79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预算编制科学性</w:t>
            </w:r>
          </w:p>
        </w:tc>
        <w:tc>
          <w:tcPr>
            <w:tcW w:w="451" w:type="pct"/>
            <w:tcBorders>
              <w:top w:val="single" w:color="auto" w:sz="4" w:space="0"/>
              <w:left w:val="single" w:color="auto" w:sz="4" w:space="0"/>
              <w:bottom w:val="single" w:color="auto" w:sz="4" w:space="0"/>
              <w:right w:val="single" w:color="auto" w:sz="4" w:space="0"/>
            </w:tcBorders>
            <w:noWrap w:val="0"/>
            <w:vAlign w:val="center"/>
          </w:tcPr>
          <w:p w14:paraId="3129C80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4</w:t>
            </w:r>
          </w:p>
        </w:tc>
        <w:tc>
          <w:tcPr>
            <w:tcW w:w="639" w:type="pct"/>
            <w:tcBorders>
              <w:top w:val="single" w:color="auto" w:sz="4" w:space="0"/>
              <w:left w:val="single" w:color="auto" w:sz="4" w:space="0"/>
              <w:bottom w:val="single" w:color="auto" w:sz="4" w:space="0"/>
              <w:right w:val="single" w:color="auto" w:sz="4" w:space="0"/>
            </w:tcBorders>
            <w:noWrap w:val="0"/>
            <w:vAlign w:val="center"/>
          </w:tcPr>
          <w:p w14:paraId="42A9004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项目预算编制是否经过科学论证、有明确标准，资金额度与年度目标是否相适应，用以反映和考核项目预算编制的科学性、合理性情况。</w:t>
            </w:r>
          </w:p>
        </w:tc>
        <w:tc>
          <w:tcPr>
            <w:tcW w:w="317" w:type="pct"/>
            <w:tcBorders>
              <w:top w:val="single" w:color="auto" w:sz="4" w:space="0"/>
              <w:left w:val="single" w:color="auto" w:sz="4" w:space="0"/>
              <w:bottom w:val="single" w:color="auto" w:sz="4" w:space="0"/>
              <w:right w:val="single" w:color="auto" w:sz="4" w:space="0"/>
            </w:tcBorders>
            <w:noWrap w:val="0"/>
            <w:vAlign w:val="center"/>
          </w:tcPr>
          <w:p w14:paraId="60A846B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科学</w:t>
            </w:r>
          </w:p>
        </w:tc>
        <w:tc>
          <w:tcPr>
            <w:tcW w:w="1334" w:type="pct"/>
            <w:tcBorders>
              <w:top w:val="single" w:color="auto" w:sz="4" w:space="0"/>
              <w:left w:val="single" w:color="auto" w:sz="4" w:space="0"/>
              <w:bottom w:val="single" w:color="auto" w:sz="4" w:space="0"/>
              <w:right w:val="single" w:color="auto" w:sz="4" w:space="0"/>
            </w:tcBorders>
            <w:noWrap w:val="0"/>
            <w:vAlign w:val="center"/>
          </w:tcPr>
          <w:p w14:paraId="6555D23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21"/>
                <w:szCs w:val="21"/>
                <w:u w:val="none"/>
                <w:lang w:val="en-US" w:eastAsia="zh-CN"/>
              </w:rPr>
            </w:pPr>
            <w:r>
              <w:rPr>
                <w:rFonts w:hint="eastAsia" w:ascii="宋体" w:hAnsi="宋体" w:eastAsia="宋体" w:cs="宋体"/>
                <w:i w:val="0"/>
                <w:iCs w:val="0"/>
                <w:color w:val="000000"/>
                <w:kern w:val="0"/>
                <w:sz w:val="21"/>
                <w:szCs w:val="21"/>
                <w:u w:val="none"/>
                <w:lang w:val="en-US" w:eastAsia="zh-CN"/>
              </w:rPr>
              <w:t>①预算编制是否经过科学论证；</w:t>
            </w:r>
          </w:p>
          <w:p w14:paraId="45B4DE8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②预算内容与项目内容是否匹配；</w:t>
            </w:r>
          </w:p>
          <w:p w14:paraId="105561B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③预算额度测算依据是否充分，是否按照标准编制；</w:t>
            </w:r>
          </w:p>
          <w:p w14:paraId="32DE931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④预算确定的项目投资额或资金量是否与工作任务相匹配。</w:t>
            </w:r>
          </w:p>
          <w:p w14:paraId="1271443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以上每条要素各占权重的25%，每有一条不符合，扣除对应的权重分，扣完为止。</w:t>
            </w:r>
          </w:p>
        </w:tc>
        <w:tc>
          <w:tcPr>
            <w:tcW w:w="367" w:type="pct"/>
            <w:tcBorders>
              <w:top w:val="single" w:color="auto" w:sz="4" w:space="0"/>
              <w:left w:val="single" w:color="auto" w:sz="4" w:space="0"/>
              <w:bottom w:val="single" w:color="auto" w:sz="4" w:space="0"/>
              <w:right w:val="single" w:color="auto" w:sz="4" w:space="0"/>
            </w:tcBorders>
            <w:noWrap w:val="0"/>
            <w:vAlign w:val="center"/>
          </w:tcPr>
          <w:p w14:paraId="167261A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科学</w:t>
            </w:r>
          </w:p>
        </w:tc>
        <w:tc>
          <w:tcPr>
            <w:tcW w:w="255" w:type="pct"/>
            <w:tcBorders>
              <w:top w:val="single" w:color="auto" w:sz="4" w:space="0"/>
              <w:left w:val="single" w:color="auto" w:sz="4" w:space="0"/>
              <w:bottom w:val="single" w:color="auto" w:sz="4" w:space="0"/>
              <w:right w:val="single" w:color="auto" w:sz="4" w:space="0"/>
            </w:tcBorders>
            <w:noWrap w:val="0"/>
            <w:vAlign w:val="center"/>
          </w:tcPr>
          <w:p w14:paraId="671D099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4</w:t>
            </w:r>
          </w:p>
        </w:tc>
      </w:tr>
      <w:tr w14:paraId="4F1A279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03" w:hRule="atLeast"/>
        </w:trPr>
        <w:tc>
          <w:tcPr>
            <w:tcW w:w="255" w:type="pct"/>
            <w:vMerge w:val="continue"/>
            <w:tcBorders>
              <w:top w:val="single" w:color="auto" w:sz="4" w:space="0"/>
              <w:left w:val="single" w:color="auto" w:sz="4" w:space="0"/>
              <w:bottom w:val="single" w:color="auto" w:sz="4" w:space="0"/>
              <w:right w:val="single" w:color="auto" w:sz="4" w:space="0"/>
            </w:tcBorders>
            <w:noWrap w:val="0"/>
            <w:vAlign w:val="center"/>
          </w:tcPr>
          <w:p w14:paraId="71874BCB">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439" w:type="pct"/>
            <w:vMerge w:val="continue"/>
            <w:tcBorders>
              <w:top w:val="single" w:color="auto" w:sz="4" w:space="0"/>
              <w:left w:val="single" w:color="auto" w:sz="4" w:space="0"/>
              <w:bottom w:val="single" w:color="auto" w:sz="4" w:space="0"/>
              <w:right w:val="single" w:color="auto" w:sz="4" w:space="0"/>
            </w:tcBorders>
            <w:noWrap w:val="0"/>
            <w:vAlign w:val="center"/>
          </w:tcPr>
          <w:p w14:paraId="49943DFB">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265" w:type="pct"/>
            <w:vMerge w:val="continue"/>
            <w:tcBorders>
              <w:top w:val="single" w:color="auto" w:sz="4" w:space="0"/>
              <w:left w:val="single" w:color="auto" w:sz="4" w:space="0"/>
              <w:bottom w:val="single" w:color="auto" w:sz="4" w:space="0"/>
              <w:right w:val="single" w:color="auto" w:sz="4" w:space="0"/>
            </w:tcBorders>
            <w:noWrap w:val="0"/>
            <w:vAlign w:val="center"/>
          </w:tcPr>
          <w:p w14:paraId="644CD2D7">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429" w:type="pct"/>
            <w:vMerge w:val="continue"/>
            <w:tcBorders>
              <w:top w:val="single" w:color="auto" w:sz="4" w:space="0"/>
              <w:left w:val="single" w:color="auto" w:sz="4" w:space="0"/>
              <w:bottom w:val="single" w:color="auto" w:sz="4" w:space="0"/>
              <w:right w:val="single" w:color="auto" w:sz="4" w:space="0"/>
            </w:tcBorders>
            <w:noWrap w:val="0"/>
            <w:vAlign w:val="center"/>
          </w:tcPr>
          <w:p w14:paraId="6308CF0C">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243" w:type="pct"/>
            <w:tcBorders>
              <w:top w:val="single" w:color="auto" w:sz="4" w:space="0"/>
              <w:left w:val="single" w:color="auto" w:sz="4" w:space="0"/>
              <w:bottom w:val="single" w:color="auto" w:sz="4" w:space="0"/>
              <w:right w:val="single" w:color="auto" w:sz="4" w:space="0"/>
            </w:tcBorders>
            <w:noWrap w:val="0"/>
            <w:vAlign w:val="center"/>
          </w:tcPr>
          <w:p w14:paraId="3D8C95C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资金分配合理性</w:t>
            </w:r>
          </w:p>
        </w:tc>
        <w:tc>
          <w:tcPr>
            <w:tcW w:w="451" w:type="pct"/>
            <w:tcBorders>
              <w:top w:val="single" w:color="auto" w:sz="4" w:space="0"/>
              <w:left w:val="single" w:color="auto" w:sz="4" w:space="0"/>
              <w:bottom w:val="single" w:color="auto" w:sz="4" w:space="0"/>
              <w:right w:val="single" w:color="auto" w:sz="4" w:space="0"/>
            </w:tcBorders>
            <w:noWrap w:val="0"/>
            <w:vAlign w:val="center"/>
          </w:tcPr>
          <w:p w14:paraId="104B11E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4</w:t>
            </w:r>
          </w:p>
        </w:tc>
        <w:tc>
          <w:tcPr>
            <w:tcW w:w="639" w:type="pct"/>
            <w:tcBorders>
              <w:top w:val="single" w:color="auto" w:sz="4" w:space="0"/>
              <w:left w:val="single" w:color="auto" w:sz="4" w:space="0"/>
              <w:bottom w:val="single" w:color="auto" w:sz="4" w:space="0"/>
              <w:right w:val="single" w:color="auto" w:sz="4" w:space="0"/>
            </w:tcBorders>
            <w:noWrap w:val="0"/>
            <w:vAlign w:val="center"/>
          </w:tcPr>
          <w:p w14:paraId="257A517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项目预算资金分配是否有测算依据，与补助单位或地方实际是否相适应，用以反映和考核项目预算资金分配的科学性、合理性情况。</w:t>
            </w:r>
          </w:p>
        </w:tc>
        <w:tc>
          <w:tcPr>
            <w:tcW w:w="317" w:type="pct"/>
            <w:tcBorders>
              <w:top w:val="single" w:color="auto" w:sz="4" w:space="0"/>
              <w:left w:val="single" w:color="auto" w:sz="4" w:space="0"/>
              <w:bottom w:val="single" w:color="auto" w:sz="4" w:space="0"/>
              <w:right w:val="single" w:color="auto" w:sz="4" w:space="0"/>
            </w:tcBorders>
            <w:noWrap w:val="0"/>
            <w:vAlign w:val="center"/>
          </w:tcPr>
          <w:p w14:paraId="2E8BFBF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合理</w:t>
            </w:r>
          </w:p>
        </w:tc>
        <w:tc>
          <w:tcPr>
            <w:tcW w:w="1334" w:type="pct"/>
            <w:tcBorders>
              <w:top w:val="single" w:color="auto" w:sz="4" w:space="0"/>
              <w:left w:val="single" w:color="auto" w:sz="4" w:space="0"/>
              <w:bottom w:val="single" w:color="auto" w:sz="4" w:space="0"/>
              <w:right w:val="single" w:color="auto" w:sz="4" w:space="0"/>
            </w:tcBorders>
            <w:noWrap w:val="0"/>
            <w:vAlign w:val="center"/>
          </w:tcPr>
          <w:p w14:paraId="4A452C2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21"/>
                <w:szCs w:val="21"/>
                <w:u w:val="none"/>
                <w:lang w:val="en-US" w:eastAsia="zh-CN"/>
              </w:rPr>
            </w:pPr>
            <w:r>
              <w:rPr>
                <w:rFonts w:hint="eastAsia" w:ascii="宋体" w:hAnsi="宋体" w:eastAsia="宋体" w:cs="宋体"/>
                <w:i w:val="0"/>
                <w:iCs w:val="0"/>
                <w:color w:val="000000"/>
                <w:kern w:val="0"/>
                <w:sz w:val="21"/>
                <w:szCs w:val="21"/>
                <w:u w:val="none"/>
                <w:lang w:val="en-US" w:eastAsia="zh-CN"/>
              </w:rPr>
              <w:t>①预算资金分配依据是否充分；</w:t>
            </w:r>
          </w:p>
          <w:p w14:paraId="3E66E64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②资金分配额度是否合理，与项目单位或地方实际是否相适应。</w:t>
            </w:r>
          </w:p>
          <w:p w14:paraId="489A31C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以上每条要素各占权重的50%，每有一条不符合，扣除对应的权重分，扣完为止。</w:t>
            </w:r>
          </w:p>
        </w:tc>
        <w:tc>
          <w:tcPr>
            <w:tcW w:w="367" w:type="pct"/>
            <w:tcBorders>
              <w:top w:val="single" w:color="auto" w:sz="4" w:space="0"/>
              <w:left w:val="single" w:color="auto" w:sz="4" w:space="0"/>
              <w:bottom w:val="single" w:color="auto" w:sz="4" w:space="0"/>
              <w:right w:val="single" w:color="auto" w:sz="4" w:space="0"/>
            </w:tcBorders>
            <w:noWrap w:val="0"/>
            <w:vAlign w:val="center"/>
          </w:tcPr>
          <w:p w14:paraId="5136217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合理</w:t>
            </w:r>
          </w:p>
        </w:tc>
        <w:tc>
          <w:tcPr>
            <w:tcW w:w="255" w:type="pct"/>
            <w:tcBorders>
              <w:top w:val="single" w:color="auto" w:sz="4" w:space="0"/>
              <w:left w:val="single" w:color="auto" w:sz="4" w:space="0"/>
              <w:bottom w:val="single" w:color="auto" w:sz="4" w:space="0"/>
              <w:right w:val="single" w:color="auto" w:sz="4" w:space="0"/>
            </w:tcBorders>
            <w:noWrap w:val="0"/>
            <w:vAlign w:val="center"/>
          </w:tcPr>
          <w:p w14:paraId="5650766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4</w:t>
            </w:r>
          </w:p>
        </w:tc>
      </w:tr>
      <w:tr w14:paraId="5724661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trPr>
        <w:tc>
          <w:tcPr>
            <w:tcW w:w="255" w:type="pct"/>
            <w:vMerge w:val="restart"/>
            <w:tcBorders>
              <w:top w:val="single" w:color="auto" w:sz="4" w:space="0"/>
              <w:left w:val="single" w:color="auto" w:sz="4" w:space="0"/>
              <w:bottom w:val="single" w:color="auto" w:sz="4" w:space="0"/>
              <w:right w:val="single" w:color="auto" w:sz="4" w:space="0"/>
            </w:tcBorders>
            <w:noWrap w:val="0"/>
            <w:vAlign w:val="center"/>
          </w:tcPr>
          <w:p w14:paraId="65EE995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项目过程</w:t>
            </w:r>
          </w:p>
        </w:tc>
        <w:tc>
          <w:tcPr>
            <w:tcW w:w="439" w:type="pct"/>
            <w:vMerge w:val="restart"/>
            <w:tcBorders>
              <w:top w:val="single" w:color="auto" w:sz="4" w:space="0"/>
              <w:left w:val="single" w:color="auto" w:sz="4" w:space="0"/>
              <w:bottom w:val="single" w:color="auto" w:sz="4" w:space="0"/>
              <w:right w:val="single" w:color="auto" w:sz="4" w:space="0"/>
            </w:tcBorders>
            <w:noWrap w:val="0"/>
            <w:vAlign w:val="center"/>
          </w:tcPr>
          <w:p w14:paraId="37A15D1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12</w:t>
            </w:r>
          </w:p>
        </w:tc>
        <w:tc>
          <w:tcPr>
            <w:tcW w:w="265" w:type="pct"/>
            <w:vMerge w:val="restart"/>
            <w:tcBorders>
              <w:top w:val="single" w:color="auto" w:sz="4" w:space="0"/>
              <w:left w:val="single" w:color="auto" w:sz="4" w:space="0"/>
              <w:bottom w:val="single" w:color="auto" w:sz="4" w:space="0"/>
              <w:right w:val="single" w:color="auto" w:sz="4" w:space="0"/>
            </w:tcBorders>
            <w:noWrap w:val="0"/>
            <w:vAlign w:val="center"/>
          </w:tcPr>
          <w:p w14:paraId="1F8207E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资金管理</w:t>
            </w:r>
          </w:p>
        </w:tc>
        <w:tc>
          <w:tcPr>
            <w:tcW w:w="429" w:type="pct"/>
            <w:vMerge w:val="restart"/>
            <w:tcBorders>
              <w:top w:val="single" w:color="auto" w:sz="4" w:space="0"/>
              <w:left w:val="single" w:color="auto" w:sz="4" w:space="0"/>
              <w:bottom w:val="single" w:color="auto" w:sz="4" w:space="0"/>
              <w:right w:val="single" w:color="auto" w:sz="4" w:space="0"/>
            </w:tcBorders>
            <w:noWrap w:val="0"/>
            <w:vAlign w:val="center"/>
          </w:tcPr>
          <w:p w14:paraId="78974DD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6</w:t>
            </w:r>
          </w:p>
        </w:tc>
        <w:tc>
          <w:tcPr>
            <w:tcW w:w="243" w:type="pct"/>
            <w:tcBorders>
              <w:top w:val="single" w:color="auto" w:sz="4" w:space="0"/>
              <w:left w:val="single" w:color="auto" w:sz="4" w:space="0"/>
              <w:bottom w:val="single" w:color="auto" w:sz="4" w:space="0"/>
              <w:right w:val="single" w:color="auto" w:sz="4" w:space="0"/>
            </w:tcBorders>
            <w:noWrap w:val="0"/>
            <w:vAlign w:val="center"/>
          </w:tcPr>
          <w:p w14:paraId="38C35CC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资金到位率</w:t>
            </w:r>
          </w:p>
        </w:tc>
        <w:tc>
          <w:tcPr>
            <w:tcW w:w="451" w:type="pct"/>
            <w:tcBorders>
              <w:top w:val="single" w:color="auto" w:sz="4" w:space="0"/>
              <w:left w:val="single" w:color="auto" w:sz="4" w:space="0"/>
              <w:bottom w:val="single" w:color="auto" w:sz="4" w:space="0"/>
              <w:right w:val="single" w:color="auto" w:sz="4" w:space="0"/>
            </w:tcBorders>
            <w:noWrap w:val="0"/>
            <w:vAlign w:val="center"/>
          </w:tcPr>
          <w:p w14:paraId="6393719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1</w:t>
            </w:r>
          </w:p>
        </w:tc>
        <w:tc>
          <w:tcPr>
            <w:tcW w:w="639" w:type="pct"/>
            <w:tcBorders>
              <w:top w:val="single" w:color="auto" w:sz="4" w:space="0"/>
              <w:left w:val="single" w:color="auto" w:sz="4" w:space="0"/>
              <w:bottom w:val="single" w:color="auto" w:sz="4" w:space="0"/>
              <w:right w:val="single" w:color="auto" w:sz="4" w:space="0"/>
            </w:tcBorders>
            <w:noWrap w:val="0"/>
            <w:vAlign w:val="center"/>
          </w:tcPr>
          <w:p w14:paraId="6BA8E67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实际到位资金与预算资金的比率，用以反映和考核资金落实情况对项目实施的总体保障程度。</w:t>
            </w:r>
          </w:p>
        </w:tc>
        <w:tc>
          <w:tcPr>
            <w:tcW w:w="317" w:type="pct"/>
            <w:tcBorders>
              <w:top w:val="single" w:color="auto" w:sz="4" w:space="0"/>
              <w:left w:val="single" w:color="auto" w:sz="4" w:space="0"/>
              <w:bottom w:val="single" w:color="auto" w:sz="4" w:space="0"/>
              <w:right w:val="single" w:color="auto" w:sz="4" w:space="0"/>
            </w:tcBorders>
            <w:noWrap w:val="0"/>
            <w:vAlign w:val="center"/>
          </w:tcPr>
          <w:p w14:paraId="367DF46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100%</w:t>
            </w:r>
          </w:p>
        </w:tc>
        <w:tc>
          <w:tcPr>
            <w:tcW w:w="1334" w:type="pct"/>
            <w:tcBorders>
              <w:top w:val="single" w:color="auto" w:sz="4" w:space="0"/>
              <w:left w:val="single" w:color="auto" w:sz="4" w:space="0"/>
              <w:bottom w:val="single" w:color="auto" w:sz="4" w:space="0"/>
              <w:right w:val="single" w:color="auto" w:sz="4" w:space="0"/>
            </w:tcBorders>
            <w:noWrap w:val="0"/>
            <w:vAlign w:val="center"/>
          </w:tcPr>
          <w:p w14:paraId="6A50C63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21"/>
                <w:szCs w:val="21"/>
                <w:u w:val="none"/>
                <w:lang w:val="en-US" w:eastAsia="zh-CN"/>
              </w:rPr>
            </w:pPr>
            <w:r>
              <w:rPr>
                <w:rFonts w:hint="eastAsia" w:ascii="宋体" w:hAnsi="宋体" w:eastAsia="宋体" w:cs="宋体"/>
                <w:i w:val="0"/>
                <w:iCs w:val="0"/>
                <w:color w:val="000000"/>
                <w:kern w:val="0"/>
                <w:sz w:val="21"/>
                <w:szCs w:val="21"/>
                <w:u w:val="none"/>
                <w:lang w:val="en-US" w:eastAsia="zh-CN"/>
              </w:rPr>
              <w:t>资金到位率=（实际到位资金/预算资金）×100%。</w:t>
            </w:r>
          </w:p>
          <w:p w14:paraId="17ECCFD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资金到位率=100%，得权重分满分，每降低1%，扣除5%权重分，扣完为止。</w:t>
            </w:r>
          </w:p>
        </w:tc>
        <w:tc>
          <w:tcPr>
            <w:tcW w:w="367" w:type="pct"/>
            <w:tcBorders>
              <w:top w:val="single" w:color="auto" w:sz="4" w:space="0"/>
              <w:left w:val="single" w:color="auto" w:sz="4" w:space="0"/>
              <w:bottom w:val="single" w:color="auto" w:sz="4" w:space="0"/>
              <w:right w:val="single" w:color="auto" w:sz="4" w:space="0"/>
            </w:tcBorders>
            <w:noWrap w:val="0"/>
            <w:vAlign w:val="center"/>
          </w:tcPr>
          <w:p w14:paraId="262752F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100%</w:t>
            </w:r>
          </w:p>
        </w:tc>
        <w:tc>
          <w:tcPr>
            <w:tcW w:w="255" w:type="pct"/>
            <w:tcBorders>
              <w:top w:val="single" w:color="auto" w:sz="4" w:space="0"/>
              <w:left w:val="single" w:color="auto" w:sz="4" w:space="0"/>
              <w:bottom w:val="single" w:color="auto" w:sz="4" w:space="0"/>
              <w:right w:val="single" w:color="auto" w:sz="4" w:space="0"/>
            </w:tcBorders>
            <w:noWrap w:val="0"/>
            <w:vAlign w:val="center"/>
          </w:tcPr>
          <w:p w14:paraId="20B964C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1</w:t>
            </w:r>
          </w:p>
        </w:tc>
      </w:tr>
      <w:tr w14:paraId="6E7277B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97" w:hRule="atLeast"/>
        </w:trPr>
        <w:tc>
          <w:tcPr>
            <w:tcW w:w="255" w:type="pct"/>
            <w:vMerge w:val="continue"/>
            <w:tcBorders>
              <w:top w:val="single" w:color="auto" w:sz="4" w:space="0"/>
              <w:left w:val="single" w:color="auto" w:sz="4" w:space="0"/>
              <w:bottom w:val="single" w:color="auto" w:sz="4" w:space="0"/>
              <w:right w:val="single" w:color="auto" w:sz="4" w:space="0"/>
            </w:tcBorders>
            <w:noWrap w:val="0"/>
            <w:vAlign w:val="center"/>
          </w:tcPr>
          <w:p w14:paraId="16A61529">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439" w:type="pct"/>
            <w:vMerge w:val="continue"/>
            <w:tcBorders>
              <w:top w:val="single" w:color="auto" w:sz="4" w:space="0"/>
              <w:left w:val="single" w:color="auto" w:sz="4" w:space="0"/>
              <w:bottom w:val="single" w:color="auto" w:sz="4" w:space="0"/>
              <w:right w:val="single" w:color="auto" w:sz="4" w:space="0"/>
            </w:tcBorders>
            <w:noWrap w:val="0"/>
            <w:vAlign w:val="center"/>
          </w:tcPr>
          <w:p w14:paraId="6992B780">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265" w:type="pct"/>
            <w:vMerge w:val="continue"/>
            <w:tcBorders>
              <w:top w:val="single" w:color="auto" w:sz="4" w:space="0"/>
              <w:left w:val="single" w:color="auto" w:sz="4" w:space="0"/>
              <w:bottom w:val="single" w:color="auto" w:sz="4" w:space="0"/>
              <w:right w:val="single" w:color="auto" w:sz="4" w:space="0"/>
            </w:tcBorders>
            <w:noWrap w:val="0"/>
            <w:vAlign w:val="center"/>
          </w:tcPr>
          <w:p w14:paraId="1D23BF22">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429" w:type="pct"/>
            <w:vMerge w:val="continue"/>
            <w:tcBorders>
              <w:top w:val="single" w:color="auto" w:sz="4" w:space="0"/>
              <w:left w:val="single" w:color="auto" w:sz="4" w:space="0"/>
              <w:bottom w:val="single" w:color="auto" w:sz="4" w:space="0"/>
              <w:right w:val="single" w:color="auto" w:sz="4" w:space="0"/>
            </w:tcBorders>
            <w:noWrap w:val="0"/>
            <w:vAlign w:val="center"/>
          </w:tcPr>
          <w:p w14:paraId="5743C496">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243" w:type="pct"/>
            <w:tcBorders>
              <w:top w:val="single" w:color="auto" w:sz="4" w:space="0"/>
              <w:left w:val="single" w:color="auto" w:sz="4" w:space="0"/>
              <w:bottom w:val="single" w:color="auto" w:sz="4" w:space="0"/>
              <w:right w:val="single" w:color="auto" w:sz="4" w:space="0"/>
            </w:tcBorders>
            <w:noWrap w:val="0"/>
            <w:vAlign w:val="center"/>
          </w:tcPr>
          <w:p w14:paraId="162804C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预算执行率</w:t>
            </w:r>
          </w:p>
        </w:tc>
        <w:tc>
          <w:tcPr>
            <w:tcW w:w="451" w:type="pct"/>
            <w:tcBorders>
              <w:top w:val="single" w:color="auto" w:sz="4" w:space="0"/>
              <w:left w:val="single" w:color="auto" w:sz="4" w:space="0"/>
              <w:bottom w:val="single" w:color="auto" w:sz="4" w:space="0"/>
              <w:right w:val="single" w:color="auto" w:sz="4" w:space="0"/>
            </w:tcBorders>
            <w:noWrap w:val="0"/>
            <w:vAlign w:val="center"/>
          </w:tcPr>
          <w:p w14:paraId="7910D50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2</w:t>
            </w:r>
          </w:p>
        </w:tc>
        <w:tc>
          <w:tcPr>
            <w:tcW w:w="639" w:type="pct"/>
            <w:tcBorders>
              <w:top w:val="single" w:color="auto" w:sz="4" w:space="0"/>
              <w:left w:val="single" w:color="auto" w:sz="4" w:space="0"/>
              <w:bottom w:val="single" w:color="auto" w:sz="4" w:space="0"/>
              <w:right w:val="single" w:color="auto" w:sz="4" w:space="0"/>
            </w:tcBorders>
            <w:noWrap w:val="0"/>
            <w:vAlign w:val="center"/>
          </w:tcPr>
          <w:p w14:paraId="26CA90E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项目预算资金是否按照计划执行，用以反映或考核项目预算执行情况。</w:t>
            </w:r>
          </w:p>
        </w:tc>
        <w:tc>
          <w:tcPr>
            <w:tcW w:w="317" w:type="pct"/>
            <w:tcBorders>
              <w:top w:val="single" w:color="auto" w:sz="4" w:space="0"/>
              <w:left w:val="single" w:color="auto" w:sz="4" w:space="0"/>
              <w:bottom w:val="single" w:color="auto" w:sz="4" w:space="0"/>
              <w:right w:val="single" w:color="auto" w:sz="4" w:space="0"/>
            </w:tcBorders>
            <w:noWrap w:val="0"/>
            <w:vAlign w:val="center"/>
          </w:tcPr>
          <w:p w14:paraId="2D9FC8F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100%</w:t>
            </w:r>
          </w:p>
        </w:tc>
        <w:tc>
          <w:tcPr>
            <w:tcW w:w="1334" w:type="pct"/>
            <w:tcBorders>
              <w:top w:val="single" w:color="auto" w:sz="4" w:space="0"/>
              <w:left w:val="single" w:color="auto" w:sz="4" w:space="0"/>
              <w:bottom w:val="single" w:color="auto" w:sz="4" w:space="0"/>
              <w:right w:val="single" w:color="auto" w:sz="4" w:space="0"/>
            </w:tcBorders>
            <w:noWrap w:val="0"/>
            <w:vAlign w:val="center"/>
          </w:tcPr>
          <w:p w14:paraId="38CAFB1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21"/>
                <w:szCs w:val="21"/>
                <w:u w:val="none"/>
                <w:lang w:val="en-US" w:eastAsia="zh-CN"/>
              </w:rPr>
            </w:pPr>
            <w:r>
              <w:rPr>
                <w:rFonts w:hint="eastAsia" w:ascii="宋体" w:hAnsi="宋体" w:eastAsia="宋体" w:cs="宋体"/>
                <w:i w:val="0"/>
                <w:iCs w:val="0"/>
                <w:color w:val="000000"/>
                <w:kern w:val="0"/>
                <w:sz w:val="21"/>
                <w:szCs w:val="21"/>
                <w:u w:val="none"/>
                <w:lang w:val="en-US" w:eastAsia="zh-CN"/>
              </w:rPr>
              <w:t>预算执行率=（实际支出资金/实际到位资金）×100%。</w:t>
            </w:r>
          </w:p>
          <w:p w14:paraId="3443C4F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预算执行率=100%，得权重分满分；若预算执行率＜100%，得分=预算执行率*分值；若执行率≤60%，则不得分。</w:t>
            </w:r>
          </w:p>
        </w:tc>
        <w:tc>
          <w:tcPr>
            <w:tcW w:w="367" w:type="pct"/>
            <w:tcBorders>
              <w:top w:val="single" w:color="auto" w:sz="4" w:space="0"/>
              <w:left w:val="single" w:color="auto" w:sz="4" w:space="0"/>
              <w:bottom w:val="single" w:color="auto" w:sz="4" w:space="0"/>
              <w:right w:val="single" w:color="auto" w:sz="4" w:space="0"/>
            </w:tcBorders>
            <w:noWrap w:val="0"/>
            <w:vAlign w:val="center"/>
          </w:tcPr>
          <w:p w14:paraId="26127EC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100%</w:t>
            </w:r>
          </w:p>
        </w:tc>
        <w:tc>
          <w:tcPr>
            <w:tcW w:w="255" w:type="pct"/>
            <w:tcBorders>
              <w:top w:val="single" w:color="auto" w:sz="4" w:space="0"/>
              <w:left w:val="single" w:color="auto" w:sz="4" w:space="0"/>
              <w:bottom w:val="single" w:color="auto" w:sz="4" w:space="0"/>
              <w:right w:val="single" w:color="auto" w:sz="4" w:space="0"/>
            </w:tcBorders>
            <w:noWrap w:val="0"/>
            <w:vAlign w:val="center"/>
          </w:tcPr>
          <w:p w14:paraId="2907537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2</w:t>
            </w:r>
          </w:p>
        </w:tc>
      </w:tr>
      <w:tr w14:paraId="31D7B13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7" w:hRule="atLeast"/>
        </w:trPr>
        <w:tc>
          <w:tcPr>
            <w:tcW w:w="255" w:type="pct"/>
            <w:vMerge w:val="continue"/>
            <w:tcBorders>
              <w:top w:val="single" w:color="auto" w:sz="4" w:space="0"/>
              <w:left w:val="single" w:color="auto" w:sz="4" w:space="0"/>
              <w:bottom w:val="single" w:color="auto" w:sz="4" w:space="0"/>
              <w:right w:val="single" w:color="auto" w:sz="4" w:space="0"/>
            </w:tcBorders>
            <w:noWrap w:val="0"/>
            <w:vAlign w:val="center"/>
          </w:tcPr>
          <w:p w14:paraId="22F1429C">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439" w:type="pct"/>
            <w:vMerge w:val="continue"/>
            <w:tcBorders>
              <w:top w:val="single" w:color="auto" w:sz="4" w:space="0"/>
              <w:left w:val="single" w:color="auto" w:sz="4" w:space="0"/>
              <w:bottom w:val="single" w:color="auto" w:sz="4" w:space="0"/>
              <w:right w:val="single" w:color="auto" w:sz="4" w:space="0"/>
            </w:tcBorders>
            <w:noWrap w:val="0"/>
            <w:vAlign w:val="center"/>
          </w:tcPr>
          <w:p w14:paraId="31D0C93B">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265" w:type="pct"/>
            <w:vMerge w:val="continue"/>
            <w:tcBorders>
              <w:top w:val="single" w:color="auto" w:sz="4" w:space="0"/>
              <w:left w:val="single" w:color="auto" w:sz="4" w:space="0"/>
              <w:bottom w:val="single" w:color="auto" w:sz="4" w:space="0"/>
              <w:right w:val="single" w:color="auto" w:sz="4" w:space="0"/>
            </w:tcBorders>
            <w:noWrap w:val="0"/>
            <w:vAlign w:val="center"/>
          </w:tcPr>
          <w:p w14:paraId="77EF2FBC">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429" w:type="pct"/>
            <w:vMerge w:val="continue"/>
            <w:tcBorders>
              <w:top w:val="single" w:color="auto" w:sz="4" w:space="0"/>
              <w:left w:val="single" w:color="auto" w:sz="4" w:space="0"/>
              <w:bottom w:val="single" w:color="auto" w:sz="4" w:space="0"/>
              <w:right w:val="single" w:color="auto" w:sz="4" w:space="0"/>
            </w:tcBorders>
            <w:noWrap w:val="0"/>
            <w:vAlign w:val="center"/>
          </w:tcPr>
          <w:p w14:paraId="1D10566C">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243" w:type="pct"/>
            <w:tcBorders>
              <w:top w:val="single" w:color="auto" w:sz="4" w:space="0"/>
              <w:left w:val="single" w:color="auto" w:sz="4" w:space="0"/>
              <w:bottom w:val="single" w:color="auto" w:sz="4" w:space="0"/>
              <w:right w:val="single" w:color="auto" w:sz="4" w:space="0"/>
            </w:tcBorders>
            <w:noWrap w:val="0"/>
            <w:vAlign w:val="center"/>
          </w:tcPr>
          <w:p w14:paraId="37FEAC4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资金使用合规性</w:t>
            </w:r>
          </w:p>
        </w:tc>
        <w:tc>
          <w:tcPr>
            <w:tcW w:w="451" w:type="pct"/>
            <w:tcBorders>
              <w:top w:val="single" w:color="auto" w:sz="4" w:space="0"/>
              <w:left w:val="single" w:color="auto" w:sz="4" w:space="0"/>
              <w:bottom w:val="single" w:color="auto" w:sz="4" w:space="0"/>
              <w:right w:val="single" w:color="auto" w:sz="4" w:space="0"/>
            </w:tcBorders>
            <w:noWrap w:val="0"/>
            <w:vAlign w:val="center"/>
          </w:tcPr>
          <w:p w14:paraId="31941F3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3</w:t>
            </w:r>
          </w:p>
        </w:tc>
        <w:tc>
          <w:tcPr>
            <w:tcW w:w="639" w:type="pct"/>
            <w:tcBorders>
              <w:top w:val="single" w:color="auto" w:sz="4" w:space="0"/>
              <w:left w:val="single" w:color="auto" w:sz="4" w:space="0"/>
              <w:bottom w:val="single" w:color="auto" w:sz="4" w:space="0"/>
              <w:right w:val="single" w:color="auto" w:sz="4" w:space="0"/>
            </w:tcBorders>
            <w:noWrap w:val="0"/>
            <w:vAlign w:val="center"/>
          </w:tcPr>
          <w:p w14:paraId="7DBBF38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项目资金使用是否符合相关的财务管理制度规定，用以反映和考核项目资金的规范运行情况。</w:t>
            </w:r>
          </w:p>
        </w:tc>
        <w:tc>
          <w:tcPr>
            <w:tcW w:w="317" w:type="pct"/>
            <w:tcBorders>
              <w:top w:val="single" w:color="auto" w:sz="4" w:space="0"/>
              <w:left w:val="single" w:color="auto" w:sz="4" w:space="0"/>
              <w:bottom w:val="single" w:color="auto" w:sz="4" w:space="0"/>
              <w:right w:val="single" w:color="auto" w:sz="4" w:space="0"/>
            </w:tcBorders>
            <w:noWrap w:val="0"/>
            <w:vAlign w:val="center"/>
          </w:tcPr>
          <w:p w14:paraId="5E45895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合规</w:t>
            </w:r>
          </w:p>
        </w:tc>
        <w:tc>
          <w:tcPr>
            <w:tcW w:w="1334" w:type="pct"/>
            <w:tcBorders>
              <w:top w:val="single" w:color="auto" w:sz="4" w:space="0"/>
              <w:left w:val="single" w:color="auto" w:sz="4" w:space="0"/>
              <w:bottom w:val="single" w:color="auto" w:sz="4" w:space="0"/>
              <w:right w:val="single" w:color="auto" w:sz="4" w:space="0"/>
            </w:tcBorders>
            <w:noWrap w:val="0"/>
            <w:vAlign w:val="center"/>
          </w:tcPr>
          <w:p w14:paraId="6371337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21"/>
                <w:szCs w:val="21"/>
                <w:u w:val="none"/>
                <w:lang w:val="en-US" w:eastAsia="zh-CN"/>
              </w:rPr>
            </w:pPr>
            <w:r>
              <w:rPr>
                <w:rFonts w:hint="eastAsia" w:ascii="宋体" w:hAnsi="宋体" w:eastAsia="宋体" w:cs="宋体"/>
                <w:i w:val="0"/>
                <w:iCs w:val="0"/>
                <w:color w:val="000000"/>
                <w:kern w:val="0"/>
                <w:sz w:val="21"/>
                <w:szCs w:val="21"/>
                <w:u w:val="none"/>
                <w:lang w:val="en-US" w:eastAsia="zh-CN"/>
              </w:rPr>
              <w:t>①否符合国家财经法规和财务管理制度以及有关专项资金管理办法的规定；</w:t>
            </w:r>
          </w:p>
          <w:p w14:paraId="3F4C984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②资金的拨付是否有完整的审批程序和手续；</w:t>
            </w:r>
          </w:p>
          <w:p w14:paraId="7DCE7EC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21"/>
                <w:szCs w:val="21"/>
                <w:u w:val="none"/>
                <w:lang w:val="en-US" w:eastAsia="zh-CN"/>
              </w:rPr>
            </w:pPr>
            <w:r>
              <w:rPr>
                <w:rFonts w:hint="eastAsia" w:ascii="宋体" w:hAnsi="宋体" w:eastAsia="宋体" w:cs="宋体"/>
                <w:i w:val="0"/>
                <w:iCs w:val="0"/>
                <w:color w:val="000000"/>
                <w:kern w:val="0"/>
                <w:sz w:val="21"/>
                <w:szCs w:val="21"/>
                <w:u w:val="none"/>
                <w:lang w:val="en-US" w:eastAsia="zh-CN"/>
              </w:rPr>
              <w:t>③是否符合项目预算批复或合同规定的用途；</w:t>
            </w:r>
          </w:p>
          <w:p w14:paraId="26D7D01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④是否存在截留、挤占、挪用、虚列支出等情况。</w:t>
            </w:r>
          </w:p>
          <w:p w14:paraId="4221675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以上每条指标各占权重分的25%，要素①②不符合，扣除对应权重分；要素③④不符合属于重大违纪，该指标不得分。</w:t>
            </w:r>
          </w:p>
        </w:tc>
        <w:tc>
          <w:tcPr>
            <w:tcW w:w="367" w:type="pct"/>
            <w:tcBorders>
              <w:top w:val="single" w:color="auto" w:sz="4" w:space="0"/>
              <w:left w:val="single" w:color="auto" w:sz="4" w:space="0"/>
              <w:bottom w:val="single" w:color="auto" w:sz="4" w:space="0"/>
              <w:right w:val="single" w:color="auto" w:sz="4" w:space="0"/>
            </w:tcBorders>
            <w:noWrap w:val="0"/>
            <w:vAlign w:val="center"/>
          </w:tcPr>
          <w:p w14:paraId="0E9B99B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合规</w:t>
            </w:r>
          </w:p>
        </w:tc>
        <w:tc>
          <w:tcPr>
            <w:tcW w:w="255" w:type="pct"/>
            <w:tcBorders>
              <w:top w:val="single" w:color="auto" w:sz="4" w:space="0"/>
              <w:left w:val="single" w:color="auto" w:sz="4" w:space="0"/>
              <w:bottom w:val="single" w:color="auto" w:sz="4" w:space="0"/>
              <w:right w:val="single" w:color="auto" w:sz="4" w:space="0"/>
            </w:tcBorders>
            <w:noWrap w:val="0"/>
            <w:vAlign w:val="center"/>
          </w:tcPr>
          <w:p w14:paraId="32F7195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3</w:t>
            </w:r>
          </w:p>
        </w:tc>
      </w:tr>
      <w:tr w14:paraId="0E1F31E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40" w:hRule="atLeast"/>
        </w:trPr>
        <w:tc>
          <w:tcPr>
            <w:tcW w:w="255" w:type="pct"/>
            <w:vMerge w:val="continue"/>
            <w:tcBorders>
              <w:top w:val="single" w:color="auto" w:sz="4" w:space="0"/>
              <w:left w:val="single" w:color="auto" w:sz="4" w:space="0"/>
              <w:bottom w:val="single" w:color="auto" w:sz="4" w:space="0"/>
              <w:right w:val="single" w:color="auto" w:sz="4" w:space="0"/>
            </w:tcBorders>
            <w:noWrap w:val="0"/>
            <w:vAlign w:val="center"/>
          </w:tcPr>
          <w:p w14:paraId="6C1306E2">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439" w:type="pct"/>
            <w:vMerge w:val="continue"/>
            <w:tcBorders>
              <w:top w:val="single" w:color="auto" w:sz="4" w:space="0"/>
              <w:left w:val="single" w:color="auto" w:sz="4" w:space="0"/>
              <w:bottom w:val="single" w:color="auto" w:sz="4" w:space="0"/>
              <w:right w:val="single" w:color="auto" w:sz="4" w:space="0"/>
            </w:tcBorders>
            <w:noWrap w:val="0"/>
            <w:vAlign w:val="center"/>
          </w:tcPr>
          <w:p w14:paraId="484BDDF2">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265" w:type="pct"/>
            <w:vMerge w:val="restart"/>
            <w:tcBorders>
              <w:top w:val="single" w:color="auto" w:sz="4" w:space="0"/>
              <w:left w:val="single" w:color="auto" w:sz="4" w:space="0"/>
              <w:bottom w:val="single" w:color="auto" w:sz="4" w:space="0"/>
              <w:right w:val="single" w:color="auto" w:sz="4" w:space="0"/>
            </w:tcBorders>
            <w:noWrap w:val="0"/>
            <w:vAlign w:val="center"/>
          </w:tcPr>
          <w:p w14:paraId="1060D74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组织实施</w:t>
            </w:r>
          </w:p>
        </w:tc>
        <w:tc>
          <w:tcPr>
            <w:tcW w:w="429" w:type="pct"/>
            <w:vMerge w:val="restart"/>
            <w:tcBorders>
              <w:top w:val="single" w:color="auto" w:sz="4" w:space="0"/>
              <w:left w:val="single" w:color="auto" w:sz="4" w:space="0"/>
              <w:bottom w:val="single" w:color="auto" w:sz="4" w:space="0"/>
              <w:right w:val="single" w:color="auto" w:sz="4" w:space="0"/>
            </w:tcBorders>
            <w:noWrap w:val="0"/>
            <w:vAlign w:val="center"/>
          </w:tcPr>
          <w:p w14:paraId="23F5502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6</w:t>
            </w:r>
          </w:p>
        </w:tc>
        <w:tc>
          <w:tcPr>
            <w:tcW w:w="243" w:type="pct"/>
            <w:tcBorders>
              <w:top w:val="single" w:color="auto" w:sz="4" w:space="0"/>
              <w:left w:val="single" w:color="auto" w:sz="4" w:space="0"/>
              <w:bottom w:val="single" w:color="auto" w:sz="4" w:space="0"/>
              <w:right w:val="single" w:color="auto" w:sz="4" w:space="0"/>
            </w:tcBorders>
            <w:noWrap w:val="0"/>
            <w:vAlign w:val="center"/>
          </w:tcPr>
          <w:p w14:paraId="4674FE2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管理制度健全性</w:t>
            </w:r>
          </w:p>
        </w:tc>
        <w:tc>
          <w:tcPr>
            <w:tcW w:w="451" w:type="pct"/>
            <w:tcBorders>
              <w:top w:val="single" w:color="auto" w:sz="4" w:space="0"/>
              <w:left w:val="single" w:color="auto" w:sz="4" w:space="0"/>
              <w:bottom w:val="single" w:color="auto" w:sz="4" w:space="0"/>
              <w:right w:val="single" w:color="auto" w:sz="4" w:space="0"/>
            </w:tcBorders>
            <w:noWrap w:val="0"/>
            <w:vAlign w:val="center"/>
          </w:tcPr>
          <w:p w14:paraId="354A095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3</w:t>
            </w:r>
          </w:p>
        </w:tc>
        <w:tc>
          <w:tcPr>
            <w:tcW w:w="639" w:type="pct"/>
            <w:tcBorders>
              <w:top w:val="single" w:color="auto" w:sz="4" w:space="0"/>
              <w:left w:val="single" w:color="auto" w:sz="4" w:space="0"/>
              <w:bottom w:val="single" w:color="auto" w:sz="4" w:space="0"/>
              <w:right w:val="single" w:color="auto" w:sz="4" w:space="0"/>
            </w:tcBorders>
            <w:noWrap w:val="0"/>
            <w:vAlign w:val="center"/>
          </w:tcPr>
          <w:p w14:paraId="55C263F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项目实施单位的财务和业务管理制度是否健全，用以反映和考核财务和业务管理制度对项目顺利实施的保障情况。</w:t>
            </w:r>
          </w:p>
        </w:tc>
        <w:tc>
          <w:tcPr>
            <w:tcW w:w="317" w:type="pct"/>
            <w:tcBorders>
              <w:top w:val="single" w:color="auto" w:sz="4" w:space="0"/>
              <w:left w:val="single" w:color="auto" w:sz="4" w:space="0"/>
              <w:bottom w:val="single" w:color="auto" w:sz="4" w:space="0"/>
              <w:right w:val="single" w:color="auto" w:sz="4" w:space="0"/>
            </w:tcBorders>
            <w:noWrap w:val="0"/>
            <w:vAlign w:val="center"/>
          </w:tcPr>
          <w:p w14:paraId="3D48405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健全</w:t>
            </w:r>
          </w:p>
        </w:tc>
        <w:tc>
          <w:tcPr>
            <w:tcW w:w="1334" w:type="pct"/>
            <w:tcBorders>
              <w:top w:val="single" w:color="auto" w:sz="4" w:space="0"/>
              <w:left w:val="single" w:color="auto" w:sz="4" w:space="0"/>
              <w:bottom w:val="single" w:color="auto" w:sz="4" w:space="0"/>
              <w:right w:val="single" w:color="auto" w:sz="4" w:space="0"/>
            </w:tcBorders>
            <w:noWrap w:val="0"/>
            <w:vAlign w:val="center"/>
          </w:tcPr>
          <w:p w14:paraId="1F1AFFE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21"/>
                <w:szCs w:val="21"/>
                <w:u w:val="none"/>
                <w:lang w:val="en-US" w:eastAsia="zh-CN"/>
              </w:rPr>
            </w:pPr>
            <w:r>
              <w:rPr>
                <w:rFonts w:hint="eastAsia" w:ascii="宋体" w:hAnsi="宋体" w:eastAsia="宋体" w:cs="宋体"/>
                <w:i w:val="0"/>
                <w:iCs w:val="0"/>
                <w:color w:val="000000"/>
                <w:kern w:val="0"/>
                <w:sz w:val="21"/>
                <w:szCs w:val="21"/>
                <w:u w:val="none"/>
                <w:lang w:val="en-US" w:eastAsia="zh-CN"/>
              </w:rPr>
              <w:t>①是否已制定或具有相应的财务和业务管理制度；</w:t>
            </w:r>
          </w:p>
          <w:p w14:paraId="11CE1A0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②财务和业务管理制度是否合法、合规、完整。</w:t>
            </w:r>
          </w:p>
          <w:p w14:paraId="166E3DC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以上每条要素各占权重的50%，每有一条不符合，扣除对应的权重分，扣完为止。</w:t>
            </w:r>
          </w:p>
        </w:tc>
        <w:tc>
          <w:tcPr>
            <w:tcW w:w="367" w:type="pct"/>
            <w:tcBorders>
              <w:top w:val="single" w:color="auto" w:sz="4" w:space="0"/>
              <w:left w:val="single" w:color="auto" w:sz="4" w:space="0"/>
              <w:bottom w:val="single" w:color="auto" w:sz="4" w:space="0"/>
              <w:right w:val="single" w:color="auto" w:sz="4" w:space="0"/>
            </w:tcBorders>
            <w:noWrap w:val="0"/>
            <w:vAlign w:val="center"/>
          </w:tcPr>
          <w:p w14:paraId="6DDA144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健全</w:t>
            </w:r>
          </w:p>
        </w:tc>
        <w:tc>
          <w:tcPr>
            <w:tcW w:w="255" w:type="pct"/>
            <w:tcBorders>
              <w:top w:val="single" w:color="auto" w:sz="4" w:space="0"/>
              <w:left w:val="single" w:color="auto" w:sz="4" w:space="0"/>
              <w:bottom w:val="single" w:color="auto" w:sz="4" w:space="0"/>
              <w:right w:val="single" w:color="auto" w:sz="4" w:space="0"/>
            </w:tcBorders>
            <w:noWrap w:val="0"/>
            <w:vAlign w:val="center"/>
          </w:tcPr>
          <w:p w14:paraId="3494BB9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3</w:t>
            </w:r>
          </w:p>
        </w:tc>
      </w:tr>
      <w:tr w14:paraId="01FF076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47" w:hRule="atLeast"/>
        </w:trPr>
        <w:tc>
          <w:tcPr>
            <w:tcW w:w="255" w:type="pct"/>
            <w:vMerge w:val="continue"/>
            <w:tcBorders>
              <w:top w:val="single" w:color="auto" w:sz="4" w:space="0"/>
              <w:left w:val="single" w:color="auto" w:sz="4" w:space="0"/>
              <w:bottom w:val="single" w:color="auto" w:sz="4" w:space="0"/>
              <w:right w:val="single" w:color="auto" w:sz="4" w:space="0"/>
            </w:tcBorders>
            <w:noWrap w:val="0"/>
            <w:vAlign w:val="center"/>
          </w:tcPr>
          <w:p w14:paraId="3AF7753F">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439" w:type="pct"/>
            <w:vMerge w:val="continue"/>
            <w:tcBorders>
              <w:top w:val="single" w:color="auto" w:sz="4" w:space="0"/>
              <w:left w:val="single" w:color="auto" w:sz="4" w:space="0"/>
              <w:bottom w:val="single" w:color="auto" w:sz="4" w:space="0"/>
              <w:right w:val="single" w:color="auto" w:sz="4" w:space="0"/>
            </w:tcBorders>
            <w:noWrap w:val="0"/>
            <w:vAlign w:val="center"/>
          </w:tcPr>
          <w:p w14:paraId="0F40251A">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265" w:type="pct"/>
            <w:vMerge w:val="continue"/>
            <w:tcBorders>
              <w:top w:val="single" w:color="auto" w:sz="4" w:space="0"/>
              <w:left w:val="single" w:color="auto" w:sz="4" w:space="0"/>
              <w:bottom w:val="single" w:color="auto" w:sz="4" w:space="0"/>
              <w:right w:val="single" w:color="auto" w:sz="4" w:space="0"/>
            </w:tcBorders>
            <w:noWrap w:val="0"/>
            <w:vAlign w:val="center"/>
          </w:tcPr>
          <w:p w14:paraId="37F47137">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429" w:type="pct"/>
            <w:vMerge w:val="continue"/>
            <w:tcBorders>
              <w:top w:val="single" w:color="auto" w:sz="4" w:space="0"/>
              <w:left w:val="single" w:color="auto" w:sz="4" w:space="0"/>
              <w:bottom w:val="single" w:color="auto" w:sz="4" w:space="0"/>
              <w:right w:val="single" w:color="auto" w:sz="4" w:space="0"/>
            </w:tcBorders>
            <w:noWrap w:val="0"/>
            <w:vAlign w:val="center"/>
          </w:tcPr>
          <w:p w14:paraId="5CC5CBE5">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243" w:type="pct"/>
            <w:tcBorders>
              <w:top w:val="single" w:color="auto" w:sz="4" w:space="0"/>
              <w:left w:val="single" w:color="auto" w:sz="4" w:space="0"/>
              <w:bottom w:val="single" w:color="auto" w:sz="4" w:space="0"/>
              <w:right w:val="single" w:color="auto" w:sz="4" w:space="0"/>
            </w:tcBorders>
            <w:noWrap w:val="0"/>
            <w:vAlign w:val="center"/>
          </w:tcPr>
          <w:p w14:paraId="3A6D8E5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制度执行有效性</w:t>
            </w:r>
          </w:p>
        </w:tc>
        <w:tc>
          <w:tcPr>
            <w:tcW w:w="451" w:type="pct"/>
            <w:tcBorders>
              <w:top w:val="single" w:color="auto" w:sz="4" w:space="0"/>
              <w:left w:val="single" w:color="auto" w:sz="4" w:space="0"/>
              <w:bottom w:val="single" w:color="auto" w:sz="4" w:space="0"/>
              <w:right w:val="single" w:color="auto" w:sz="4" w:space="0"/>
            </w:tcBorders>
            <w:noWrap w:val="0"/>
            <w:vAlign w:val="center"/>
          </w:tcPr>
          <w:p w14:paraId="3657C43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3</w:t>
            </w:r>
          </w:p>
        </w:tc>
        <w:tc>
          <w:tcPr>
            <w:tcW w:w="639" w:type="pct"/>
            <w:tcBorders>
              <w:top w:val="single" w:color="auto" w:sz="4" w:space="0"/>
              <w:left w:val="single" w:color="auto" w:sz="4" w:space="0"/>
              <w:bottom w:val="single" w:color="auto" w:sz="4" w:space="0"/>
              <w:right w:val="single" w:color="auto" w:sz="4" w:space="0"/>
            </w:tcBorders>
            <w:noWrap w:val="0"/>
            <w:vAlign w:val="center"/>
          </w:tcPr>
          <w:p w14:paraId="32991A1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项目实施是否符合相关管理规定，用以反映和考核相关管理制度的有效执行情况。</w:t>
            </w:r>
          </w:p>
        </w:tc>
        <w:tc>
          <w:tcPr>
            <w:tcW w:w="317" w:type="pct"/>
            <w:tcBorders>
              <w:top w:val="single" w:color="auto" w:sz="4" w:space="0"/>
              <w:left w:val="single" w:color="auto" w:sz="4" w:space="0"/>
              <w:bottom w:val="single" w:color="auto" w:sz="4" w:space="0"/>
              <w:right w:val="single" w:color="auto" w:sz="4" w:space="0"/>
            </w:tcBorders>
            <w:noWrap w:val="0"/>
            <w:vAlign w:val="center"/>
          </w:tcPr>
          <w:p w14:paraId="7EFABFF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有效</w:t>
            </w:r>
          </w:p>
        </w:tc>
        <w:tc>
          <w:tcPr>
            <w:tcW w:w="1334" w:type="pct"/>
            <w:tcBorders>
              <w:top w:val="single" w:color="auto" w:sz="4" w:space="0"/>
              <w:left w:val="single" w:color="auto" w:sz="4" w:space="0"/>
              <w:bottom w:val="single" w:color="auto" w:sz="4" w:space="0"/>
              <w:right w:val="single" w:color="auto" w:sz="4" w:space="0"/>
            </w:tcBorders>
            <w:noWrap w:val="0"/>
            <w:vAlign w:val="center"/>
          </w:tcPr>
          <w:p w14:paraId="011C637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21"/>
                <w:szCs w:val="21"/>
                <w:u w:val="none"/>
                <w:lang w:val="en-US" w:eastAsia="zh-CN"/>
              </w:rPr>
            </w:pPr>
            <w:r>
              <w:rPr>
                <w:rFonts w:hint="eastAsia" w:ascii="宋体" w:hAnsi="宋体" w:eastAsia="宋体" w:cs="宋体"/>
                <w:i w:val="0"/>
                <w:iCs w:val="0"/>
                <w:color w:val="000000"/>
                <w:kern w:val="0"/>
                <w:sz w:val="21"/>
                <w:szCs w:val="21"/>
                <w:u w:val="none"/>
                <w:lang w:val="en-US" w:eastAsia="zh-CN"/>
              </w:rPr>
              <w:t>①否遵守相关法律法规和相关管理规定；</w:t>
            </w:r>
          </w:p>
          <w:p w14:paraId="6C8631A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②项目调整及支出调整手续是否完备；</w:t>
            </w:r>
          </w:p>
          <w:p w14:paraId="35321CD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③项目资料是否齐全并及时归档。</w:t>
            </w:r>
          </w:p>
          <w:p w14:paraId="1A256DF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①②③齐全得权重分的100%，缺①扣权重分的30%，缺②扣权重分的40%，缺③扣权重分的30%。</w:t>
            </w:r>
          </w:p>
        </w:tc>
        <w:tc>
          <w:tcPr>
            <w:tcW w:w="367" w:type="pct"/>
            <w:tcBorders>
              <w:top w:val="single" w:color="auto" w:sz="4" w:space="0"/>
              <w:left w:val="single" w:color="auto" w:sz="4" w:space="0"/>
              <w:bottom w:val="single" w:color="auto" w:sz="4" w:space="0"/>
              <w:right w:val="single" w:color="auto" w:sz="4" w:space="0"/>
            </w:tcBorders>
            <w:noWrap w:val="0"/>
            <w:vAlign w:val="center"/>
          </w:tcPr>
          <w:p w14:paraId="5887E24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有效</w:t>
            </w:r>
          </w:p>
        </w:tc>
        <w:tc>
          <w:tcPr>
            <w:tcW w:w="255" w:type="pct"/>
            <w:tcBorders>
              <w:top w:val="single" w:color="auto" w:sz="4" w:space="0"/>
              <w:left w:val="single" w:color="auto" w:sz="4" w:space="0"/>
              <w:bottom w:val="single" w:color="auto" w:sz="4" w:space="0"/>
              <w:right w:val="single" w:color="auto" w:sz="4" w:space="0"/>
            </w:tcBorders>
            <w:noWrap w:val="0"/>
            <w:vAlign w:val="center"/>
          </w:tcPr>
          <w:p w14:paraId="5748BFA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3</w:t>
            </w:r>
          </w:p>
        </w:tc>
      </w:tr>
      <w:tr w14:paraId="0BE6FAA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930" w:hRule="atLeast"/>
        </w:trPr>
        <w:tc>
          <w:tcPr>
            <w:tcW w:w="255" w:type="pct"/>
            <w:vMerge w:val="restart"/>
            <w:tcBorders>
              <w:top w:val="single" w:color="auto" w:sz="4" w:space="0"/>
              <w:left w:val="single" w:color="auto" w:sz="4" w:space="0"/>
              <w:bottom w:val="single" w:color="auto" w:sz="4" w:space="0"/>
              <w:right w:val="single" w:color="auto" w:sz="4" w:space="0"/>
            </w:tcBorders>
            <w:noWrap w:val="0"/>
            <w:vAlign w:val="center"/>
          </w:tcPr>
          <w:p w14:paraId="0FD517A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项目产出</w:t>
            </w:r>
          </w:p>
        </w:tc>
        <w:tc>
          <w:tcPr>
            <w:tcW w:w="439" w:type="pct"/>
            <w:vMerge w:val="restart"/>
            <w:tcBorders>
              <w:top w:val="single" w:color="auto" w:sz="4" w:space="0"/>
              <w:left w:val="single" w:color="auto" w:sz="4" w:space="0"/>
              <w:bottom w:val="single" w:color="auto" w:sz="4" w:space="0"/>
              <w:right w:val="single" w:color="auto" w:sz="4" w:space="0"/>
            </w:tcBorders>
            <w:noWrap w:val="0"/>
            <w:vAlign w:val="center"/>
          </w:tcPr>
          <w:p w14:paraId="457D9D6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40</w:t>
            </w:r>
          </w:p>
        </w:tc>
        <w:tc>
          <w:tcPr>
            <w:tcW w:w="265" w:type="pct"/>
            <w:tcBorders>
              <w:top w:val="single" w:color="auto" w:sz="4" w:space="0"/>
              <w:left w:val="single" w:color="auto" w:sz="4" w:space="0"/>
              <w:bottom w:val="single" w:color="auto" w:sz="4" w:space="0"/>
              <w:right w:val="single" w:color="auto" w:sz="4" w:space="0"/>
            </w:tcBorders>
            <w:noWrap w:val="0"/>
            <w:vAlign w:val="center"/>
          </w:tcPr>
          <w:p w14:paraId="2C2B0C6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产出数量</w:t>
            </w:r>
          </w:p>
        </w:tc>
        <w:tc>
          <w:tcPr>
            <w:tcW w:w="429" w:type="pct"/>
            <w:tcBorders>
              <w:top w:val="single" w:color="auto" w:sz="4" w:space="0"/>
              <w:left w:val="single" w:color="auto" w:sz="4" w:space="0"/>
              <w:bottom w:val="single" w:color="auto" w:sz="4" w:space="0"/>
              <w:right w:val="single" w:color="auto" w:sz="4" w:space="0"/>
            </w:tcBorders>
            <w:noWrap w:val="0"/>
            <w:vAlign w:val="center"/>
          </w:tcPr>
          <w:p w14:paraId="0C0A1ED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10</w:t>
            </w:r>
          </w:p>
        </w:tc>
        <w:tc>
          <w:tcPr>
            <w:tcW w:w="243" w:type="pct"/>
            <w:tcBorders>
              <w:top w:val="single" w:color="auto" w:sz="4" w:space="0"/>
              <w:left w:val="single" w:color="auto" w:sz="4" w:space="0"/>
              <w:bottom w:val="single" w:color="auto" w:sz="4" w:space="0"/>
              <w:right w:val="single" w:color="auto" w:sz="4" w:space="0"/>
            </w:tcBorders>
            <w:noWrap w:val="0"/>
            <w:vAlign w:val="center"/>
          </w:tcPr>
          <w:p w14:paraId="3D155EA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实际完成率</w:t>
            </w:r>
          </w:p>
        </w:tc>
        <w:tc>
          <w:tcPr>
            <w:tcW w:w="451" w:type="pct"/>
            <w:tcBorders>
              <w:top w:val="single" w:color="auto" w:sz="4" w:space="0"/>
              <w:left w:val="single" w:color="auto" w:sz="4" w:space="0"/>
              <w:bottom w:val="single" w:color="auto" w:sz="4" w:space="0"/>
              <w:right w:val="single" w:color="auto" w:sz="4" w:space="0"/>
            </w:tcBorders>
            <w:noWrap w:val="0"/>
            <w:vAlign w:val="center"/>
          </w:tcPr>
          <w:p w14:paraId="7FC736A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10</w:t>
            </w:r>
          </w:p>
        </w:tc>
        <w:tc>
          <w:tcPr>
            <w:tcW w:w="639" w:type="pct"/>
            <w:tcBorders>
              <w:top w:val="single" w:color="auto" w:sz="4" w:space="0"/>
              <w:left w:val="single" w:color="auto" w:sz="4" w:space="0"/>
              <w:bottom w:val="single" w:color="auto" w:sz="4" w:space="0"/>
              <w:right w:val="single" w:color="auto" w:sz="4" w:space="0"/>
            </w:tcBorders>
            <w:noWrap w:val="0"/>
            <w:vAlign w:val="center"/>
          </w:tcPr>
          <w:p w14:paraId="5E49BCC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保障学生数量</w:t>
            </w:r>
          </w:p>
        </w:tc>
        <w:tc>
          <w:tcPr>
            <w:tcW w:w="317" w:type="pct"/>
            <w:tcBorders>
              <w:top w:val="single" w:color="auto" w:sz="4" w:space="0"/>
              <w:left w:val="single" w:color="auto" w:sz="4" w:space="0"/>
              <w:bottom w:val="single" w:color="auto" w:sz="4" w:space="0"/>
              <w:right w:val="single" w:color="auto" w:sz="4" w:space="0"/>
            </w:tcBorders>
            <w:noWrap w:val="0"/>
            <w:vAlign w:val="center"/>
          </w:tcPr>
          <w:p w14:paraId="19159E8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=1765人</w:t>
            </w:r>
          </w:p>
        </w:tc>
        <w:tc>
          <w:tcPr>
            <w:tcW w:w="1334" w:type="pct"/>
            <w:tcBorders>
              <w:top w:val="single" w:color="auto" w:sz="4" w:space="0"/>
              <w:left w:val="single" w:color="auto" w:sz="4" w:space="0"/>
              <w:bottom w:val="single" w:color="auto" w:sz="4" w:space="0"/>
              <w:right w:val="single" w:color="auto" w:sz="4" w:space="0"/>
            </w:tcBorders>
            <w:noWrap w:val="0"/>
            <w:vAlign w:val="center"/>
          </w:tcPr>
          <w:p w14:paraId="54E220F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实际完成率=（实际完成/预期完成）×100%。</w:t>
            </w:r>
            <w:r>
              <w:rPr>
                <w:rFonts w:hint="eastAsia" w:ascii="宋体" w:hAnsi="宋体" w:eastAsia="宋体" w:cs="宋体"/>
                <w:i w:val="0"/>
                <w:iCs w:val="0"/>
                <w:color w:val="000000"/>
                <w:kern w:val="0"/>
                <w:sz w:val="21"/>
                <w:szCs w:val="21"/>
                <w:u w:val="none"/>
                <w:lang w:val="en-US" w:eastAsia="zh-CN"/>
              </w:rPr>
              <w:br w:type="textWrapping"/>
            </w:r>
            <w:r>
              <w:rPr>
                <w:rFonts w:hint="eastAsia" w:ascii="宋体" w:hAnsi="宋体" w:eastAsia="宋体" w:cs="宋体"/>
                <w:i w:val="0"/>
                <w:iCs w:val="0"/>
                <w:color w:val="000000"/>
                <w:kern w:val="0"/>
                <w:sz w:val="21"/>
                <w:szCs w:val="21"/>
                <w:u w:val="none"/>
                <w:lang w:val="en-US" w:eastAsia="zh-CN"/>
              </w:rPr>
              <w:t>①实际完成率≥100%，且偏离程度＜20%，得满分；</w:t>
            </w:r>
            <w:r>
              <w:rPr>
                <w:rFonts w:hint="eastAsia" w:ascii="宋体" w:hAnsi="宋体" w:eastAsia="宋体" w:cs="宋体"/>
                <w:i w:val="0"/>
                <w:iCs w:val="0"/>
                <w:color w:val="000000"/>
                <w:kern w:val="0"/>
                <w:sz w:val="21"/>
                <w:szCs w:val="21"/>
                <w:u w:val="none"/>
                <w:lang w:val="en-US" w:eastAsia="zh-CN"/>
              </w:rPr>
              <w:br w:type="textWrapping"/>
            </w:r>
            <w:r>
              <w:rPr>
                <w:rFonts w:hint="eastAsia" w:ascii="宋体" w:hAnsi="宋体" w:eastAsia="宋体" w:cs="宋体"/>
                <w:i w:val="0"/>
                <w:iCs w:val="0"/>
                <w:color w:val="000000"/>
                <w:kern w:val="0"/>
                <w:sz w:val="21"/>
                <w:szCs w:val="21"/>
                <w:u w:val="none"/>
                <w:lang w:val="en-US" w:eastAsia="zh-CN"/>
              </w:rPr>
              <w:t>②实际完成率≥100%，偏离程度≥20%，得0分；</w:t>
            </w:r>
            <w:r>
              <w:rPr>
                <w:rFonts w:hint="eastAsia" w:ascii="宋体" w:hAnsi="宋体" w:eastAsia="宋体" w:cs="宋体"/>
                <w:i w:val="0"/>
                <w:iCs w:val="0"/>
                <w:color w:val="000000"/>
                <w:kern w:val="0"/>
                <w:sz w:val="21"/>
                <w:szCs w:val="21"/>
                <w:u w:val="none"/>
                <w:lang w:val="en-US" w:eastAsia="zh-CN"/>
              </w:rPr>
              <w:br w:type="textWrapping"/>
            </w:r>
            <w:r>
              <w:rPr>
                <w:rFonts w:hint="eastAsia" w:ascii="宋体" w:hAnsi="宋体" w:eastAsia="宋体" w:cs="宋体"/>
                <w:i w:val="0"/>
                <w:iCs w:val="0"/>
                <w:color w:val="000000"/>
                <w:kern w:val="0"/>
                <w:sz w:val="21"/>
                <w:szCs w:val="21"/>
                <w:u w:val="none"/>
                <w:lang w:val="en-US" w:eastAsia="zh-CN"/>
              </w:rPr>
              <w:t>③实际完成率×100%＜100%，得分=实际完成率×指标分值。</w:t>
            </w:r>
          </w:p>
        </w:tc>
        <w:tc>
          <w:tcPr>
            <w:tcW w:w="367" w:type="pct"/>
            <w:tcBorders>
              <w:top w:val="single" w:color="auto" w:sz="4" w:space="0"/>
              <w:left w:val="single" w:color="auto" w:sz="4" w:space="0"/>
              <w:bottom w:val="single" w:color="auto" w:sz="4" w:space="0"/>
              <w:right w:val="single" w:color="auto" w:sz="4" w:space="0"/>
            </w:tcBorders>
            <w:noWrap w:val="0"/>
            <w:vAlign w:val="center"/>
          </w:tcPr>
          <w:p w14:paraId="0C2AD8D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=1765人</w:t>
            </w:r>
          </w:p>
        </w:tc>
        <w:tc>
          <w:tcPr>
            <w:tcW w:w="255" w:type="pct"/>
            <w:tcBorders>
              <w:top w:val="single" w:color="auto" w:sz="4" w:space="0"/>
              <w:left w:val="single" w:color="auto" w:sz="4" w:space="0"/>
              <w:bottom w:val="single" w:color="auto" w:sz="4" w:space="0"/>
              <w:right w:val="single" w:color="auto" w:sz="4" w:space="0"/>
            </w:tcBorders>
            <w:noWrap w:val="0"/>
            <w:vAlign w:val="center"/>
          </w:tcPr>
          <w:p w14:paraId="49CE331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10</w:t>
            </w:r>
          </w:p>
        </w:tc>
      </w:tr>
      <w:tr w14:paraId="4E26D5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40" w:hRule="atLeast"/>
        </w:trPr>
        <w:tc>
          <w:tcPr>
            <w:tcW w:w="255" w:type="pct"/>
            <w:vMerge w:val="continue"/>
            <w:tcBorders>
              <w:top w:val="single" w:color="auto" w:sz="4" w:space="0"/>
              <w:left w:val="single" w:color="auto" w:sz="4" w:space="0"/>
              <w:bottom w:val="single" w:color="auto" w:sz="4" w:space="0"/>
              <w:right w:val="single" w:color="auto" w:sz="4" w:space="0"/>
            </w:tcBorders>
            <w:noWrap w:val="0"/>
            <w:vAlign w:val="center"/>
          </w:tcPr>
          <w:p w14:paraId="1782057F">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439" w:type="pct"/>
            <w:vMerge w:val="continue"/>
            <w:tcBorders>
              <w:top w:val="single" w:color="auto" w:sz="4" w:space="0"/>
              <w:left w:val="single" w:color="auto" w:sz="4" w:space="0"/>
              <w:bottom w:val="single" w:color="auto" w:sz="4" w:space="0"/>
              <w:right w:val="single" w:color="auto" w:sz="4" w:space="0"/>
            </w:tcBorders>
            <w:noWrap w:val="0"/>
            <w:vAlign w:val="center"/>
          </w:tcPr>
          <w:p w14:paraId="17524CDA">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265" w:type="pct"/>
            <w:vMerge w:val="restart"/>
            <w:tcBorders>
              <w:top w:val="single" w:color="auto" w:sz="4" w:space="0"/>
              <w:left w:val="single" w:color="auto" w:sz="4" w:space="0"/>
              <w:bottom w:val="single" w:color="auto" w:sz="4" w:space="0"/>
              <w:right w:val="single" w:color="auto" w:sz="4" w:space="0"/>
            </w:tcBorders>
            <w:noWrap w:val="0"/>
            <w:vAlign w:val="center"/>
          </w:tcPr>
          <w:p w14:paraId="4739623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产出质量</w:t>
            </w:r>
          </w:p>
        </w:tc>
        <w:tc>
          <w:tcPr>
            <w:tcW w:w="429" w:type="pct"/>
            <w:vMerge w:val="restart"/>
            <w:tcBorders>
              <w:top w:val="single" w:color="auto" w:sz="4" w:space="0"/>
              <w:left w:val="single" w:color="auto" w:sz="4" w:space="0"/>
              <w:bottom w:val="single" w:color="auto" w:sz="4" w:space="0"/>
              <w:right w:val="single" w:color="auto" w:sz="4" w:space="0"/>
            </w:tcBorders>
            <w:noWrap w:val="0"/>
            <w:vAlign w:val="center"/>
          </w:tcPr>
          <w:p w14:paraId="5628A74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10</w:t>
            </w:r>
          </w:p>
        </w:tc>
        <w:tc>
          <w:tcPr>
            <w:tcW w:w="243" w:type="pct"/>
            <w:vMerge w:val="restart"/>
            <w:tcBorders>
              <w:top w:val="single" w:color="auto" w:sz="4" w:space="0"/>
              <w:left w:val="single" w:color="auto" w:sz="4" w:space="0"/>
              <w:bottom w:val="single" w:color="auto" w:sz="4" w:space="0"/>
              <w:right w:val="single" w:color="auto" w:sz="4" w:space="0"/>
            </w:tcBorders>
            <w:noWrap w:val="0"/>
            <w:vAlign w:val="center"/>
          </w:tcPr>
          <w:p w14:paraId="06FA0D3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质量达标率</w:t>
            </w:r>
          </w:p>
        </w:tc>
        <w:tc>
          <w:tcPr>
            <w:tcW w:w="451" w:type="pct"/>
            <w:tcBorders>
              <w:top w:val="single" w:color="auto" w:sz="4" w:space="0"/>
              <w:left w:val="single" w:color="auto" w:sz="4" w:space="0"/>
              <w:bottom w:val="single" w:color="auto" w:sz="4" w:space="0"/>
              <w:right w:val="single" w:color="auto" w:sz="4" w:space="0"/>
            </w:tcBorders>
            <w:noWrap w:val="0"/>
            <w:vAlign w:val="center"/>
          </w:tcPr>
          <w:p w14:paraId="226F87F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5</w:t>
            </w:r>
          </w:p>
        </w:tc>
        <w:tc>
          <w:tcPr>
            <w:tcW w:w="639" w:type="pct"/>
            <w:tcBorders>
              <w:top w:val="single" w:color="auto" w:sz="4" w:space="0"/>
              <w:left w:val="single" w:color="auto" w:sz="4" w:space="0"/>
              <w:bottom w:val="single" w:color="auto" w:sz="4" w:space="0"/>
              <w:right w:val="single" w:color="auto" w:sz="4" w:space="0"/>
            </w:tcBorders>
            <w:noWrap w:val="0"/>
            <w:vAlign w:val="center"/>
          </w:tcPr>
          <w:p w14:paraId="3D58CBC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资金使用覆盖率</w:t>
            </w:r>
          </w:p>
        </w:tc>
        <w:tc>
          <w:tcPr>
            <w:tcW w:w="317" w:type="pct"/>
            <w:tcBorders>
              <w:top w:val="single" w:color="auto" w:sz="4" w:space="0"/>
              <w:left w:val="single" w:color="auto" w:sz="4" w:space="0"/>
              <w:bottom w:val="single" w:color="auto" w:sz="4" w:space="0"/>
              <w:right w:val="single" w:color="auto" w:sz="4" w:space="0"/>
            </w:tcBorders>
            <w:noWrap/>
            <w:vAlign w:val="center"/>
          </w:tcPr>
          <w:p w14:paraId="00432DB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=100%</w:t>
            </w:r>
          </w:p>
        </w:tc>
        <w:tc>
          <w:tcPr>
            <w:tcW w:w="1334" w:type="pct"/>
            <w:tcBorders>
              <w:top w:val="single" w:color="auto" w:sz="4" w:space="0"/>
              <w:left w:val="single" w:color="auto" w:sz="4" w:space="0"/>
              <w:bottom w:val="single" w:color="auto" w:sz="4" w:space="0"/>
              <w:right w:val="single" w:color="auto" w:sz="4" w:space="0"/>
            </w:tcBorders>
            <w:noWrap w:val="0"/>
            <w:vAlign w:val="center"/>
          </w:tcPr>
          <w:p w14:paraId="2C8BEE9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若指标达到标杆值，则得100%权重分；否则，得分=（实际完成/预期完成）×100%×指标分值。</w:t>
            </w:r>
          </w:p>
        </w:tc>
        <w:tc>
          <w:tcPr>
            <w:tcW w:w="367" w:type="pct"/>
            <w:tcBorders>
              <w:top w:val="single" w:color="auto" w:sz="4" w:space="0"/>
              <w:left w:val="single" w:color="auto" w:sz="4" w:space="0"/>
              <w:bottom w:val="single" w:color="auto" w:sz="4" w:space="0"/>
              <w:right w:val="single" w:color="auto" w:sz="4" w:space="0"/>
            </w:tcBorders>
            <w:noWrap/>
            <w:vAlign w:val="center"/>
          </w:tcPr>
          <w:p w14:paraId="7421ED7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=100%</w:t>
            </w:r>
          </w:p>
        </w:tc>
        <w:tc>
          <w:tcPr>
            <w:tcW w:w="255" w:type="pct"/>
            <w:tcBorders>
              <w:top w:val="single" w:color="auto" w:sz="4" w:space="0"/>
              <w:left w:val="single" w:color="auto" w:sz="4" w:space="0"/>
              <w:bottom w:val="single" w:color="auto" w:sz="4" w:space="0"/>
              <w:right w:val="single" w:color="auto" w:sz="4" w:space="0"/>
            </w:tcBorders>
            <w:noWrap w:val="0"/>
            <w:vAlign w:val="center"/>
          </w:tcPr>
          <w:p w14:paraId="7BF589F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5</w:t>
            </w:r>
          </w:p>
        </w:tc>
      </w:tr>
      <w:tr w14:paraId="2BAA397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40" w:hRule="atLeast"/>
        </w:trPr>
        <w:tc>
          <w:tcPr>
            <w:tcW w:w="255" w:type="pct"/>
            <w:vMerge w:val="continue"/>
            <w:tcBorders>
              <w:top w:val="single" w:color="auto" w:sz="4" w:space="0"/>
              <w:left w:val="single" w:color="auto" w:sz="4" w:space="0"/>
              <w:bottom w:val="single" w:color="auto" w:sz="4" w:space="0"/>
              <w:right w:val="single" w:color="auto" w:sz="4" w:space="0"/>
            </w:tcBorders>
            <w:noWrap w:val="0"/>
            <w:vAlign w:val="center"/>
          </w:tcPr>
          <w:p w14:paraId="31702E8E">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439" w:type="pct"/>
            <w:vMerge w:val="continue"/>
            <w:tcBorders>
              <w:top w:val="single" w:color="auto" w:sz="4" w:space="0"/>
              <w:left w:val="single" w:color="auto" w:sz="4" w:space="0"/>
              <w:bottom w:val="single" w:color="auto" w:sz="4" w:space="0"/>
              <w:right w:val="single" w:color="auto" w:sz="4" w:space="0"/>
            </w:tcBorders>
            <w:noWrap w:val="0"/>
            <w:vAlign w:val="center"/>
          </w:tcPr>
          <w:p w14:paraId="2F28261C">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265" w:type="pct"/>
            <w:vMerge w:val="continue"/>
            <w:tcBorders>
              <w:top w:val="single" w:color="auto" w:sz="4" w:space="0"/>
              <w:left w:val="single" w:color="auto" w:sz="4" w:space="0"/>
              <w:bottom w:val="single" w:color="auto" w:sz="4" w:space="0"/>
              <w:right w:val="single" w:color="auto" w:sz="4" w:space="0"/>
            </w:tcBorders>
            <w:noWrap w:val="0"/>
            <w:vAlign w:val="center"/>
          </w:tcPr>
          <w:p w14:paraId="42684E87">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429" w:type="pct"/>
            <w:vMerge w:val="continue"/>
            <w:tcBorders>
              <w:top w:val="single" w:color="auto" w:sz="4" w:space="0"/>
              <w:left w:val="single" w:color="auto" w:sz="4" w:space="0"/>
              <w:bottom w:val="single" w:color="auto" w:sz="4" w:space="0"/>
              <w:right w:val="single" w:color="auto" w:sz="4" w:space="0"/>
            </w:tcBorders>
            <w:noWrap w:val="0"/>
            <w:vAlign w:val="center"/>
          </w:tcPr>
          <w:p w14:paraId="0E2347F8">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243" w:type="pct"/>
            <w:vMerge w:val="continue"/>
            <w:tcBorders>
              <w:top w:val="single" w:color="auto" w:sz="4" w:space="0"/>
              <w:left w:val="single" w:color="auto" w:sz="4" w:space="0"/>
              <w:bottom w:val="single" w:color="auto" w:sz="4" w:space="0"/>
              <w:right w:val="single" w:color="auto" w:sz="4" w:space="0"/>
            </w:tcBorders>
            <w:noWrap w:val="0"/>
            <w:vAlign w:val="center"/>
          </w:tcPr>
          <w:p w14:paraId="6843982B">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451" w:type="pct"/>
            <w:tcBorders>
              <w:top w:val="single" w:color="auto" w:sz="4" w:space="0"/>
              <w:left w:val="single" w:color="auto" w:sz="4" w:space="0"/>
              <w:bottom w:val="single" w:color="auto" w:sz="4" w:space="0"/>
              <w:right w:val="single" w:color="auto" w:sz="4" w:space="0"/>
            </w:tcBorders>
            <w:noWrap w:val="0"/>
            <w:vAlign w:val="center"/>
          </w:tcPr>
          <w:p w14:paraId="2F11D2B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5</w:t>
            </w:r>
          </w:p>
        </w:tc>
        <w:tc>
          <w:tcPr>
            <w:tcW w:w="639" w:type="pct"/>
            <w:tcBorders>
              <w:top w:val="single" w:color="auto" w:sz="4" w:space="0"/>
              <w:left w:val="single" w:color="auto" w:sz="4" w:space="0"/>
              <w:bottom w:val="single" w:color="auto" w:sz="4" w:space="0"/>
              <w:right w:val="single" w:color="auto" w:sz="4" w:space="0"/>
            </w:tcBorders>
            <w:noWrap w:val="0"/>
            <w:vAlign w:val="center"/>
          </w:tcPr>
          <w:p w14:paraId="12A9074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资金使用合规率</w:t>
            </w:r>
          </w:p>
        </w:tc>
        <w:tc>
          <w:tcPr>
            <w:tcW w:w="317" w:type="pct"/>
            <w:tcBorders>
              <w:top w:val="single" w:color="auto" w:sz="4" w:space="0"/>
              <w:left w:val="single" w:color="auto" w:sz="4" w:space="0"/>
              <w:bottom w:val="single" w:color="auto" w:sz="4" w:space="0"/>
              <w:right w:val="single" w:color="auto" w:sz="4" w:space="0"/>
            </w:tcBorders>
            <w:noWrap/>
            <w:vAlign w:val="center"/>
          </w:tcPr>
          <w:p w14:paraId="1FD8EAD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=100%</w:t>
            </w:r>
          </w:p>
        </w:tc>
        <w:tc>
          <w:tcPr>
            <w:tcW w:w="1334" w:type="pct"/>
            <w:tcBorders>
              <w:top w:val="single" w:color="auto" w:sz="4" w:space="0"/>
              <w:left w:val="single" w:color="auto" w:sz="4" w:space="0"/>
              <w:bottom w:val="single" w:color="auto" w:sz="4" w:space="0"/>
              <w:right w:val="single" w:color="auto" w:sz="4" w:space="0"/>
            </w:tcBorders>
            <w:noWrap w:val="0"/>
            <w:vAlign w:val="center"/>
          </w:tcPr>
          <w:p w14:paraId="7ADEE21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若指标完成值达到标杆值，则得100%权重分；否则，不得分。</w:t>
            </w:r>
          </w:p>
        </w:tc>
        <w:tc>
          <w:tcPr>
            <w:tcW w:w="367" w:type="pct"/>
            <w:tcBorders>
              <w:top w:val="single" w:color="auto" w:sz="4" w:space="0"/>
              <w:left w:val="single" w:color="auto" w:sz="4" w:space="0"/>
              <w:bottom w:val="single" w:color="auto" w:sz="4" w:space="0"/>
              <w:right w:val="single" w:color="auto" w:sz="4" w:space="0"/>
            </w:tcBorders>
            <w:noWrap/>
            <w:vAlign w:val="center"/>
          </w:tcPr>
          <w:p w14:paraId="7AA1C12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=100%</w:t>
            </w:r>
          </w:p>
        </w:tc>
        <w:tc>
          <w:tcPr>
            <w:tcW w:w="255" w:type="pct"/>
            <w:tcBorders>
              <w:top w:val="single" w:color="auto" w:sz="4" w:space="0"/>
              <w:left w:val="single" w:color="auto" w:sz="4" w:space="0"/>
              <w:bottom w:val="single" w:color="auto" w:sz="4" w:space="0"/>
              <w:right w:val="single" w:color="auto" w:sz="4" w:space="0"/>
            </w:tcBorders>
            <w:noWrap w:val="0"/>
            <w:vAlign w:val="center"/>
          </w:tcPr>
          <w:p w14:paraId="67226BC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5</w:t>
            </w:r>
          </w:p>
        </w:tc>
      </w:tr>
      <w:tr w14:paraId="3610078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255" w:type="pct"/>
            <w:vMerge w:val="continue"/>
            <w:tcBorders>
              <w:top w:val="single" w:color="auto" w:sz="4" w:space="0"/>
              <w:left w:val="single" w:color="auto" w:sz="4" w:space="0"/>
              <w:bottom w:val="single" w:color="auto" w:sz="4" w:space="0"/>
              <w:right w:val="single" w:color="auto" w:sz="4" w:space="0"/>
            </w:tcBorders>
            <w:noWrap w:val="0"/>
            <w:vAlign w:val="center"/>
          </w:tcPr>
          <w:p w14:paraId="14C9E2E7">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439" w:type="pct"/>
            <w:vMerge w:val="continue"/>
            <w:tcBorders>
              <w:top w:val="single" w:color="auto" w:sz="4" w:space="0"/>
              <w:left w:val="single" w:color="auto" w:sz="4" w:space="0"/>
              <w:bottom w:val="single" w:color="auto" w:sz="4" w:space="0"/>
              <w:right w:val="single" w:color="auto" w:sz="4" w:space="0"/>
            </w:tcBorders>
            <w:noWrap w:val="0"/>
            <w:vAlign w:val="center"/>
          </w:tcPr>
          <w:p w14:paraId="563010BA">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265" w:type="pct"/>
            <w:vMerge w:val="restart"/>
            <w:tcBorders>
              <w:top w:val="single" w:color="auto" w:sz="4" w:space="0"/>
              <w:left w:val="single" w:color="auto" w:sz="4" w:space="0"/>
              <w:bottom w:val="single" w:color="auto" w:sz="4" w:space="0"/>
              <w:right w:val="single" w:color="auto" w:sz="4" w:space="0"/>
            </w:tcBorders>
            <w:noWrap w:val="0"/>
            <w:vAlign w:val="center"/>
          </w:tcPr>
          <w:p w14:paraId="7EE2CD3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产出时效</w:t>
            </w:r>
          </w:p>
        </w:tc>
        <w:tc>
          <w:tcPr>
            <w:tcW w:w="429" w:type="pct"/>
            <w:vMerge w:val="restart"/>
            <w:tcBorders>
              <w:top w:val="single" w:color="auto" w:sz="4" w:space="0"/>
              <w:left w:val="single" w:color="auto" w:sz="4" w:space="0"/>
              <w:bottom w:val="single" w:color="auto" w:sz="4" w:space="0"/>
              <w:right w:val="single" w:color="auto" w:sz="4" w:space="0"/>
            </w:tcBorders>
            <w:noWrap w:val="0"/>
            <w:vAlign w:val="center"/>
          </w:tcPr>
          <w:p w14:paraId="3EFE905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10</w:t>
            </w:r>
          </w:p>
        </w:tc>
        <w:tc>
          <w:tcPr>
            <w:tcW w:w="243" w:type="pct"/>
            <w:vMerge w:val="restart"/>
            <w:tcBorders>
              <w:top w:val="single" w:color="auto" w:sz="4" w:space="0"/>
              <w:left w:val="single" w:color="auto" w:sz="4" w:space="0"/>
              <w:bottom w:val="single" w:color="auto" w:sz="4" w:space="0"/>
              <w:right w:val="single" w:color="auto" w:sz="4" w:space="0"/>
            </w:tcBorders>
            <w:noWrap w:val="0"/>
            <w:vAlign w:val="center"/>
          </w:tcPr>
          <w:p w14:paraId="1E5AC30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完成及时率</w:t>
            </w:r>
          </w:p>
        </w:tc>
        <w:tc>
          <w:tcPr>
            <w:tcW w:w="451" w:type="pct"/>
            <w:tcBorders>
              <w:top w:val="single" w:color="auto" w:sz="4" w:space="0"/>
              <w:left w:val="single" w:color="auto" w:sz="4" w:space="0"/>
              <w:bottom w:val="single" w:color="auto" w:sz="4" w:space="0"/>
              <w:right w:val="single" w:color="auto" w:sz="4" w:space="0"/>
            </w:tcBorders>
            <w:noWrap w:val="0"/>
            <w:vAlign w:val="center"/>
          </w:tcPr>
          <w:p w14:paraId="16531FF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5</w:t>
            </w:r>
          </w:p>
        </w:tc>
        <w:tc>
          <w:tcPr>
            <w:tcW w:w="639" w:type="pct"/>
            <w:tcBorders>
              <w:top w:val="single" w:color="auto" w:sz="4" w:space="0"/>
              <w:left w:val="single" w:color="auto" w:sz="4" w:space="0"/>
              <w:bottom w:val="single" w:color="auto" w:sz="4" w:space="0"/>
              <w:right w:val="single" w:color="auto" w:sz="4" w:space="0"/>
            </w:tcBorders>
            <w:noWrap w:val="0"/>
            <w:vAlign w:val="center"/>
          </w:tcPr>
          <w:p w14:paraId="469794D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资金支付及时率</w:t>
            </w:r>
          </w:p>
        </w:tc>
        <w:tc>
          <w:tcPr>
            <w:tcW w:w="317" w:type="pct"/>
            <w:tcBorders>
              <w:top w:val="single" w:color="auto" w:sz="4" w:space="0"/>
              <w:left w:val="single" w:color="auto" w:sz="4" w:space="0"/>
              <w:bottom w:val="single" w:color="auto" w:sz="4" w:space="0"/>
              <w:right w:val="single" w:color="auto" w:sz="4" w:space="0"/>
            </w:tcBorders>
            <w:noWrap/>
            <w:vAlign w:val="center"/>
          </w:tcPr>
          <w:p w14:paraId="5269541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=100%</w:t>
            </w:r>
          </w:p>
        </w:tc>
        <w:tc>
          <w:tcPr>
            <w:tcW w:w="1334" w:type="pct"/>
            <w:tcBorders>
              <w:top w:val="single" w:color="auto" w:sz="4" w:space="0"/>
              <w:left w:val="single" w:color="auto" w:sz="4" w:space="0"/>
              <w:bottom w:val="single" w:color="auto" w:sz="4" w:space="0"/>
              <w:right w:val="single" w:color="auto" w:sz="4" w:space="0"/>
            </w:tcBorders>
            <w:noWrap w:val="0"/>
            <w:vAlign w:val="center"/>
          </w:tcPr>
          <w:p w14:paraId="498BE39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若指标完成值达到标杆值，则得100%权重分；否则，得分=（实际完成/预期完成）×100%×指标分值。</w:t>
            </w:r>
          </w:p>
        </w:tc>
        <w:tc>
          <w:tcPr>
            <w:tcW w:w="367" w:type="pct"/>
            <w:tcBorders>
              <w:top w:val="single" w:color="auto" w:sz="4" w:space="0"/>
              <w:left w:val="single" w:color="auto" w:sz="4" w:space="0"/>
              <w:bottom w:val="single" w:color="auto" w:sz="4" w:space="0"/>
              <w:right w:val="single" w:color="auto" w:sz="4" w:space="0"/>
            </w:tcBorders>
            <w:noWrap/>
            <w:vAlign w:val="center"/>
          </w:tcPr>
          <w:p w14:paraId="4847BD9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=100%</w:t>
            </w:r>
          </w:p>
        </w:tc>
        <w:tc>
          <w:tcPr>
            <w:tcW w:w="255" w:type="pct"/>
            <w:tcBorders>
              <w:top w:val="single" w:color="auto" w:sz="4" w:space="0"/>
              <w:left w:val="single" w:color="auto" w:sz="4" w:space="0"/>
              <w:bottom w:val="single" w:color="auto" w:sz="4" w:space="0"/>
              <w:right w:val="single" w:color="auto" w:sz="4" w:space="0"/>
            </w:tcBorders>
            <w:noWrap w:val="0"/>
            <w:vAlign w:val="center"/>
          </w:tcPr>
          <w:p w14:paraId="4577019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5</w:t>
            </w:r>
          </w:p>
        </w:tc>
      </w:tr>
      <w:tr w14:paraId="7F5B129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trPr>
        <w:tc>
          <w:tcPr>
            <w:tcW w:w="255" w:type="pct"/>
            <w:vMerge w:val="continue"/>
            <w:tcBorders>
              <w:top w:val="single" w:color="auto" w:sz="4" w:space="0"/>
              <w:left w:val="single" w:color="auto" w:sz="4" w:space="0"/>
              <w:bottom w:val="single" w:color="auto" w:sz="4" w:space="0"/>
              <w:right w:val="single" w:color="auto" w:sz="4" w:space="0"/>
            </w:tcBorders>
            <w:noWrap w:val="0"/>
            <w:vAlign w:val="center"/>
          </w:tcPr>
          <w:p w14:paraId="3EEC5EEE">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439" w:type="pct"/>
            <w:vMerge w:val="continue"/>
            <w:tcBorders>
              <w:top w:val="single" w:color="auto" w:sz="4" w:space="0"/>
              <w:left w:val="single" w:color="auto" w:sz="4" w:space="0"/>
              <w:bottom w:val="single" w:color="auto" w:sz="4" w:space="0"/>
              <w:right w:val="single" w:color="auto" w:sz="4" w:space="0"/>
            </w:tcBorders>
            <w:noWrap w:val="0"/>
            <w:vAlign w:val="center"/>
          </w:tcPr>
          <w:p w14:paraId="3A4A1E89">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265" w:type="pct"/>
            <w:vMerge w:val="continue"/>
            <w:tcBorders>
              <w:top w:val="single" w:color="auto" w:sz="4" w:space="0"/>
              <w:left w:val="single" w:color="auto" w:sz="4" w:space="0"/>
              <w:bottom w:val="single" w:color="auto" w:sz="4" w:space="0"/>
              <w:right w:val="single" w:color="auto" w:sz="4" w:space="0"/>
            </w:tcBorders>
            <w:noWrap w:val="0"/>
            <w:vAlign w:val="center"/>
          </w:tcPr>
          <w:p w14:paraId="174A885A">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429" w:type="pct"/>
            <w:vMerge w:val="continue"/>
            <w:tcBorders>
              <w:top w:val="single" w:color="auto" w:sz="4" w:space="0"/>
              <w:left w:val="single" w:color="auto" w:sz="4" w:space="0"/>
              <w:bottom w:val="single" w:color="auto" w:sz="4" w:space="0"/>
              <w:right w:val="single" w:color="auto" w:sz="4" w:space="0"/>
            </w:tcBorders>
            <w:noWrap w:val="0"/>
            <w:vAlign w:val="center"/>
          </w:tcPr>
          <w:p w14:paraId="4D15C538">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243" w:type="pct"/>
            <w:vMerge w:val="continue"/>
            <w:tcBorders>
              <w:top w:val="single" w:color="auto" w:sz="4" w:space="0"/>
              <w:left w:val="single" w:color="auto" w:sz="4" w:space="0"/>
              <w:bottom w:val="single" w:color="auto" w:sz="4" w:space="0"/>
              <w:right w:val="single" w:color="auto" w:sz="4" w:space="0"/>
            </w:tcBorders>
            <w:noWrap w:val="0"/>
            <w:vAlign w:val="center"/>
          </w:tcPr>
          <w:p w14:paraId="54634D12">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451" w:type="pct"/>
            <w:tcBorders>
              <w:top w:val="single" w:color="auto" w:sz="4" w:space="0"/>
              <w:left w:val="single" w:color="auto" w:sz="4" w:space="0"/>
              <w:bottom w:val="single" w:color="auto" w:sz="4" w:space="0"/>
              <w:right w:val="single" w:color="auto" w:sz="4" w:space="0"/>
            </w:tcBorders>
            <w:noWrap w:val="0"/>
            <w:vAlign w:val="center"/>
          </w:tcPr>
          <w:p w14:paraId="6242669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5</w:t>
            </w:r>
          </w:p>
        </w:tc>
        <w:tc>
          <w:tcPr>
            <w:tcW w:w="639" w:type="pct"/>
            <w:tcBorders>
              <w:top w:val="single" w:color="auto" w:sz="4" w:space="0"/>
              <w:left w:val="single" w:color="auto" w:sz="4" w:space="0"/>
              <w:bottom w:val="single" w:color="auto" w:sz="4" w:space="0"/>
              <w:right w:val="single" w:color="auto" w:sz="4" w:space="0"/>
            </w:tcBorders>
            <w:noWrap w:val="0"/>
            <w:vAlign w:val="center"/>
          </w:tcPr>
          <w:p w14:paraId="4AC2CD5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项目完成时间</w:t>
            </w:r>
          </w:p>
        </w:tc>
        <w:tc>
          <w:tcPr>
            <w:tcW w:w="317" w:type="pct"/>
            <w:tcBorders>
              <w:top w:val="single" w:color="auto" w:sz="4" w:space="0"/>
              <w:left w:val="single" w:color="auto" w:sz="4" w:space="0"/>
              <w:bottom w:val="single" w:color="auto" w:sz="4" w:space="0"/>
              <w:right w:val="single" w:color="auto" w:sz="4" w:space="0"/>
            </w:tcBorders>
            <w:noWrap w:val="0"/>
            <w:vAlign w:val="center"/>
          </w:tcPr>
          <w:p w14:paraId="5C9280A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2024年12月</w:t>
            </w:r>
          </w:p>
        </w:tc>
        <w:tc>
          <w:tcPr>
            <w:tcW w:w="1334" w:type="pct"/>
            <w:tcBorders>
              <w:top w:val="single" w:color="auto" w:sz="4" w:space="0"/>
              <w:left w:val="single" w:color="auto" w:sz="4" w:space="0"/>
              <w:bottom w:val="single" w:color="auto" w:sz="4" w:space="0"/>
              <w:right w:val="single" w:color="auto" w:sz="4" w:space="0"/>
            </w:tcBorders>
            <w:noWrap w:val="0"/>
            <w:vAlign w:val="center"/>
          </w:tcPr>
          <w:p w14:paraId="5E7A393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若在规定时间内完成，得100%权重分；若未在规定的时间内完成，得分=（1-未在规定时间内完成工作数/实际完成工作总数）×分值。</w:t>
            </w:r>
          </w:p>
        </w:tc>
        <w:tc>
          <w:tcPr>
            <w:tcW w:w="367" w:type="pct"/>
            <w:tcBorders>
              <w:top w:val="single" w:color="auto" w:sz="4" w:space="0"/>
              <w:left w:val="single" w:color="auto" w:sz="4" w:space="0"/>
              <w:bottom w:val="single" w:color="auto" w:sz="4" w:space="0"/>
              <w:right w:val="single" w:color="auto" w:sz="4" w:space="0"/>
            </w:tcBorders>
            <w:noWrap w:val="0"/>
            <w:vAlign w:val="center"/>
          </w:tcPr>
          <w:p w14:paraId="5B34B62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2024年12月</w:t>
            </w:r>
          </w:p>
        </w:tc>
        <w:tc>
          <w:tcPr>
            <w:tcW w:w="255" w:type="pct"/>
            <w:tcBorders>
              <w:top w:val="single" w:color="auto" w:sz="4" w:space="0"/>
              <w:left w:val="single" w:color="auto" w:sz="4" w:space="0"/>
              <w:bottom w:val="single" w:color="auto" w:sz="4" w:space="0"/>
              <w:right w:val="single" w:color="auto" w:sz="4" w:space="0"/>
            </w:tcBorders>
            <w:noWrap w:val="0"/>
            <w:vAlign w:val="center"/>
          </w:tcPr>
          <w:p w14:paraId="025C98C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5</w:t>
            </w:r>
          </w:p>
        </w:tc>
      </w:tr>
      <w:tr w14:paraId="6997F0C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667" w:hRule="atLeast"/>
        </w:trPr>
        <w:tc>
          <w:tcPr>
            <w:tcW w:w="255" w:type="pct"/>
            <w:vMerge w:val="continue"/>
            <w:tcBorders>
              <w:top w:val="single" w:color="auto" w:sz="4" w:space="0"/>
              <w:left w:val="single" w:color="auto" w:sz="4" w:space="0"/>
              <w:bottom w:val="single" w:color="auto" w:sz="4" w:space="0"/>
              <w:right w:val="single" w:color="auto" w:sz="4" w:space="0"/>
            </w:tcBorders>
            <w:noWrap w:val="0"/>
            <w:vAlign w:val="center"/>
          </w:tcPr>
          <w:p w14:paraId="1F7FBF85">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439" w:type="pct"/>
            <w:vMerge w:val="continue"/>
            <w:tcBorders>
              <w:top w:val="single" w:color="auto" w:sz="4" w:space="0"/>
              <w:left w:val="single" w:color="auto" w:sz="4" w:space="0"/>
              <w:bottom w:val="single" w:color="auto" w:sz="4" w:space="0"/>
              <w:right w:val="single" w:color="auto" w:sz="4" w:space="0"/>
            </w:tcBorders>
            <w:noWrap w:val="0"/>
            <w:vAlign w:val="center"/>
          </w:tcPr>
          <w:p w14:paraId="2D5CDDBB">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265" w:type="pct"/>
            <w:vMerge w:val="restart"/>
            <w:tcBorders>
              <w:top w:val="single" w:color="auto" w:sz="4" w:space="0"/>
              <w:left w:val="single" w:color="auto" w:sz="4" w:space="0"/>
              <w:bottom w:val="single" w:color="auto" w:sz="4" w:space="0"/>
              <w:right w:val="single" w:color="auto" w:sz="4" w:space="0"/>
            </w:tcBorders>
            <w:noWrap w:val="0"/>
            <w:vAlign w:val="center"/>
          </w:tcPr>
          <w:p w14:paraId="3C32476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产出成本</w:t>
            </w:r>
          </w:p>
        </w:tc>
        <w:tc>
          <w:tcPr>
            <w:tcW w:w="429" w:type="pct"/>
            <w:vMerge w:val="restart"/>
            <w:tcBorders>
              <w:top w:val="single" w:color="auto" w:sz="4" w:space="0"/>
              <w:left w:val="single" w:color="auto" w:sz="4" w:space="0"/>
              <w:bottom w:val="single" w:color="auto" w:sz="4" w:space="0"/>
              <w:right w:val="single" w:color="auto" w:sz="4" w:space="0"/>
            </w:tcBorders>
            <w:noWrap w:val="0"/>
            <w:vAlign w:val="center"/>
          </w:tcPr>
          <w:p w14:paraId="29AA763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10</w:t>
            </w:r>
          </w:p>
        </w:tc>
        <w:tc>
          <w:tcPr>
            <w:tcW w:w="243" w:type="pct"/>
            <w:vMerge w:val="restart"/>
            <w:tcBorders>
              <w:top w:val="single" w:color="auto" w:sz="4" w:space="0"/>
              <w:left w:val="single" w:color="auto" w:sz="4" w:space="0"/>
              <w:bottom w:val="single" w:color="auto" w:sz="4" w:space="0"/>
              <w:right w:val="single" w:color="auto" w:sz="4" w:space="0"/>
            </w:tcBorders>
            <w:noWrap w:val="0"/>
            <w:vAlign w:val="center"/>
          </w:tcPr>
          <w:p w14:paraId="0ECF714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成本节约率</w:t>
            </w:r>
          </w:p>
        </w:tc>
        <w:tc>
          <w:tcPr>
            <w:tcW w:w="451" w:type="pct"/>
            <w:tcBorders>
              <w:top w:val="single" w:color="auto" w:sz="4" w:space="0"/>
              <w:left w:val="single" w:color="auto" w:sz="4" w:space="0"/>
              <w:bottom w:val="single" w:color="auto" w:sz="4" w:space="0"/>
              <w:right w:val="single" w:color="auto" w:sz="4" w:space="0"/>
            </w:tcBorders>
            <w:noWrap w:val="0"/>
            <w:vAlign w:val="center"/>
          </w:tcPr>
          <w:p w14:paraId="3F9C7B1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5</w:t>
            </w:r>
          </w:p>
        </w:tc>
        <w:tc>
          <w:tcPr>
            <w:tcW w:w="639" w:type="pct"/>
            <w:tcBorders>
              <w:top w:val="single" w:color="auto" w:sz="4" w:space="0"/>
              <w:left w:val="single" w:color="auto" w:sz="4" w:space="0"/>
              <w:bottom w:val="single" w:color="auto" w:sz="4" w:space="0"/>
              <w:right w:val="nil"/>
            </w:tcBorders>
            <w:noWrap/>
            <w:vAlign w:val="center"/>
          </w:tcPr>
          <w:p w14:paraId="164F690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家庭经济困难学生生活补助</w:t>
            </w:r>
          </w:p>
        </w:tc>
        <w:tc>
          <w:tcPr>
            <w:tcW w:w="317" w:type="pct"/>
            <w:tcBorders>
              <w:top w:val="single" w:color="auto" w:sz="4" w:space="0"/>
              <w:left w:val="single" w:color="auto" w:sz="4" w:space="0"/>
              <w:bottom w:val="single" w:color="auto" w:sz="4" w:space="0"/>
              <w:right w:val="single" w:color="auto" w:sz="4" w:space="0"/>
            </w:tcBorders>
            <w:noWrap w:val="0"/>
            <w:vAlign w:val="center"/>
          </w:tcPr>
          <w:p w14:paraId="3E9882E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≤115.39万元</w:t>
            </w:r>
          </w:p>
        </w:tc>
        <w:tc>
          <w:tcPr>
            <w:tcW w:w="1334" w:type="pct"/>
            <w:tcBorders>
              <w:top w:val="single" w:color="auto" w:sz="4" w:space="0"/>
              <w:left w:val="single" w:color="auto" w:sz="4" w:space="0"/>
              <w:bottom w:val="single" w:color="auto" w:sz="4" w:space="0"/>
              <w:right w:val="single" w:color="auto" w:sz="4" w:space="0"/>
            </w:tcBorders>
            <w:noWrap w:val="0"/>
            <w:vAlign w:val="center"/>
          </w:tcPr>
          <w:p w14:paraId="3FB2E81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实际完成率=（实际支付资金数/计划应支付资金数）×100%。</w:t>
            </w:r>
            <w:r>
              <w:rPr>
                <w:rFonts w:hint="eastAsia" w:ascii="宋体" w:hAnsi="宋体" w:eastAsia="宋体" w:cs="宋体"/>
                <w:i w:val="0"/>
                <w:iCs w:val="0"/>
                <w:color w:val="000000"/>
                <w:kern w:val="0"/>
                <w:sz w:val="21"/>
                <w:szCs w:val="21"/>
                <w:u w:val="none"/>
                <w:lang w:val="en-US" w:eastAsia="zh-CN"/>
              </w:rPr>
              <w:br w:type="textWrapping"/>
            </w:r>
            <w:r>
              <w:rPr>
                <w:rFonts w:hint="eastAsia" w:ascii="宋体" w:hAnsi="宋体" w:eastAsia="宋体" w:cs="宋体"/>
                <w:i w:val="0"/>
                <w:iCs w:val="0"/>
                <w:color w:val="000000"/>
                <w:kern w:val="0"/>
                <w:sz w:val="21"/>
                <w:szCs w:val="21"/>
                <w:u w:val="none"/>
                <w:lang w:val="en-US" w:eastAsia="zh-CN"/>
              </w:rPr>
              <w:t>①实际完成率＞年度指标值，得0得分；</w:t>
            </w:r>
            <w:r>
              <w:rPr>
                <w:rFonts w:hint="eastAsia" w:ascii="宋体" w:hAnsi="宋体" w:eastAsia="宋体" w:cs="宋体"/>
                <w:i w:val="0"/>
                <w:iCs w:val="0"/>
                <w:color w:val="000000"/>
                <w:kern w:val="0"/>
                <w:sz w:val="21"/>
                <w:szCs w:val="21"/>
                <w:u w:val="none"/>
                <w:lang w:val="en-US" w:eastAsia="zh-CN"/>
              </w:rPr>
              <w:br w:type="textWrapping"/>
            </w:r>
            <w:r>
              <w:rPr>
                <w:rFonts w:hint="eastAsia" w:ascii="宋体" w:hAnsi="宋体" w:eastAsia="宋体" w:cs="宋体"/>
                <w:i w:val="0"/>
                <w:iCs w:val="0"/>
                <w:color w:val="000000"/>
                <w:kern w:val="0"/>
                <w:sz w:val="21"/>
                <w:szCs w:val="21"/>
                <w:u w:val="none"/>
                <w:lang w:val="en-US" w:eastAsia="zh-CN"/>
              </w:rPr>
              <w:t>②实际完成率≤年度指标值，且偏离程度＜20%，得满分；</w:t>
            </w:r>
            <w:r>
              <w:rPr>
                <w:rFonts w:hint="eastAsia" w:ascii="宋体" w:hAnsi="宋体" w:eastAsia="宋体" w:cs="宋体"/>
                <w:i w:val="0"/>
                <w:iCs w:val="0"/>
                <w:color w:val="000000"/>
                <w:kern w:val="0"/>
                <w:sz w:val="21"/>
                <w:szCs w:val="21"/>
                <w:u w:val="none"/>
                <w:lang w:val="en-US" w:eastAsia="zh-CN"/>
              </w:rPr>
              <w:br w:type="textWrapping"/>
            </w:r>
            <w:r>
              <w:rPr>
                <w:rFonts w:hint="eastAsia" w:ascii="宋体" w:hAnsi="宋体" w:eastAsia="宋体" w:cs="宋体"/>
                <w:i w:val="0"/>
                <w:iCs w:val="0"/>
                <w:color w:val="000000"/>
                <w:kern w:val="0"/>
                <w:sz w:val="21"/>
                <w:szCs w:val="21"/>
                <w:u w:val="none"/>
                <w:lang w:val="en-US" w:eastAsia="zh-CN"/>
              </w:rPr>
              <w:t>③实际完成率＜年度指标值，且偏离程度≥20%，得分=实际完成率×分值。</w:t>
            </w:r>
          </w:p>
        </w:tc>
        <w:tc>
          <w:tcPr>
            <w:tcW w:w="367" w:type="pct"/>
            <w:tcBorders>
              <w:top w:val="single" w:color="auto" w:sz="4" w:space="0"/>
              <w:left w:val="single" w:color="auto" w:sz="4" w:space="0"/>
              <w:bottom w:val="single" w:color="auto" w:sz="4" w:space="0"/>
              <w:right w:val="single" w:color="auto" w:sz="4" w:space="0"/>
            </w:tcBorders>
            <w:noWrap w:val="0"/>
            <w:vAlign w:val="center"/>
          </w:tcPr>
          <w:p w14:paraId="4DE5A86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115.39万元</w:t>
            </w:r>
          </w:p>
        </w:tc>
        <w:tc>
          <w:tcPr>
            <w:tcW w:w="255" w:type="pct"/>
            <w:tcBorders>
              <w:top w:val="single" w:color="auto" w:sz="4" w:space="0"/>
              <w:left w:val="single" w:color="auto" w:sz="4" w:space="0"/>
              <w:bottom w:val="single" w:color="auto" w:sz="4" w:space="0"/>
              <w:right w:val="single" w:color="auto" w:sz="4" w:space="0"/>
            </w:tcBorders>
            <w:noWrap w:val="0"/>
            <w:vAlign w:val="center"/>
          </w:tcPr>
          <w:p w14:paraId="2413692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5</w:t>
            </w:r>
          </w:p>
        </w:tc>
      </w:tr>
      <w:tr w14:paraId="4D76958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780" w:hRule="atLeast"/>
        </w:trPr>
        <w:tc>
          <w:tcPr>
            <w:tcW w:w="255" w:type="pct"/>
            <w:vMerge w:val="continue"/>
            <w:tcBorders>
              <w:top w:val="single" w:color="auto" w:sz="4" w:space="0"/>
              <w:left w:val="single" w:color="auto" w:sz="4" w:space="0"/>
              <w:bottom w:val="single" w:color="auto" w:sz="4" w:space="0"/>
              <w:right w:val="single" w:color="auto" w:sz="4" w:space="0"/>
            </w:tcBorders>
            <w:noWrap w:val="0"/>
            <w:vAlign w:val="center"/>
          </w:tcPr>
          <w:p w14:paraId="00902F71">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439" w:type="pct"/>
            <w:vMerge w:val="continue"/>
            <w:tcBorders>
              <w:top w:val="single" w:color="auto" w:sz="4" w:space="0"/>
              <w:left w:val="single" w:color="auto" w:sz="4" w:space="0"/>
              <w:bottom w:val="single" w:color="auto" w:sz="4" w:space="0"/>
              <w:right w:val="single" w:color="auto" w:sz="4" w:space="0"/>
            </w:tcBorders>
            <w:noWrap w:val="0"/>
            <w:vAlign w:val="center"/>
          </w:tcPr>
          <w:p w14:paraId="3CC0A2F0">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265" w:type="pct"/>
            <w:vMerge w:val="continue"/>
            <w:tcBorders>
              <w:top w:val="single" w:color="auto" w:sz="4" w:space="0"/>
              <w:left w:val="single" w:color="auto" w:sz="4" w:space="0"/>
              <w:bottom w:val="single" w:color="auto" w:sz="4" w:space="0"/>
              <w:right w:val="single" w:color="auto" w:sz="4" w:space="0"/>
            </w:tcBorders>
            <w:noWrap w:val="0"/>
            <w:vAlign w:val="center"/>
          </w:tcPr>
          <w:p w14:paraId="6CFBA2C0">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429" w:type="pct"/>
            <w:vMerge w:val="continue"/>
            <w:tcBorders>
              <w:top w:val="single" w:color="auto" w:sz="4" w:space="0"/>
              <w:left w:val="single" w:color="auto" w:sz="4" w:space="0"/>
              <w:bottom w:val="single" w:color="auto" w:sz="4" w:space="0"/>
              <w:right w:val="single" w:color="auto" w:sz="4" w:space="0"/>
            </w:tcBorders>
            <w:noWrap w:val="0"/>
            <w:vAlign w:val="center"/>
          </w:tcPr>
          <w:p w14:paraId="01D79796">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243" w:type="pct"/>
            <w:vMerge w:val="continue"/>
            <w:tcBorders>
              <w:top w:val="single" w:color="auto" w:sz="4" w:space="0"/>
              <w:left w:val="single" w:color="auto" w:sz="4" w:space="0"/>
              <w:bottom w:val="single" w:color="auto" w:sz="4" w:space="0"/>
              <w:right w:val="single" w:color="auto" w:sz="4" w:space="0"/>
            </w:tcBorders>
            <w:noWrap w:val="0"/>
            <w:vAlign w:val="center"/>
          </w:tcPr>
          <w:p w14:paraId="0BBB3725">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451" w:type="pct"/>
            <w:tcBorders>
              <w:top w:val="single" w:color="auto" w:sz="4" w:space="0"/>
              <w:left w:val="single" w:color="auto" w:sz="4" w:space="0"/>
              <w:bottom w:val="single" w:color="auto" w:sz="4" w:space="0"/>
              <w:right w:val="single" w:color="auto" w:sz="4" w:space="0"/>
            </w:tcBorders>
            <w:noWrap w:val="0"/>
            <w:vAlign w:val="center"/>
          </w:tcPr>
          <w:p w14:paraId="0F1EBC9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2.5</w:t>
            </w:r>
          </w:p>
        </w:tc>
        <w:tc>
          <w:tcPr>
            <w:tcW w:w="639" w:type="pct"/>
            <w:tcBorders>
              <w:top w:val="single" w:color="auto" w:sz="4" w:space="0"/>
              <w:left w:val="single" w:color="auto" w:sz="4" w:space="0"/>
              <w:bottom w:val="single" w:color="auto" w:sz="4" w:space="0"/>
              <w:right w:val="nil"/>
            </w:tcBorders>
            <w:noWrap/>
            <w:vAlign w:val="center"/>
          </w:tcPr>
          <w:p w14:paraId="18CE88C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营养改善资金</w:t>
            </w:r>
          </w:p>
        </w:tc>
        <w:tc>
          <w:tcPr>
            <w:tcW w:w="317" w:type="pct"/>
            <w:tcBorders>
              <w:top w:val="single" w:color="auto" w:sz="4" w:space="0"/>
              <w:left w:val="single" w:color="auto" w:sz="4" w:space="0"/>
              <w:bottom w:val="single" w:color="auto" w:sz="4" w:space="0"/>
              <w:right w:val="single" w:color="auto" w:sz="4" w:space="0"/>
            </w:tcBorders>
            <w:noWrap w:val="0"/>
            <w:vAlign w:val="center"/>
          </w:tcPr>
          <w:p w14:paraId="04147F1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≤176.73万元</w:t>
            </w:r>
          </w:p>
        </w:tc>
        <w:tc>
          <w:tcPr>
            <w:tcW w:w="1334" w:type="pct"/>
            <w:tcBorders>
              <w:top w:val="single" w:color="auto" w:sz="4" w:space="0"/>
              <w:left w:val="single" w:color="auto" w:sz="4" w:space="0"/>
              <w:bottom w:val="single" w:color="auto" w:sz="4" w:space="0"/>
              <w:right w:val="single" w:color="auto" w:sz="4" w:space="0"/>
            </w:tcBorders>
            <w:noWrap w:val="0"/>
            <w:vAlign w:val="center"/>
          </w:tcPr>
          <w:p w14:paraId="668688F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实际完成率=（实际支付资金数/计划应支付资金数）×100%。</w:t>
            </w:r>
            <w:r>
              <w:rPr>
                <w:rFonts w:hint="eastAsia" w:ascii="宋体" w:hAnsi="宋体" w:eastAsia="宋体" w:cs="宋体"/>
                <w:i w:val="0"/>
                <w:iCs w:val="0"/>
                <w:color w:val="000000"/>
                <w:kern w:val="0"/>
                <w:sz w:val="21"/>
                <w:szCs w:val="21"/>
                <w:u w:val="none"/>
                <w:lang w:val="en-US" w:eastAsia="zh-CN"/>
              </w:rPr>
              <w:br w:type="textWrapping"/>
            </w:r>
            <w:r>
              <w:rPr>
                <w:rFonts w:hint="eastAsia" w:ascii="宋体" w:hAnsi="宋体" w:eastAsia="宋体" w:cs="宋体"/>
                <w:i w:val="0"/>
                <w:iCs w:val="0"/>
                <w:color w:val="000000"/>
                <w:kern w:val="0"/>
                <w:sz w:val="21"/>
                <w:szCs w:val="21"/>
                <w:u w:val="none"/>
                <w:lang w:val="en-US" w:eastAsia="zh-CN"/>
              </w:rPr>
              <w:t>①实际完成率＞年度指标值，得0得分；</w:t>
            </w:r>
            <w:r>
              <w:rPr>
                <w:rFonts w:hint="eastAsia" w:ascii="宋体" w:hAnsi="宋体" w:eastAsia="宋体" w:cs="宋体"/>
                <w:i w:val="0"/>
                <w:iCs w:val="0"/>
                <w:color w:val="000000"/>
                <w:kern w:val="0"/>
                <w:sz w:val="21"/>
                <w:szCs w:val="21"/>
                <w:u w:val="none"/>
                <w:lang w:val="en-US" w:eastAsia="zh-CN"/>
              </w:rPr>
              <w:br w:type="textWrapping"/>
            </w:r>
            <w:r>
              <w:rPr>
                <w:rFonts w:hint="eastAsia" w:ascii="宋体" w:hAnsi="宋体" w:eastAsia="宋体" w:cs="宋体"/>
                <w:i w:val="0"/>
                <w:iCs w:val="0"/>
                <w:color w:val="000000"/>
                <w:kern w:val="0"/>
                <w:sz w:val="21"/>
                <w:szCs w:val="21"/>
                <w:u w:val="none"/>
                <w:lang w:val="en-US" w:eastAsia="zh-CN"/>
              </w:rPr>
              <w:t>②实际完成率≤年度指标值，且偏离程度＜20%，得满分；</w:t>
            </w:r>
            <w:r>
              <w:rPr>
                <w:rFonts w:hint="eastAsia" w:ascii="宋体" w:hAnsi="宋体" w:eastAsia="宋体" w:cs="宋体"/>
                <w:i w:val="0"/>
                <w:iCs w:val="0"/>
                <w:color w:val="000000"/>
                <w:kern w:val="0"/>
                <w:sz w:val="21"/>
                <w:szCs w:val="21"/>
                <w:u w:val="none"/>
                <w:lang w:val="en-US" w:eastAsia="zh-CN"/>
              </w:rPr>
              <w:br w:type="textWrapping"/>
            </w:r>
            <w:r>
              <w:rPr>
                <w:rFonts w:hint="eastAsia" w:ascii="宋体" w:hAnsi="宋体" w:eastAsia="宋体" w:cs="宋体"/>
                <w:i w:val="0"/>
                <w:iCs w:val="0"/>
                <w:color w:val="000000"/>
                <w:kern w:val="0"/>
                <w:sz w:val="21"/>
                <w:szCs w:val="21"/>
                <w:u w:val="none"/>
                <w:lang w:val="en-US" w:eastAsia="zh-CN"/>
              </w:rPr>
              <w:t>③实际完成率＜年度指标值，且偏离程度≥20%，得分=实际完成率×分值。</w:t>
            </w:r>
          </w:p>
        </w:tc>
        <w:tc>
          <w:tcPr>
            <w:tcW w:w="367" w:type="pct"/>
            <w:tcBorders>
              <w:top w:val="single" w:color="auto" w:sz="4" w:space="0"/>
              <w:left w:val="single" w:color="auto" w:sz="4" w:space="0"/>
              <w:bottom w:val="single" w:color="auto" w:sz="4" w:space="0"/>
              <w:right w:val="single" w:color="auto" w:sz="4" w:space="0"/>
            </w:tcBorders>
            <w:noWrap w:val="0"/>
            <w:vAlign w:val="center"/>
          </w:tcPr>
          <w:p w14:paraId="4FDE05D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176.73万元</w:t>
            </w:r>
          </w:p>
        </w:tc>
        <w:tc>
          <w:tcPr>
            <w:tcW w:w="255" w:type="pct"/>
            <w:tcBorders>
              <w:top w:val="single" w:color="auto" w:sz="4" w:space="0"/>
              <w:left w:val="single" w:color="auto" w:sz="4" w:space="0"/>
              <w:bottom w:val="single" w:color="auto" w:sz="4" w:space="0"/>
              <w:right w:val="single" w:color="auto" w:sz="4" w:space="0"/>
            </w:tcBorders>
            <w:noWrap w:val="0"/>
            <w:vAlign w:val="center"/>
          </w:tcPr>
          <w:p w14:paraId="60CB6BC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2.5</w:t>
            </w:r>
          </w:p>
        </w:tc>
      </w:tr>
      <w:tr w14:paraId="2D35D3B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780" w:hRule="atLeast"/>
        </w:trPr>
        <w:tc>
          <w:tcPr>
            <w:tcW w:w="255" w:type="pct"/>
            <w:vMerge w:val="continue"/>
            <w:tcBorders>
              <w:top w:val="single" w:color="auto" w:sz="4" w:space="0"/>
              <w:left w:val="single" w:color="auto" w:sz="4" w:space="0"/>
              <w:bottom w:val="single" w:color="auto" w:sz="4" w:space="0"/>
              <w:right w:val="single" w:color="auto" w:sz="4" w:space="0"/>
            </w:tcBorders>
            <w:noWrap w:val="0"/>
            <w:vAlign w:val="center"/>
          </w:tcPr>
          <w:p w14:paraId="124EBB9B">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439" w:type="pct"/>
            <w:vMerge w:val="continue"/>
            <w:tcBorders>
              <w:top w:val="single" w:color="auto" w:sz="4" w:space="0"/>
              <w:left w:val="single" w:color="auto" w:sz="4" w:space="0"/>
              <w:bottom w:val="single" w:color="auto" w:sz="4" w:space="0"/>
              <w:right w:val="single" w:color="auto" w:sz="4" w:space="0"/>
            </w:tcBorders>
            <w:noWrap w:val="0"/>
            <w:vAlign w:val="center"/>
          </w:tcPr>
          <w:p w14:paraId="3E09004F">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265" w:type="pct"/>
            <w:vMerge w:val="continue"/>
            <w:tcBorders>
              <w:top w:val="single" w:color="auto" w:sz="4" w:space="0"/>
              <w:left w:val="single" w:color="auto" w:sz="4" w:space="0"/>
              <w:bottom w:val="single" w:color="auto" w:sz="4" w:space="0"/>
              <w:right w:val="single" w:color="auto" w:sz="4" w:space="0"/>
            </w:tcBorders>
            <w:noWrap w:val="0"/>
            <w:vAlign w:val="center"/>
          </w:tcPr>
          <w:p w14:paraId="5A96F47A">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429" w:type="pct"/>
            <w:vMerge w:val="continue"/>
            <w:tcBorders>
              <w:top w:val="single" w:color="auto" w:sz="4" w:space="0"/>
              <w:left w:val="single" w:color="auto" w:sz="4" w:space="0"/>
              <w:bottom w:val="single" w:color="auto" w:sz="4" w:space="0"/>
              <w:right w:val="single" w:color="auto" w:sz="4" w:space="0"/>
            </w:tcBorders>
            <w:noWrap w:val="0"/>
            <w:vAlign w:val="center"/>
          </w:tcPr>
          <w:p w14:paraId="2DD12B8F">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243" w:type="pct"/>
            <w:vMerge w:val="continue"/>
            <w:tcBorders>
              <w:top w:val="single" w:color="auto" w:sz="4" w:space="0"/>
              <w:left w:val="single" w:color="auto" w:sz="4" w:space="0"/>
              <w:bottom w:val="single" w:color="auto" w:sz="4" w:space="0"/>
              <w:right w:val="single" w:color="auto" w:sz="4" w:space="0"/>
            </w:tcBorders>
            <w:noWrap w:val="0"/>
            <w:vAlign w:val="center"/>
          </w:tcPr>
          <w:p w14:paraId="7022EB72">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451" w:type="pct"/>
            <w:tcBorders>
              <w:top w:val="single" w:color="auto" w:sz="4" w:space="0"/>
              <w:left w:val="single" w:color="auto" w:sz="4" w:space="0"/>
              <w:bottom w:val="single" w:color="auto" w:sz="4" w:space="0"/>
              <w:right w:val="single" w:color="auto" w:sz="4" w:space="0"/>
            </w:tcBorders>
            <w:noWrap w:val="0"/>
            <w:vAlign w:val="center"/>
          </w:tcPr>
          <w:p w14:paraId="3A8C6D5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2.5</w:t>
            </w:r>
          </w:p>
        </w:tc>
        <w:tc>
          <w:tcPr>
            <w:tcW w:w="639" w:type="pct"/>
            <w:tcBorders>
              <w:top w:val="single" w:color="auto" w:sz="4" w:space="0"/>
              <w:left w:val="single" w:color="auto" w:sz="4" w:space="0"/>
              <w:bottom w:val="single" w:color="auto" w:sz="4" w:space="0"/>
              <w:right w:val="nil"/>
            </w:tcBorders>
            <w:noWrap/>
            <w:vAlign w:val="center"/>
          </w:tcPr>
          <w:p w14:paraId="4F78511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公用经费</w:t>
            </w:r>
          </w:p>
        </w:tc>
        <w:tc>
          <w:tcPr>
            <w:tcW w:w="317" w:type="pct"/>
            <w:tcBorders>
              <w:top w:val="single" w:color="auto" w:sz="4" w:space="0"/>
              <w:left w:val="single" w:color="auto" w:sz="4" w:space="0"/>
              <w:bottom w:val="single" w:color="auto" w:sz="4" w:space="0"/>
              <w:right w:val="single" w:color="auto" w:sz="4" w:space="0"/>
            </w:tcBorders>
            <w:noWrap w:val="0"/>
            <w:vAlign w:val="center"/>
          </w:tcPr>
          <w:p w14:paraId="0FE4903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≤187.21万元</w:t>
            </w:r>
          </w:p>
        </w:tc>
        <w:tc>
          <w:tcPr>
            <w:tcW w:w="1334" w:type="pct"/>
            <w:tcBorders>
              <w:top w:val="single" w:color="auto" w:sz="4" w:space="0"/>
              <w:left w:val="single" w:color="auto" w:sz="4" w:space="0"/>
              <w:bottom w:val="single" w:color="auto" w:sz="4" w:space="0"/>
              <w:right w:val="single" w:color="auto" w:sz="4" w:space="0"/>
            </w:tcBorders>
            <w:noWrap w:val="0"/>
            <w:vAlign w:val="center"/>
          </w:tcPr>
          <w:p w14:paraId="7849F17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实际完成率=（实际支付资金数/计划应支付资金数）×100%。</w:t>
            </w:r>
            <w:r>
              <w:rPr>
                <w:rFonts w:hint="eastAsia" w:ascii="宋体" w:hAnsi="宋体" w:eastAsia="宋体" w:cs="宋体"/>
                <w:i w:val="0"/>
                <w:iCs w:val="0"/>
                <w:color w:val="000000"/>
                <w:kern w:val="0"/>
                <w:sz w:val="21"/>
                <w:szCs w:val="21"/>
                <w:u w:val="none"/>
                <w:lang w:val="en-US" w:eastAsia="zh-CN"/>
              </w:rPr>
              <w:br w:type="textWrapping"/>
            </w:r>
            <w:r>
              <w:rPr>
                <w:rFonts w:hint="eastAsia" w:ascii="宋体" w:hAnsi="宋体" w:eastAsia="宋体" w:cs="宋体"/>
                <w:i w:val="0"/>
                <w:iCs w:val="0"/>
                <w:color w:val="000000"/>
                <w:kern w:val="0"/>
                <w:sz w:val="21"/>
                <w:szCs w:val="21"/>
                <w:u w:val="none"/>
                <w:lang w:val="en-US" w:eastAsia="zh-CN"/>
              </w:rPr>
              <w:t>①实际完成率＞年度指标值，得0得分；</w:t>
            </w:r>
            <w:r>
              <w:rPr>
                <w:rFonts w:hint="eastAsia" w:ascii="宋体" w:hAnsi="宋体" w:eastAsia="宋体" w:cs="宋体"/>
                <w:i w:val="0"/>
                <w:iCs w:val="0"/>
                <w:color w:val="000000"/>
                <w:kern w:val="0"/>
                <w:sz w:val="21"/>
                <w:szCs w:val="21"/>
                <w:u w:val="none"/>
                <w:lang w:val="en-US" w:eastAsia="zh-CN"/>
              </w:rPr>
              <w:br w:type="textWrapping"/>
            </w:r>
            <w:r>
              <w:rPr>
                <w:rFonts w:hint="eastAsia" w:ascii="宋体" w:hAnsi="宋体" w:eastAsia="宋体" w:cs="宋体"/>
                <w:i w:val="0"/>
                <w:iCs w:val="0"/>
                <w:color w:val="000000"/>
                <w:kern w:val="0"/>
                <w:sz w:val="21"/>
                <w:szCs w:val="21"/>
                <w:u w:val="none"/>
                <w:lang w:val="en-US" w:eastAsia="zh-CN"/>
              </w:rPr>
              <w:t>②实际完成率≤年度指标值，且偏离程度＜20%，得满分；</w:t>
            </w:r>
            <w:r>
              <w:rPr>
                <w:rFonts w:hint="eastAsia" w:ascii="宋体" w:hAnsi="宋体" w:eastAsia="宋体" w:cs="宋体"/>
                <w:i w:val="0"/>
                <w:iCs w:val="0"/>
                <w:color w:val="000000"/>
                <w:kern w:val="0"/>
                <w:sz w:val="21"/>
                <w:szCs w:val="21"/>
                <w:u w:val="none"/>
                <w:lang w:val="en-US" w:eastAsia="zh-CN"/>
              </w:rPr>
              <w:br w:type="textWrapping"/>
            </w:r>
            <w:r>
              <w:rPr>
                <w:rFonts w:hint="eastAsia" w:ascii="宋体" w:hAnsi="宋体" w:eastAsia="宋体" w:cs="宋体"/>
                <w:i w:val="0"/>
                <w:iCs w:val="0"/>
                <w:color w:val="000000"/>
                <w:kern w:val="0"/>
                <w:sz w:val="21"/>
                <w:szCs w:val="21"/>
                <w:u w:val="none"/>
                <w:lang w:val="en-US" w:eastAsia="zh-CN"/>
              </w:rPr>
              <w:t>③实际完成率＜年度指标值，且偏离程度≥20%，得分=实际完成率×分值。</w:t>
            </w:r>
          </w:p>
        </w:tc>
        <w:tc>
          <w:tcPr>
            <w:tcW w:w="367" w:type="pct"/>
            <w:tcBorders>
              <w:top w:val="single" w:color="auto" w:sz="4" w:space="0"/>
              <w:left w:val="single" w:color="auto" w:sz="4" w:space="0"/>
              <w:bottom w:val="single" w:color="auto" w:sz="4" w:space="0"/>
              <w:right w:val="single" w:color="auto" w:sz="4" w:space="0"/>
            </w:tcBorders>
            <w:noWrap w:val="0"/>
            <w:vAlign w:val="center"/>
          </w:tcPr>
          <w:p w14:paraId="3B2E6BB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187.21万元</w:t>
            </w:r>
          </w:p>
        </w:tc>
        <w:tc>
          <w:tcPr>
            <w:tcW w:w="255" w:type="pct"/>
            <w:tcBorders>
              <w:top w:val="single" w:color="auto" w:sz="4" w:space="0"/>
              <w:left w:val="single" w:color="auto" w:sz="4" w:space="0"/>
              <w:bottom w:val="single" w:color="auto" w:sz="4" w:space="0"/>
              <w:right w:val="single" w:color="auto" w:sz="4" w:space="0"/>
            </w:tcBorders>
            <w:noWrap w:val="0"/>
            <w:vAlign w:val="center"/>
          </w:tcPr>
          <w:p w14:paraId="7C56B41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2.5</w:t>
            </w:r>
          </w:p>
        </w:tc>
      </w:tr>
      <w:tr w14:paraId="1E17637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600" w:hRule="atLeast"/>
        </w:trPr>
        <w:tc>
          <w:tcPr>
            <w:tcW w:w="255" w:type="pct"/>
            <w:vMerge w:val="restart"/>
            <w:tcBorders>
              <w:top w:val="single" w:color="auto" w:sz="4" w:space="0"/>
              <w:left w:val="single" w:color="auto" w:sz="4" w:space="0"/>
              <w:bottom w:val="single" w:color="auto" w:sz="4" w:space="0"/>
              <w:right w:val="single" w:color="auto" w:sz="4" w:space="0"/>
            </w:tcBorders>
            <w:noWrap w:val="0"/>
            <w:vAlign w:val="center"/>
          </w:tcPr>
          <w:p w14:paraId="5CCF4DF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项目效益</w:t>
            </w:r>
          </w:p>
        </w:tc>
        <w:tc>
          <w:tcPr>
            <w:tcW w:w="439" w:type="pct"/>
            <w:vMerge w:val="restart"/>
            <w:tcBorders>
              <w:top w:val="single" w:color="auto" w:sz="4" w:space="0"/>
              <w:left w:val="single" w:color="auto" w:sz="4" w:space="0"/>
              <w:bottom w:val="single" w:color="auto" w:sz="4" w:space="0"/>
              <w:right w:val="single" w:color="auto" w:sz="4" w:space="0"/>
            </w:tcBorders>
            <w:noWrap w:val="0"/>
            <w:vAlign w:val="center"/>
          </w:tcPr>
          <w:p w14:paraId="4DB01F2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25</w:t>
            </w:r>
          </w:p>
        </w:tc>
        <w:tc>
          <w:tcPr>
            <w:tcW w:w="265" w:type="pct"/>
            <w:vMerge w:val="restart"/>
            <w:tcBorders>
              <w:top w:val="single" w:color="auto" w:sz="4" w:space="0"/>
              <w:left w:val="single" w:color="auto" w:sz="4" w:space="0"/>
              <w:bottom w:val="single" w:color="auto" w:sz="4" w:space="0"/>
              <w:right w:val="single" w:color="auto" w:sz="4" w:space="0"/>
            </w:tcBorders>
            <w:noWrap w:val="0"/>
            <w:vAlign w:val="center"/>
          </w:tcPr>
          <w:p w14:paraId="60E9E34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项目效益</w:t>
            </w:r>
          </w:p>
        </w:tc>
        <w:tc>
          <w:tcPr>
            <w:tcW w:w="429" w:type="pct"/>
            <w:vMerge w:val="restart"/>
            <w:tcBorders>
              <w:top w:val="single" w:color="auto" w:sz="4" w:space="0"/>
              <w:left w:val="single" w:color="auto" w:sz="4" w:space="0"/>
              <w:bottom w:val="single" w:color="auto" w:sz="4" w:space="0"/>
              <w:right w:val="single" w:color="auto" w:sz="4" w:space="0"/>
            </w:tcBorders>
            <w:noWrap w:val="0"/>
            <w:vAlign w:val="center"/>
          </w:tcPr>
          <w:p w14:paraId="0A94259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25</w:t>
            </w:r>
          </w:p>
        </w:tc>
        <w:tc>
          <w:tcPr>
            <w:tcW w:w="243" w:type="pct"/>
            <w:tcBorders>
              <w:top w:val="single" w:color="auto" w:sz="4" w:space="0"/>
              <w:left w:val="single" w:color="auto" w:sz="4" w:space="0"/>
              <w:bottom w:val="single" w:color="auto" w:sz="4" w:space="0"/>
              <w:right w:val="single" w:color="auto" w:sz="4" w:space="0"/>
            </w:tcBorders>
            <w:noWrap w:val="0"/>
            <w:vAlign w:val="center"/>
          </w:tcPr>
          <w:p w14:paraId="517DEC8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社会效益</w:t>
            </w:r>
          </w:p>
        </w:tc>
        <w:tc>
          <w:tcPr>
            <w:tcW w:w="451" w:type="pct"/>
            <w:tcBorders>
              <w:top w:val="single" w:color="auto" w:sz="4" w:space="0"/>
              <w:left w:val="single" w:color="auto" w:sz="4" w:space="0"/>
              <w:bottom w:val="single" w:color="auto" w:sz="4" w:space="0"/>
              <w:right w:val="single" w:color="auto" w:sz="4" w:space="0"/>
            </w:tcBorders>
            <w:noWrap w:val="0"/>
            <w:vAlign w:val="center"/>
          </w:tcPr>
          <w:p w14:paraId="3093493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15</w:t>
            </w:r>
          </w:p>
        </w:tc>
        <w:tc>
          <w:tcPr>
            <w:tcW w:w="639" w:type="pct"/>
            <w:tcBorders>
              <w:top w:val="single" w:color="auto" w:sz="4" w:space="0"/>
              <w:left w:val="single" w:color="auto" w:sz="4" w:space="0"/>
              <w:bottom w:val="single" w:color="auto" w:sz="4" w:space="0"/>
              <w:right w:val="single" w:color="auto" w:sz="4" w:space="0"/>
            </w:tcBorders>
            <w:noWrap w:val="0"/>
            <w:vAlign w:val="center"/>
          </w:tcPr>
          <w:p w14:paraId="0AC2A70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提升学校的教育教学能力</w:t>
            </w:r>
          </w:p>
        </w:tc>
        <w:tc>
          <w:tcPr>
            <w:tcW w:w="317" w:type="pct"/>
            <w:tcBorders>
              <w:top w:val="single" w:color="auto" w:sz="8" w:space="0"/>
              <w:left w:val="single" w:color="auto" w:sz="8" w:space="0"/>
              <w:bottom w:val="single" w:color="auto" w:sz="8" w:space="0"/>
              <w:right w:val="single" w:color="auto" w:sz="8" w:space="0"/>
            </w:tcBorders>
            <w:noWrap w:val="0"/>
            <w:vAlign w:val="center"/>
          </w:tcPr>
          <w:p w14:paraId="4E5A3FF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有效提升</w:t>
            </w:r>
          </w:p>
        </w:tc>
        <w:tc>
          <w:tcPr>
            <w:tcW w:w="1334" w:type="pct"/>
            <w:tcBorders>
              <w:top w:val="single" w:color="auto" w:sz="4" w:space="0"/>
              <w:left w:val="single" w:color="auto" w:sz="4" w:space="0"/>
              <w:bottom w:val="single" w:color="auto" w:sz="4" w:space="0"/>
              <w:right w:val="single" w:color="auto" w:sz="4" w:space="0"/>
            </w:tcBorders>
            <w:noWrap w:val="0"/>
            <w:vAlign w:val="center"/>
          </w:tcPr>
          <w:p w14:paraId="4F467A1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按评判等级赋分。分为基本达成目标、部分实现目标、实现目标程度较低三个档次，并分别按照该指标对应分值区间100%-80%（含）、80%-60%（含）、60%-0%合理确定分值。</w:t>
            </w:r>
          </w:p>
        </w:tc>
        <w:tc>
          <w:tcPr>
            <w:tcW w:w="367" w:type="pct"/>
            <w:tcBorders>
              <w:top w:val="single" w:color="auto" w:sz="8" w:space="0"/>
              <w:left w:val="single" w:color="auto" w:sz="8" w:space="0"/>
              <w:bottom w:val="single" w:color="auto" w:sz="8" w:space="0"/>
              <w:right w:val="single" w:color="auto" w:sz="8" w:space="0"/>
            </w:tcBorders>
            <w:noWrap w:val="0"/>
            <w:vAlign w:val="center"/>
          </w:tcPr>
          <w:p w14:paraId="619FB81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有效提升</w:t>
            </w:r>
          </w:p>
        </w:tc>
        <w:tc>
          <w:tcPr>
            <w:tcW w:w="255" w:type="pct"/>
            <w:tcBorders>
              <w:top w:val="single" w:color="auto" w:sz="4" w:space="0"/>
              <w:left w:val="single" w:color="auto" w:sz="4" w:space="0"/>
              <w:bottom w:val="single" w:color="auto" w:sz="4" w:space="0"/>
              <w:right w:val="single" w:color="auto" w:sz="4" w:space="0"/>
            </w:tcBorders>
            <w:noWrap w:val="0"/>
            <w:vAlign w:val="center"/>
          </w:tcPr>
          <w:p w14:paraId="04288BD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15</w:t>
            </w:r>
          </w:p>
        </w:tc>
      </w:tr>
      <w:tr w14:paraId="4D5FFED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40" w:hRule="atLeast"/>
        </w:trPr>
        <w:tc>
          <w:tcPr>
            <w:tcW w:w="255" w:type="pct"/>
            <w:vMerge w:val="continue"/>
            <w:tcBorders>
              <w:top w:val="single" w:color="auto" w:sz="4" w:space="0"/>
              <w:left w:val="single" w:color="auto" w:sz="4" w:space="0"/>
              <w:bottom w:val="single" w:color="auto" w:sz="4" w:space="0"/>
              <w:right w:val="single" w:color="auto" w:sz="4" w:space="0"/>
            </w:tcBorders>
            <w:noWrap w:val="0"/>
            <w:vAlign w:val="center"/>
          </w:tcPr>
          <w:p w14:paraId="5332E961">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439" w:type="pct"/>
            <w:vMerge w:val="continue"/>
            <w:tcBorders>
              <w:top w:val="single" w:color="auto" w:sz="4" w:space="0"/>
              <w:left w:val="single" w:color="auto" w:sz="4" w:space="0"/>
              <w:bottom w:val="single" w:color="auto" w:sz="4" w:space="0"/>
              <w:right w:val="single" w:color="auto" w:sz="4" w:space="0"/>
            </w:tcBorders>
            <w:noWrap w:val="0"/>
            <w:vAlign w:val="center"/>
          </w:tcPr>
          <w:p w14:paraId="241FE6B0">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265" w:type="pct"/>
            <w:vMerge w:val="continue"/>
            <w:tcBorders>
              <w:top w:val="single" w:color="auto" w:sz="4" w:space="0"/>
              <w:left w:val="single" w:color="auto" w:sz="4" w:space="0"/>
              <w:bottom w:val="single" w:color="auto" w:sz="4" w:space="0"/>
              <w:right w:val="single" w:color="auto" w:sz="4" w:space="0"/>
            </w:tcBorders>
            <w:noWrap w:val="0"/>
            <w:vAlign w:val="center"/>
          </w:tcPr>
          <w:p w14:paraId="5FA68AE1">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429" w:type="pct"/>
            <w:vMerge w:val="continue"/>
            <w:tcBorders>
              <w:top w:val="single" w:color="auto" w:sz="4" w:space="0"/>
              <w:left w:val="single" w:color="auto" w:sz="4" w:space="0"/>
              <w:bottom w:val="single" w:color="auto" w:sz="4" w:space="0"/>
              <w:right w:val="single" w:color="auto" w:sz="4" w:space="0"/>
            </w:tcBorders>
            <w:noWrap w:val="0"/>
            <w:vAlign w:val="center"/>
          </w:tcPr>
          <w:p w14:paraId="519FED2A">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243" w:type="pct"/>
            <w:tcBorders>
              <w:top w:val="single" w:color="auto" w:sz="4" w:space="0"/>
              <w:left w:val="single" w:color="auto" w:sz="4" w:space="0"/>
              <w:bottom w:val="single" w:color="auto" w:sz="4" w:space="0"/>
              <w:right w:val="single" w:color="auto" w:sz="4" w:space="0"/>
            </w:tcBorders>
            <w:noWrap w:val="0"/>
            <w:vAlign w:val="center"/>
          </w:tcPr>
          <w:p w14:paraId="139DED9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服务对象满意度</w:t>
            </w:r>
          </w:p>
        </w:tc>
        <w:tc>
          <w:tcPr>
            <w:tcW w:w="451" w:type="pct"/>
            <w:tcBorders>
              <w:top w:val="single" w:color="auto" w:sz="4" w:space="0"/>
              <w:left w:val="single" w:color="auto" w:sz="4" w:space="0"/>
              <w:bottom w:val="single" w:color="auto" w:sz="4" w:space="0"/>
              <w:right w:val="single" w:color="auto" w:sz="4" w:space="0"/>
            </w:tcBorders>
            <w:noWrap w:val="0"/>
            <w:vAlign w:val="center"/>
          </w:tcPr>
          <w:p w14:paraId="40B80EB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10</w:t>
            </w:r>
          </w:p>
        </w:tc>
        <w:tc>
          <w:tcPr>
            <w:tcW w:w="639" w:type="pct"/>
            <w:tcBorders>
              <w:top w:val="single" w:color="auto" w:sz="4" w:space="0"/>
              <w:left w:val="single" w:color="auto" w:sz="4" w:space="0"/>
              <w:bottom w:val="single" w:color="auto" w:sz="4" w:space="0"/>
              <w:right w:val="single" w:color="auto" w:sz="4" w:space="0"/>
            </w:tcBorders>
            <w:noWrap w:val="0"/>
            <w:vAlign w:val="center"/>
          </w:tcPr>
          <w:p w14:paraId="31699A7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学生满意度</w:t>
            </w:r>
          </w:p>
        </w:tc>
        <w:tc>
          <w:tcPr>
            <w:tcW w:w="317" w:type="pct"/>
            <w:tcBorders>
              <w:top w:val="nil"/>
              <w:left w:val="single" w:color="auto" w:sz="8" w:space="0"/>
              <w:bottom w:val="single" w:color="auto" w:sz="8" w:space="0"/>
              <w:right w:val="single" w:color="auto" w:sz="8" w:space="0"/>
            </w:tcBorders>
            <w:noWrap w:val="0"/>
            <w:vAlign w:val="center"/>
          </w:tcPr>
          <w:p w14:paraId="17D3D7A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≥95%</w:t>
            </w:r>
          </w:p>
        </w:tc>
        <w:tc>
          <w:tcPr>
            <w:tcW w:w="1334" w:type="pct"/>
            <w:tcBorders>
              <w:top w:val="single" w:color="auto" w:sz="4" w:space="0"/>
              <w:left w:val="single" w:color="auto" w:sz="4" w:space="0"/>
              <w:bottom w:val="single" w:color="auto" w:sz="4" w:space="0"/>
              <w:right w:val="single" w:color="auto" w:sz="4" w:space="0"/>
            </w:tcBorders>
            <w:noWrap w:val="0"/>
            <w:vAlign w:val="center"/>
          </w:tcPr>
          <w:p w14:paraId="6065919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根据问卷调查，满意度达到标杆值，得权重分的100%；否则低于95%，得分=实际满意度*指标分值。</w:t>
            </w:r>
          </w:p>
        </w:tc>
        <w:tc>
          <w:tcPr>
            <w:tcW w:w="367" w:type="pct"/>
            <w:tcBorders>
              <w:top w:val="nil"/>
              <w:left w:val="single" w:color="auto" w:sz="8" w:space="0"/>
              <w:bottom w:val="single" w:color="auto" w:sz="8" w:space="0"/>
              <w:right w:val="single" w:color="auto" w:sz="8" w:space="0"/>
            </w:tcBorders>
            <w:noWrap w:val="0"/>
            <w:vAlign w:val="center"/>
          </w:tcPr>
          <w:p w14:paraId="589CDF8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95%</w:t>
            </w:r>
          </w:p>
        </w:tc>
        <w:tc>
          <w:tcPr>
            <w:tcW w:w="255" w:type="pct"/>
            <w:tcBorders>
              <w:top w:val="single" w:color="auto" w:sz="4" w:space="0"/>
              <w:left w:val="single" w:color="auto" w:sz="4" w:space="0"/>
              <w:bottom w:val="single" w:color="auto" w:sz="4" w:space="0"/>
              <w:right w:val="single" w:color="auto" w:sz="4" w:space="0"/>
            </w:tcBorders>
            <w:noWrap w:val="0"/>
            <w:vAlign w:val="center"/>
          </w:tcPr>
          <w:p w14:paraId="5FA5600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10</w:t>
            </w:r>
          </w:p>
        </w:tc>
      </w:tr>
      <w:tr w14:paraId="38A2D43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0" w:hRule="atLeast"/>
        </w:trPr>
        <w:tc>
          <w:tcPr>
            <w:tcW w:w="255" w:type="pct"/>
            <w:tcBorders>
              <w:top w:val="single" w:color="auto" w:sz="4" w:space="0"/>
              <w:left w:val="single" w:color="auto" w:sz="4" w:space="0"/>
              <w:bottom w:val="single" w:color="auto" w:sz="4" w:space="0"/>
              <w:right w:val="single" w:color="auto" w:sz="4" w:space="0"/>
            </w:tcBorders>
            <w:noWrap w:val="0"/>
            <w:vAlign w:val="center"/>
          </w:tcPr>
          <w:p w14:paraId="2B1F0F7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总分</w:t>
            </w:r>
          </w:p>
        </w:tc>
        <w:tc>
          <w:tcPr>
            <w:tcW w:w="439" w:type="pct"/>
            <w:tcBorders>
              <w:top w:val="single" w:color="auto" w:sz="4" w:space="0"/>
              <w:left w:val="single" w:color="auto" w:sz="4" w:space="0"/>
              <w:bottom w:val="single" w:color="auto" w:sz="4" w:space="0"/>
              <w:right w:val="single" w:color="auto" w:sz="4" w:space="0"/>
            </w:tcBorders>
            <w:noWrap w:val="0"/>
            <w:vAlign w:val="center"/>
          </w:tcPr>
          <w:p w14:paraId="262EF5D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100</w:t>
            </w:r>
          </w:p>
        </w:tc>
        <w:tc>
          <w:tcPr>
            <w:tcW w:w="265" w:type="pct"/>
            <w:tcBorders>
              <w:top w:val="single" w:color="auto" w:sz="4" w:space="0"/>
              <w:left w:val="single" w:color="auto" w:sz="4" w:space="0"/>
              <w:bottom w:val="single" w:color="auto" w:sz="4" w:space="0"/>
              <w:right w:val="single" w:color="auto" w:sz="4" w:space="0"/>
            </w:tcBorders>
            <w:noWrap w:val="0"/>
            <w:vAlign w:val="center"/>
          </w:tcPr>
          <w:p w14:paraId="477B7A46">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429" w:type="pct"/>
            <w:tcBorders>
              <w:top w:val="single" w:color="auto" w:sz="4" w:space="0"/>
              <w:left w:val="single" w:color="auto" w:sz="4" w:space="0"/>
              <w:bottom w:val="single" w:color="auto" w:sz="4" w:space="0"/>
              <w:right w:val="single" w:color="auto" w:sz="4" w:space="0"/>
            </w:tcBorders>
            <w:noWrap w:val="0"/>
            <w:vAlign w:val="center"/>
          </w:tcPr>
          <w:p w14:paraId="738E04D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100</w:t>
            </w:r>
          </w:p>
        </w:tc>
        <w:tc>
          <w:tcPr>
            <w:tcW w:w="243" w:type="pct"/>
            <w:tcBorders>
              <w:top w:val="single" w:color="auto" w:sz="4" w:space="0"/>
              <w:left w:val="single" w:color="auto" w:sz="4" w:space="0"/>
              <w:bottom w:val="single" w:color="auto" w:sz="4" w:space="0"/>
              <w:right w:val="single" w:color="auto" w:sz="4" w:space="0"/>
            </w:tcBorders>
            <w:noWrap w:val="0"/>
            <w:vAlign w:val="center"/>
          </w:tcPr>
          <w:p w14:paraId="48984C6B">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451" w:type="pct"/>
            <w:tcBorders>
              <w:top w:val="single" w:color="auto" w:sz="4" w:space="0"/>
              <w:left w:val="single" w:color="auto" w:sz="4" w:space="0"/>
              <w:bottom w:val="single" w:color="auto" w:sz="4" w:space="0"/>
              <w:right w:val="single" w:color="auto" w:sz="4" w:space="0"/>
            </w:tcBorders>
            <w:noWrap w:val="0"/>
            <w:vAlign w:val="center"/>
          </w:tcPr>
          <w:p w14:paraId="1EBD9DF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100</w:t>
            </w:r>
          </w:p>
        </w:tc>
        <w:tc>
          <w:tcPr>
            <w:tcW w:w="639" w:type="pct"/>
            <w:tcBorders>
              <w:top w:val="single" w:color="auto" w:sz="4" w:space="0"/>
              <w:left w:val="single" w:color="auto" w:sz="4" w:space="0"/>
              <w:bottom w:val="single" w:color="auto" w:sz="4" w:space="0"/>
              <w:right w:val="single" w:color="auto" w:sz="4" w:space="0"/>
            </w:tcBorders>
            <w:noWrap w:val="0"/>
            <w:vAlign w:val="center"/>
          </w:tcPr>
          <w:p w14:paraId="27CB6BEE">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317" w:type="pct"/>
            <w:tcBorders>
              <w:top w:val="single" w:color="auto" w:sz="4" w:space="0"/>
              <w:left w:val="single" w:color="auto" w:sz="4" w:space="0"/>
              <w:bottom w:val="single" w:color="auto" w:sz="4" w:space="0"/>
              <w:right w:val="single" w:color="auto" w:sz="4" w:space="0"/>
            </w:tcBorders>
            <w:noWrap w:val="0"/>
            <w:vAlign w:val="center"/>
          </w:tcPr>
          <w:p w14:paraId="2A002620">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1334" w:type="pct"/>
            <w:tcBorders>
              <w:top w:val="single" w:color="auto" w:sz="4" w:space="0"/>
              <w:left w:val="single" w:color="auto" w:sz="4" w:space="0"/>
              <w:bottom w:val="single" w:color="auto" w:sz="4" w:space="0"/>
              <w:right w:val="single" w:color="auto" w:sz="4" w:space="0"/>
            </w:tcBorders>
            <w:noWrap w:val="0"/>
            <w:vAlign w:val="center"/>
          </w:tcPr>
          <w:p w14:paraId="3FB0C2D1">
            <w:pPr>
              <w:keepNext w:val="0"/>
              <w:keepLines w:val="0"/>
              <w:pageBreakBefore w:val="0"/>
              <w:widowControl/>
              <w:kinsoku/>
              <w:wordWrap/>
              <w:overflowPunct/>
              <w:topLinePunct w:val="0"/>
              <w:autoSpaceDE/>
              <w:autoSpaceDN/>
              <w:bidi w:val="0"/>
              <w:adjustRightInd/>
              <w:snapToGrid/>
              <w:spacing w:line="240" w:lineRule="exact"/>
              <w:ind w:firstLine="0" w:firstLineChars="0"/>
              <w:jc w:val="left"/>
              <w:rPr>
                <w:rFonts w:hint="eastAsia" w:ascii="宋体" w:hAnsi="宋体" w:eastAsia="宋体" w:cs="宋体"/>
                <w:i w:val="0"/>
                <w:iCs w:val="0"/>
                <w:color w:val="000000"/>
                <w:sz w:val="21"/>
                <w:szCs w:val="21"/>
                <w:u w:val="none"/>
              </w:rPr>
            </w:pPr>
          </w:p>
        </w:tc>
        <w:tc>
          <w:tcPr>
            <w:tcW w:w="367" w:type="pct"/>
            <w:tcBorders>
              <w:top w:val="single" w:color="auto" w:sz="4" w:space="0"/>
              <w:left w:val="single" w:color="auto" w:sz="4" w:space="0"/>
              <w:bottom w:val="single" w:color="auto" w:sz="4" w:space="0"/>
              <w:right w:val="single" w:color="auto" w:sz="4" w:space="0"/>
            </w:tcBorders>
            <w:noWrap w:val="0"/>
            <w:vAlign w:val="center"/>
          </w:tcPr>
          <w:p w14:paraId="0BCE4B1E">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255" w:type="pct"/>
            <w:tcBorders>
              <w:top w:val="single" w:color="auto" w:sz="4" w:space="0"/>
              <w:left w:val="single" w:color="auto" w:sz="4" w:space="0"/>
              <w:bottom w:val="single" w:color="auto" w:sz="4" w:space="0"/>
              <w:right w:val="single" w:color="auto" w:sz="4" w:space="0"/>
            </w:tcBorders>
            <w:noWrap w:val="0"/>
            <w:vAlign w:val="center"/>
          </w:tcPr>
          <w:p w14:paraId="6A6F3EA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100</w:t>
            </w:r>
          </w:p>
        </w:tc>
      </w:tr>
    </w:tbl>
    <w:p w14:paraId="584C6563">
      <w:pPr>
        <w:pStyle w:val="10"/>
        <w:ind w:firstLine="482"/>
        <w:rPr>
          <w:rFonts w:hint="eastAsia" w:ascii="宋体" w:hAnsi="宋体" w:eastAsia="宋体" w:cs="宋体"/>
          <w:color w:val="000000"/>
          <w:sz w:val="24"/>
          <w:szCs w:val="24"/>
        </w:rPr>
      </w:pPr>
    </w:p>
    <w:p w14:paraId="7088E423">
      <w:pPr>
        <w:pStyle w:val="10"/>
        <w:ind w:firstLine="0" w:firstLineChars="0"/>
        <w:jc w:val="both"/>
        <w:rPr>
          <w:rFonts w:hint="eastAsia" w:ascii="宋体" w:hAnsi="宋体" w:eastAsia="宋体" w:cs="宋体"/>
          <w:color w:val="000000"/>
          <w:sz w:val="24"/>
          <w:szCs w:val="24"/>
        </w:rPr>
      </w:pPr>
    </w:p>
    <w:p w14:paraId="7556BB0E">
      <w:pPr>
        <w:pStyle w:val="10"/>
        <w:ind w:firstLine="0" w:firstLineChars="0"/>
        <w:jc w:val="both"/>
        <w:rPr>
          <w:rFonts w:hint="eastAsia" w:ascii="宋体" w:hAnsi="宋体" w:eastAsia="宋体" w:cs="宋体"/>
          <w:color w:val="000000"/>
          <w:sz w:val="24"/>
          <w:szCs w:val="24"/>
        </w:rPr>
      </w:pPr>
    </w:p>
    <w:p w14:paraId="10FAEA0B">
      <w:pPr>
        <w:pStyle w:val="10"/>
        <w:ind w:firstLine="0" w:firstLineChars="0"/>
        <w:jc w:val="both"/>
        <w:rPr>
          <w:rFonts w:hint="eastAsia" w:ascii="宋体" w:hAnsi="宋体" w:eastAsia="宋体" w:cs="宋体"/>
          <w:color w:val="000000"/>
          <w:sz w:val="24"/>
          <w:szCs w:val="24"/>
        </w:rPr>
      </w:pPr>
    </w:p>
    <w:p w14:paraId="7BBE3BBA">
      <w:pPr>
        <w:pStyle w:val="10"/>
        <w:ind w:firstLine="0" w:firstLineChars="0"/>
        <w:jc w:val="both"/>
        <w:rPr>
          <w:rFonts w:hint="eastAsia" w:ascii="宋体" w:hAnsi="宋体" w:eastAsia="宋体" w:cs="宋体"/>
          <w:color w:val="000000"/>
          <w:sz w:val="24"/>
          <w:szCs w:val="24"/>
        </w:rPr>
      </w:pPr>
    </w:p>
    <w:p w14:paraId="0F5E32EB">
      <w:pPr>
        <w:pStyle w:val="10"/>
        <w:ind w:firstLine="0" w:firstLineChars="0"/>
        <w:jc w:val="both"/>
        <w:rPr>
          <w:rFonts w:hint="eastAsia" w:ascii="宋体" w:hAnsi="宋体" w:eastAsia="宋体" w:cs="宋体"/>
          <w:color w:val="000000"/>
          <w:sz w:val="24"/>
          <w:szCs w:val="24"/>
        </w:rPr>
      </w:pPr>
    </w:p>
    <w:p w14:paraId="4F8B464E">
      <w:pPr>
        <w:pStyle w:val="10"/>
        <w:ind w:firstLine="0" w:firstLineChars="0"/>
        <w:jc w:val="both"/>
        <w:rPr>
          <w:rFonts w:hint="eastAsia" w:ascii="宋体" w:hAnsi="宋体" w:eastAsia="宋体" w:cs="宋体"/>
          <w:color w:val="000000"/>
          <w:sz w:val="24"/>
          <w:szCs w:val="24"/>
        </w:rPr>
      </w:pPr>
    </w:p>
    <w:p w14:paraId="7573259E">
      <w:pPr>
        <w:pStyle w:val="10"/>
        <w:ind w:firstLine="0" w:firstLineChars="0"/>
        <w:jc w:val="both"/>
        <w:rPr>
          <w:rFonts w:hint="eastAsia" w:ascii="宋体" w:hAnsi="宋体" w:eastAsia="宋体" w:cs="宋体"/>
          <w:color w:val="000000"/>
          <w:sz w:val="24"/>
          <w:szCs w:val="24"/>
        </w:rPr>
      </w:pPr>
      <w:r>
        <w:rPr>
          <w:rFonts w:hint="eastAsia" w:ascii="宋体" w:hAnsi="宋体" w:eastAsia="宋体" w:cs="宋体"/>
          <w:color w:val="000000"/>
          <w:sz w:val="24"/>
          <w:szCs w:val="24"/>
        </w:rPr>
        <w:t>附件2：</w:t>
      </w:r>
    </w:p>
    <w:tbl>
      <w:tblPr>
        <w:tblStyle w:val="24"/>
        <w:tblW w:w="13021" w:type="dxa"/>
        <w:tblInd w:w="96" w:type="dxa"/>
        <w:tblLayout w:type="fixed"/>
        <w:tblCellMar>
          <w:top w:w="0" w:type="dxa"/>
          <w:left w:w="108" w:type="dxa"/>
          <w:bottom w:w="0" w:type="dxa"/>
          <w:right w:w="108" w:type="dxa"/>
        </w:tblCellMar>
      </w:tblPr>
      <w:tblGrid>
        <w:gridCol w:w="1363"/>
        <w:gridCol w:w="1778"/>
        <w:gridCol w:w="2786"/>
        <w:gridCol w:w="2314"/>
        <w:gridCol w:w="3449"/>
        <w:gridCol w:w="1331"/>
      </w:tblGrid>
      <w:tr w14:paraId="594586FB">
        <w:tblPrEx>
          <w:tblCellMar>
            <w:top w:w="0" w:type="dxa"/>
            <w:left w:w="108" w:type="dxa"/>
            <w:bottom w:w="0" w:type="dxa"/>
            <w:right w:w="108" w:type="dxa"/>
          </w:tblCellMar>
        </w:tblPrEx>
        <w:trPr>
          <w:trHeight w:val="364" w:hRule="atLeast"/>
        </w:trPr>
        <w:tc>
          <w:tcPr>
            <w:tcW w:w="1363" w:type="dxa"/>
            <w:tcBorders>
              <w:top w:val="nil"/>
              <w:left w:val="nil"/>
              <w:bottom w:val="nil"/>
              <w:right w:val="nil"/>
            </w:tcBorders>
            <w:noWrap/>
            <w:vAlign w:val="center"/>
          </w:tcPr>
          <w:p w14:paraId="2EB63066">
            <w:pPr>
              <w:widowControl/>
              <w:ind w:firstLine="0" w:firstLineChars="0"/>
              <w:jc w:val="left"/>
              <w:textAlignment w:val="center"/>
              <w:rPr>
                <w:rFonts w:hint="eastAsia" w:ascii="宋体" w:hAnsi="宋体" w:eastAsia="宋体" w:cs="宋体"/>
                <w:color w:val="000000"/>
                <w:sz w:val="21"/>
                <w:szCs w:val="21"/>
              </w:rPr>
            </w:pPr>
          </w:p>
        </w:tc>
        <w:tc>
          <w:tcPr>
            <w:tcW w:w="1778" w:type="dxa"/>
            <w:tcBorders>
              <w:top w:val="nil"/>
              <w:left w:val="nil"/>
              <w:bottom w:val="nil"/>
              <w:right w:val="nil"/>
            </w:tcBorders>
            <w:noWrap/>
            <w:vAlign w:val="center"/>
          </w:tcPr>
          <w:p w14:paraId="2AAF7DE6">
            <w:pPr>
              <w:ind w:firstLine="440"/>
              <w:rPr>
                <w:rFonts w:hint="eastAsia" w:ascii="宋体" w:hAnsi="宋体" w:eastAsia="宋体" w:cs="宋体"/>
                <w:color w:val="000000"/>
                <w:sz w:val="21"/>
                <w:szCs w:val="21"/>
              </w:rPr>
            </w:pPr>
          </w:p>
        </w:tc>
        <w:tc>
          <w:tcPr>
            <w:tcW w:w="2786" w:type="dxa"/>
            <w:tcBorders>
              <w:top w:val="nil"/>
              <w:left w:val="nil"/>
              <w:bottom w:val="nil"/>
              <w:right w:val="nil"/>
            </w:tcBorders>
            <w:noWrap/>
            <w:vAlign w:val="center"/>
          </w:tcPr>
          <w:p w14:paraId="6C9BB05C">
            <w:pPr>
              <w:ind w:firstLine="440"/>
              <w:rPr>
                <w:rFonts w:hint="eastAsia" w:ascii="宋体" w:hAnsi="宋体" w:eastAsia="宋体" w:cs="宋体"/>
                <w:color w:val="000000"/>
                <w:sz w:val="21"/>
                <w:szCs w:val="21"/>
              </w:rPr>
            </w:pPr>
          </w:p>
        </w:tc>
        <w:tc>
          <w:tcPr>
            <w:tcW w:w="2314" w:type="dxa"/>
            <w:tcBorders>
              <w:top w:val="nil"/>
              <w:left w:val="nil"/>
              <w:bottom w:val="nil"/>
              <w:right w:val="nil"/>
            </w:tcBorders>
            <w:noWrap/>
            <w:vAlign w:val="center"/>
          </w:tcPr>
          <w:p w14:paraId="4B38AB51">
            <w:pPr>
              <w:ind w:firstLine="440"/>
              <w:rPr>
                <w:rFonts w:hint="eastAsia" w:ascii="宋体" w:hAnsi="宋体" w:eastAsia="宋体" w:cs="宋体"/>
                <w:color w:val="000000"/>
                <w:sz w:val="21"/>
                <w:szCs w:val="21"/>
              </w:rPr>
            </w:pPr>
          </w:p>
        </w:tc>
        <w:tc>
          <w:tcPr>
            <w:tcW w:w="3449" w:type="dxa"/>
            <w:tcBorders>
              <w:top w:val="nil"/>
              <w:left w:val="nil"/>
              <w:bottom w:val="nil"/>
              <w:right w:val="nil"/>
            </w:tcBorders>
            <w:noWrap/>
            <w:vAlign w:val="center"/>
          </w:tcPr>
          <w:p w14:paraId="06D3FA35">
            <w:pPr>
              <w:ind w:firstLine="440"/>
              <w:rPr>
                <w:rFonts w:hint="eastAsia" w:ascii="宋体" w:hAnsi="宋体" w:eastAsia="宋体" w:cs="宋体"/>
                <w:color w:val="000000"/>
                <w:sz w:val="21"/>
                <w:szCs w:val="21"/>
              </w:rPr>
            </w:pPr>
          </w:p>
        </w:tc>
        <w:tc>
          <w:tcPr>
            <w:tcW w:w="1331" w:type="dxa"/>
            <w:tcBorders>
              <w:top w:val="nil"/>
              <w:left w:val="nil"/>
              <w:bottom w:val="nil"/>
              <w:right w:val="nil"/>
            </w:tcBorders>
            <w:noWrap/>
            <w:vAlign w:val="center"/>
          </w:tcPr>
          <w:p w14:paraId="1C9BBD0B">
            <w:pPr>
              <w:ind w:firstLine="440"/>
              <w:rPr>
                <w:rFonts w:hint="eastAsia" w:ascii="宋体" w:hAnsi="宋体" w:eastAsia="宋体" w:cs="宋体"/>
                <w:color w:val="000000"/>
                <w:sz w:val="21"/>
                <w:szCs w:val="21"/>
              </w:rPr>
            </w:pPr>
          </w:p>
        </w:tc>
      </w:tr>
      <w:tr w14:paraId="37551115">
        <w:tblPrEx>
          <w:tblCellMar>
            <w:top w:w="0" w:type="dxa"/>
            <w:left w:w="108" w:type="dxa"/>
            <w:bottom w:w="0" w:type="dxa"/>
            <w:right w:w="108" w:type="dxa"/>
          </w:tblCellMar>
        </w:tblPrEx>
        <w:trPr>
          <w:trHeight w:val="620" w:hRule="atLeast"/>
        </w:trPr>
        <w:tc>
          <w:tcPr>
            <w:tcW w:w="13021" w:type="dxa"/>
            <w:gridSpan w:val="6"/>
            <w:tcBorders>
              <w:top w:val="nil"/>
              <w:left w:val="nil"/>
              <w:bottom w:val="nil"/>
              <w:right w:val="nil"/>
            </w:tcBorders>
            <w:noWrap/>
            <w:vAlign w:val="center"/>
          </w:tcPr>
          <w:p w14:paraId="1534718B">
            <w:pPr>
              <w:widowControl/>
              <w:ind w:firstLine="723"/>
              <w:jc w:val="center"/>
              <w:textAlignment w:val="center"/>
              <w:rPr>
                <w:rFonts w:hint="eastAsia" w:ascii="宋体" w:hAnsi="宋体" w:eastAsia="宋体" w:cs="宋体"/>
                <w:b/>
                <w:bCs/>
                <w:color w:val="000000"/>
                <w:sz w:val="21"/>
                <w:szCs w:val="21"/>
              </w:rPr>
            </w:pPr>
            <w:r>
              <w:rPr>
                <w:rFonts w:hint="eastAsia" w:ascii="宋体" w:hAnsi="宋体" w:eastAsia="宋体" w:cs="宋体"/>
                <w:b/>
                <w:bCs/>
                <w:color w:val="000000"/>
                <w:kern w:val="0"/>
                <w:sz w:val="21"/>
                <w:szCs w:val="21"/>
              </w:rPr>
              <w:t>中央直达资金-和地财教[2023]60号：2024年城乡义务教育补助经费项目综合得分表</w:t>
            </w:r>
          </w:p>
        </w:tc>
      </w:tr>
      <w:tr w14:paraId="7EC09C48">
        <w:tblPrEx>
          <w:tblCellMar>
            <w:top w:w="0" w:type="dxa"/>
            <w:left w:w="108" w:type="dxa"/>
            <w:bottom w:w="0" w:type="dxa"/>
            <w:right w:w="108" w:type="dxa"/>
          </w:tblCellMar>
        </w:tblPrEx>
        <w:trPr>
          <w:trHeight w:val="540" w:hRule="atLeast"/>
        </w:trPr>
        <w:tc>
          <w:tcPr>
            <w:tcW w:w="1363"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14712057">
            <w:pPr>
              <w:widowControl/>
              <w:ind w:firstLine="0" w:firstLineChars="0"/>
              <w:textAlignment w:val="center"/>
              <w:rPr>
                <w:rFonts w:hint="eastAsia" w:ascii="宋体" w:hAnsi="宋体" w:eastAsia="宋体" w:cs="宋体"/>
                <w:b/>
                <w:bCs/>
                <w:color w:val="000000"/>
                <w:sz w:val="21"/>
                <w:szCs w:val="21"/>
              </w:rPr>
            </w:pPr>
            <w:r>
              <w:rPr>
                <w:rFonts w:hint="eastAsia" w:ascii="宋体" w:hAnsi="宋体" w:eastAsia="宋体" w:cs="宋体"/>
                <w:b/>
                <w:bCs/>
                <w:color w:val="000000"/>
                <w:kern w:val="0"/>
                <w:sz w:val="21"/>
                <w:szCs w:val="21"/>
              </w:rPr>
              <w:t>指标</w:t>
            </w:r>
          </w:p>
        </w:tc>
        <w:tc>
          <w:tcPr>
            <w:tcW w:w="1778"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78DAAE8E">
            <w:pPr>
              <w:widowControl/>
              <w:ind w:firstLine="0" w:firstLineChars="0"/>
              <w:textAlignment w:val="center"/>
              <w:rPr>
                <w:rFonts w:hint="eastAsia" w:ascii="宋体" w:hAnsi="宋体" w:eastAsia="宋体" w:cs="宋体"/>
                <w:b/>
                <w:bCs/>
                <w:color w:val="000000"/>
                <w:sz w:val="21"/>
                <w:szCs w:val="21"/>
              </w:rPr>
            </w:pPr>
            <w:r>
              <w:rPr>
                <w:rFonts w:hint="eastAsia" w:ascii="宋体" w:hAnsi="宋体" w:eastAsia="宋体" w:cs="宋体"/>
                <w:b/>
                <w:bCs/>
                <w:color w:val="000000"/>
                <w:kern w:val="0"/>
                <w:sz w:val="21"/>
                <w:szCs w:val="21"/>
              </w:rPr>
              <w:t>项目决策</w:t>
            </w:r>
          </w:p>
        </w:tc>
        <w:tc>
          <w:tcPr>
            <w:tcW w:w="2786"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557B9D24">
            <w:pPr>
              <w:widowControl/>
              <w:ind w:firstLine="482"/>
              <w:textAlignment w:val="center"/>
              <w:rPr>
                <w:rFonts w:hint="eastAsia" w:ascii="宋体" w:hAnsi="宋体" w:eastAsia="宋体" w:cs="宋体"/>
                <w:b/>
                <w:bCs/>
                <w:color w:val="000000"/>
                <w:sz w:val="21"/>
                <w:szCs w:val="21"/>
              </w:rPr>
            </w:pPr>
            <w:r>
              <w:rPr>
                <w:rFonts w:hint="eastAsia" w:ascii="宋体" w:hAnsi="宋体" w:eastAsia="宋体" w:cs="宋体"/>
                <w:b/>
                <w:bCs/>
                <w:color w:val="000000"/>
                <w:kern w:val="0"/>
                <w:sz w:val="21"/>
                <w:szCs w:val="21"/>
              </w:rPr>
              <w:t>项目过程</w:t>
            </w:r>
          </w:p>
        </w:tc>
        <w:tc>
          <w:tcPr>
            <w:tcW w:w="2314"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2C565120">
            <w:pPr>
              <w:widowControl/>
              <w:ind w:firstLine="482"/>
              <w:jc w:val="center"/>
              <w:textAlignment w:val="center"/>
              <w:rPr>
                <w:rFonts w:hint="eastAsia" w:ascii="宋体" w:hAnsi="宋体" w:eastAsia="宋体" w:cs="宋体"/>
                <w:b/>
                <w:bCs/>
                <w:color w:val="000000"/>
                <w:sz w:val="21"/>
                <w:szCs w:val="21"/>
              </w:rPr>
            </w:pPr>
            <w:r>
              <w:rPr>
                <w:rFonts w:hint="eastAsia" w:ascii="宋体" w:hAnsi="宋体" w:eastAsia="宋体" w:cs="宋体"/>
                <w:b/>
                <w:bCs/>
                <w:color w:val="000000"/>
                <w:kern w:val="0"/>
                <w:sz w:val="21"/>
                <w:szCs w:val="21"/>
              </w:rPr>
              <w:t>项目产出</w:t>
            </w:r>
          </w:p>
        </w:tc>
        <w:tc>
          <w:tcPr>
            <w:tcW w:w="3449"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6405F418">
            <w:pPr>
              <w:widowControl/>
              <w:ind w:firstLine="482"/>
              <w:jc w:val="center"/>
              <w:textAlignment w:val="center"/>
              <w:rPr>
                <w:rFonts w:hint="eastAsia" w:ascii="宋体" w:hAnsi="宋体" w:eastAsia="宋体" w:cs="宋体"/>
                <w:b/>
                <w:bCs/>
                <w:color w:val="000000"/>
                <w:sz w:val="21"/>
                <w:szCs w:val="21"/>
              </w:rPr>
            </w:pPr>
            <w:r>
              <w:rPr>
                <w:rFonts w:hint="eastAsia" w:ascii="宋体" w:hAnsi="宋体" w:eastAsia="宋体" w:cs="宋体"/>
                <w:b/>
                <w:bCs/>
                <w:color w:val="000000"/>
                <w:kern w:val="0"/>
                <w:sz w:val="21"/>
                <w:szCs w:val="21"/>
              </w:rPr>
              <w:t>项目效益</w:t>
            </w:r>
          </w:p>
        </w:tc>
        <w:tc>
          <w:tcPr>
            <w:tcW w:w="1331"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63D6C68B">
            <w:pPr>
              <w:widowControl/>
              <w:ind w:firstLine="482"/>
              <w:jc w:val="center"/>
              <w:textAlignment w:val="center"/>
              <w:rPr>
                <w:rFonts w:hint="eastAsia" w:ascii="宋体" w:hAnsi="宋体" w:eastAsia="宋体" w:cs="宋体"/>
                <w:b/>
                <w:bCs/>
                <w:color w:val="000000"/>
                <w:sz w:val="21"/>
                <w:szCs w:val="21"/>
              </w:rPr>
            </w:pPr>
            <w:r>
              <w:rPr>
                <w:rFonts w:hint="eastAsia" w:ascii="宋体" w:hAnsi="宋体" w:eastAsia="宋体" w:cs="宋体"/>
                <w:b/>
                <w:bCs/>
                <w:color w:val="000000"/>
                <w:kern w:val="0"/>
                <w:sz w:val="21"/>
                <w:szCs w:val="21"/>
              </w:rPr>
              <w:t>合计</w:t>
            </w:r>
          </w:p>
        </w:tc>
      </w:tr>
      <w:tr w14:paraId="4F298303">
        <w:tblPrEx>
          <w:tblCellMar>
            <w:top w:w="0" w:type="dxa"/>
            <w:left w:w="108" w:type="dxa"/>
            <w:bottom w:w="0" w:type="dxa"/>
            <w:right w:w="108" w:type="dxa"/>
          </w:tblCellMar>
        </w:tblPrEx>
        <w:trPr>
          <w:trHeight w:val="540" w:hRule="atLeast"/>
        </w:trPr>
        <w:tc>
          <w:tcPr>
            <w:tcW w:w="1363"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4E9EA59B">
            <w:pPr>
              <w:widowControl/>
              <w:ind w:firstLine="0" w:firstLineChars="0"/>
              <w:textAlignment w:val="center"/>
              <w:rPr>
                <w:rFonts w:hint="eastAsia" w:ascii="宋体" w:hAnsi="宋体" w:eastAsia="宋体" w:cs="宋体"/>
                <w:b/>
                <w:bCs/>
                <w:color w:val="000000"/>
                <w:sz w:val="21"/>
                <w:szCs w:val="21"/>
              </w:rPr>
            </w:pPr>
            <w:r>
              <w:rPr>
                <w:rFonts w:hint="eastAsia" w:ascii="宋体" w:hAnsi="宋体" w:eastAsia="宋体" w:cs="宋体"/>
                <w:b/>
                <w:bCs/>
                <w:color w:val="000000"/>
                <w:kern w:val="0"/>
                <w:sz w:val="21"/>
                <w:szCs w:val="21"/>
              </w:rPr>
              <w:t>权重</w:t>
            </w:r>
          </w:p>
        </w:tc>
        <w:tc>
          <w:tcPr>
            <w:tcW w:w="1778" w:type="dxa"/>
            <w:tcBorders>
              <w:top w:val="single" w:color="auto" w:sz="4" w:space="0"/>
              <w:left w:val="single" w:color="auto" w:sz="4" w:space="0"/>
              <w:bottom w:val="single" w:color="auto" w:sz="4" w:space="0"/>
              <w:right w:val="single" w:color="auto" w:sz="4" w:space="0"/>
            </w:tcBorders>
            <w:noWrap w:val="0"/>
            <w:vAlign w:val="center"/>
          </w:tcPr>
          <w:p w14:paraId="6A2592A8">
            <w:pPr>
              <w:widowControl/>
              <w:ind w:firstLine="480"/>
              <w:jc w:val="center"/>
              <w:textAlignment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10</w:t>
            </w:r>
          </w:p>
        </w:tc>
        <w:tc>
          <w:tcPr>
            <w:tcW w:w="2786" w:type="dxa"/>
            <w:tcBorders>
              <w:top w:val="single" w:color="auto" w:sz="4" w:space="0"/>
              <w:left w:val="single" w:color="auto" w:sz="4" w:space="0"/>
              <w:bottom w:val="single" w:color="auto" w:sz="4" w:space="0"/>
              <w:right w:val="single" w:color="auto" w:sz="4" w:space="0"/>
            </w:tcBorders>
            <w:noWrap w:val="0"/>
            <w:vAlign w:val="center"/>
          </w:tcPr>
          <w:p w14:paraId="1E89E33A">
            <w:pPr>
              <w:widowControl/>
              <w:ind w:firstLine="480"/>
              <w:jc w:val="center"/>
              <w:textAlignment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40</w:t>
            </w:r>
          </w:p>
        </w:tc>
        <w:tc>
          <w:tcPr>
            <w:tcW w:w="2314" w:type="dxa"/>
            <w:tcBorders>
              <w:top w:val="single" w:color="auto" w:sz="4" w:space="0"/>
              <w:left w:val="single" w:color="auto" w:sz="4" w:space="0"/>
              <w:bottom w:val="single" w:color="auto" w:sz="4" w:space="0"/>
              <w:right w:val="single" w:color="auto" w:sz="4" w:space="0"/>
            </w:tcBorders>
            <w:noWrap w:val="0"/>
            <w:vAlign w:val="center"/>
          </w:tcPr>
          <w:p w14:paraId="2CB7F4E2">
            <w:pPr>
              <w:widowControl/>
              <w:ind w:firstLine="480"/>
              <w:jc w:val="center"/>
              <w:textAlignment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20</w:t>
            </w:r>
          </w:p>
        </w:tc>
        <w:tc>
          <w:tcPr>
            <w:tcW w:w="3449" w:type="dxa"/>
            <w:tcBorders>
              <w:top w:val="single" w:color="auto" w:sz="4" w:space="0"/>
              <w:left w:val="single" w:color="auto" w:sz="4" w:space="0"/>
              <w:bottom w:val="single" w:color="auto" w:sz="4" w:space="0"/>
              <w:right w:val="single" w:color="auto" w:sz="4" w:space="0"/>
            </w:tcBorders>
            <w:noWrap w:val="0"/>
            <w:vAlign w:val="center"/>
          </w:tcPr>
          <w:p w14:paraId="5DBC1B41">
            <w:pPr>
              <w:widowControl/>
              <w:ind w:firstLine="480"/>
              <w:jc w:val="center"/>
              <w:textAlignment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30</w:t>
            </w:r>
          </w:p>
        </w:tc>
        <w:tc>
          <w:tcPr>
            <w:tcW w:w="1331" w:type="dxa"/>
            <w:tcBorders>
              <w:top w:val="single" w:color="auto" w:sz="4" w:space="0"/>
              <w:left w:val="single" w:color="auto" w:sz="4" w:space="0"/>
              <w:bottom w:val="single" w:color="auto" w:sz="4" w:space="0"/>
              <w:right w:val="single" w:color="auto" w:sz="4" w:space="0"/>
            </w:tcBorders>
            <w:noWrap w:val="0"/>
            <w:vAlign w:val="center"/>
          </w:tcPr>
          <w:p w14:paraId="4D75B6E9">
            <w:pPr>
              <w:widowControl/>
              <w:ind w:firstLine="0" w:firstLineChars="0"/>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 xml:space="preserve">100.00 </w:t>
            </w:r>
          </w:p>
        </w:tc>
      </w:tr>
      <w:tr w14:paraId="07EDE49B">
        <w:tblPrEx>
          <w:tblCellMar>
            <w:top w:w="0" w:type="dxa"/>
            <w:left w:w="108" w:type="dxa"/>
            <w:bottom w:w="0" w:type="dxa"/>
            <w:right w:w="108" w:type="dxa"/>
          </w:tblCellMar>
        </w:tblPrEx>
        <w:trPr>
          <w:trHeight w:val="540" w:hRule="atLeast"/>
        </w:trPr>
        <w:tc>
          <w:tcPr>
            <w:tcW w:w="1363"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621D3BDA">
            <w:pPr>
              <w:widowControl/>
              <w:ind w:firstLine="0" w:firstLineChars="0"/>
              <w:textAlignment w:val="center"/>
              <w:rPr>
                <w:rFonts w:hint="eastAsia" w:ascii="宋体" w:hAnsi="宋体" w:eastAsia="宋体" w:cs="宋体"/>
                <w:b/>
                <w:bCs/>
                <w:color w:val="000000"/>
                <w:sz w:val="21"/>
                <w:szCs w:val="21"/>
              </w:rPr>
            </w:pPr>
            <w:r>
              <w:rPr>
                <w:rFonts w:hint="eastAsia" w:ascii="宋体" w:hAnsi="宋体" w:eastAsia="宋体" w:cs="宋体"/>
                <w:b/>
                <w:bCs/>
                <w:color w:val="000000"/>
                <w:kern w:val="0"/>
                <w:sz w:val="21"/>
                <w:szCs w:val="21"/>
              </w:rPr>
              <w:t>得分</w:t>
            </w:r>
          </w:p>
        </w:tc>
        <w:tc>
          <w:tcPr>
            <w:tcW w:w="1778"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2BC56294">
            <w:pPr>
              <w:widowControl/>
              <w:ind w:firstLine="480"/>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10</w:t>
            </w:r>
          </w:p>
        </w:tc>
        <w:tc>
          <w:tcPr>
            <w:tcW w:w="2786"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48E63973">
            <w:pPr>
              <w:widowControl/>
              <w:ind w:firstLine="480"/>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40</w:t>
            </w:r>
          </w:p>
        </w:tc>
        <w:tc>
          <w:tcPr>
            <w:tcW w:w="2314"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59F9BCB8">
            <w:pPr>
              <w:widowControl/>
              <w:ind w:firstLine="480"/>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20</w:t>
            </w:r>
          </w:p>
        </w:tc>
        <w:tc>
          <w:tcPr>
            <w:tcW w:w="3449"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595BD253">
            <w:pPr>
              <w:widowControl/>
              <w:ind w:firstLine="480"/>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30</w:t>
            </w:r>
          </w:p>
        </w:tc>
        <w:tc>
          <w:tcPr>
            <w:tcW w:w="1331" w:type="dxa"/>
            <w:tcBorders>
              <w:top w:val="single" w:color="auto" w:sz="4" w:space="0"/>
              <w:left w:val="single" w:color="auto" w:sz="4" w:space="0"/>
              <w:bottom w:val="single" w:color="auto" w:sz="4" w:space="0"/>
              <w:right w:val="single" w:color="auto" w:sz="4" w:space="0"/>
            </w:tcBorders>
            <w:noWrap w:val="0"/>
            <w:vAlign w:val="center"/>
          </w:tcPr>
          <w:p w14:paraId="016241E2">
            <w:pPr>
              <w:widowControl/>
              <w:ind w:firstLine="0" w:firstLineChars="0"/>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 xml:space="preserve">100.00  </w:t>
            </w:r>
          </w:p>
        </w:tc>
      </w:tr>
      <w:tr w14:paraId="2B273B3A">
        <w:tblPrEx>
          <w:tblCellMar>
            <w:top w:w="0" w:type="dxa"/>
            <w:left w:w="108" w:type="dxa"/>
            <w:bottom w:w="0" w:type="dxa"/>
            <w:right w:w="108" w:type="dxa"/>
          </w:tblCellMar>
        </w:tblPrEx>
        <w:trPr>
          <w:trHeight w:val="540" w:hRule="atLeast"/>
        </w:trPr>
        <w:tc>
          <w:tcPr>
            <w:tcW w:w="1363"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5426C3A2">
            <w:pPr>
              <w:widowControl/>
              <w:ind w:firstLine="0" w:firstLineChars="0"/>
              <w:textAlignment w:val="center"/>
              <w:rPr>
                <w:rFonts w:hint="eastAsia" w:ascii="宋体" w:hAnsi="宋体" w:eastAsia="宋体" w:cs="宋体"/>
                <w:b/>
                <w:bCs/>
                <w:color w:val="000000"/>
                <w:sz w:val="21"/>
                <w:szCs w:val="21"/>
              </w:rPr>
            </w:pPr>
            <w:r>
              <w:rPr>
                <w:rFonts w:hint="eastAsia" w:ascii="宋体" w:hAnsi="宋体" w:eastAsia="宋体" w:cs="宋体"/>
                <w:b/>
                <w:bCs/>
                <w:color w:val="000000"/>
                <w:kern w:val="0"/>
                <w:sz w:val="21"/>
                <w:szCs w:val="21"/>
              </w:rPr>
              <w:t>得分率</w:t>
            </w:r>
          </w:p>
        </w:tc>
        <w:tc>
          <w:tcPr>
            <w:tcW w:w="1778" w:type="dxa"/>
            <w:tcBorders>
              <w:top w:val="single" w:color="auto" w:sz="4" w:space="0"/>
              <w:left w:val="single" w:color="auto" w:sz="4" w:space="0"/>
              <w:bottom w:val="single" w:color="auto" w:sz="4" w:space="0"/>
              <w:right w:val="single" w:color="auto" w:sz="4" w:space="0"/>
            </w:tcBorders>
            <w:noWrap w:val="0"/>
            <w:vAlign w:val="center"/>
          </w:tcPr>
          <w:p w14:paraId="08DC3DCD">
            <w:pPr>
              <w:widowControl/>
              <w:ind w:firstLine="480"/>
              <w:jc w:val="center"/>
              <w:textAlignment w:val="center"/>
              <w:rPr>
                <w:rFonts w:hint="eastAsia" w:ascii="宋体" w:hAnsi="宋体" w:eastAsia="宋体" w:cs="宋体"/>
                <w:color w:val="000000"/>
                <w:sz w:val="21"/>
                <w:szCs w:val="21"/>
              </w:rPr>
            </w:pPr>
            <w:r>
              <w:rPr>
                <w:rFonts w:hint="eastAsia" w:ascii="宋体" w:hAnsi="宋体" w:eastAsia="宋体" w:cs="宋体"/>
                <w:color w:val="000000"/>
                <w:kern w:val="0"/>
                <w:sz w:val="21"/>
                <w:szCs w:val="21"/>
              </w:rPr>
              <w:t>100.00%</w:t>
            </w:r>
          </w:p>
        </w:tc>
        <w:tc>
          <w:tcPr>
            <w:tcW w:w="2786" w:type="dxa"/>
            <w:tcBorders>
              <w:top w:val="single" w:color="auto" w:sz="4" w:space="0"/>
              <w:left w:val="single" w:color="auto" w:sz="4" w:space="0"/>
              <w:bottom w:val="single" w:color="auto" w:sz="4" w:space="0"/>
              <w:right w:val="single" w:color="auto" w:sz="4" w:space="0"/>
            </w:tcBorders>
            <w:noWrap w:val="0"/>
            <w:vAlign w:val="center"/>
          </w:tcPr>
          <w:p w14:paraId="4E9E6DD7">
            <w:pPr>
              <w:widowControl/>
              <w:ind w:firstLine="480"/>
              <w:jc w:val="center"/>
              <w:textAlignment w:val="center"/>
              <w:rPr>
                <w:rFonts w:hint="eastAsia" w:ascii="宋体" w:hAnsi="宋体" w:eastAsia="宋体" w:cs="宋体"/>
                <w:color w:val="000000"/>
                <w:sz w:val="21"/>
                <w:szCs w:val="21"/>
              </w:rPr>
            </w:pPr>
            <w:r>
              <w:rPr>
                <w:rFonts w:hint="eastAsia" w:ascii="宋体" w:hAnsi="宋体" w:eastAsia="宋体" w:cs="宋体"/>
                <w:color w:val="000000"/>
                <w:kern w:val="0"/>
                <w:sz w:val="21"/>
                <w:szCs w:val="21"/>
              </w:rPr>
              <w:t>100.00%</w:t>
            </w:r>
          </w:p>
        </w:tc>
        <w:tc>
          <w:tcPr>
            <w:tcW w:w="2314" w:type="dxa"/>
            <w:tcBorders>
              <w:top w:val="single" w:color="auto" w:sz="4" w:space="0"/>
              <w:left w:val="single" w:color="auto" w:sz="4" w:space="0"/>
              <w:bottom w:val="single" w:color="auto" w:sz="4" w:space="0"/>
              <w:right w:val="single" w:color="auto" w:sz="4" w:space="0"/>
            </w:tcBorders>
            <w:noWrap w:val="0"/>
            <w:vAlign w:val="center"/>
          </w:tcPr>
          <w:p w14:paraId="07464465">
            <w:pPr>
              <w:widowControl/>
              <w:ind w:firstLine="480"/>
              <w:jc w:val="center"/>
              <w:textAlignment w:val="center"/>
              <w:rPr>
                <w:rFonts w:hint="eastAsia" w:ascii="宋体" w:hAnsi="宋体" w:eastAsia="宋体" w:cs="宋体"/>
                <w:color w:val="000000"/>
                <w:sz w:val="21"/>
                <w:szCs w:val="21"/>
              </w:rPr>
            </w:pPr>
            <w:r>
              <w:rPr>
                <w:rFonts w:hint="eastAsia" w:ascii="宋体" w:hAnsi="宋体" w:eastAsia="宋体" w:cs="宋体"/>
                <w:color w:val="000000"/>
                <w:kern w:val="0"/>
                <w:sz w:val="21"/>
                <w:szCs w:val="21"/>
              </w:rPr>
              <w:t>100.00%</w:t>
            </w:r>
          </w:p>
        </w:tc>
        <w:tc>
          <w:tcPr>
            <w:tcW w:w="3449" w:type="dxa"/>
            <w:tcBorders>
              <w:top w:val="single" w:color="auto" w:sz="4" w:space="0"/>
              <w:left w:val="single" w:color="auto" w:sz="4" w:space="0"/>
              <w:bottom w:val="single" w:color="auto" w:sz="4" w:space="0"/>
              <w:right w:val="single" w:color="auto" w:sz="4" w:space="0"/>
            </w:tcBorders>
            <w:noWrap w:val="0"/>
            <w:vAlign w:val="center"/>
          </w:tcPr>
          <w:p w14:paraId="67CBD2AA">
            <w:pPr>
              <w:widowControl/>
              <w:ind w:firstLine="480"/>
              <w:jc w:val="center"/>
              <w:textAlignment w:val="center"/>
              <w:rPr>
                <w:rFonts w:hint="eastAsia" w:ascii="宋体" w:hAnsi="宋体" w:eastAsia="宋体" w:cs="宋体"/>
                <w:color w:val="000000"/>
                <w:sz w:val="21"/>
                <w:szCs w:val="21"/>
              </w:rPr>
            </w:pPr>
            <w:r>
              <w:rPr>
                <w:rFonts w:hint="eastAsia" w:ascii="宋体" w:hAnsi="宋体" w:eastAsia="宋体" w:cs="宋体"/>
                <w:color w:val="000000"/>
                <w:kern w:val="0"/>
                <w:sz w:val="21"/>
                <w:szCs w:val="21"/>
              </w:rPr>
              <w:t>100.00%</w:t>
            </w:r>
          </w:p>
        </w:tc>
        <w:tc>
          <w:tcPr>
            <w:tcW w:w="1331" w:type="dxa"/>
            <w:tcBorders>
              <w:top w:val="single" w:color="auto" w:sz="4" w:space="0"/>
              <w:left w:val="single" w:color="auto" w:sz="4" w:space="0"/>
              <w:bottom w:val="single" w:color="auto" w:sz="4" w:space="0"/>
              <w:right w:val="single" w:color="auto" w:sz="4" w:space="0"/>
            </w:tcBorders>
            <w:noWrap w:val="0"/>
            <w:vAlign w:val="center"/>
          </w:tcPr>
          <w:p w14:paraId="718D5E87">
            <w:pPr>
              <w:widowControl/>
              <w:ind w:firstLine="0" w:firstLineChars="0"/>
              <w:textAlignment w:val="center"/>
              <w:rPr>
                <w:rFonts w:hint="eastAsia" w:ascii="宋体" w:hAnsi="宋体" w:eastAsia="宋体" w:cs="宋体"/>
                <w:color w:val="000000"/>
                <w:sz w:val="21"/>
                <w:szCs w:val="21"/>
              </w:rPr>
            </w:pPr>
            <w:r>
              <w:rPr>
                <w:rFonts w:hint="eastAsia" w:ascii="宋体" w:hAnsi="宋体" w:eastAsia="宋体" w:cs="宋体"/>
                <w:color w:val="000000"/>
                <w:kern w:val="0"/>
                <w:sz w:val="21"/>
                <w:szCs w:val="21"/>
              </w:rPr>
              <w:t>100.00%</w:t>
            </w:r>
          </w:p>
        </w:tc>
      </w:tr>
    </w:tbl>
    <w:p w14:paraId="41C6CC32">
      <w:pPr>
        <w:pStyle w:val="10"/>
        <w:ind w:firstLine="0" w:firstLineChars="0"/>
        <w:jc w:val="both"/>
        <w:rPr>
          <w:rFonts w:ascii="宋体" w:hAnsi="宋体" w:eastAsia="宋体" w:cs="宋体"/>
          <w:color w:val="000000"/>
          <w:sz w:val="24"/>
          <w:szCs w:val="24"/>
        </w:rPr>
      </w:pPr>
    </w:p>
    <w:p w14:paraId="3CB78303">
      <w:pPr>
        <w:pStyle w:val="10"/>
        <w:ind w:firstLine="0" w:firstLineChars="0"/>
        <w:jc w:val="both"/>
        <w:rPr>
          <w:rFonts w:hint="eastAsia" w:ascii="宋体" w:hAnsi="宋体" w:eastAsia="宋体" w:cs="宋体"/>
          <w:color w:val="000000"/>
          <w:sz w:val="24"/>
          <w:szCs w:val="24"/>
        </w:rPr>
        <w:sectPr>
          <w:pgSz w:w="16838" w:h="11906" w:orient="landscape"/>
          <w:pgMar w:top="1531" w:right="1985" w:bottom="1531" w:left="1701" w:header="851" w:footer="992" w:gutter="0"/>
          <w:pgNumType w:start="1"/>
          <w:cols w:space="720" w:num="1"/>
          <w:docGrid w:type="linesAndChars" w:linePitch="386" w:charSpace="0"/>
        </w:sectPr>
      </w:pPr>
    </w:p>
    <w:p w14:paraId="2A9CCEC0">
      <w:pPr>
        <w:pStyle w:val="10"/>
        <w:spacing w:before="0" w:after="0" w:line="240" w:lineRule="auto"/>
        <w:ind w:firstLine="0" w:firstLineChars="0"/>
        <w:jc w:val="both"/>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附件3：</w:t>
      </w:r>
    </w:p>
    <w:p w14:paraId="1A25CCBB">
      <w:pPr>
        <w:pStyle w:val="7"/>
        <w:keepNext w:val="0"/>
        <w:keepLines w:val="0"/>
        <w:widowControl/>
        <w:suppressLineNumbers w:val="0"/>
        <w:shd w:val="clear" w:color="auto" w:fill="auto"/>
        <w:spacing w:before="0" w:beforeAutospacing="0" w:after="0" w:afterAutospacing="0" w:line="17" w:lineRule="atLeast"/>
        <w:ind w:left="0" w:leftChars="0" w:right="0" w:firstLine="0" w:firstLineChars="0"/>
        <w:jc w:val="center"/>
        <w:rPr>
          <w:rFonts w:hint="default" w:ascii="宋体" w:hAnsi="宋体" w:eastAsia="宋体" w:cs="宋体"/>
          <w:b/>
          <w:bCs/>
          <w:kern w:val="2"/>
          <w:sz w:val="24"/>
          <w:szCs w:val="24"/>
          <w:lang w:val="en-US" w:eastAsia="zh-CN" w:bidi="ar-SA"/>
        </w:rPr>
      </w:pPr>
    </w:p>
    <w:p w14:paraId="6094BCE7">
      <w:pPr>
        <w:pStyle w:val="7"/>
        <w:keepNext w:val="0"/>
        <w:keepLines w:val="0"/>
        <w:widowControl/>
        <w:suppressLineNumbers w:val="0"/>
        <w:shd w:val="clear" w:color="auto" w:fill="auto"/>
        <w:spacing w:before="0" w:beforeAutospacing="0" w:after="0" w:afterAutospacing="0" w:line="17" w:lineRule="atLeast"/>
        <w:ind w:left="0" w:leftChars="0" w:right="0" w:firstLine="0" w:firstLineChars="0"/>
        <w:jc w:val="center"/>
        <w:rPr>
          <w:rFonts w:hint="eastAsia" w:ascii="宋体" w:hAnsi="宋体" w:eastAsia="宋体" w:cs="宋体"/>
          <w:b/>
          <w:bCs/>
          <w:kern w:val="2"/>
          <w:sz w:val="24"/>
          <w:szCs w:val="24"/>
          <w:lang w:val="en-US" w:eastAsia="zh-CN" w:bidi="ar-SA"/>
        </w:rPr>
      </w:pPr>
      <w:r>
        <w:rPr>
          <w:rFonts w:hint="eastAsia" w:ascii="宋体" w:hAnsi="宋体" w:cs="宋体"/>
          <w:b/>
          <w:bCs/>
          <w:kern w:val="2"/>
          <w:sz w:val="24"/>
          <w:szCs w:val="24"/>
          <w:lang w:val="en-US" w:eastAsia="zh-CN" w:bidi="ar-SA"/>
        </w:rPr>
        <w:t>中央直达资金-和地财教[2023]60号2024年城乡义务教育补助经费</w:t>
      </w:r>
      <w:r>
        <w:rPr>
          <w:rFonts w:hint="eastAsia" w:ascii="宋体" w:hAnsi="宋体" w:eastAsia="宋体" w:cs="宋体"/>
          <w:b/>
          <w:bCs/>
          <w:kern w:val="2"/>
          <w:sz w:val="24"/>
          <w:szCs w:val="24"/>
          <w:lang w:val="en-US" w:eastAsia="zh-CN" w:bidi="ar-SA"/>
        </w:rPr>
        <w:t>]</w:t>
      </w:r>
      <w:r>
        <w:rPr>
          <w:rFonts w:hint="default" w:ascii="宋体" w:hAnsi="宋体" w:eastAsia="宋体" w:cs="宋体"/>
          <w:b/>
          <w:bCs/>
          <w:kern w:val="2"/>
          <w:sz w:val="24"/>
          <w:szCs w:val="24"/>
          <w:lang w:val="en-US" w:eastAsia="zh-CN" w:bidi="ar-SA"/>
        </w:rPr>
        <w:t>项目</w:t>
      </w:r>
      <w:r>
        <w:rPr>
          <w:rFonts w:hint="eastAsia" w:ascii="宋体" w:hAnsi="宋体" w:eastAsia="宋体" w:cs="宋体"/>
          <w:b/>
          <w:bCs/>
          <w:kern w:val="2"/>
          <w:sz w:val="24"/>
          <w:szCs w:val="24"/>
          <w:lang w:val="en-US" w:eastAsia="zh-CN" w:bidi="ar-SA"/>
        </w:rPr>
        <w:t>满意度调查问卷分析报告</w:t>
      </w:r>
    </w:p>
    <w:p w14:paraId="738C3391">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b w:val="0"/>
          <w:bCs w:val="0"/>
          <w:kern w:val="2"/>
          <w:sz w:val="24"/>
          <w:szCs w:val="24"/>
          <w:lang w:val="en-US" w:eastAsia="zh-CN" w:bidi="ar-SA"/>
        </w:rPr>
      </w:pPr>
      <w:r>
        <w:rPr>
          <w:rFonts w:hint="eastAsia" w:ascii="宋体" w:hAnsi="宋体" w:eastAsia="宋体" w:cs="宋体"/>
          <w:b w:val="0"/>
          <w:bCs w:val="0"/>
          <w:kern w:val="2"/>
          <w:sz w:val="24"/>
          <w:szCs w:val="24"/>
          <w:lang w:val="en-US" w:eastAsia="zh-CN" w:bidi="ar-SA"/>
        </w:rPr>
        <w:t>为客观评价该项目的社会效果，了解项目受益群体对项目实施后的真实评价情况，对本项目开展满意度问卷调查。问卷调查工作情况如下。问卷调查工作情况如下：</w:t>
      </w:r>
    </w:p>
    <w:p w14:paraId="011A0C4F">
      <w:pPr>
        <w:keepNext w:val="0"/>
        <w:keepLines w:val="0"/>
        <w:pageBreakBefore w:val="0"/>
        <w:widowControl w:val="0"/>
        <w:kinsoku/>
        <w:wordWrap/>
        <w:overflowPunct/>
        <w:topLinePunct w:val="0"/>
        <w:autoSpaceDE/>
        <w:autoSpaceDN/>
        <w:bidi w:val="0"/>
        <w:adjustRightInd/>
        <w:snapToGrid/>
        <w:spacing w:line="360" w:lineRule="auto"/>
        <w:ind w:firstLine="482"/>
        <w:textAlignment w:val="auto"/>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一、该问卷调查从2024年12月26日开始至2024年12月27日结束，调查问卷共设置1道题目。</w:t>
      </w:r>
    </w:p>
    <w:p w14:paraId="0E582A43">
      <w:pPr>
        <w:spacing w:line="360" w:lineRule="auto"/>
        <w:ind w:firstLine="482"/>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1.调查对象</w:t>
      </w:r>
    </w:p>
    <w:p w14:paraId="6E5EA0C3">
      <w:pPr>
        <w:spacing w:line="360" w:lineRule="auto"/>
        <w:ind w:firstLine="482"/>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本次调查的受益对象为各班级学生。</w:t>
      </w:r>
    </w:p>
    <w:p w14:paraId="5503BA42">
      <w:pPr>
        <w:spacing w:line="360" w:lineRule="auto"/>
        <w:ind w:firstLine="482"/>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2.调查内容</w:t>
      </w:r>
    </w:p>
    <w:p w14:paraId="1168CE2E">
      <w:pPr>
        <w:spacing w:line="360" w:lineRule="auto"/>
        <w:ind w:firstLine="48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①总的来说，您对目前[中央直达资金-和地财教[2023]60号2024年城乡义务教育补助经费]</w:t>
      </w:r>
      <w:r>
        <w:rPr>
          <w:rFonts w:hint="default" w:ascii="宋体" w:hAnsi="宋体" w:eastAsia="宋体" w:cs="宋体"/>
          <w:sz w:val="24"/>
          <w:szCs w:val="24"/>
          <w:lang w:val="en-US" w:eastAsia="zh-CN"/>
        </w:rPr>
        <w:t>项目</w:t>
      </w:r>
      <w:r>
        <w:rPr>
          <w:rFonts w:hint="eastAsia" w:ascii="宋体" w:hAnsi="宋体" w:eastAsia="宋体" w:cs="宋体"/>
          <w:sz w:val="24"/>
          <w:szCs w:val="24"/>
          <w:lang w:val="en-US" w:eastAsia="zh-CN"/>
        </w:rPr>
        <w:t>实施后的整体满意程度如何？</w:t>
      </w:r>
    </w:p>
    <w:p w14:paraId="0C19D17B">
      <w:pPr>
        <w:spacing w:line="360" w:lineRule="auto"/>
        <w:ind w:firstLine="480"/>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3.调查方法</w:t>
      </w:r>
    </w:p>
    <w:p w14:paraId="29963D8A">
      <w:pPr>
        <w:spacing w:line="360" w:lineRule="auto"/>
        <w:ind w:firstLine="480"/>
        <w:rPr>
          <w:rFonts w:hint="eastAsia" w:ascii="宋体" w:hAnsi="宋体" w:eastAsia="宋体" w:cs="宋体"/>
          <w:sz w:val="24"/>
          <w:szCs w:val="24"/>
          <w:lang w:val="en-US" w:eastAsia="zh-CN"/>
        </w:rPr>
      </w:pPr>
      <w:r>
        <w:rPr>
          <w:rFonts w:hint="eastAsia" w:ascii="宋体" w:hAnsi="宋体" w:eastAsia="宋体" w:cs="宋体"/>
          <w:sz w:val="24"/>
          <w:szCs w:val="24"/>
        </w:rPr>
        <w:t>问卷调查采取</w:t>
      </w:r>
      <w:r>
        <w:rPr>
          <w:rFonts w:hint="eastAsia" w:ascii="宋体" w:hAnsi="宋体" w:eastAsia="宋体" w:cs="宋体"/>
          <w:sz w:val="24"/>
          <w:szCs w:val="24"/>
          <w:lang w:val="en-US" w:eastAsia="zh-CN"/>
        </w:rPr>
        <w:t>分层</w:t>
      </w:r>
      <w:r>
        <w:rPr>
          <w:rFonts w:hint="eastAsia" w:ascii="宋体" w:hAnsi="宋体" w:eastAsia="宋体" w:cs="宋体"/>
          <w:sz w:val="24"/>
          <w:szCs w:val="24"/>
        </w:rPr>
        <w:t>抽样和</w:t>
      </w:r>
      <w:r>
        <w:rPr>
          <w:rFonts w:hint="eastAsia" w:ascii="宋体" w:hAnsi="宋体" w:eastAsia="宋体" w:cs="宋体"/>
          <w:sz w:val="24"/>
          <w:szCs w:val="24"/>
          <w:lang w:val="en-US" w:eastAsia="zh-CN"/>
        </w:rPr>
        <w:t>随机抽样相结合</w:t>
      </w:r>
      <w:r>
        <w:rPr>
          <w:rFonts w:hint="eastAsia" w:ascii="宋体" w:hAnsi="宋体" w:eastAsia="宋体" w:cs="宋体"/>
          <w:sz w:val="24"/>
          <w:szCs w:val="24"/>
        </w:rPr>
        <w:t>的方式进行。在全面</w:t>
      </w:r>
      <w:r>
        <w:rPr>
          <w:rFonts w:hint="eastAsia" w:ascii="宋体" w:hAnsi="宋体" w:eastAsia="宋体" w:cs="宋体"/>
          <w:sz w:val="24"/>
          <w:szCs w:val="24"/>
          <w:lang w:eastAsia="zh-CN"/>
        </w:rPr>
        <w:t>调查</w:t>
      </w:r>
      <w:r>
        <w:rPr>
          <w:rFonts w:hint="eastAsia" w:ascii="宋体" w:hAnsi="宋体" w:eastAsia="宋体" w:cs="宋体"/>
          <w:sz w:val="24"/>
          <w:szCs w:val="24"/>
        </w:rPr>
        <w:t>开展之前会先进行论证，依据论证结果对问卷和抽样方案再进行一次修改和调整</w:t>
      </w:r>
      <w:r>
        <w:rPr>
          <w:rFonts w:hint="eastAsia" w:ascii="宋体" w:hAnsi="宋体" w:eastAsia="宋体" w:cs="宋体"/>
          <w:sz w:val="24"/>
          <w:szCs w:val="24"/>
          <w:lang w:val="en-US" w:eastAsia="zh-CN"/>
        </w:rPr>
        <w:t>之后再付诸实施</w:t>
      </w:r>
      <w:r>
        <w:rPr>
          <w:rFonts w:hint="eastAsia" w:ascii="宋体" w:hAnsi="宋体" w:eastAsia="宋体" w:cs="宋体"/>
          <w:sz w:val="24"/>
          <w:szCs w:val="24"/>
        </w:rPr>
        <w:t>。</w:t>
      </w:r>
    </w:p>
    <w:p w14:paraId="78DABCC7">
      <w:pPr>
        <w:spacing w:line="360" w:lineRule="auto"/>
        <w:ind w:firstLine="480"/>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4.抽样方式</w:t>
      </w:r>
    </w:p>
    <w:p w14:paraId="0707C28D">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jc w:val="both"/>
        <w:textAlignment w:val="auto"/>
        <w:rPr>
          <w:rFonts w:hint="eastAsia" w:ascii="宋体" w:hAnsi="宋体" w:eastAsia="宋体" w:cs="宋体"/>
          <w:b w:val="0"/>
          <w:kern w:val="2"/>
          <w:sz w:val="24"/>
          <w:szCs w:val="24"/>
          <w:lang w:val="en-US" w:eastAsia="zh-CN" w:bidi="ar-SA"/>
        </w:rPr>
      </w:pPr>
      <w:r>
        <w:rPr>
          <w:rFonts w:hint="eastAsia" w:ascii="宋体" w:hAnsi="宋体" w:eastAsia="宋体" w:cs="宋体"/>
          <w:b w:val="0"/>
          <w:kern w:val="2"/>
          <w:sz w:val="24"/>
          <w:szCs w:val="24"/>
          <w:lang w:val="en-US" w:eastAsia="zh-CN" w:bidi="ar-SA"/>
        </w:rPr>
        <w:t>为确保问卷调查的全面性和代表性，本次调查问卷调查采取随机抽样和分层抽样相结合方式进行。</w:t>
      </w:r>
    </w:p>
    <w:p w14:paraId="024FD5D4">
      <w:pPr>
        <w:spacing w:line="360" w:lineRule="auto"/>
        <w:ind w:firstLine="482"/>
        <w:rPr>
          <w:rFonts w:hint="eastAsia" w:ascii="宋体" w:hAnsi="宋体" w:eastAsia="宋体" w:cs="宋体"/>
          <w:b/>
          <w:bCs/>
          <w:sz w:val="24"/>
          <w:szCs w:val="24"/>
          <w:lang w:val="en-US" w:eastAsia="zh-CN"/>
        </w:rPr>
      </w:pPr>
      <w:r>
        <w:rPr>
          <w:rFonts w:hint="eastAsia" w:ascii="宋体" w:hAnsi="宋体" w:eastAsia="宋体" w:cs="宋体"/>
          <w:b/>
          <w:bCs/>
          <w:sz w:val="24"/>
          <w:szCs w:val="24"/>
        </w:rPr>
        <w:t>5.问卷的发放和回收</w:t>
      </w:r>
    </w:p>
    <w:p w14:paraId="292E8B62">
      <w:pPr>
        <w:spacing w:line="360" w:lineRule="auto"/>
        <w:ind w:firstLine="48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为了给调查对象营造良好的作答环境，保证调查的科学性和严谨性，由我单位工作人员在线下发放问卷，邀请相应的调查对象填写问卷。到目前为止共回收问卷30份，其中有效问卷30份，有效问卷回收率为100%。</w:t>
      </w:r>
    </w:p>
    <w:p w14:paraId="4027FF5A">
      <w:pPr>
        <w:spacing w:line="360" w:lineRule="auto"/>
        <w:ind w:firstLine="482"/>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6.问卷调查分析结果</w:t>
      </w:r>
    </w:p>
    <w:p w14:paraId="051611A4">
      <w:pPr>
        <w:spacing w:line="360" w:lineRule="auto"/>
        <w:ind w:firstLine="48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本次调查过程中，评价小组实际发放问卷30份，回收问卷30份，问卷回收率为100.00%，有效问卷30份，有效回收率100.00%，本次调查的整体情况如下：</w:t>
      </w:r>
    </w:p>
    <w:p w14:paraId="69688B47">
      <w:pPr>
        <w:spacing w:line="360" w:lineRule="auto"/>
        <w:ind w:firstLine="480"/>
        <w:rPr>
          <w:rFonts w:hint="eastAsia" w:ascii="宋体" w:hAnsi="宋体" w:eastAsia="宋体" w:cs="宋体"/>
          <w:color w:val="auto"/>
          <w:sz w:val="24"/>
          <w:szCs w:val="24"/>
          <w:highlight w:val="none"/>
          <w:lang w:val="en-US" w:eastAsia="zh-CN"/>
        </w:rPr>
      </w:pPr>
      <w:r>
        <w:rPr>
          <w:rFonts w:hint="eastAsia" w:ascii="宋体" w:hAnsi="宋体" w:eastAsia="宋体" w:cs="宋体"/>
          <w:sz w:val="24"/>
          <w:szCs w:val="24"/>
          <w:lang w:val="en-US" w:eastAsia="zh-CN"/>
        </w:rPr>
        <w:t>第一个问题：该项统计有效问卷数量30份，选择非常满意的人数为26人。选择比较满意的人数为4人，选择一般的人数0人，选择不满意的人数0人，选择非常不满意的人数0人。</w:t>
      </w:r>
    </w:p>
    <w:p w14:paraId="4A7A242E">
      <w:pPr>
        <w:spacing w:line="360" w:lineRule="auto"/>
        <w:ind w:firstLine="482"/>
        <w:rPr>
          <w:rFonts w:hint="eastAsia" w:ascii="宋体" w:hAnsi="宋体" w:eastAsia="宋体" w:cs="宋体"/>
          <w:b/>
          <w:bCs/>
          <w:sz w:val="28"/>
          <w:szCs w:val="28"/>
          <w:lang w:val="en-US" w:eastAsia="zh-CN"/>
        </w:rPr>
      </w:pPr>
      <w:r>
        <w:rPr>
          <w:rFonts w:hint="eastAsia" w:ascii="宋体" w:hAnsi="宋体" w:eastAsia="宋体" w:cs="宋体"/>
          <w:b/>
          <w:bCs/>
          <w:sz w:val="28"/>
          <w:szCs w:val="28"/>
          <w:lang w:val="en-US" w:eastAsia="zh-CN"/>
        </w:rPr>
        <w:t>二、调查结果统计</w:t>
      </w:r>
    </w:p>
    <w:p w14:paraId="35DB37C5">
      <w:pPr>
        <w:spacing w:line="360" w:lineRule="auto"/>
        <w:ind w:firstLine="48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中央直达资金-和地财教[2023]60号2024年城乡义务教育补助经费]</w:t>
      </w:r>
      <w:r>
        <w:rPr>
          <w:rFonts w:hint="default" w:ascii="宋体" w:hAnsi="宋体" w:eastAsia="宋体" w:cs="宋体"/>
          <w:sz w:val="24"/>
          <w:szCs w:val="24"/>
          <w:lang w:val="en-US" w:eastAsia="zh-CN"/>
        </w:rPr>
        <w:t>项目</w:t>
      </w:r>
      <w:r>
        <w:rPr>
          <w:rFonts w:hint="eastAsia" w:ascii="宋体" w:hAnsi="宋体" w:eastAsia="宋体" w:cs="宋体"/>
          <w:sz w:val="24"/>
          <w:szCs w:val="24"/>
          <w:lang w:val="en-US" w:eastAsia="zh-CN"/>
        </w:rPr>
        <w:t>针对受益人员发放30份调查问卷，最终统计受益人群满意度为100%。</w:t>
      </w:r>
    </w:p>
    <w:p w14:paraId="29C5227C">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jc w:val="both"/>
        <w:textAlignment w:val="auto"/>
        <w:rPr>
          <w:rFonts w:hint="eastAsia" w:ascii="宋体" w:hAnsi="宋体" w:eastAsia="宋体" w:cs="宋体"/>
          <w:color w:val="auto"/>
          <w:sz w:val="24"/>
          <w:szCs w:val="24"/>
          <w:highlight w:val="none"/>
          <w:lang w:val="en-US" w:eastAsia="zh-CN"/>
        </w:rPr>
      </w:pPr>
    </w:p>
    <w:p w14:paraId="0D4393CC">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jc w:val="right"/>
        <w:textAlignment w:val="auto"/>
        <w:rPr>
          <w:rFonts w:hint="eastAsia" w:cs="宋体"/>
          <w:color w:val="auto"/>
          <w:sz w:val="24"/>
          <w:szCs w:val="24"/>
          <w:highlight w:val="none"/>
          <w:lang w:val="en-US" w:eastAsia="zh-CN"/>
        </w:rPr>
      </w:pPr>
    </w:p>
    <w:p w14:paraId="78043A1E">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jc w:val="right"/>
        <w:textAlignment w:val="auto"/>
        <w:rPr>
          <w:rFonts w:hint="eastAsia" w:cs="宋体"/>
          <w:color w:val="auto"/>
          <w:sz w:val="24"/>
          <w:szCs w:val="24"/>
          <w:highlight w:val="none"/>
          <w:lang w:val="en-US" w:eastAsia="zh-CN"/>
        </w:rPr>
      </w:pPr>
    </w:p>
    <w:p w14:paraId="5C11972E">
      <w:pPr>
        <w:adjustRightInd w:val="0"/>
        <w:snapToGrid w:val="0"/>
        <w:spacing w:line="360" w:lineRule="auto"/>
        <w:jc w:val="right"/>
        <w:rPr>
          <w:rFonts w:hint="eastAsia" w:cs="宋体"/>
          <w:color w:val="000000"/>
          <w:sz w:val="30"/>
          <w:szCs w:val="30"/>
          <w:highlight w:val="none"/>
        </w:rPr>
      </w:pPr>
      <w:r>
        <w:rPr>
          <w:rFonts w:hint="eastAsia" w:cs="宋体"/>
          <w:color w:val="000000"/>
          <w:sz w:val="30"/>
          <w:szCs w:val="30"/>
          <w:highlight w:val="none"/>
        </w:rPr>
        <w:t>洛浦县杭桂镇中学</w:t>
      </w:r>
    </w:p>
    <w:p w14:paraId="15E8A958">
      <w:pPr>
        <w:adjustRightInd w:val="0"/>
        <w:snapToGrid w:val="0"/>
        <w:spacing w:line="360" w:lineRule="auto"/>
        <w:jc w:val="right"/>
        <w:rPr>
          <w:color w:val="000000"/>
          <w:sz w:val="30"/>
          <w:szCs w:val="30"/>
          <w:highlight w:val="none"/>
        </w:rPr>
      </w:pPr>
      <w:r>
        <w:rPr>
          <w:rFonts w:hint="eastAsia" w:ascii="宋体" w:hAnsi="宋体" w:eastAsia="宋体" w:cs="宋体"/>
          <w:color w:val="000000"/>
          <w:sz w:val="30"/>
          <w:szCs w:val="30"/>
          <w:highlight w:val="none"/>
        </w:rPr>
        <w:t>2025年</w:t>
      </w:r>
      <w:r>
        <w:rPr>
          <w:rFonts w:hint="eastAsia" w:cs="宋体"/>
          <w:color w:val="000000"/>
          <w:sz w:val="30"/>
          <w:szCs w:val="30"/>
          <w:highlight w:val="none"/>
        </w:rPr>
        <w:t>3</w:t>
      </w:r>
      <w:r>
        <w:rPr>
          <w:rFonts w:hint="eastAsia" w:ascii="宋体" w:hAnsi="宋体" w:eastAsia="宋体" w:cs="宋体"/>
          <w:color w:val="000000"/>
          <w:sz w:val="30"/>
          <w:szCs w:val="30"/>
          <w:highlight w:val="none"/>
        </w:rPr>
        <w:t>月</w:t>
      </w:r>
      <w:r>
        <w:rPr>
          <w:rFonts w:hint="eastAsia" w:cs="宋体"/>
          <w:color w:val="000000"/>
          <w:sz w:val="30"/>
          <w:szCs w:val="30"/>
          <w:highlight w:val="none"/>
        </w:rPr>
        <w:t>24</w:t>
      </w:r>
      <w:r>
        <w:rPr>
          <w:rFonts w:hint="eastAsia" w:ascii="宋体" w:hAnsi="宋体" w:eastAsia="宋体" w:cs="宋体"/>
          <w:color w:val="000000"/>
          <w:sz w:val="30"/>
          <w:szCs w:val="30"/>
          <w:highlight w:val="none"/>
        </w:rPr>
        <w:t>日</w:t>
      </w:r>
    </w:p>
    <w:p w14:paraId="14DC6281">
      <w:pPr>
        <w:adjustRightInd w:val="0"/>
        <w:snapToGrid w:val="0"/>
        <w:spacing w:line="360" w:lineRule="auto"/>
        <w:rPr>
          <w:rFonts w:hint="eastAsia" w:ascii="宋体" w:hAnsi="宋体" w:eastAsia="宋体" w:cs="宋体"/>
          <w:color w:val="000000"/>
          <w:sz w:val="30"/>
          <w:szCs w:val="30"/>
          <w:highlight w:val="green"/>
        </w:rPr>
      </w:pPr>
    </w:p>
    <w:p w14:paraId="75208200">
      <w:pPr>
        <w:pStyle w:val="2"/>
        <w:ind w:left="560" w:firstLine="560"/>
        <w:rPr>
          <w:rFonts w:hint="eastAsia"/>
          <w:color w:val="000000"/>
          <w:highlight w:val="green"/>
        </w:rPr>
      </w:pPr>
    </w:p>
    <w:p w14:paraId="373F863D">
      <w:pPr>
        <w:pStyle w:val="10"/>
        <w:ind w:firstLine="482"/>
        <w:rPr>
          <w:rFonts w:hint="eastAsia" w:ascii="宋体" w:hAnsi="宋体" w:eastAsia="宋体" w:cs="宋体"/>
          <w:color w:val="000000"/>
          <w:sz w:val="24"/>
          <w:szCs w:val="24"/>
          <w:highlight w:val="green"/>
        </w:rPr>
      </w:pPr>
    </w:p>
    <w:sectPr>
      <w:pgSz w:w="11906" w:h="16838"/>
      <w:pgMar w:top="1985" w:right="1531" w:bottom="1701" w:left="1531" w:header="851" w:footer="992" w:gutter="0"/>
      <w:pgNumType w:start="1"/>
      <w:cols w:space="720" w:num="1"/>
      <w:docGrid w:type="linesAndChars" w:linePitch="386"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ind w:firstLine="560"/>
      </w:pPr>
      <w:r>
        <w:separator/>
      </w:r>
    </w:p>
  </w:endnote>
  <w:endnote w:type="continuationSeparator" w:id="1">
    <w:p>
      <w:pPr>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189D445D-CAE1-4E6B-BA48-C22945C2C971}"/>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modern"/>
    <w:pitch w:val="default"/>
    <w:sig w:usb0="00000001" w:usb1="080E0000" w:usb2="00000000" w:usb3="00000000" w:csb0="00040000" w:csb1="00000000"/>
  </w:font>
  <w:font w:name="Cambria">
    <w:panose1 w:val="02040503050406030204"/>
    <w:charset w:val="00"/>
    <w:family w:val="roman"/>
    <w:pitch w:val="default"/>
    <w:sig w:usb0="E00002FF" w:usb1="400004FF" w:usb2="00000000" w:usb3="00000000" w:csb0="2000019F" w:csb1="00000000"/>
  </w:font>
  <w:font w:name="方正仿宋_GBK">
    <w:panose1 w:val="03000509000000000000"/>
    <w:charset w:val="86"/>
    <w:family w:val="script"/>
    <w:pitch w:val="default"/>
    <w:sig w:usb0="00000001" w:usb1="080E0000" w:usb2="00000000" w:usb3="00000000" w:csb0="00040000" w:csb1="00000000"/>
    <w:embedRegular r:id="rId2" w:fontKey="{4786728E-5488-44EF-929A-A2146EE914F7}"/>
  </w:font>
  <w:font w:name="微软雅黑">
    <w:panose1 w:val="020B0503020204020204"/>
    <w:charset w:val="86"/>
    <w:family w:val="swiss"/>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70B6FA">
    <w:pPr>
      <w:pStyle w:val="15"/>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ind w:firstLine="560"/>
      </w:pPr>
      <w:r>
        <w:separator/>
      </w:r>
    </w:p>
  </w:footnote>
  <w:footnote w:type="continuationSeparator" w:id="1">
    <w:p>
      <w:pPr>
        <w:ind w:firstLine="56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6C78EF">
    <w:pPr>
      <w:pStyle w:val="16"/>
      <w:pBdr>
        <w:bottom w:val="none" w:color="auto" w:sz="0" w:space="1"/>
      </w:pBdr>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5E306ED"/>
    <w:multiLevelType w:val="singleLevel"/>
    <w:tmpl w:val="B5E306ED"/>
    <w:lvl w:ilvl="0" w:tentative="0">
      <w:start w:val="1"/>
      <w:numFmt w:val="decimal"/>
      <w:suff w:val="nothing"/>
      <w:lvlText w:val="%1）"/>
      <w:lvlJc w:val="left"/>
    </w:lvl>
  </w:abstractNum>
  <w:abstractNum w:abstractNumId="1">
    <w:nsid w:val="BF205925"/>
    <w:multiLevelType w:val="singleLevel"/>
    <w:tmpl w:val="BF205925"/>
    <w:lvl w:ilvl="0" w:tentative="0">
      <w:start w:val="1"/>
      <w:numFmt w:val="decimal"/>
      <w:suff w:val="nothing"/>
      <w:lvlText w:val="%1）"/>
      <w:lvlJc w:val="left"/>
    </w:lvl>
  </w:abstractNum>
  <w:abstractNum w:abstractNumId="2">
    <w:nsid w:val="CF092B84"/>
    <w:multiLevelType w:val="singleLevel"/>
    <w:tmpl w:val="CF092B84"/>
    <w:lvl w:ilvl="0" w:tentative="0">
      <w:start w:val="2"/>
      <w:numFmt w:val="decimal"/>
      <w:lvlText w:val="%1."/>
      <w:lvlJc w:val="left"/>
      <w:pPr>
        <w:tabs>
          <w:tab w:val="left" w:pos="312"/>
        </w:tabs>
      </w:pPr>
    </w:lvl>
  </w:abstractNum>
  <w:abstractNum w:abstractNumId="3">
    <w:nsid w:val="0053208E"/>
    <w:multiLevelType w:val="multilevel"/>
    <w:tmpl w:val="0053208E"/>
    <w:lvl w:ilvl="0" w:tentative="0">
      <w:start w:val="1"/>
      <w:numFmt w:val="chineseCountingThousand"/>
      <w:pStyle w:val="61"/>
      <w:lvlText w:val="(%1)"/>
      <w:lvlJc w:val="left"/>
      <w:pPr>
        <w:ind w:left="988"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0248C179"/>
    <w:multiLevelType w:val="singleLevel"/>
    <w:tmpl w:val="0248C179"/>
    <w:lvl w:ilvl="0" w:tentative="0">
      <w:start w:val="7"/>
      <w:numFmt w:val="chineseCounting"/>
      <w:suff w:val="nothing"/>
      <w:lvlText w:val="%1、"/>
      <w:lvlJc w:val="left"/>
      <w:rPr>
        <w:rFonts w:hint="eastAsia"/>
      </w:rPr>
    </w:lvl>
  </w:abstractNum>
  <w:abstractNum w:abstractNumId="5">
    <w:nsid w:val="03D62ECE"/>
    <w:multiLevelType w:val="singleLevel"/>
    <w:tmpl w:val="03D62ECE"/>
    <w:lvl w:ilvl="0" w:tentative="0">
      <w:start w:val="1"/>
      <w:numFmt w:val="decimal"/>
      <w:suff w:val="nothing"/>
      <w:lvlText w:val="（%1）"/>
      <w:lvlJc w:val="left"/>
    </w:lvl>
  </w:abstractNum>
  <w:abstractNum w:abstractNumId="6">
    <w:nsid w:val="25B654F3"/>
    <w:multiLevelType w:val="singleLevel"/>
    <w:tmpl w:val="25B654F3"/>
    <w:lvl w:ilvl="0" w:tentative="0">
      <w:start w:val="5"/>
      <w:numFmt w:val="decimal"/>
      <w:suff w:val="nothing"/>
      <w:lvlText w:val="（%1）"/>
      <w:lvlJc w:val="left"/>
    </w:lvl>
  </w:abstractNum>
  <w:abstractNum w:abstractNumId="7">
    <w:nsid w:val="59ADCABA"/>
    <w:multiLevelType w:val="singleLevel"/>
    <w:tmpl w:val="59ADCABA"/>
    <w:lvl w:ilvl="0" w:tentative="0">
      <w:start w:val="1"/>
      <w:numFmt w:val="decimal"/>
      <w:suff w:val="nothing"/>
      <w:lvlText w:val="（%1）"/>
      <w:lvlJc w:val="left"/>
    </w:lvl>
  </w:abstractNum>
  <w:abstractNum w:abstractNumId="8">
    <w:nsid w:val="72183CF9"/>
    <w:multiLevelType w:val="singleLevel"/>
    <w:tmpl w:val="72183CF9"/>
    <w:lvl w:ilvl="0" w:tentative="0">
      <w:start w:val="1"/>
      <w:numFmt w:val="decimal"/>
      <w:suff w:val="nothing"/>
      <w:lvlText w:val="（%1）"/>
      <w:lvlJc w:val="left"/>
    </w:lvl>
  </w:abstractNum>
  <w:num w:numId="1">
    <w:abstractNumId w:val="3"/>
  </w:num>
  <w:num w:numId="2">
    <w:abstractNumId w:val="2"/>
  </w:num>
  <w:num w:numId="3">
    <w:abstractNumId w:val="7"/>
  </w:num>
  <w:num w:numId="4">
    <w:abstractNumId w:val="1"/>
  </w:num>
  <w:num w:numId="5">
    <w:abstractNumId w:val="0"/>
  </w:num>
  <w:num w:numId="6">
    <w:abstractNumId w:val="5"/>
  </w:num>
  <w:num w:numId="7">
    <w:abstractNumId w:val="6"/>
  </w:num>
  <w:num w:numId="8">
    <w:abstractNumId w:val="8"/>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NotTrackMoves/>
  <w:documentProtection w:enforcement="0"/>
  <w:defaultTabStop w:val="420"/>
  <w:drawingGridHorizontalSpacing w:val="140"/>
  <w:drawingGridVerticalSpacing w:val="193"/>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docVars>
    <w:docVar w:name="commondata" w:val="eyJoZGlkIjoiYzIzNjhjZjkxMjg2OGJjOTQ0NThhNzBhOGI4YTVmYWYifQ=="/>
  </w:docVars>
  <w:rsids>
    <w:rsidRoot w:val="00000000"/>
    <w:rsid w:val="10D7682D"/>
  </w:rsids>
  <m:mathPr>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9" w:semiHidden="0" w:name="heading 3"/>
    <w:lsdException w:qFormat="1" w:unhideWhenUsed="0"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uiPriority="99" w:name="Normal Indent"/>
    <w:lsdException w:uiPriority="99" w:name="footnote text"/>
    <w:lsdException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0" w:semiHidden="0" w:name="Body Text First Indent 2"/>
    <w:lsdException w:uiPriority="99" w:name="Note Heading"/>
    <w:lsdException w:qFormat="1" w:unhideWhenUsed="0" w:uiPriority="0" w:semiHidden="0"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ind w:firstLine="600" w:firstLineChars="200"/>
      <w:jc w:val="both"/>
    </w:pPr>
    <w:rPr>
      <w:rFonts w:ascii="Times New Roman" w:hAnsi="Times New Roman" w:eastAsia="仿宋_GB2312" w:cs="黑体"/>
      <w:kern w:val="2"/>
      <w:sz w:val="28"/>
      <w:szCs w:val="22"/>
      <w:lang w:val="en-US" w:eastAsia="zh-CN" w:bidi="ar-SA"/>
    </w:rPr>
  </w:style>
  <w:style w:type="paragraph" w:styleId="4">
    <w:name w:val="heading 1"/>
    <w:basedOn w:val="1"/>
    <w:next w:val="2"/>
    <w:link w:val="34"/>
    <w:qFormat/>
    <w:uiPriority w:val="9"/>
    <w:pPr>
      <w:keepNext/>
      <w:keepLines/>
      <w:spacing w:before="340" w:after="330" w:line="578" w:lineRule="auto"/>
      <w:jc w:val="left"/>
      <w:outlineLvl w:val="0"/>
    </w:pPr>
    <w:rPr>
      <w:rFonts w:ascii="Times New Roman" w:hAnsi="Times New Roman" w:cs="Times New Roman"/>
      <w:b/>
      <w:bCs/>
      <w:kern w:val="44"/>
      <w:sz w:val="32"/>
      <w:szCs w:val="44"/>
    </w:rPr>
  </w:style>
  <w:style w:type="paragraph" w:styleId="5">
    <w:name w:val="heading 2"/>
    <w:basedOn w:val="1"/>
    <w:next w:val="1"/>
    <w:link w:val="35"/>
    <w:qFormat/>
    <w:uiPriority w:val="0"/>
    <w:pPr>
      <w:keepNext/>
      <w:keepLines/>
      <w:spacing w:before="260" w:after="260" w:line="415" w:lineRule="auto"/>
      <w:ind w:firstLine="200"/>
      <w:jc w:val="left"/>
      <w:outlineLvl w:val="1"/>
    </w:pPr>
    <w:rPr>
      <w:rFonts w:ascii="Cambria" w:hAnsi="Cambria" w:cs="Times New Roman"/>
      <w:b/>
      <w:bCs/>
      <w:kern w:val="0"/>
      <w:sz w:val="30"/>
      <w:szCs w:val="32"/>
    </w:rPr>
  </w:style>
  <w:style w:type="paragraph" w:styleId="6">
    <w:name w:val="heading 3"/>
    <w:basedOn w:val="1"/>
    <w:next w:val="1"/>
    <w:link w:val="36"/>
    <w:qFormat/>
    <w:uiPriority w:val="9"/>
    <w:pPr>
      <w:keepNext/>
      <w:keepLines/>
      <w:spacing w:before="260" w:after="260" w:line="416" w:lineRule="auto"/>
      <w:jc w:val="left"/>
      <w:outlineLvl w:val="2"/>
    </w:pPr>
    <w:rPr>
      <w:rFonts w:cs="Times New Roman"/>
      <w:bCs/>
      <w:kern w:val="0"/>
      <w:szCs w:val="32"/>
    </w:rPr>
  </w:style>
  <w:style w:type="paragraph" w:styleId="7">
    <w:name w:val="heading 4"/>
    <w:basedOn w:val="1"/>
    <w:next w:val="1"/>
    <w:link w:val="37"/>
    <w:qFormat/>
    <w:uiPriority w:val="9"/>
    <w:pPr>
      <w:keepNext/>
      <w:keepLines/>
      <w:spacing w:before="280" w:after="290" w:line="376" w:lineRule="auto"/>
      <w:outlineLvl w:val="3"/>
    </w:pPr>
    <w:rPr>
      <w:rFonts w:ascii="Cambria" w:hAnsi="Cambria" w:eastAsia="宋体" w:cs="Times New Roman"/>
      <w:b/>
      <w:bCs/>
      <w:kern w:val="0"/>
      <w:szCs w:val="28"/>
    </w:rPr>
  </w:style>
  <w:style w:type="character" w:default="1" w:styleId="26">
    <w:name w:val="Default Paragraph Font"/>
    <w:unhideWhenUsed/>
    <w:qFormat/>
    <w:uiPriority w:val="1"/>
  </w:style>
  <w:style w:type="table" w:default="1" w:styleId="24">
    <w:name w:val="Normal Table"/>
    <w:unhideWhenUsed/>
    <w:qFormat/>
    <w:uiPriority w:val="99"/>
    <w:tblPr>
      <w:tblCellMar>
        <w:top w:w="0" w:type="dxa"/>
        <w:left w:w="108" w:type="dxa"/>
        <w:bottom w:w="0" w:type="dxa"/>
        <w:right w:w="108" w:type="dxa"/>
      </w:tblCellMar>
    </w:tblPr>
  </w:style>
  <w:style w:type="paragraph" w:styleId="2">
    <w:name w:val="Body Text First Indent 2"/>
    <w:basedOn w:val="3"/>
    <w:link w:val="33"/>
    <w:unhideWhenUsed/>
    <w:qFormat/>
    <w:uiPriority w:val="0"/>
    <w:pPr>
      <w:ind w:firstLine="420"/>
    </w:pPr>
  </w:style>
  <w:style w:type="paragraph" w:styleId="3">
    <w:name w:val="Body Text Indent"/>
    <w:basedOn w:val="1"/>
    <w:link w:val="32"/>
    <w:unhideWhenUsed/>
    <w:qFormat/>
    <w:uiPriority w:val="99"/>
    <w:pPr>
      <w:spacing w:after="120"/>
      <w:ind w:left="420" w:leftChars="200"/>
    </w:pPr>
    <w:rPr>
      <w:rFonts w:cs="Times New Roman"/>
      <w:kern w:val="0"/>
      <w:szCs w:val="20"/>
    </w:rPr>
  </w:style>
  <w:style w:type="paragraph" w:styleId="8">
    <w:name w:val="toc 7"/>
    <w:basedOn w:val="1"/>
    <w:next w:val="1"/>
    <w:unhideWhenUsed/>
    <w:qFormat/>
    <w:uiPriority w:val="39"/>
    <w:pPr>
      <w:ind w:left="1680"/>
      <w:jc w:val="left"/>
    </w:pPr>
    <w:rPr>
      <w:rFonts w:ascii="Calibri" w:hAnsi="Calibri" w:cs="Calibri"/>
      <w:sz w:val="18"/>
      <w:szCs w:val="18"/>
    </w:rPr>
  </w:style>
  <w:style w:type="paragraph" w:styleId="9">
    <w:name w:val="Document Map"/>
    <w:basedOn w:val="1"/>
    <w:link w:val="38"/>
    <w:unhideWhenUsed/>
    <w:qFormat/>
    <w:uiPriority w:val="99"/>
    <w:rPr>
      <w:rFonts w:ascii="宋体" w:eastAsia="宋体" w:cs="Times New Roman"/>
      <w:kern w:val="0"/>
      <w:sz w:val="18"/>
      <w:szCs w:val="18"/>
    </w:rPr>
  </w:style>
  <w:style w:type="paragraph" w:styleId="10">
    <w:name w:val="Body Text"/>
    <w:basedOn w:val="1"/>
    <w:qFormat/>
    <w:uiPriority w:val="0"/>
    <w:pPr>
      <w:spacing w:before="240" w:after="240" w:line="360" w:lineRule="auto"/>
      <w:jc w:val="center"/>
    </w:pPr>
    <w:rPr>
      <w:b/>
      <w:sz w:val="44"/>
    </w:rPr>
  </w:style>
  <w:style w:type="paragraph" w:styleId="11">
    <w:name w:val="toc 5"/>
    <w:basedOn w:val="1"/>
    <w:next w:val="1"/>
    <w:unhideWhenUsed/>
    <w:qFormat/>
    <w:uiPriority w:val="39"/>
    <w:pPr>
      <w:ind w:left="1120"/>
      <w:jc w:val="left"/>
    </w:pPr>
    <w:rPr>
      <w:rFonts w:ascii="Calibri" w:hAnsi="Calibri" w:cs="Calibri"/>
      <w:sz w:val="18"/>
      <w:szCs w:val="18"/>
    </w:rPr>
  </w:style>
  <w:style w:type="paragraph" w:styleId="12">
    <w:name w:val="toc 3"/>
    <w:basedOn w:val="1"/>
    <w:next w:val="1"/>
    <w:unhideWhenUsed/>
    <w:qFormat/>
    <w:uiPriority w:val="39"/>
    <w:pPr>
      <w:ind w:left="560"/>
      <w:jc w:val="left"/>
    </w:pPr>
    <w:rPr>
      <w:rFonts w:ascii="Calibri" w:hAnsi="Calibri" w:cs="Calibri"/>
      <w:i/>
      <w:iCs/>
      <w:sz w:val="20"/>
      <w:szCs w:val="20"/>
    </w:rPr>
  </w:style>
  <w:style w:type="paragraph" w:styleId="13">
    <w:name w:val="toc 8"/>
    <w:basedOn w:val="1"/>
    <w:next w:val="1"/>
    <w:unhideWhenUsed/>
    <w:qFormat/>
    <w:uiPriority w:val="39"/>
    <w:pPr>
      <w:ind w:left="1960"/>
      <w:jc w:val="left"/>
    </w:pPr>
    <w:rPr>
      <w:rFonts w:ascii="Calibri" w:hAnsi="Calibri" w:cs="Calibri"/>
      <w:sz w:val="18"/>
      <w:szCs w:val="18"/>
    </w:rPr>
  </w:style>
  <w:style w:type="paragraph" w:styleId="14">
    <w:name w:val="Balloon Text"/>
    <w:basedOn w:val="1"/>
    <w:link w:val="40"/>
    <w:unhideWhenUsed/>
    <w:qFormat/>
    <w:uiPriority w:val="99"/>
    <w:rPr>
      <w:rFonts w:cs="Times New Roman"/>
      <w:kern w:val="0"/>
      <w:sz w:val="18"/>
      <w:szCs w:val="18"/>
    </w:rPr>
  </w:style>
  <w:style w:type="paragraph" w:styleId="15">
    <w:name w:val="footer"/>
    <w:basedOn w:val="1"/>
    <w:link w:val="41"/>
    <w:unhideWhenUsed/>
    <w:qFormat/>
    <w:uiPriority w:val="99"/>
    <w:pPr>
      <w:tabs>
        <w:tab w:val="center" w:pos="4153"/>
        <w:tab w:val="right" w:pos="8306"/>
      </w:tabs>
      <w:snapToGrid w:val="0"/>
      <w:jc w:val="left"/>
    </w:pPr>
    <w:rPr>
      <w:rFonts w:cs="Times New Roman"/>
      <w:kern w:val="0"/>
      <w:sz w:val="18"/>
      <w:szCs w:val="18"/>
    </w:rPr>
  </w:style>
  <w:style w:type="paragraph" w:styleId="16">
    <w:name w:val="header"/>
    <w:basedOn w:val="1"/>
    <w:link w:val="42"/>
    <w:unhideWhenUsed/>
    <w:qFormat/>
    <w:uiPriority w:val="99"/>
    <w:pPr>
      <w:pBdr>
        <w:bottom w:val="single" w:color="auto" w:sz="6" w:space="1"/>
      </w:pBdr>
      <w:tabs>
        <w:tab w:val="center" w:pos="4153"/>
        <w:tab w:val="right" w:pos="8306"/>
      </w:tabs>
      <w:snapToGrid w:val="0"/>
      <w:jc w:val="center"/>
    </w:pPr>
    <w:rPr>
      <w:rFonts w:cs="Times New Roman"/>
      <w:kern w:val="0"/>
      <w:sz w:val="18"/>
      <w:szCs w:val="18"/>
    </w:rPr>
  </w:style>
  <w:style w:type="paragraph" w:styleId="17">
    <w:name w:val="toc 1"/>
    <w:basedOn w:val="1"/>
    <w:next w:val="1"/>
    <w:unhideWhenUsed/>
    <w:qFormat/>
    <w:uiPriority w:val="39"/>
    <w:pPr>
      <w:spacing w:before="120" w:after="120"/>
      <w:jc w:val="left"/>
    </w:pPr>
    <w:rPr>
      <w:rFonts w:ascii="Calibri" w:hAnsi="Calibri" w:cs="Calibri"/>
      <w:b/>
      <w:bCs/>
      <w:caps/>
      <w:sz w:val="20"/>
      <w:szCs w:val="20"/>
    </w:rPr>
  </w:style>
  <w:style w:type="paragraph" w:styleId="18">
    <w:name w:val="toc 4"/>
    <w:basedOn w:val="1"/>
    <w:next w:val="1"/>
    <w:unhideWhenUsed/>
    <w:qFormat/>
    <w:uiPriority w:val="39"/>
    <w:pPr>
      <w:ind w:left="840"/>
      <w:jc w:val="left"/>
    </w:pPr>
    <w:rPr>
      <w:rFonts w:ascii="Calibri" w:hAnsi="Calibri" w:cs="Calibri"/>
      <w:sz w:val="18"/>
      <w:szCs w:val="18"/>
    </w:rPr>
  </w:style>
  <w:style w:type="paragraph" w:styleId="19">
    <w:name w:val="toc 6"/>
    <w:basedOn w:val="1"/>
    <w:next w:val="1"/>
    <w:unhideWhenUsed/>
    <w:qFormat/>
    <w:uiPriority w:val="39"/>
    <w:pPr>
      <w:ind w:left="1400"/>
      <w:jc w:val="left"/>
    </w:pPr>
    <w:rPr>
      <w:rFonts w:ascii="Calibri" w:hAnsi="Calibri" w:cs="Calibri"/>
      <w:sz w:val="18"/>
      <w:szCs w:val="18"/>
    </w:rPr>
  </w:style>
  <w:style w:type="paragraph" w:styleId="20">
    <w:name w:val="toc 2"/>
    <w:basedOn w:val="1"/>
    <w:next w:val="1"/>
    <w:unhideWhenUsed/>
    <w:qFormat/>
    <w:uiPriority w:val="39"/>
    <w:pPr>
      <w:ind w:left="280"/>
      <w:jc w:val="left"/>
    </w:pPr>
    <w:rPr>
      <w:rFonts w:ascii="Calibri" w:hAnsi="Calibri" w:cs="Calibri"/>
      <w:smallCaps/>
      <w:sz w:val="20"/>
      <w:szCs w:val="20"/>
    </w:rPr>
  </w:style>
  <w:style w:type="paragraph" w:styleId="21">
    <w:name w:val="toc 9"/>
    <w:basedOn w:val="1"/>
    <w:next w:val="1"/>
    <w:unhideWhenUsed/>
    <w:qFormat/>
    <w:uiPriority w:val="39"/>
    <w:pPr>
      <w:ind w:left="2240"/>
      <w:jc w:val="left"/>
    </w:pPr>
    <w:rPr>
      <w:rFonts w:ascii="Calibri" w:hAnsi="Calibri" w:cs="Calibri"/>
      <w:sz w:val="18"/>
      <w:szCs w:val="18"/>
    </w:rPr>
  </w:style>
  <w:style w:type="paragraph" w:styleId="22">
    <w:name w:val="Body Text 2"/>
    <w:basedOn w:val="1"/>
    <w:qFormat/>
    <w:uiPriority w:val="0"/>
    <w:pPr>
      <w:spacing w:after="120" w:line="480" w:lineRule="auto"/>
    </w:pPr>
    <w:rPr>
      <w:rFonts w:ascii="Times New Roman" w:hAnsi="Times New Roman" w:eastAsia="宋体"/>
    </w:rPr>
  </w:style>
  <w:style w:type="paragraph" w:styleId="23">
    <w:name w:val="Title"/>
    <w:basedOn w:val="1"/>
    <w:next w:val="1"/>
    <w:link w:val="43"/>
    <w:qFormat/>
    <w:uiPriority w:val="10"/>
    <w:pPr>
      <w:spacing w:before="240" w:after="60"/>
      <w:jc w:val="center"/>
      <w:outlineLvl w:val="0"/>
    </w:pPr>
    <w:rPr>
      <w:rFonts w:ascii="Cambria" w:hAnsi="Cambria" w:eastAsia="宋体" w:cs="Times New Roman"/>
      <w:b/>
      <w:bCs/>
      <w:sz w:val="32"/>
      <w:szCs w:val="32"/>
    </w:rPr>
  </w:style>
  <w:style w:type="table" w:styleId="25">
    <w:name w:val="Table Grid"/>
    <w:basedOn w:val="24"/>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7">
    <w:name w:val="Strong"/>
    <w:qFormat/>
    <w:uiPriority w:val="0"/>
    <w:rPr>
      <w:b/>
      <w:bCs/>
    </w:rPr>
  </w:style>
  <w:style w:type="character" w:styleId="28">
    <w:name w:val="Hyperlink"/>
    <w:unhideWhenUsed/>
    <w:qFormat/>
    <w:uiPriority w:val="99"/>
    <w:rPr>
      <w:color w:val="0000FF"/>
      <w:u w:val="single"/>
    </w:rPr>
  </w:style>
  <w:style w:type="paragraph" w:customStyle="1" w:styleId="29">
    <w:name w:val="Comment Text"/>
    <w:basedOn w:val="1"/>
    <w:link w:val="39"/>
    <w:unhideWhenUsed/>
    <w:qFormat/>
    <w:uiPriority w:val="99"/>
    <w:rPr>
      <w:rFonts w:cs="Times New Roman"/>
      <w:kern w:val="0"/>
      <w:sz w:val="20"/>
      <w:szCs w:val="20"/>
    </w:rPr>
  </w:style>
  <w:style w:type="paragraph" w:customStyle="1" w:styleId="30">
    <w:name w:val="Comment Subject"/>
    <w:basedOn w:val="29"/>
    <w:next w:val="29"/>
    <w:link w:val="44"/>
    <w:unhideWhenUsed/>
    <w:qFormat/>
    <w:uiPriority w:val="99"/>
    <w:rPr>
      <w:b/>
      <w:bCs/>
    </w:rPr>
  </w:style>
  <w:style w:type="character" w:customStyle="1" w:styleId="31">
    <w:name w:val="Comment Reference"/>
    <w:unhideWhenUsed/>
    <w:qFormat/>
    <w:uiPriority w:val="99"/>
    <w:rPr>
      <w:sz w:val="16"/>
      <w:szCs w:val="16"/>
    </w:rPr>
  </w:style>
  <w:style w:type="character" w:customStyle="1" w:styleId="32">
    <w:name w:val="正文文本缩进 Char"/>
    <w:link w:val="3"/>
    <w:semiHidden/>
    <w:qFormat/>
    <w:uiPriority w:val="99"/>
    <w:rPr>
      <w:rFonts w:ascii="Calibri" w:hAnsi="Calibri" w:eastAsia="仿宋_GB2312" w:cs="黑体"/>
      <w:sz w:val="28"/>
    </w:rPr>
  </w:style>
  <w:style w:type="character" w:customStyle="1" w:styleId="33">
    <w:name w:val="正文首行缩进 2 Char"/>
    <w:link w:val="2"/>
    <w:qFormat/>
    <w:uiPriority w:val="0"/>
    <w:rPr>
      <w:rFonts w:ascii="Calibri" w:hAnsi="Calibri" w:eastAsia="仿宋_GB2312" w:cs="黑体"/>
      <w:sz w:val="28"/>
    </w:rPr>
  </w:style>
  <w:style w:type="character" w:customStyle="1" w:styleId="34">
    <w:name w:val="标题 1 Char"/>
    <w:link w:val="4"/>
    <w:qFormat/>
    <w:uiPriority w:val="9"/>
    <w:rPr>
      <w:rFonts w:ascii="Times New Roman" w:hAnsi="Times New Roman" w:eastAsia="仿宋_GB2312" w:cs="Times New Roman"/>
      <w:b/>
      <w:bCs/>
      <w:kern w:val="44"/>
      <w:sz w:val="32"/>
      <w:szCs w:val="44"/>
    </w:rPr>
  </w:style>
  <w:style w:type="character" w:customStyle="1" w:styleId="35">
    <w:name w:val="标题 2 Char"/>
    <w:link w:val="5"/>
    <w:qFormat/>
    <w:uiPriority w:val="0"/>
    <w:rPr>
      <w:rFonts w:ascii="Cambria" w:hAnsi="Cambria" w:eastAsia="仿宋_GB2312" w:cs="Times New Roman"/>
      <w:b/>
      <w:bCs/>
      <w:kern w:val="0"/>
      <w:sz w:val="30"/>
      <w:szCs w:val="32"/>
    </w:rPr>
  </w:style>
  <w:style w:type="character" w:customStyle="1" w:styleId="36">
    <w:name w:val="标题 3 Char"/>
    <w:link w:val="6"/>
    <w:qFormat/>
    <w:uiPriority w:val="9"/>
    <w:rPr>
      <w:rFonts w:ascii="Calibri" w:hAnsi="Calibri" w:eastAsia="仿宋_GB2312" w:cs="黑体"/>
      <w:bCs/>
      <w:sz w:val="28"/>
      <w:szCs w:val="32"/>
    </w:rPr>
  </w:style>
  <w:style w:type="character" w:customStyle="1" w:styleId="37">
    <w:name w:val="标题 4 Char"/>
    <w:link w:val="7"/>
    <w:semiHidden/>
    <w:qFormat/>
    <w:uiPriority w:val="9"/>
    <w:rPr>
      <w:rFonts w:ascii="Cambria" w:hAnsi="Cambria" w:eastAsia="宋体" w:cs="Times New Roman"/>
      <w:b/>
      <w:bCs/>
      <w:sz w:val="28"/>
      <w:szCs w:val="28"/>
    </w:rPr>
  </w:style>
  <w:style w:type="character" w:customStyle="1" w:styleId="38">
    <w:name w:val="文档结构图 Char"/>
    <w:link w:val="9"/>
    <w:semiHidden/>
    <w:qFormat/>
    <w:uiPriority w:val="99"/>
    <w:rPr>
      <w:rFonts w:ascii="宋体" w:hAnsi="Calibri" w:eastAsia="宋体" w:cs="黑体"/>
      <w:sz w:val="18"/>
      <w:szCs w:val="18"/>
    </w:rPr>
  </w:style>
  <w:style w:type="character" w:customStyle="1" w:styleId="39">
    <w:name w:val="批注文字 Char"/>
    <w:link w:val="29"/>
    <w:semiHidden/>
    <w:qFormat/>
    <w:uiPriority w:val="99"/>
    <w:rPr>
      <w:rFonts w:ascii="Calibri" w:hAnsi="Calibri" w:eastAsia="仿宋_GB2312" w:cs="黑体"/>
      <w:sz w:val="20"/>
      <w:szCs w:val="20"/>
    </w:rPr>
  </w:style>
  <w:style w:type="character" w:customStyle="1" w:styleId="40">
    <w:name w:val="批注框文本 Char"/>
    <w:link w:val="14"/>
    <w:semiHidden/>
    <w:qFormat/>
    <w:uiPriority w:val="99"/>
    <w:rPr>
      <w:rFonts w:ascii="Calibri" w:hAnsi="Calibri" w:eastAsia="仿宋_GB2312" w:cs="黑体"/>
      <w:sz w:val="18"/>
      <w:szCs w:val="18"/>
    </w:rPr>
  </w:style>
  <w:style w:type="character" w:customStyle="1" w:styleId="41">
    <w:name w:val="页脚 Char"/>
    <w:link w:val="15"/>
    <w:qFormat/>
    <w:uiPriority w:val="99"/>
    <w:rPr>
      <w:rFonts w:ascii="Calibri" w:hAnsi="Calibri" w:eastAsia="仿宋_GB2312" w:cs="黑体"/>
      <w:sz w:val="18"/>
      <w:szCs w:val="18"/>
    </w:rPr>
  </w:style>
  <w:style w:type="character" w:customStyle="1" w:styleId="42">
    <w:name w:val="页眉 Char"/>
    <w:link w:val="16"/>
    <w:qFormat/>
    <w:uiPriority w:val="99"/>
    <w:rPr>
      <w:rFonts w:ascii="Calibri" w:hAnsi="Calibri" w:eastAsia="仿宋_GB2312" w:cs="黑体"/>
      <w:sz w:val="18"/>
      <w:szCs w:val="18"/>
    </w:rPr>
  </w:style>
  <w:style w:type="character" w:customStyle="1" w:styleId="43">
    <w:name w:val="标题 Char"/>
    <w:link w:val="23"/>
    <w:qFormat/>
    <w:uiPriority w:val="10"/>
    <w:rPr>
      <w:rFonts w:ascii="Cambria" w:hAnsi="Cambria"/>
      <w:b/>
      <w:bCs/>
      <w:kern w:val="2"/>
      <w:sz w:val="32"/>
      <w:szCs w:val="32"/>
    </w:rPr>
  </w:style>
  <w:style w:type="character" w:customStyle="1" w:styleId="44">
    <w:name w:val="批注主题 Char"/>
    <w:link w:val="30"/>
    <w:semiHidden/>
    <w:qFormat/>
    <w:uiPriority w:val="99"/>
    <w:rPr>
      <w:rFonts w:ascii="Calibri" w:hAnsi="Calibri" w:eastAsia="仿宋_GB2312" w:cs="黑体"/>
      <w:b/>
      <w:bCs/>
      <w:sz w:val="20"/>
      <w:szCs w:val="20"/>
    </w:rPr>
  </w:style>
  <w:style w:type="character" w:customStyle="1" w:styleId="45">
    <w:name w:val="闻政-正文一级标题 Char"/>
    <w:link w:val="46"/>
    <w:qFormat/>
    <w:uiPriority w:val="3"/>
    <w:rPr>
      <w:rFonts w:ascii="黑体" w:hAnsi="黑体" w:eastAsia="黑体"/>
      <w:bCs/>
      <w:sz w:val="32"/>
      <w:szCs w:val="32"/>
    </w:rPr>
  </w:style>
  <w:style w:type="paragraph" w:customStyle="1" w:styleId="46">
    <w:name w:val="闻政-正文一级标题"/>
    <w:basedOn w:val="6"/>
    <w:next w:val="47"/>
    <w:link w:val="45"/>
    <w:qFormat/>
    <w:uiPriority w:val="3"/>
    <w:pPr>
      <w:spacing w:before="120" w:after="60" w:line="500" w:lineRule="exact"/>
      <w:ind w:firstLine="0" w:firstLineChars="0"/>
      <w:outlineLvl w:val="0"/>
    </w:pPr>
    <w:rPr>
      <w:rFonts w:ascii="黑体" w:hAnsi="黑体" w:eastAsia="黑体"/>
      <w:sz w:val="32"/>
    </w:rPr>
  </w:style>
  <w:style w:type="paragraph" w:customStyle="1" w:styleId="47">
    <w:name w:val="闻政-正文段落文字"/>
    <w:basedOn w:val="1"/>
    <w:link w:val="48"/>
    <w:qFormat/>
    <w:uiPriority w:val="3"/>
    <w:pPr>
      <w:spacing w:line="500" w:lineRule="exact"/>
      <w:ind w:firstLine="200"/>
    </w:pPr>
    <w:rPr>
      <w:rFonts w:ascii="Times New Roman" w:hAnsi="Times New Roman" w:cs="Times New Roman"/>
      <w:kern w:val="0"/>
      <w:szCs w:val="28"/>
    </w:rPr>
  </w:style>
  <w:style w:type="character" w:customStyle="1" w:styleId="48">
    <w:name w:val="闻政-正文段落文字 Char"/>
    <w:link w:val="47"/>
    <w:qFormat/>
    <w:uiPriority w:val="3"/>
    <w:rPr>
      <w:rFonts w:ascii="Times New Roman" w:hAnsi="Times New Roman" w:eastAsia="仿宋_GB2312"/>
      <w:sz w:val="28"/>
      <w:szCs w:val="28"/>
    </w:rPr>
  </w:style>
  <w:style w:type="character" w:customStyle="1" w:styleId="49">
    <w:name w:val="闻政-正文二级标题 Char"/>
    <w:link w:val="50"/>
    <w:qFormat/>
    <w:uiPriority w:val="3"/>
    <w:rPr>
      <w:rFonts w:ascii="Times New Roman" w:hAnsi="Times New Roman" w:eastAsia="仿宋_GB2312"/>
      <w:b/>
      <w:bCs/>
      <w:sz w:val="28"/>
      <w:szCs w:val="32"/>
    </w:rPr>
  </w:style>
  <w:style w:type="paragraph" w:customStyle="1" w:styleId="50">
    <w:name w:val="闻政-正文二级标题"/>
    <w:basedOn w:val="5"/>
    <w:next w:val="47"/>
    <w:link w:val="49"/>
    <w:qFormat/>
    <w:uiPriority w:val="3"/>
    <w:pPr>
      <w:spacing w:before="120" w:after="60" w:line="500" w:lineRule="exact"/>
      <w:ind w:left="200" w:leftChars="200" w:firstLine="0" w:firstLineChars="0"/>
    </w:pPr>
    <w:rPr>
      <w:rFonts w:ascii="Times New Roman" w:hAnsi="Times New Roman"/>
      <w:sz w:val="28"/>
    </w:rPr>
  </w:style>
  <w:style w:type="character" w:customStyle="1" w:styleId="51">
    <w:name w:val="font11"/>
    <w:qFormat/>
    <w:uiPriority w:val="0"/>
    <w:rPr>
      <w:rFonts w:hint="eastAsia" w:ascii="方正仿宋_GBK" w:hAnsi="方正仿宋_GBK" w:eastAsia="方正仿宋_GBK" w:cs="方正仿宋_GBK"/>
      <w:color w:val="000000"/>
      <w:sz w:val="24"/>
      <w:szCs w:val="24"/>
      <w:u w:val="none"/>
    </w:rPr>
  </w:style>
  <w:style w:type="character" w:customStyle="1" w:styleId="52">
    <w:name w:val="52"/>
    <w:qFormat/>
    <w:uiPriority w:val="0"/>
    <w:rPr>
      <w:b/>
      <w:bCs/>
      <w:smallCaps/>
      <w:color w:val="C0504D"/>
      <w:spacing w:val="5"/>
      <w:u w:val="single"/>
    </w:rPr>
  </w:style>
  <w:style w:type="character" w:customStyle="1" w:styleId="53">
    <w:name w:val="闻政-正文三级标题 Char"/>
    <w:link w:val="54"/>
    <w:qFormat/>
    <w:uiPriority w:val="3"/>
    <w:rPr>
      <w:rFonts w:ascii="Times New Roman" w:hAnsi="Times New Roman" w:eastAsia="仿宋_GB2312"/>
      <w:b/>
      <w:snapToGrid w:val="0"/>
      <w:sz w:val="28"/>
      <w:szCs w:val="28"/>
    </w:rPr>
  </w:style>
  <w:style w:type="paragraph" w:customStyle="1" w:styleId="54">
    <w:name w:val="闻政-正文三级标题"/>
    <w:basedOn w:val="1"/>
    <w:next w:val="47"/>
    <w:link w:val="53"/>
    <w:qFormat/>
    <w:uiPriority w:val="3"/>
    <w:pPr>
      <w:widowControl/>
      <w:spacing w:before="120" w:after="60" w:line="500" w:lineRule="exact"/>
      <w:ind w:left="200" w:leftChars="200" w:firstLine="0" w:firstLineChars="0"/>
    </w:pPr>
    <w:rPr>
      <w:rFonts w:ascii="Times New Roman" w:hAnsi="Times New Roman" w:cs="Times New Roman"/>
      <w:b/>
      <w:snapToGrid w:val="0"/>
      <w:kern w:val="0"/>
      <w:szCs w:val="28"/>
    </w:rPr>
  </w:style>
  <w:style w:type="character" w:customStyle="1" w:styleId="55">
    <w:name w:val="font21"/>
    <w:qFormat/>
    <w:uiPriority w:val="0"/>
    <w:rPr>
      <w:rFonts w:hint="default" w:ascii="Times New Roman" w:hAnsi="Times New Roman" w:cs="Times New Roman"/>
      <w:color w:val="000000"/>
      <w:sz w:val="24"/>
      <w:szCs w:val="24"/>
      <w:u w:val="none"/>
    </w:rPr>
  </w:style>
  <w:style w:type="character" w:customStyle="1" w:styleId="56">
    <w:name w:val="无间隔 Char"/>
    <w:link w:val="57"/>
    <w:qFormat/>
    <w:uiPriority w:val="1"/>
    <w:rPr>
      <w:rFonts w:eastAsia="仿宋_GB2312" w:cs="黑体"/>
      <w:kern w:val="2"/>
      <w:sz w:val="28"/>
      <w:szCs w:val="22"/>
      <w:lang w:val="en-US" w:eastAsia="zh-CN" w:bidi="ar-SA"/>
    </w:rPr>
  </w:style>
  <w:style w:type="paragraph" w:styleId="57">
    <w:name w:val="No Spacing"/>
    <w:link w:val="56"/>
    <w:qFormat/>
    <w:uiPriority w:val="1"/>
    <w:pPr>
      <w:widowControl w:val="0"/>
      <w:ind w:firstLine="600" w:firstLineChars="200"/>
      <w:jc w:val="both"/>
    </w:pPr>
    <w:rPr>
      <w:rFonts w:ascii="Times New Roman" w:hAnsi="Times New Roman" w:eastAsia="仿宋_GB2312" w:cs="黑体"/>
      <w:kern w:val="2"/>
      <w:sz w:val="28"/>
      <w:szCs w:val="22"/>
      <w:lang w:val="en-US" w:eastAsia="zh-CN" w:bidi="ar-SA"/>
    </w:rPr>
  </w:style>
  <w:style w:type="paragraph" w:styleId="58">
    <w:name w:val="List Paragraph"/>
    <w:basedOn w:val="1"/>
    <w:qFormat/>
    <w:uiPriority w:val="34"/>
    <w:pPr>
      <w:ind w:firstLine="420"/>
    </w:pPr>
  </w:style>
  <w:style w:type="paragraph" w:customStyle="1" w:styleId="59">
    <w:name w:val="和田正文1a"/>
    <w:basedOn w:val="1"/>
    <w:qFormat/>
    <w:uiPriority w:val="0"/>
    <w:pPr>
      <w:spacing w:line="560" w:lineRule="exact"/>
      <w:ind w:firstLine="1004" w:firstLineChars="200"/>
      <w:jc w:val="left"/>
    </w:pPr>
    <w:rPr>
      <w:rFonts w:ascii="Times New Roman" w:hAnsi="Times New Roman" w:cs="Times New Roman"/>
      <w:kern w:val="0"/>
      <w:sz w:val="32"/>
      <w:szCs w:val="32"/>
      <w:lang w:bidi="en-US"/>
    </w:rPr>
  </w:style>
  <w:style w:type="character" w:customStyle="1" w:styleId="60">
    <w:name w:val="font71"/>
    <w:qFormat/>
    <w:uiPriority w:val="0"/>
    <w:rPr>
      <w:rFonts w:hint="eastAsia" w:ascii="微软雅黑" w:hAnsi="微软雅黑" w:eastAsia="微软雅黑" w:cs="微软雅黑"/>
      <w:b/>
      <w:bCs/>
      <w:color w:val="000000"/>
      <w:sz w:val="32"/>
      <w:szCs w:val="32"/>
      <w:u w:val="none"/>
    </w:rPr>
  </w:style>
  <w:style w:type="paragraph" w:customStyle="1" w:styleId="61">
    <w:name w:val="标题2"/>
    <w:basedOn w:val="5"/>
    <w:qFormat/>
    <w:uiPriority w:val="0"/>
    <w:pPr>
      <w:numPr>
        <w:ilvl w:val="0"/>
        <w:numId w:val="1"/>
      </w:numPr>
      <w:spacing w:before="120" w:after="120" w:line="500" w:lineRule="exact"/>
    </w:pPr>
    <w:rPr>
      <w:rFonts w:ascii="仿宋_GB2312" w:eastAsia="仿宋_GB2312" w:cs="Times New Roman"/>
    </w:rPr>
  </w:style>
  <w:style w:type="paragraph" w:customStyle="1" w:styleId="62">
    <w:name w:val="Char"/>
    <w:basedOn w:val="1"/>
    <w:qFormat/>
    <w:uiPriority w:val="0"/>
    <w:rPr>
      <w:rFonts w:ascii="仿宋_GB2312" w:eastAsia="仿宋_GB2312" w:cs="黑体"/>
      <w:b/>
      <w:sz w:val="32"/>
      <w:szCs w:val="32"/>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A7D52E4BBC7F4B149981B2449AC405E4_13</vt:lpwstr>
  </property>
  <property fmtid="{D5CDD505-2E9C-101B-9397-08002B2CF9AE}" pid="4" name="KSOTemplateDocerSaveRecord">
    <vt:lpwstr>eyJoZGlkIjoiZDE5MGZhMTJhZDM2OTQwYzkzYWVjM2FhZDUxN2Q0M2IiLCJ1c2VySWQiOiI2NTE5NDIwMjYifQ==</vt:lpwstr>
  </property>
</Properties>
</file>

<file path=customXml/itemProps1.xml><?xml version="1.0" encoding="utf-8"?>
<ds:datastoreItem xmlns:ds="http://schemas.openxmlformats.org/officeDocument/2006/customXml" ds:itemID="{1549f1eb-4494-4d29-9eb3-c9b481408336}">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29</Pages>
  <Words>9974</Words>
  <Characters>10596</Characters>
  <Lines>107</Lines>
  <Paragraphs>30</Paragraphs>
  <TotalTime>1</TotalTime>
  <ScaleCrop>false</ScaleCrop>
  <LinksUpToDate>false</LinksUpToDate>
  <CharactersWithSpaces>10635</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2025-04-28T03:19:00Z</dcterms:created>
  <dc:creator>User</dc:creator>
  <cp:lastModifiedBy>Administrator</cp:lastModifiedBy>
  <dcterms:modified xsi:type="dcterms:W3CDTF">2025-10-10T10:45:12Z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A7D52E4BBC7F4B149981B2449AC405E4_13</vt:lpwstr>
  </property>
  <property fmtid="{D5CDD505-2E9C-101B-9397-08002B2CF9AE}" pid="4" name="KSOTemplateDocerSaveRecord">
    <vt:lpwstr>eyJoZGlkIjoiZDE5MGZhMTJhZDM2OTQwYzkzYWVjM2FhZDUxN2Q0M2IiLCJ1c2VySWQiOiI2NTE5NDIwMjYifQ_x003D__x003D_</vt:lpwstr>
  </property>
</Properties>
</file>