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22E76">
      <w:bookmarkStart w:id="20" w:name="_GoBack"/>
      <w:bookmarkEnd w:id="20"/>
    </w:p>
    <w:p w14:paraId="64785E9D">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color w:val="auto"/>
          <w:kern w:val="0"/>
          <w:sz w:val="32"/>
          <w:szCs w:val="32"/>
          <w:highlight w:val="none"/>
          <w:lang w:val="en-US" w:eastAsia="zh-CN" w:bidi="en-US"/>
        </w:rPr>
      </w:pPr>
    </w:p>
    <w:p w14:paraId="2833488A">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auto"/>
          <w:sz w:val="36"/>
          <w:szCs w:val="36"/>
          <w:highlight w:val="none"/>
          <w:lang w:val="en-US" w:eastAsia="zh-CN"/>
        </w:rPr>
      </w:pPr>
      <w:r>
        <w:rPr>
          <w:rFonts w:hint="eastAsia" w:ascii="黑体" w:hAnsi="黑体" w:eastAsia="黑体" w:cs="黑体"/>
          <w:b/>
          <w:color w:val="auto"/>
          <w:sz w:val="36"/>
          <w:szCs w:val="36"/>
          <w:highlight w:val="none"/>
          <w:lang w:val="en-US" w:eastAsia="zh-CN"/>
        </w:rPr>
        <w:t>和田地区洛浦县专项资金-和地财教【2023】73号：</w:t>
      </w:r>
    </w:p>
    <w:p w14:paraId="708BD2F9">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auto"/>
          <w:sz w:val="36"/>
          <w:szCs w:val="36"/>
          <w:highlight w:val="none"/>
          <w:lang w:val="en-US" w:eastAsia="zh-CN"/>
        </w:rPr>
      </w:pPr>
      <w:r>
        <w:rPr>
          <w:rFonts w:hint="eastAsia" w:ascii="黑体" w:hAnsi="黑体" w:eastAsia="黑体" w:cs="黑体"/>
          <w:b/>
          <w:color w:val="auto"/>
          <w:sz w:val="36"/>
          <w:szCs w:val="36"/>
          <w:highlight w:val="none"/>
          <w:lang w:val="en-US" w:eastAsia="zh-CN"/>
        </w:rPr>
        <w:t>2024年新疆西藏等地区教育特殊补助资金-学前三年免费保障经费-公用经费-洛财教【2024】22号</w:t>
      </w:r>
    </w:p>
    <w:p w14:paraId="67B19F55">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auto"/>
          <w:sz w:val="36"/>
          <w:szCs w:val="36"/>
          <w:highlight w:val="none"/>
        </w:rPr>
      </w:pPr>
      <w:r>
        <w:rPr>
          <w:rFonts w:hint="eastAsia" w:ascii="黑体" w:hAnsi="黑体" w:eastAsia="黑体" w:cs="黑体"/>
          <w:b/>
          <w:color w:val="auto"/>
          <w:sz w:val="36"/>
          <w:szCs w:val="36"/>
          <w:highlight w:val="none"/>
        </w:rPr>
        <w:t>项目支出绩效评价报告</w:t>
      </w:r>
    </w:p>
    <w:p w14:paraId="1863D313">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val="0"/>
          <w:bCs/>
          <w:color w:val="auto"/>
          <w:kern w:val="2"/>
          <w:sz w:val="36"/>
          <w:szCs w:val="36"/>
          <w:highlight w:val="none"/>
          <w:lang w:val="en-US" w:eastAsia="zh-CN" w:bidi="ar-SA"/>
        </w:rPr>
      </w:pPr>
    </w:p>
    <w:p w14:paraId="29C6DC50">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val="0"/>
          <w:bCs/>
          <w:color w:val="auto"/>
          <w:kern w:val="2"/>
          <w:sz w:val="36"/>
          <w:szCs w:val="36"/>
          <w:highlight w:val="none"/>
          <w:lang w:val="en-US" w:eastAsia="zh-CN" w:bidi="ar-SA"/>
        </w:rPr>
      </w:pPr>
      <w:r>
        <w:rPr>
          <w:rFonts w:hint="eastAsia" w:ascii="黑体" w:hAnsi="黑体" w:eastAsia="黑体" w:cs="黑体"/>
          <w:b w:val="0"/>
          <w:bCs/>
          <w:color w:val="auto"/>
          <w:kern w:val="2"/>
          <w:sz w:val="36"/>
          <w:szCs w:val="36"/>
          <w:highlight w:val="none"/>
          <w:lang w:val="en-US" w:eastAsia="zh-CN" w:bidi="ar-SA"/>
        </w:rPr>
        <w:t>（2024年度）</w:t>
      </w:r>
    </w:p>
    <w:p w14:paraId="25A30E0C">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highlight w:val="none"/>
          <w:lang w:bidi="en-US"/>
        </w:rPr>
      </w:pPr>
    </w:p>
    <w:p w14:paraId="3C894DF9">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highlight w:val="none"/>
          <w:lang w:bidi="en-US"/>
        </w:rPr>
      </w:pPr>
    </w:p>
    <w:p w14:paraId="75D14F07">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highlight w:val="none"/>
          <w:lang w:bidi="en-US"/>
        </w:rPr>
      </w:pPr>
    </w:p>
    <w:p w14:paraId="70F500AB">
      <w:pPr>
        <w:pageBreakBefore w:val="0"/>
        <w:widowControl w:val="0"/>
        <w:kinsoku/>
        <w:wordWrap/>
        <w:topLinePunct w:val="0"/>
        <w:autoSpaceDE/>
        <w:autoSpaceDN/>
        <w:bidi w:val="0"/>
        <w:spacing w:line="560" w:lineRule="exact"/>
        <w:ind w:left="0" w:leftChars="0" w:firstLine="0" w:firstLineChars="0"/>
        <w:jc w:val="left"/>
        <w:textAlignment w:val="auto"/>
        <w:rPr>
          <w:rFonts w:hint="eastAsia" w:ascii="宋体" w:hAnsi="宋体" w:eastAsia="宋体" w:cs="宋体"/>
          <w:color w:val="auto"/>
          <w:kern w:val="0"/>
          <w:sz w:val="28"/>
          <w:szCs w:val="28"/>
          <w:highlight w:val="none"/>
          <w:lang w:bidi="en-US"/>
        </w:rPr>
      </w:pPr>
    </w:p>
    <w:p w14:paraId="3854926D">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highlight w:val="none"/>
          <w:lang w:bidi="en-US"/>
        </w:rPr>
      </w:pPr>
    </w:p>
    <w:p w14:paraId="067EEA2F">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highlight w:val="none"/>
          <w:lang w:bidi="en-US"/>
        </w:rPr>
      </w:pPr>
    </w:p>
    <w:p w14:paraId="03B1E0F3">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b w:val="0"/>
          <w:bCs w:val="0"/>
          <w:color w:val="auto"/>
          <w:kern w:val="0"/>
          <w:sz w:val="24"/>
          <w:szCs w:val="24"/>
          <w:highlight w:val="none"/>
          <w:lang w:bidi="en-US"/>
        </w:rPr>
      </w:pPr>
      <w:r>
        <w:rPr>
          <w:rFonts w:hint="eastAsia" w:ascii="宋体" w:hAnsi="宋体" w:eastAsia="宋体" w:cs="宋体"/>
          <w:b w:val="0"/>
          <w:bCs w:val="0"/>
          <w:color w:val="auto"/>
          <w:kern w:val="0"/>
          <w:sz w:val="24"/>
          <w:szCs w:val="24"/>
          <w:highlight w:val="none"/>
          <w:lang w:bidi="en-US"/>
        </w:rPr>
        <w:t>项目名称：专项资金-和地财教【2023】73号：2024年新疆西藏</w:t>
      </w:r>
    </w:p>
    <w:p w14:paraId="15048BDA">
      <w:pPr>
        <w:pageBreakBefore w:val="0"/>
        <w:widowControl w:val="0"/>
        <w:kinsoku/>
        <w:wordWrap/>
        <w:topLinePunct w:val="0"/>
        <w:autoSpaceDE/>
        <w:autoSpaceDN/>
        <w:bidi w:val="0"/>
        <w:spacing w:line="560" w:lineRule="exact"/>
        <w:ind w:firstLine="2160" w:firstLineChars="900"/>
        <w:jc w:val="left"/>
        <w:textAlignment w:val="auto"/>
        <w:rPr>
          <w:rFonts w:hint="eastAsia" w:ascii="宋体" w:hAnsi="宋体" w:eastAsia="宋体" w:cs="宋体"/>
          <w:b w:val="0"/>
          <w:bCs w:val="0"/>
          <w:color w:val="auto"/>
          <w:kern w:val="0"/>
          <w:sz w:val="24"/>
          <w:szCs w:val="24"/>
          <w:highlight w:val="none"/>
          <w:lang w:bidi="en-US"/>
        </w:rPr>
      </w:pPr>
      <w:r>
        <w:rPr>
          <w:rFonts w:hint="eastAsia" w:ascii="宋体" w:hAnsi="宋体" w:eastAsia="宋体" w:cs="宋体"/>
          <w:b w:val="0"/>
          <w:bCs w:val="0"/>
          <w:color w:val="auto"/>
          <w:kern w:val="0"/>
          <w:sz w:val="24"/>
          <w:szCs w:val="24"/>
          <w:highlight w:val="none"/>
          <w:lang w:bidi="en-US"/>
        </w:rPr>
        <w:t>等地区教育特殊补助资金-学前三年免费保障经费-公用</w:t>
      </w:r>
    </w:p>
    <w:p w14:paraId="5D1CF9A1">
      <w:pPr>
        <w:pageBreakBefore w:val="0"/>
        <w:widowControl w:val="0"/>
        <w:kinsoku/>
        <w:wordWrap/>
        <w:topLinePunct w:val="0"/>
        <w:autoSpaceDE/>
        <w:autoSpaceDN/>
        <w:bidi w:val="0"/>
        <w:spacing w:line="560" w:lineRule="exact"/>
        <w:ind w:firstLine="2160" w:firstLineChars="900"/>
        <w:jc w:val="left"/>
        <w:textAlignment w:val="auto"/>
        <w:rPr>
          <w:rFonts w:hint="eastAsia" w:ascii="宋体" w:hAnsi="宋体" w:eastAsia="宋体" w:cs="宋体"/>
          <w:b w:val="0"/>
          <w:bCs w:val="0"/>
          <w:color w:val="auto"/>
          <w:kern w:val="0"/>
          <w:sz w:val="24"/>
          <w:szCs w:val="24"/>
          <w:highlight w:val="none"/>
          <w:lang w:bidi="en-US"/>
        </w:rPr>
      </w:pPr>
      <w:r>
        <w:rPr>
          <w:rFonts w:hint="eastAsia" w:ascii="宋体" w:hAnsi="宋体" w:eastAsia="宋体" w:cs="宋体"/>
          <w:b w:val="0"/>
          <w:bCs w:val="0"/>
          <w:color w:val="auto"/>
          <w:kern w:val="0"/>
          <w:sz w:val="24"/>
          <w:szCs w:val="24"/>
          <w:highlight w:val="none"/>
          <w:lang w:bidi="en-US"/>
        </w:rPr>
        <w:t>经费-洛财教【2024】22号</w:t>
      </w:r>
    </w:p>
    <w:p w14:paraId="5EC755BC">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b w:val="0"/>
          <w:bCs w:val="0"/>
          <w:color w:val="auto"/>
          <w:kern w:val="0"/>
          <w:sz w:val="24"/>
          <w:szCs w:val="24"/>
          <w:highlight w:val="none"/>
          <w:lang w:val="en-US" w:eastAsia="zh-CN" w:bidi="en-US"/>
        </w:rPr>
      </w:pPr>
      <w:r>
        <w:rPr>
          <w:rFonts w:hint="eastAsia" w:ascii="宋体" w:hAnsi="宋体" w:eastAsia="宋体" w:cs="宋体"/>
          <w:b w:val="0"/>
          <w:bCs w:val="0"/>
          <w:color w:val="auto"/>
          <w:kern w:val="0"/>
          <w:sz w:val="24"/>
          <w:szCs w:val="24"/>
          <w:highlight w:val="none"/>
          <w:lang w:bidi="en-US"/>
        </w:rPr>
        <w:t>项目单位：</w:t>
      </w:r>
      <w:r>
        <w:rPr>
          <w:rFonts w:hint="eastAsia" w:ascii="宋体" w:hAnsi="宋体" w:eastAsia="宋体" w:cs="宋体"/>
          <w:b w:val="0"/>
          <w:bCs w:val="0"/>
          <w:color w:val="auto"/>
          <w:kern w:val="0"/>
          <w:sz w:val="24"/>
          <w:szCs w:val="24"/>
          <w:highlight w:val="none"/>
          <w:lang w:val="en-US" w:eastAsia="zh-CN" w:bidi="en-US"/>
        </w:rPr>
        <w:t>洛浦县北京幼儿园</w:t>
      </w:r>
    </w:p>
    <w:p w14:paraId="7B0E633B">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b w:val="0"/>
          <w:bCs w:val="0"/>
          <w:color w:val="auto"/>
          <w:kern w:val="0"/>
          <w:sz w:val="24"/>
          <w:szCs w:val="24"/>
          <w:highlight w:val="none"/>
          <w:lang w:val="en-US" w:eastAsia="zh-CN" w:bidi="en-US"/>
        </w:rPr>
      </w:pPr>
      <w:r>
        <w:rPr>
          <w:rFonts w:hint="eastAsia" w:ascii="宋体" w:hAnsi="宋体" w:eastAsia="宋体" w:cs="宋体"/>
          <w:b w:val="0"/>
          <w:bCs w:val="0"/>
          <w:color w:val="auto"/>
          <w:kern w:val="0"/>
          <w:sz w:val="24"/>
          <w:szCs w:val="24"/>
          <w:highlight w:val="none"/>
          <w:lang w:bidi="en-US"/>
        </w:rPr>
        <w:t>主管部门：</w:t>
      </w:r>
      <w:r>
        <w:rPr>
          <w:rFonts w:hint="eastAsia" w:ascii="宋体" w:hAnsi="宋体" w:eastAsia="宋体" w:cs="宋体"/>
          <w:b w:val="0"/>
          <w:bCs w:val="0"/>
          <w:color w:val="auto"/>
          <w:kern w:val="0"/>
          <w:sz w:val="24"/>
          <w:szCs w:val="24"/>
          <w:highlight w:val="none"/>
          <w:lang w:val="en-US" w:eastAsia="zh-CN" w:bidi="en-US"/>
        </w:rPr>
        <w:t>洛浦县教育局</w:t>
      </w:r>
    </w:p>
    <w:p w14:paraId="0D140E42">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b w:val="0"/>
          <w:bCs w:val="0"/>
          <w:color w:val="auto"/>
          <w:kern w:val="0"/>
          <w:sz w:val="24"/>
          <w:szCs w:val="24"/>
          <w:highlight w:val="none"/>
          <w:lang w:val="en-US" w:eastAsia="zh-CN" w:bidi="en-US"/>
        </w:rPr>
      </w:pPr>
      <w:r>
        <w:rPr>
          <w:rFonts w:hint="eastAsia" w:ascii="宋体" w:hAnsi="宋体" w:eastAsia="宋体" w:cs="宋体"/>
          <w:b w:val="0"/>
          <w:bCs w:val="0"/>
          <w:color w:val="auto"/>
          <w:kern w:val="0"/>
          <w:sz w:val="24"/>
          <w:szCs w:val="24"/>
          <w:highlight w:val="none"/>
          <w:lang w:bidi="en-US"/>
        </w:rPr>
        <w:t>项目负责人：</w:t>
      </w:r>
      <w:r>
        <w:rPr>
          <w:rFonts w:hint="eastAsia" w:ascii="宋体" w:hAnsi="宋体" w:eastAsia="宋体" w:cs="宋体"/>
          <w:b w:val="0"/>
          <w:bCs w:val="0"/>
          <w:color w:val="auto"/>
          <w:kern w:val="0"/>
          <w:sz w:val="24"/>
          <w:szCs w:val="24"/>
          <w:highlight w:val="none"/>
          <w:lang w:val="en-US" w:eastAsia="zh-CN" w:bidi="en-US"/>
        </w:rPr>
        <w:t>李斯娟</w:t>
      </w:r>
    </w:p>
    <w:p w14:paraId="70294F7B">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黑体" w:hAnsi="黑体" w:eastAsia="黑体" w:cs="黑体"/>
          <w:color w:val="auto"/>
          <w:sz w:val="24"/>
          <w:szCs w:val="24"/>
          <w:highlight w:val="none"/>
          <w:lang w:val="en-US" w:eastAsia="zh-CN"/>
        </w:rPr>
      </w:pPr>
      <w:r>
        <w:rPr>
          <w:rFonts w:hint="eastAsia" w:ascii="宋体" w:hAnsi="宋体" w:eastAsia="宋体" w:cs="宋体"/>
          <w:b w:val="0"/>
          <w:bCs w:val="0"/>
          <w:color w:val="auto"/>
          <w:kern w:val="0"/>
          <w:sz w:val="24"/>
          <w:szCs w:val="24"/>
          <w:highlight w:val="none"/>
          <w:lang w:bidi="en-US"/>
        </w:rPr>
        <w:t>填报时间：</w:t>
      </w:r>
      <w:r>
        <w:rPr>
          <w:rFonts w:hint="eastAsia" w:ascii="宋体" w:hAnsi="宋体" w:eastAsia="宋体" w:cs="宋体"/>
          <w:b w:val="0"/>
          <w:bCs w:val="0"/>
          <w:color w:val="auto"/>
          <w:kern w:val="0"/>
          <w:sz w:val="24"/>
          <w:szCs w:val="24"/>
          <w:highlight w:val="none"/>
          <w:lang w:val="en-US" w:eastAsia="zh-CN" w:bidi="en-US"/>
        </w:rPr>
        <w:t>2025</w:t>
      </w:r>
      <w:r>
        <w:rPr>
          <w:rFonts w:hint="eastAsia" w:ascii="宋体" w:hAnsi="宋体" w:eastAsia="宋体" w:cs="宋体"/>
          <w:b w:val="0"/>
          <w:bCs w:val="0"/>
          <w:color w:val="auto"/>
          <w:kern w:val="0"/>
          <w:sz w:val="24"/>
          <w:szCs w:val="24"/>
          <w:highlight w:val="none"/>
          <w:lang w:bidi="en-US"/>
        </w:rPr>
        <w:t>年</w:t>
      </w:r>
      <w:r>
        <w:rPr>
          <w:rFonts w:hint="eastAsia" w:ascii="宋体" w:hAnsi="宋体" w:eastAsia="宋体" w:cs="宋体"/>
          <w:b w:val="0"/>
          <w:bCs w:val="0"/>
          <w:color w:val="auto"/>
          <w:kern w:val="0"/>
          <w:sz w:val="24"/>
          <w:szCs w:val="24"/>
          <w:highlight w:val="none"/>
          <w:lang w:val="en-US" w:eastAsia="zh-CN" w:bidi="en-US"/>
        </w:rPr>
        <w:t>3</w:t>
      </w:r>
      <w:r>
        <w:rPr>
          <w:rFonts w:hint="eastAsia" w:ascii="宋体" w:hAnsi="宋体" w:eastAsia="宋体" w:cs="宋体"/>
          <w:b w:val="0"/>
          <w:bCs w:val="0"/>
          <w:color w:val="auto"/>
          <w:kern w:val="0"/>
          <w:sz w:val="24"/>
          <w:szCs w:val="24"/>
          <w:highlight w:val="none"/>
          <w:lang w:bidi="en-US"/>
        </w:rPr>
        <w:t>月</w:t>
      </w:r>
      <w:r>
        <w:rPr>
          <w:rFonts w:hint="eastAsia" w:ascii="宋体" w:hAnsi="宋体" w:eastAsia="宋体" w:cs="宋体"/>
          <w:b w:val="0"/>
          <w:bCs w:val="0"/>
          <w:color w:val="auto"/>
          <w:kern w:val="0"/>
          <w:sz w:val="24"/>
          <w:szCs w:val="24"/>
          <w:highlight w:val="none"/>
          <w:lang w:val="en-US" w:eastAsia="zh-CN" w:bidi="en-US"/>
        </w:rPr>
        <w:t>31</w:t>
      </w:r>
      <w:r>
        <w:rPr>
          <w:rFonts w:hint="eastAsia" w:ascii="宋体" w:hAnsi="宋体" w:eastAsia="宋体" w:cs="宋体"/>
          <w:b w:val="0"/>
          <w:bCs w:val="0"/>
          <w:color w:val="auto"/>
          <w:kern w:val="0"/>
          <w:sz w:val="24"/>
          <w:szCs w:val="24"/>
          <w:highlight w:val="none"/>
          <w:lang w:bidi="en-US"/>
        </w:rPr>
        <w:t>日</w:t>
      </w:r>
      <w:bookmarkStart w:id="0" w:name="_Toc68364657"/>
    </w:p>
    <w:p w14:paraId="7C8834BF">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en-US" w:eastAsia="zh-CN"/>
        </w:rPr>
        <w:t>一、</w:t>
      </w:r>
      <w:r>
        <w:rPr>
          <w:rFonts w:hint="eastAsia" w:ascii="黑体" w:hAnsi="黑体" w:eastAsia="黑体" w:cs="黑体"/>
          <w:color w:val="auto"/>
          <w:sz w:val="24"/>
          <w:szCs w:val="24"/>
          <w:highlight w:val="none"/>
        </w:rPr>
        <w:t>基本情况</w:t>
      </w:r>
      <w:bookmarkEnd w:id="0"/>
    </w:p>
    <w:p w14:paraId="3042E803">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 w:name="_Toc68364658"/>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项目概况</w:t>
      </w:r>
      <w:bookmarkEnd w:id="1"/>
    </w:p>
    <w:p w14:paraId="54CDD445">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 项目背景</w:t>
      </w:r>
    </w:p>
    <w:p w14:paraId="3AE5BFFD">
      <w:pPr>
        <w:pStyle w:val="5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根据党的教育方针及教学大纲，组织三年制全日制初中教学，通过实施素质教育，为小学输送合格的毕业生，为社会培养合格接班人，在上级主管部门的领导下，加强对全校师生的管理和教育，加强政治思想、道德素养、法制观念、爱国主义、集体主义，无神论的教育，培养德、智、体、美、劳全面发展，招收适龄儿童，安排班级，组织教学；执行上级教育部门有关教育教学工作的安排布置，计划、办法和措施；在当地党政部门的指导下，做好当地幼儿教育。</w:t>
      </w:r>
    </w:p>
    <w:p w14:paraId="6D3653C2">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主要内容及实施情况</w:t>
      </w:r>
    </w:p>
    <w:p w14:paraId="2FA7F40B">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1）主要内容</w:t>
      </w:r>
    </w:p>
    <w:p w14:paraId="38C24DC5">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保障学生数量628人，保障在职人员数量6人，保障教学及辅助用房面积4688.3平方米，项目完成时限2023年12月，公用经费支出76.62万元，伙食费支出87.29万元，有效提高受教育学生综合素质，持续提升教学水平，维护教育公平，争取受益学生家长及受益在职人员满意度达到95%以上。</w:t>
      </w:r>
    </w:p>
    <w:p w14:paraId="7425E050">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保障我单位全年教职工的工资、津贴、奖金、离休费、退休人员生活补助、医疗保险、养老保险、住房公积金等开支。以及用于日常办公、业务活动方面的经常性开支，包括：办公费、水电费、取暖费、差旅费、公务用车交通费等。</w:t>
      </w:r>
    </w:p>
    <w:p w14:paraId="77063C0D">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宣传贯彻执行党和国家、自治区、地区的教育方针、政策；</w:t>
      </w:r>
    </w:p>
    <w:p w14:paraId="232B0685">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制定符合党的教育方针和国家教育法律法规以及本校实际的教育发展规划；</w:t>
      </w:r>
    </w:p>
    <w:p w14:paraId="27D582D9">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核算和发放教职工工资，不断提高教师满意度。</w:t>
      </w:r>
    </w:p>
    <w:p w14:paraId="702B72BE">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3.实施情况</w:t>
      </w:r>
    </w:p>
    <w:p w14:paraId="624BC0F0">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1）项目实施主体</w:t>
      </w:r>
    </w:p>
    <w:p w14:paraId="3D99FD9F">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本项目主管部门为洛浦县教育局，实施单位为洛浦县北京幼儿园。</w:t>
      </w:r>
    </w:p>
    <w:p w14:paraId="76C33285">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（2）项目实施时间：</w:t>
      </w:r>
      <w:r>
        <w:rPr>
          <w:rFonts w:hint="eastAsia" w:ascii="宋体" w:hAnsi="宋体" w:eastAsia="宋体" w:cs="宋体"/>
          <w:b w:val="0"/>
          <w:bCs w:val="0"/>
          <w:color w:val="auto"/>
          <w:sz w:val="24"/>
          <w:szCs w:val="24"/>
          <w:highlight w:val="none"/>
          <w:lang w:val="en-US" w:eastAsia="zh-CN"/>
        </w:rPr>
        <w:t>2024年1月-2024年12月</w:t>
      </w:r>
    </w:p>
    <w:p w14:paraId="283A0253">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（3）项目实施情况</w:t>
      </w:r>
    </w:p>
    <w:p w14:paraId="180D9085">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截止2024年12月31日，该项目实际支付资金151.15万元，结余资金12.76万元。该项目实施保障学校日常工作正常运行，本项目为经常性项目，已在2024年12月31日前实施完成。通过实施本项目可以有效提高学校工作效率，保障学校日常工作正常运行。</w:t>
      </w:r>
    </w:p>
    <w:p w14:paraId="24FBB165">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 资金投入和使用情况</w:t>
      </w:r>
    </w:p>
    <w:p w14:paraId="5A9C94BF">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（1）项目资金安排</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投入情况</w:t>
      </w:r>
    </w:p>
    <w:p w14:paraId="5AF7B366">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本项目预算安排总额为</w:t>
      </w:r>
      <w:r>
        <w:rPr>
          <w:rFonts w:hint="eastAsia" w:ascii="宋体" w:hAnsi="宋体" w:eastAsia="宋体" w:cs="宋体"/>
          <w:color w:val="auto"/>
          <w:sz w:val="24"/>
          <w:szCs w:val="24"/>
          <w:highlight w:val="none"/>
          <w:lang w:val="en-US" w:eastAsia="zh-CN"/>
        </w:rPr>
        <w:t>163.91</w:t>
      </w:r>
      <w:r>
        <w:rPr>
          <w:rFonts w:hint="eastAsia" w:ascii="宋体" w:hAnsi="宋体" w:eastAsia="宋体" w:cs="宋体"/>
          <w:color w:val="auto"/>
          <w:sz w:val="24"/>
          <w:szCs w:val="24"/>
          <w:highlight w:val="none"/>
        </w:rPr>
        <w:t>万元，资金来源为部门预算自治区专项资金，其中：财政资金</w:t>
      </w:r>
      <w:r>
        <w:rPr>
          <w:rFonts w:hint="eastAsia" w:ascii="宋体" w:hAnsi="宋体" w:eastAsia="宋体" w:cs="宋体"/>
          <w:color w:val="auto"/>
          <w:sz w:val="24"/>
          <w:szCs w:val="24"/>
          <w:highlight w:val="none"/>
          <w:lang w:val="en-US" w:eastAsia="zh-CN"/>
        </w:rPr>
        <w:t>163.91</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含自有资金、社会资金及以前年度结转结余资金）0</w:t>
      </w:r>
      <w:r>
        <w:rPr>
          <w:rFonts w:hint="eastAsia" w:ascii="宋体" w:hAnsi="宋体" w:eastAsia="宋体" w:cs="宋体"/>
          <w:color w:val="auto"/>
          <w:sz w:val="24"/>
          <w:szCs w:val="24"/>
          <w:highlight w:val="none"/>
        </w:rPr>
        <w:t>万元，202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年实际收到预算资金</w:t>
      </w:r>
      <w:r>
        <w:rPr>
          <w:rFonts w:hint="eastAsia" w:ascii="宋体" w:hAnsi="宋体" w:eastAsia="宋体" w:cs="宋体"/>
          <w:color w:val="auto"/>
          <w:sz w:val="24"/>
          <w:szCs w:val="24"/>
          <w:highlight w:val="none"/>
          <w:lang w:val="en-US" w:eastAsia="zh-CN"/>
        </w:rPr>
        <w:t>163.91</w:t>
      </w:r>
      <w:r>
        <w:rPr>
          <w:rFonts w:hint="eastAsia" w:ascii="宋体" w:hAnsi="宋体" w:eastAsia="宋体" w:cs="宋体"/>
          <w:color w:val="auto"/>
          <w:sz w:val="24"/>
          <w:szCs w:val="24"/>
          <w:highlight w:val="none"/>
        </w:rPr>
        <w:t>万元，预算资金到位率为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3F1CC934">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（2）项目资金实际使用情况分析</w:t>
      </w:r>
    </w:p>
    <w:p w14:paraId="05B8DE99">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本项目实际支付资金</w:t>
      </w:r>
      <w:r>
        <w:rPr>
          <w:rFonts w:hint="eastAsia" w:ascii="宋体" w:hAnsi="宋体" w:eastAsia="宋体" w:cs="宋体"/>
          <w:color w:val="auto"/>
          <w:sz w:val="24"/>
          <w:szCs w:val="24"/>
          <w:highlight w:val="none"/>
          <w:lang w:val="en-US" w:eastAsia="zh-CN"/>
        </w:rPr>
        <w:t>151.15</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92.22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结转资金额度</w:t>
      </w:r>
      <w:r>
        <w:rPr>
          <w:rFonts w:hint="eastAsia" w:ascii="宋体" w:hAnsi="宋体" w:eastAsia="宋体" w:cs="宋体"/>
          <w:color w:val="auto"/>
          <w:sz w:val="24"/>
          <w:szCs w:val="24"/>
          <w:highlight w:val="none"/>
          <w:lang w:val="en-US" w:eastAsia="zh-CN"/>
        </w:rPr>
        <w:t>为12.76万元，于2024年12月已结转资金12.76万元。</w:t>
      </w:r>
      <w:r>
        <w:rPr>
          <w:rFonts w:hint="eastAsia" w:ascii="宋体" w:hAnsi="宋体" w:eastAsia="宋体" w:cs="宋体"/>
          <w:color w:val="auto"/>
          <w:sz w:val="24"/>
          <w:szCs w:val="24"/>
          <w:highlight w:val="none"/>
        </w:rPr>
        <w:t>本项目资金主要用于支付</w:t>
      </w:r>
      <w:r>
        <w:rPr>
          <w:rFonts w:hint="eastAsia" w:ascii="宋体" w:hAnsi="宋体" w:eastAsia="宋体" w:cs="宋体"/>
          <w:color w:val="auto"/>
          <w:sz w:val="24"/>
          <w:szCs w:val="24"/>
          <w:highlight w:val="none"/>
          <w:lang w:val="en-US" w:eastAsia="zh-CN"/>
        </w:rPr>
        <w:t>公用经费</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73.32</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val="en-US" w:eastAsia="zh-CN"/>
        </w:rPr>
        <w:t>幼儿伙食</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77.83</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w:t>
      </w:r>
    </w:p>
    <w:p w14:paraId="5143A0EC">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2" w:name="_Toc68364659"/>
      <w:r>
        <w:rPr>
          <w:rFonts w:hint="eastAsia" w:ascii="宋体" w:hAnsi="宋体" w:eastAsia="宋体" w:cs="宋体"/>
          <w:color w:val="auto"/>
          <w:sz w:val="24"/>
          <w:szCs w:val="24"/>
          <w:highlight w:val="none"/>
        </w:rPr>
        <w:t>（二）项目绩效目标</w:t>
      </w:r>
      <w:bookmarkEnd w:id="2"/>
    </w:p>
    <w:p w14:paraId="6C611F61">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项目绩效目标包括项目总</w:t>
      </w:r>
      <w:r>
        <w:rPr>
          <w:rFonts w:hint="eastAsia" w:ascii="宋体" w:hAnsi="宋体" w:eastAsia="宋体" w:cs="宋体"/>
          <w:color w:val="auto"/>
          <w:sz w:val="24"/>
          <w:szCs w:val="24"/>
          <w:highlight w:val="none"/>
          <w:lang w:val="en-US" w:eastAsia="zh-CN"/>
        </w:rPr>
        <w:t>体</w:t>
      </w:r>
      <w:r>
        <w:rPr>
          <w:rFonts w:hint="eastAsia" w:ascii="宋体" w:hAnsi="宋体" w:eastAsia="宋体" w:cs="宋体"/>
          <w:color w:val="auto"/>
          <w:sz w:val="24"/>
          <w:szCs w:val="24"/>
          <w:highlight w:val="none"/>
        </w:rPr>
        <w:t>目标和阶段性目标。</w:t>
      </w:r>
    </w:p>
    <w:p w14:paraId="79EB665B">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1.总</w:t>
      </w:r>
      <w:r>
        <w:rPr>
          <w:rFonts w:hint="eastAsia" w:ascii="宋体" w:hAnsi="宋体" w:eastAsia="宋体" w:cs="宋体"/>
          <w:b/>
          <w:bCs/>
          <w:color w:val="auto"/>
          <w:sz w:val="24"/>
          <w:szCs w:val="24"/>
          <w:highlight w:val="none"/>
          <w:lang w:val="en-US" w:eastAsia="zh-CN"/>
        </w:rPr>
        <w:t>体</w:t>
      </w:r>
      <w:r>
        <w:rPr>
          <w:rFonts w:hint="eastAsia" w:ascii="宋体" w:hAnsi="宋体" w:eastAsia="宋体" w:cs="宋体"/>
          <w:b/>
          <w:bCs/>
          <w:color w:val="auto"/>
          <w:sz w:val="24"/>
          <w:szCs w:val="24"/>
          <w:highlight w:val="none"/>
        </w:rPr>
        <w:t>目标</w:t>
      </w:r>
    </w:p>
    <w:p w14:paraId="1C3F51F3">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为保障学校日常工作正常运行，本项目经常性项目，资金总额为163.91万元，将在2024年12月之前完成。通过实施本项目可以有效提高学校工作效率。保障学校日常工作正常运行.</w:t>
      </w:r>
    </w:p>
    <w:p w14:paraId="62E67D67">
      <w:pPr>
        <w:pStyle w:val="48"/>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阶段性目标</w:t>
      </w:r>
    </w:p>
    <w:p w14:paraId="182DCC2C">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bookmarkStart w:id="3" w:name="_Toc68364660"/>
      <w:r>
        <w:rPr>
          <w:rFonts w:hint="eastAsia" w:ascii="宋体" w:hAnsi="宋体" w:eastAsia="宋体" w:cs="宋体"/>
          <w:color w:val="auto"/>
          <w:sz w:val="24"/>
          <w:szCs w:val="24"/>
          <w:highlight w:val="none"/>
          <w:lang w:val="en-US" w:eastAsia="zh-CN"/>
        </w:rPr>
        <w:t>我</w:t>
      </w:r>
      <w:r>
        <w:rPr>
          <w:rFonts w:hint="eastAsia" w:ascii="宋体" w:hAnsi="宋体" w:eastAsia="宋体" w:cs="宋体"/>
          <w:color w:val="auto"/>
          <w:sz w:val="24"/>
          <w:szCs w:val="24"/>
          <w:highlight w:val="none"/>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03C54FA2">
      <w:pPr>
        <w:pStyle w:val="48"/>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产出指标</w:t>
      </w:r>
    </w:p>
    <w:p w14:paraId="358041AD">
      <w:pPr>
        <w:pStyle w:val="48"/>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数量指标:</w:t>
      </w:r>
    </w:p>
    <w:p w14:paraId="719B399A">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指标1：学前教育保障经费收益学生数量，预期指标值：“=628人</w:t>
      </w:r>
      <w:r>
        <w:rPr>
          <w:rFonts w:hint="eastAsia" w:ascii="宋体" w:hAnsi="宋体" w:eastAsia="宋体" w:cs="宋体"/>
          <w:color w:val="auto"/>
          <w:sz w:val="24"/>
          <w:szCs w:val="24"/>
          <w:highlight w:val="none"/>
          <w:lang w:eastAsia="zh-CN"/>
        </w:rPr>
        <w:t>”；</w:t>
      </w:r>
    </w:p>
    <w:p w14:paraId="14B03BE9">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2）质量指标：</w:t>
      </w:r>
    </w:p>
    <w:p w14:paraId="1286BCEC">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指标1：补助资金到位率，预期指标值：“=100%</w:t>
      </w:r>
      <w:r>
        <w:rPr>
          <w:rFonts w:hint="eastAsia" w:ascii="宋体" w:hAnsi="宋体" w:eastAsia="宋体" w:cs="宋体"/>
          <w:color w:val="auto"/>
          <w:sz w:val="24"/>
          <w:szCs w:val="24"/>
          <w:highlight w:val="none"/>
          <w:lang w:eastAsia="zh-CN"/>
        </w:rPr>
        <w:t>”；</w:t>
      </w:r>
    </w:p>
    <w:p w14:paraId="3B809451">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指标2：补助资金发放率，预期指标值：“=100%</w:t>
      </w:r>
      <w:r>
        <w:rPr>
          <w:rFonts w:hint="eastAsia" w:ascii="宋体" w:hAnsi="宋体" w:eastAsia="宋体" w:cs="宋体"/>
          <w:color w:val="auto"/>
          <w:sz w:val="24"/>
          <w:szCs w:val="24"/>
          <w:highlight w:val="none"/>
          <w:lang w:eastAsia="zh-CN"/>
        </w:rPr>
        <w:t>”；</w:t>
      </w:r>
    </w:p>
    <w:p w14:paraId="46851EE4">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3）时效目标：</w:t>
      </w:r>
    </w:p>
    <w:p w14:paraId="32F5BAA4">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指标1：项目结束时间，预期指标值：“2024年12月</w:t>
      </w:r>
      <w:r>
        <w:rPr>
          <w:rFonts w:hint="eastAsia" w:ascii="宋体" w:hAnsi="宋体" w:eastAsia="宋体" w:cs="宋体"/>
          <w:color w:val="auto"/>
          <w:sz w:val="24"/>
          <w:szCs w:val="24"/>
          <w:highlight w:val="none"/>
          <w:lang w:eastAsia="zh-CN"/>
        </w:rPr>
        <w:t>”；</w:t>
      </w:r>
    </w:p>
    <w:p w14:paraId="41817212">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指标2：资金拨付及时率，预期指标值：“=100%</w:t>
      </w:r>
      <w:r>
        <w:rPr>
          <w:rFonts w:hint="eastAsia" w:ascii="宋体" w:hAnsi="宋体" w:eastAsia="宋体" w:cs="宋体"/>
          <w:color w:val="auto"/>
          <w:sz w:val="24"/>
          <w:szCs w:val="24"/>
          <w:highlight w:val="none"/>
          <w:lang w:eastAsia="zh-CN"/>
        </w:rPr>
        <w:t>”；</w:t>
      </w:r>
    </w:p>
    <w:p w14:paraId="7F0B89BC">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（2）成本指标： </w:t>
      </w:r>
    </w:p>
    <w:p w14:paraId="0444DDEC">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1）经济成本指标</w:t>
      </w:r>
    </w:p>
    <w:p w14:paraId="20B2F4F9">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指标1：保障经费支出成本，预期指标值：“</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163.91万元</w:t>
      </w:r>
      <w:r>
        <w:rPr>
          <w:rFonts w:hint="eastAsia" w:ascii="宋体" w:hAnsi="宋体" w:eastAsia="宋体" w:cs="宋体"/>
          <w:color w:val="auto"/>
          <w:sz w:val="24"/>
          <w:szCs w:val="24"/>
          <w:highlight w:val="none"/>
          <w:lang w:eastAsia="zh-CN"/>
        </w:rPr>
        <w:t>”；</w:t>
      </w:r>
    </w:p>
    <w:p w14:paraId="0B2D8D93">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效益指标</w:t>
      </w:r>
    </w:p>
    <w:p w14:paraId="1965F42B">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）社会效益指标：</w:t>
      </w:r>
    </w:p>
    <w:p w14:paraId="42FF17A1">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指标1：改善教育教学质量，预期指标值：“有效改善</w:t>
      </w:r>
      <w:r>
        <w:rPr>
          <w:rFonts w:hint="eastAsia" w:ascii="宋体" w:hAnsi="宋体" w:eastAsia="宋体" w:cs="宋体"/>
          <w:color w:val="auto"/>
          <w:sz w:val="24"/>
          <w:szCs w:val="24"/>
          <w:highlight w:val="none"/>
          <w:lang w:eastAsia="zh-CN"/>
        </w:rPr>
        <w:t>”；</w:t>
      </w:r>
    </w:p>
    <w:p w14:paraId="5B076638">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（4）服务对象满意度指标：</w:t>
      </w:r>
    </w:p>
    <w:p w14:paraId="0AE10416">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指标1：学生满意度，预期指标值：“</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95%</w:t>
      </w:r>
      <w:r>
        <w:rPr>
          <w:rFonts w:hint="eastAsia" w:ascii="宋体" w:hAnsi="宋体" w:eastAsia="宋体" w:cs="宋体"/>
          <w:color w:val="auto"/>
          <w:sz w:val="24"/>
          <w:szCs w:val="24"/>
          <w:highlight w:val="none"/>
          <w:lang w:eastAsia="zh-CN"/>
        </w:rPr>
        <w:t>”。</w:t>
      </w:r>
    </w:p>
    <w:p w14:paraId="03F5C3E9">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p>
    <w:p w14:paraId="06696E00">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二、绩效评价工作开展情况</w:t>
      </w:r>
      <w:bookmarkEnd w:id="3"/>
    </w:p>
    <w:p w14:paraId="5C1F69D9">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4" w:name="_Toc68364661"/>
      <w:r>
        <w:rPr>
          <w:rFonts w:hint="eastAsia" w:ascii="宋体" w:hAnsi="宋体" w:eastAsia="宋体" w:cs="宋体"/>
          <w:color w:val="auto"/>
          <w:sz w:val="24"/>
          <w:szCs w:val="24"/>
          <w:highlight w:val="none"/>
        </w:rPr>
        <w:t>（一）绩效评价目的、对象和范围</w:t>
      </w:r>
      <w:bookmarkEnd w:id="4"/>
    </w:p>
    <w:p w14:paraId="46F50D76">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 绩效评价目的</w:t>
      </w:r>
    </w:p>
    <w:p w14:paraId="06C2314A">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自治区财政厅《关于印发〈自治区项目支出绩效目标设置指引〉的通知》（新财预〔2022〕42号）等相关政策文件与规定，对专项资金-和地财教【2023】73号：2024年新疆西藏等地区教育特殊补助资金-学前三年免费保障经费-公用经费-洛财教【2024】22号项目开展本次部门项目支出绩效评价工作。全面了解</w:t>
      </w:r>
      <w:r>
        <w:rPr>
          <w:rFonts w:hint="eastAsia" w:ascii="宋体" w:hAnsi="宋体" w:eastAsia="宋体" w:cs="宋体"/>
          <w:color w:val="auto"/>
          <w:sz w:val="24"/>
          <w:szCs w:val="24"/>
          <w:highlight w:val="none"/>
          <w:lang w:val="en-US" w:eastAsia="zh-CN"/>
        </w:rPr>
        <w:t>专项资金-和地财教【2023】73号：2024年新疆西藏等地区教育特殊补助资金-学前三年免费保障经费-公用经费-洛财教【2024】22号</w:t>
      </w:r>
      <w:r>
        <w:rPr>
          <w:rFonts w:hint="eastAsia" w:ascii="宋体" w:hAnsi="宋体" w:eastAsia="宋体" w:cs="宋体"/>
          <w:color w:val="auto"/>
          <w:sz w:val="24"/>
          <w:szCs w:val="24"/>
          <w:highlight w:val="none"/>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效果</w:t>
      </w:r>
      <w:r>
        <w:rPr>
          <w:rFonts w:hint="eastAsia" w:ascii="宋体" w:hAnsi="宋体" w:eastAsia="宋体" w:cs="宋体"/>
          <w:color w:val="auto"/>
          <w:sz w:val="24"/>
          <w:szCs w:val="24"/>
          <w:highlight w:val="none"/>
          <w:lang w:val="en-US" w:eastAsia="zh-CN"/>
        </w:rPr>
        <w:t>情况。</w:t>
      </w:r>
    </w:p>
    <w:p w14:paraId="660818A7">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7689B0BD">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3A3F900C">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color w:val="auto"/>
          <w:sz w:val="24"/>
          <w:szCs w:val="24"/>
          <w:highlight w:val="none"/>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highlight w:val="none"/>
        </w:rPr>
        <w:t>财政预算资金使用的效率及效益。</w:t>
      </w:r>
    </w:p>
    <w:p w14:paraId="40AA4FCD">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30AD2C64">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专项资金-和地财教【2023】73号：2024年新疆西藏等地区教育特殊补助资金-学前三年免费保障经费-公用经费-洛财教【2024】22号</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701C0CBC">
      <w:pPr>
        <w:pStyle w:val="48"/>
        <w:pageBreakBefore w:val="0"/>
        <w:widowControl w:val="0"/>
        <w:kinsoku/>
        <w:wordWrap/>
        <w:topLinePunct w:val="0"/>
        <w:autoSpaceDE/>
        <w:autoSpaceDN/>
        <w:bidi w:val="0"/>
        <w:adjustRightIn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 绩效评价范围</w:t>
      </w:r>
    </w:p>
    <w:p w14:paraId="675DE1AB">
      <w:pPr>
        <w:pStyle w:val="48"/>
        <w:pageBreakBefore w:val="0"/>
        <w:widowControl w:val="0"/>
        <w:kinsoku/>
        <w:wordWrap/>
        <w:topLinePunct w:val="0"/>
        <w:autoSpaceDE/>
        <w:autoSpaceDN/>
        <w:bidi w:val="0"/>
        <w:adjustRightIn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绩效评价主要围绕专项资金-和地财教【2023】73号：2024年新疆西藏等地区教育特殊补助资金-学前三年免费保障经费-公用经费-洛财教【2024】22号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覆盖预算资金支出项目的所有内容进行评价。</w:t>
      </w:r>
    </w:p>
    <w:p w14:paraId="400EBD0C">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（二）绩效评价原则、评价指标体系、评价方法评价标准</w:t>
      </w:r>
      <w:bookmarkEnd w:id="5"/>
    </w:p>
    <w:p w14:paraId="4CF3795F">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 绩效评价原则</w:t>
      </w:r>
    </w:p>
    <w:p w14:paraId="1804D82C">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4E711B35">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（1）科学公正。绩效评价应当运用科学合理的方法，按照规范的程序，对项目绩效进行客观、公正的反映。</w:t>
      </w:r>
    </w:p>
    <w:p w14:paraId="0B78A021">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2769EFB7">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（3）激励约束。绩效评价结果应与预算安排、政策调整、改进管理实质性挂钩，体现奖优罚劣和激励相容导向，有效要安排、低效要压减、无效要问责。</w:t>
      </w:r>
    </w:p>
    <w:p w14:paraId="1941E1AC">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（4）公开透明。绩效评价结果应依法依规公开，并自觉接受社会监督。</w:t>
      </w:r>
    </w:p>
    <w:p w14:paraId="790CC9D3">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根据以上原则，绩效评价应遵循如下要求:</w:t>
      </w:r>
    </w:p>
    <w:p w14:paraId="4ACFBB52">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（1）在数据采集时，采取客观数据，主管部门审查、社会中介组织复查，与问卷调查相结合的形式，以保证各项指标的真实性。</w:t>
      </w:r>
    </w:p>
    <w:p w14:paraId="3C6A70E0">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（2）保证评价结果的真实性、公正性，提高评价报告的公信力。</w:t>
      </w:r>
    </w:p>
    <w:p w14:paraId="3DA20F77">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（3）绩</w:t>
      </w:r>
      <w:r>
        <w:rPr>
          <w:rFonts w:hint="eastAsia" w:ascii="宋体" w:hAnsi="宋体" w:eastAsia="宋体" w:cs="宋体"/>
          <w:color w:val="auto"/>
          <w:sz w:val="24"/>
          <w:szCs w:val="24"/>
          <w:highlight w:val="none"/>
          <w:lang w:val="en-US" w:eastAsia="zh-CN"/>
        </w:rPr>
        <w:t>效</w:t>
      </w:r>
      <w:r>
        <w:rPr>
          <w:rFonts w:hint="eastAsia" w:ascii="宋体" w:hAnsi="宋体" w:eastAsia="宋体" w:cs="宋体"/>
          <w:color w:val="auto"/>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4E73CCED">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绩效评价指标体系</w:t>
      </w:r>
    </w:p>
    <w:p w14:paraId="3F84C0BB">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个二级指标。项目绩效评价体系</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详细指标体系见“附件1：项目支出绩效评价体系”。</w:t>
      </w:r>
    </w:p>
    <w:p w14:paraId="11C203DF">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 绩效评价方法</w:t>
      </w:r>
    </w:p>
    <w:p w14:paraId="05439BBD">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57AE21C6">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具体</w:t>
      </w:r>
      <w:r>
        <w:rPr>
          <w:rFonts w:hint="eastAsia" w:ascii="宋体" w:hAnsi="宋体" w:eastAsia="宋体" w:cs="宋体"/>
          <w:b w:val="0"/>
          <w:bCs/>
          <w:color w:val="auto"/>
          <w:sz w:val="24"/>
          <w:szCs w:val="24"/>
          <w:highlight w:val="none"/>
        </w:rPr>
        <w:t>评价方法的应用如下:</w:t>
      </w:r>
    </w:p>
    <w:p w14:paraId="6293345F">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立项依据充分性：比较法、文献法，查找法律法规政策以及规划，对比实际执行内容和政策支持内容是否匹配。</w:t>
      </w:r>
    </w:p>
    <w:p w14:paraId="3C862F37">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立项程序规范性：比较法、文献法，查找相关项目设立的政策和文件要求，对比分析实际执行程序是否按照政策及文件要求执行，分析立项程序的规范性。</w:t>
      </w:r>
    </w:p>
    <w:p w14:paraId="5FC7CADC">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绩效目标合理性：比较法，对比分析年初编制项目支出绩效目标表与项目内容的相关性、资金的匹配性等。</w:t>
      </w:r>
    </w:p>
    <w:p w14:paraId="1262F003">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绩效指标明确性：比较法，比较分析年初编制项目支出绩效目标表是否符合双七原则，是否可衡量。</w:t>
      </w:r>
    </w:p>
    <w:p w14:paraId="51A2FA29">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预算编制科学性</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成本效益分析法</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分析在产出一定的情况下，成本取值是否有依据，是否经过询价，是否按照市场最低成本编制。</w:t>
      </w:r>
    </w:p>
    <w:p w14:paraId="25439AEE">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highlight w:val="none"/>
          <w:lang w:eastAsia="zh-CN"/>
        </w:rPr>
        <w:t>。</w:t>
      </w:r>
    </w:p>
    <w:p w14:paraId="7AA2D486">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资金到位率：比较法，资金到位率预期指标值应为100%，通过实际计算，分析实际完成值和预期指标值之间的差距和原因。</w:t>
      </w:r>
    </w:p>
    <w:p w14:paraId="3A7DB9D4">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预算执行率：比较法，预算执行率预期指标值应为100%，通过实际计算，分析实际完成值和预期指标值之间的差距和原因。</w:t>
      </w:r>
    </w:p>
    <w:p w14:paraId="3BB63D32">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资金使用合规性：文献法、实地勘察法，一是查找资金管理办法，包括专项资金管理办法和单位自有资金管理办法；二是通过查账了解具体开支情况，是否专用专用，是否按照标准支出。</w:t>
      </w:r>
    </w:p>
    <w:p w14:paraId="0D93BBF9">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管理制度健全性：文献法、比较法，查阅项目实施人员提供的财务和业务管理制度，将已建立的制度与现行的法律法规和政策要求进行对比，分析项目制度的合法性、合规性、完整性。</w:t>
      </w:r>
    </w:p>
    <w:p w14:paraId="2274384B">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制度执行有效性：比较法，结合项目实际实施过程性文件，根据已建设的财务管理制度和项目管理制度综合分析制度执行的有效性。</w:t>
      </w:r>
    </w:p>
    <w:p w14:paraId="26A76CC0">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635954B1">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定性指标：公众评判法，通过问卷及抽样调查等方式评价本项目实施后社会公众对于其实施效果的满意程度。</w:t>
      </w:r>
    </w:p>
    <w:p w14:paraId="49659816">
      <w:pPr>
        <w:pStyle w:val="48"/>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 绩效评价标准</w:t>
      </w:r>
    </w:p>
    <w:p w14:paraId="1B67D5A4">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6" w:name="_Toc68364663"/>
      <w:r>
        <w:rPr>
          <w:rFonts w:hint="eastAsia" w:ascii="宋体" w:hAnsi="宋体" w:eastAsia="宋体" w:cs="宋体"/>
          <w:color w:val="auto"/>
          <w:sz w:val="24"/>
          <w:szCs w:val="24"/>
          <w:highlight w:val="none"/>
        </w:rPr>
        <w:t>绩效评价标准通常包括计划标准、行业标准、历史标准等，用于对绩效指标完成情况进行比较、分析、评价。本次评价主要采用了计划标准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行业</w:t>
      </w:r>
      <w:r>
        <w:rPr>
          <w:rFonts w:hint="eastAsia" w:ascii="宋体" w:hAnsi="宋体" w:eastAsia="宋体" w:cs="宋体"/>
          <w:color w:val="auto"/>
          <w:sz w:val="24"/>
          <w:szCs w:val="24"/>
          <w:highlight w:val="none"/>
        </w:rPr>
        <w:t>标准。</w:t>
      </w:r>
    </w:p>
    <w:p w14:paraId="4B99F4BC">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7" w:name="_Toc17882"/>
      <w:bookmarkStart w:id="8" w:name="_Toc31464"/>
      <w:r>
        <w:rPr>
          <w:rFonts w:hint="eastAsia" w:ascii="宋体" w:hAnsi="宋体" w:eastAsia="宋体" w:cs="宋体"/>
          <w:b/>
          <w:bCs/>
          <w:color w:val="auto"/>
          <w:sz w:val="24"/>
          <w:szCs w:val="24"/>
          <w:highlight w:val="none"/>
        </w:rPr>
        <w:t>计划标准：</w:t>
      </w:r>
      <w:r>
        <w:rPr>
          <w:rFonts w:hint="eastAsia" w:ascii="宋体" w:hAnsi="宋体" w:eastAsia="宋体" w:cs="宋体"/>
          <w:color w:val="auto"/>
          <w:sz w:val="24"/>
          <w:szCs w:val="24"/>
          <w:highlight w:val="none"/>
        </w:rPr>
        <w:t>指以预先制定的目标、计划、预算、定额等作为评价标准。</w:t>
      </w:r>
      <w:bookmarkEnd w:id="7"/>
      <w:bookmarkEnd w:id="8"/>
    </w:p>
    <w:p w14:paraId="29E5907F">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9" w:name="_Toc5633"/>
      <w:bookmarkStart w:id="10" w:name="_Toc2318"/>
      <w:r>
        <w:rPr>
          <w:rFonts w:hint="eastAsia" w:ascii="宋体" w:hAnsi="宋体" w:eastAsia="宋体" w:cs="宋体"/>
          <w:b/>
          <w:bCs/>
          <w:color w:val="auto"/>
          <w:sz w:val="24"/>
          <w:szCs w:val="24"/>
          <w:highlight w:val="none"/>
        </w:rPr>
        <w:t>行业标准：</w:t>
      </w:r>
      <w:r>
        <w:rPr>
          <w:rFonts w:hint="eastAsia" w:ascii="宋体" w:hAnsi="宋体" w:eastAsia="宋体" w:cs="宋体"/>
          <w:color w:val="auto"/>
          <w:sz w:val="24"/>
          <w:szCs w:val="24"/>
          <w:highlight w:val="none"/>
        </w:rPr>
        <w:t>指参照国家公布的行业指标数据制定的评价标准。</w:t>
      </w:r>
      <w:bookmarkEnd w:id="9"/>
      <w:bookmarkEnd w:id="10"/>
    </w:p>
    <w:p w14:paraId="00B010ED">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（三）绩效评价工作过程</w:t>
      </w:r>
      <w:bookmarkEnd w:id="6"/>
    </w:p>
    <w:p w14:paraId="79D0F3B6">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1" w:name="_Toc68364664"/>
      <w:r>
        <w:rPr>
          <w:rFonts w:hint="eastAsia" w:ascii="宋体" w:hAnsi="宋体" w:eastAsia="宋体" w:cs="宋体"/>
          <w:color w:val="auto"/>
          <w:sz w:val="24"/>
          <w:szCs w:val="24"/>
          <w:highlight w:val="none"/>
        </w:rPr>
        <w:t>1.前期准备</w:t>
      </w:r>
    </w:p>
    <w:p w14:paraId="49AC6FD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我单位于</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2907EC59">
      <w:pPr>
        <w:pStyle w:val="58"/>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李斯娟（书记 园长）（评价小组组长）：主要负责绩效评价工作职责为负责全盘工作。</w:t>
      </w:r>
    </w:p>
    <w:p w14:paraId="23C00CE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汪娇（副园长）（评价小组组员）：主要负责绩效评价工作职责为为对项目实施情况进行实地调查。</w:t>
      </w:r>
    </w:p>
    <w:p w14:paraId="1047E88B">
      <w:pPr>
        <w:pStyle w:val="58"/>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副园长李小燕 、总务主任顾洪刚、教务主任吴冰洁  、报账员王小红（评价小组组员）：主要负责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6A58051F">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2.组织实施</w:t>
      </w:r>
    </w:p>
    <w:p w14:paraId="01864FE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2228BCC9">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3.分析评价</w:t>
      </w:r>
    </w:p>
    <w:p w14:paraId="1C1F220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28</w:t>
      </w:r>
      <w:r>
        <w:rPr>
          <w:rFonts w:hint="eastAsia" w:ascii="宋体" w:hAnsi="宋体" w:eastAsia="宋体" w:cs="宋体"/>
          <w:color w:val="auto"/>
          <w:sz w:val="24"/>
          <w:szCs w:val="24"/>
          <w:highlight w:val="none"/>
        </w:rPr>
        <w:t>日，评价小组按照绩效评价的原则和规范，对取得的资料进行审查核实，对采集的数据进行分析，按照绩效评价指标评分表逐项进行打分、分析、汇总各方评价结果。</w:t>
      </w:r>
    </w:p>
    <w:p w14:paraId="170F56D9">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4.撰写与提交评价报告</w:t>
      </w:r>
    </w:p>
    <w:p w14:paraId="5F1C2D1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color w:val="auto"/>
          <w:sz w:val="24"/>
          <w:szCs w:val="24"/>
          <w:highlight w:val="none"/>
        </w:rPr>
        <w:t>撰写绩效评价报告，按照新疆</w:t>
      </w:r>
      <w:r>
        <w:rPr>
          <w:rFonts w:hint="eastAsia" w:ascii="宋体" w:hAnsi="宋体" w:eastAsia="宋体" w:cs="宋体"/>
          <w:color w:val="auto"/>
          <w:sz w:val="24"/>
          <w:szCs w:val="24"/>
          <w:highlight w:val="none"/>
          <w:lang w:eastAsia="zh-CN"/>
        </w:rPr>
        <w:t>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19FEB9F4">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5.问题整改</w:t>
      </w:r>
    </w:p>
    <w:p w14:paraId="453469D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037A0F46">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6.档案整理</w:t>
      </w:r>
    </w:p>
    <w:p w14:paraId="321F12E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建立和落实档案管理制度，将项目相关资料存档，包括但不限于：评价项目基本情况和相关文件、评价实施方案、项目支付资料等相关档案。</w:t>
      </w:r>
    </w:p>
    <w:p w14:paraId="2A1B6A3A">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p>
    <w:p w14:paraId="4AA9F319">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三、综合评价情况及评价结论</w:t>
      </w:r>
      <w:bookmarkEnd w:id="11"/>
    </w:p>
    <w:p w14:paraId="34D53769">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2" w:name="_Toc68364665"/>
      <w:r>
        <w:rPr>
          <w:rFonts w:hint="eastAsia" w:ascii="宋体" w:hAnsi="宋体" w:eastAsia="宋体" w:cs="宋体"/>
          <w:color w:val="auto"/>
          <w:sz w:val="24"/>
          <w:szCs w:val="24"/>
          <w:highlight w:val="none"/>
        </w:rPr>
        <w:t>（一）综合评价情况</w:t>
      </w:r>
      <w:bookmarkEnd w:id="12"/>
    </w:p>
    <w:p w14:paraId="6EBF321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3" w:name="_Toc68364666"/>
      <w:r>
        <w:rPr>
          <w:rFonts w:hint="eastAsia" w:ascii="宋体" w:hAnsi="宋体" w:eastAsia="宋体" w:cs="宋体"/>
          <w:color w:val="auto"/>
          <w:sz w:val="24"/>
          <w:szCs w:val="24"/>
          <w:highlight w:val="none"/>
        </w:rPr>
        <w:t>通过实施专项资金-和地财教【2023】73号：2024年新疆西藏等地区教育特殊补助资金-学前三年免费保障经费-公用经费-洛财教【2024】22号产生</w:t>
      </w:r>
      <w:r>
        <w:rPr>
          <w:rFonts w:hint="eastAsia" w:ascii="宋体" w:hAnsi="宋体" w:eastAsia="宋体" w:cs="宋体"/>
          <w:color w:val="auto"/>
          <w:sz w:val="24"/>
          <w:szCs w:val="24"/>
          <w:highlight w:val="none"/>
          <w:lang w:val="en-US" w:eastAsia="zh-CN"/>
        </w:rPr>
        <w:t>改</w:t>
      </w:r>
      <w:r>
        <w:rPr>
          <w:rFonts w:hint="eastAsia" w:ascii="宋体" w:hAnsi="宋体" w:eastAsia="宋体" w:cs="宋体"/>
          <w:color w:val="auto"/>
          <w:sz w:val="24"/>
          <w:szCs w:val="24"/>
          <w:highlight w:val="none"/>
        </w:rPr>
        <w:t>善教育教学质量效益。项目实施主要通过项目决策、项目过程、项目产出以及项目效益等方面进行评价，其中：</w:t>
      </w:r>
    </w:p>
    <w:p w14:paraId="0604633B">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项目决策：该项目主要通过专项资金-和地财教【2023】73号立项，项目实施符合法律法规、相关政策、发展规划以及部门职责</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 xml:space="preserve">要求，项目立项依据充分，立项程序规范。 </w:t>
      </w:r>
    </w:p>
    <w:p w14:paraId="46478C1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项目过程：专项资金-和地财教【2023】73号：2024年新疆西藏等地区教育特殊补助资金-学前三年免费保障经费-公用经费-洛财教【2024】22号预算安排</w:t>
      </w:r>
      <w:r>
        <w:rPr>
          <w:rFonts w:hint="eastAsia" w:ascii="宋体" w:hAnsi="宋体" w:eastAsia="宋体" w:cs="宋体"/>
          <w:color w:val="auto"/>
          <w:sz w:val="24"/>
          <w:szCs w:val="24"/>
          <w:highlight w:val="none"/>
          <w:lang w:val="en-US" w:eastAsia="zh-CN"/>
        </w:rPr>
        <w:t>163.91</w:t>
      </w:r>
      <w:r>
        <w:rPr>
          <w:rFonts w:hint="eastAsia" w:ascii="宋体" w:hAnsi="宋体" w:eastAsia="宋体" w:cs="宋体"/>
          <w:color w:val="auto"/>
          <w:sz w:val="24"/>
          <w:szCs w:val="24"/>
          <w:highlight w:val="none"/>
        </w:rPr>
        <w:t>万元，实际支出</w:t>
      </w:r>
      <w:r>
        <w:rPr>
          <w:rFonts w:hint="eastAsia" w:ascii="宋体" w:hAnsi="宋体" w:eastAsia="宋体" w:cs="宋体"/>
          <w:color w:val="auto"/>
          <w:sz w:val="24"/>
          <w:szCs w:val="24"/>
          <w:highlight w:val="none"/>
          <w:lang w:val="en-US" w:eastAsia="zh-CN"/>
        </w:rPr>
        <w:t>151.15</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92.22</w:t>
      </w:r>
      <w:r>
        <w:rPr>
          <w:rFonts w:hint="eastAsia" w:ascii="宋体" w:hAnsi="宋体" w:eastAsia="宋体" w:cs="宋体"/>
          <w:color w:val="auto"/>
          <w:sz w:val="24"/>
          <w:szCs w:val="24"/>
          <w:highlight w:val="none"/>
        </w:rPr>
        <w:t>%。项目资金使用合规，项目财务管理制度健全，财务监控到位，所有资金支付均按照国库集中支付制度严格执行，现有项目管理制度执行情况良好。</w:t>
      </w:r>
    </w:p>
    <w:p w14:paraId="041C0828">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项目产出：项目实施产生的数量、质量等</w:t>
      </w:r>
      <w:r>
        <w:rPr>
          <w:rFonts w:hint="eastAsia" w:ascii="宋体" w:hAnsi="宋体" w:eastAsia="宋体" w:cs="宋体"/>
          <w:sz w:val="24"/>
          <w:szCs w:val="24"/>
          <w:lang w:val="en-US" w:eastAsia="zh-CN"/>
        </w:rPr>
        <w:t>完成情况（</w:t>
      </w:r>
      <w:r>
        <w:rPr>
          <w:rFonts w:hint="eastAsia" w:ascii="宋体" w:hAnsi="宋体" w:eastAsia="宋体" w:cs="宋体"/>
          <w:sz w:val="24"/>
          <w:szCs w:val="24"/>
        </w:rPr>
        <w:t>截止2024年12月31日，该项目实际支付资金151.15万元，结余资金12.76万元。该项目实施保障学校日常工作正常运行，本项目为经常性项目，已在2024年12月31日前实施完成。</w:t>
      </w:r>
      <w:r>
        <w:rPr>
          <w:rFonts w:hint="eastAsia" w:ascii="宋体" w:hAnsi="宋体" w:eastAsia="宋体" w:cs="宋体"/>
          <w:sz w:val="24"/>
          <w:szCs w:val="24"/>
          <w:lang w:eastAsia="zh-CN"/>
        </w:rPr>
        <w:t>）</w:t>
      </w:r>
    </w:p>
    <w:p w14:paraId="34AF0D9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sz w:val="24"/>
          <w:szCs w:val="24"/>
        </w:rPr>
        <w:t>项目效益：通过实施本项目可以有效提高学校工作效率，保障学校日常工作正常运行</w:t>
      </w:r>
      <w:r>
        <w:rPr>
          <w:rFonts w:hint="eastAsia" w:ascii="宋体" w:hAnsi="宋体" w:eastAsia="宋体" w:cs="宋体"/>
          <w:sz w:val="24"/>
          <w:szCs w:val="24"/>
          <w:lang w:eastAsia="zh-CN"/>
        </w:rPr>
        <w:t>。</w:t>
      </w:r>
    </w:p>
    <w:p w14:paraId="37D5A423">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（二）综合评价结论</w:t>
      </w:r>
    </w:p>
    <w:p w14:paraId="0B402F5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专项资金-和地财教【2023】73号：2024年新疆西藏等地区教育特殊补助资金-学前三年免费保障经费-公用经费-洛财教【2024】22号进行客观评价，最终评分结果：评价总分</w:t>
      </w:r>
      <w:r>
        <w:rPr>
          <w:rFonts w:hint="eastAsia" w:ascii="宋体" w:hAnsi="宋体" w:eastAsia="宋体" w:cs="宋体"/>
          <w:color w:val="auto"/>
          <w:sz w:val="24"/>
          <w:szCs w:val="24"/>
          <w:highlight w:val="none"/>
          <w:lang w:val="en-US" w:eastAsia="zh-CN"/>
        </w:rPr>
        <w:t>99.84</w:t>
      </w:r>
      <w:r>
        <w:rPr>
          <w:rFonts w:hint="eastAsia" w:ascii="宋体" w:hAnsi="宋体" w:eastAsia="宋体" w:cs="宋体"/>
          <w:color w:val="auto"/>
          <w:sz w:val="24"/>
          <w:szCs w:val="24"/>
          <w:highlight w:val="none"/>
        </w:rPr>
        <w:t>分，绩效等级为“</w:t>
      </w:r>
      <w:r>
        <w:rPr>
          <w:rFonts w:hint="eastAsia" w:ascii="宋体" w:hAnsi="宋体" w:eastAsia="宋体" w:cs="宋体"/>
          <w:color w:val="auto"/>
          <w:sz w:val="24"/>
          <w:szCs w:val="24"/>
          <w:highlight w:val="none"/>
          <w:lang w:val="en-US" w:eastAsia="zh-CN"/>
        </w:rPr>
        <w:t>优秀</w:t>
      </w:r>
      <w:r>
        <w:rPr>
          <w:rFonts w:hint="eastAsia" w:ascii="宋体" w:hAnsi="宋体" w:eastAsia="宋体" w:cs="宋体"/>
          <w:color w:val="auto"/>
          <w:sz w:val="24"/>
          <w:szCs w:val="24"/>
          <w:highlight w:val="none"/>
        </w:rPr>
        <w:t>”。</w:t>
      </w:r>
      <w:bookmarkEnd w:id="13"/>
    </w:p>
    <w:p w14:paraId="0EC41F63">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bookmarkStart w:id="14" w:name="_Toc68364667"/>
    </w:p>
    <w:p w14:paraId="1CE971B4">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四、绩效评价指标分析</w:t>
      </w:r>
      <w:bookmarkEnd w:id="14"/>
    </w:p>
    <w:p w14:paraId="3004B6A6">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5" w:name="_Toc68364668"/>
      <w:r>
        <w:rPr>
          <w:rFonts w:hint="eastAsia" w:ascii="宋体" w:hAnsi="宋体" w:eastAsia="宋体" w:cs="宋体"/>
          <w:color w:val="auto"/>
          <w:sz w:val="24"/>
          <w:szCs w:val="24"/>
          <w:highlight w:val="none"/>
        </w:rPr>
        <w:t>（一）项目决策情况</w:t>
      </w:r>
    </w:p>
    <w:p w14:paraId="59BA7C35">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项目决策类指标包括项目立项、绩效目标和资金投入三方面的内容，由6个三级指标构成，权重分为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47DDCFA2">
      <w:pPr>
        <w:keepNext w:val="0"/>
        <w:keepLines w:val="0"/>
        <w:pageBreakBefore w:val="0"/>
        <w:widowControl w:val="0"/>
        <w:numPr>
          <w:ilvl w:val="0"/>
          <w:numId w:val="3"/>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立项依据充分性：</w:t>
      </w:r>
    </w:p>
    <w:p w14:paraId="539144E2">
      <w:pPr>
        <w:keepNext w:val="0"/>
        <w:keepLines w:val="0"/>
        <w:pageBreakBefore w:val="0"/>
        <w:widowControl w:val="0"/>
        <w:numPr>
          <w:ilvl w:val="0"/>
          <w:numId w:val="0"/>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本项目立项符合</w:t>
      </w:r>
      <w:r>
        <w:rPr>
          <w:rFonts w:hint="eastAsia" w:ascii="宋体" w:hAnsi="宋体" w:eastAsia="宋体" w:cs="宋体"/>
          <w:color w:val="auto"/>
          <w:sz w:val="24"/>
          <w:szCs w:val="24"/>
          <w:highlight w:val="none"/>
          <w:lang w:val="en-US" w:eastAsia="zh-CN"/>
        </w:rPr>
        <w:t>2024</w:t>
      </w:r>
      <w:r>
        <w:rPr>
          <w:rFonts w:hint="eastAsia" w:ascii="宋体" w:hAnsi="宋体" w:eastAsia="宋体" w:cs="宋体"/>
          <w:color w:val="auto"/>
          <w:sz w:val="24"/>
          <w:szCs w:val="24"/>
          <w:highlight w:val="none"/>
        </w:rPr>
        <w:t>颁发的《专项资金-和地财教【2023】73号：2024年新疆西藏等地区教育特殊补助资金-学前三年免费保障经费-公用经费-洛财教【2024】22号》（专项资金-和地财教【2023】73号）中：“洛财教【2024】22号”；本项目立项符合《专项资金-和地财教【2023】73号：2024年新疆西藏等地区教育特殊补助资金-学前三年免费保障经费-公用经费-洛财教【2024】22号》中：“专项资金-和地财教【2023】73号：2024年新疆西藏等地区教育特殊补助资金-学前三年免费保障经费-公用经费-洛财教【2024】22号”内容，符合行业发展规划和政策要求；</w:t>
      </w:r>
    </w:p>
    <w:p w14:paraId="3F5A7D68">
      <w:pPr>
        <w:keepNext w:val="0"/>
        <w:keepLines w:val="0"/>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213D7475">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（2）立项程序规范性：</w:t>
      </w:r>
    </w:p>
    <w:p w14:paraId="2AF4491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本项目专项资金-和地财教【2023】73号：2024年新疆西藏等地区教育特殊补助资金-学前三年免费保障经费-公用经费-洛财教【2024】22号，项目立项过程中产生的文件均符合相关要求。本项目为</w:t>
      </w:r>
      <w:r>
        <w:rPr>
          <w:rFonts w:hint="eastAsia" w:ascii="宋体" w:hAnsi="宋体" w:eastAsia="宋体" w:cs="宋体"/>
          <w:color w:val="auto"/>
          <w:sz w:val="24"/>
          <w:szCs w:val="24"/>
          <w:highlight w:val="none"/>
          <w:lang w:val="en-US" w:eastAsia="zh-CN"/>
        </w:rPr>
        <w:t>一般公共预算</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163.91</w:t>
      </w:r>
      <w:r>
        <w:rPr>
          <w:rFonts w:hint="eastAsia" w:ascii="宋体" w:hAnsi="宋体" w:eastAsia="宋体" w:cs="宋体"/>
          <w:color w:val="auto"/>
          <w:sz w:val="24"/>
          <w:szCs w:val="24"/>
          <w:highlight w:val="none"/>
        </w:rPr>
        <w:t>万元，不涉及事前绩效评估和风险评估，并经过专家论证。</w:t>
      </w:r>
    </w:p>
    <w:p w14:paraId="3F561DB1">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综上所述，本指标满分为3分，根据评分标准得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分，本项目立项程序合规。</w:t>
      </w:r>
    </w:p>
    <w:p w14:paraId="2CAAACD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（3）绩效目标合理性：</w:t>
      </w:r>
    </w:p>
    <w:p w14:paraId="53DBA9C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①该项目已设置年度绩效目标，具体内容为“学前教育保障经费收益学生数量”。</w:t>
      </w:r>
    </w:p>
    <w:p w14:paraId="3086E68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②该项目实际工作内容为：学前教育保障经费收益学生</w:t>
      </w:r>
      <w:r>
        <w:rPr>
          <w:rFonts w:hint="eastAsia" w:ascii="宋体" w:hAnsi="宋体" w:eastAsia="宋体" w:cs="宋体"/>
          <w:color w:val="auto"/>
          <w:sz w:val="24"/>
          <w:szCs w:val="24"/>
          <w:highlight w:val="none"/>
          <w:lang w:val="en-US" w:eastAsia="zh-CN"/>
        </w:rPr>
        <w:t>628人</w:t>
      </w:r>
      <w:r>
        <w:rPr>
          <w:rFonts w:hint="eastAsia" w:ascii="宋体" w:hAnsi="宋体" w:eastAsia="宋体" w:cs="宋体"/>
          <w:color w:val="auto"/>
          <w:sz w:val="24"/>
          <w:szCs w:val="24"/>
          <w:highlight w:val="none"/>
        </w:rPr>
        <w:t>。绩效目标与实际工作内容一致，两者具有相关性。</w:t>
      </w:r>
    </w:p>
    <w:p w14:paraId="7FBA0E2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③该项目按照绩效目标完成数量指标、质量指标、时效指标、成本指标，完成了</w:t>
      </w:r>
      <w:r>
        <w:rPr>
          <w:rFonts w:hint="eastAsia" w:ascii="宋体" w:hAnsi="宋体" w:eastAsia="宋体" w:cs="宋体"/>
          <w:color w:val="auto"/>
          <w:sz w:val="24"/>
          <w:szCs w:val="24"/>
          <w:highlight w:val="none"/>
          <w:lang w:val="en-US" w:eastAsia="zh-CN"/>
        </w:rPr>
        <w:t>预期值</w:t>
      </w:r>
      <w:r>
        <w:rPr>
          <w:rFonts w:hint="eastAsia" w:ascii="宋体" w:hAnsi="宋体" w:eastAsia="宋体" w:cs="宋体"/>
          <w:color w:val="auto"/>
          <w:sz w:val="24"/>
          <w:szCs w:val="24"/>
          <w:highlight w:val="none"/>
        </w:rPr>
        <w:t>，达到</w:t>
      </w:r>
      <w:r>
        <w:rPr>
          <w:rFonts w:hint="eastAsia" w:ascii="宋体" w:hAnsi="宋体" w:eastAsia="宋体" w:cs="宋体"/>
          <w:color w:val="auto"/>
          <w:sz w:val="24"/>
          <w:szCs w:val="24"/>
          <w:highlight w:val="none"/>
          <w:lang w:val="en-US" w:eastAsia="zh-CN"/>
        </w:rPr>
        <w:t>改善教育教学质量</w:t>
      </w:r>
      <w:r>
        <w:rPr>
          <w:rFonts w:hint="eastAsia" w:ascii="宋体" w:hAnsi="宋体" w:eastAsia="宋体" w:cs="宋体"/>
          <w:color w:val="auto"/>
          <w:sz w:val="24"/>
          <w:szCs w:val="24"/>
          <w:highlight w:val="none"/>
        </w:rPr>
        <w:t>效益，预期产出效益和效果符合正常的业绩水平。</w:t>
      </w:r>
    </w:p>
    <w:p w14:paraId="49DDF97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163.91</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val="en-US" w:eastAsia="zh-CN"/>
        </w:rPr>
        <w:t>163.91</w:t>
      </w:r>
      <w:r>
        <w:rPr>
          <w:rFonts w:hint="eastAsia" w:ascii="宋体" w:hAnsi="宋体" w:eastAsia="宋体" w:cs="宋体"/>
          <w:color w:val="auto"/>
          <w:sz w:val="24"/>
          <w:szCs w:val="24"/>
          <w:highlight w:val="none"/>
        </w:rPr>
        <w:t>万元，预算确定的项目资金与预算确定的项目投资额相匹配。</w:t>
      </w:r>
    </w:p>
    <w:p w14:paraId="31A3291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781E184A">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个，二级指标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87.5</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21F8A50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w:t>
      </w:r>
      <w:r>
        <w:rPr>
          <w:rFonts w:hint="eastAsia" w:ascii="宋体" w:hAnsi="宋体" w:eastAsia="宋体" w:cs="宋体"/>
          <w:color w:val="auto"/>
          <w:sz w:val="24"/>
          <w:szCs w:val="24"/>
          <w:highlight w:val="none"/>
          <w:lang w:val="en-US" w:eastAsia="zh-CN"/>
        </w:rPr>
        <w:t>学前教育保障经费收益学生数量628人</w:t>
      </w:r>
      <w:r>
        <w:rPr>
          <w:rFonts w:hint="eastAsia" w:ascii="宋体" w:hAnsi="宋体" w:eastAsia="宋体" w:cs="宋体"/>
          <w:color w:val="auto"/>
          <w:sz w:val="24"/>
          <w:szCs w:val="24"/>
          <w:highlight w:val="none"/>
        </w:rPr>
        <w:t>，三级指标的年度指标值与年度绩效目标中任务数一致，已设置时效指标“</w:t>
      </w:r>
      <w:r>
        <w:rPr>
          <w:rFonts w:hint="eastAsia" w:ascii="宋体" w:hAnsi="宋体" w:eastAsia="宋体" w:cs="宋体"/>
          <w:color w:val="auto"/>
          <w:sz w:val="24"/>
          <w:szCs w:val="24"/>
          <w:highlight w:val="none"/>
          <w:lang w:val="en-US" w:eastAsia="zh-CN"/>
        </w:rPr>
        <w:t>1年</w:t>
      </w:r>
      <w:r>
        <w:rPr>
          <w:rFonts w:hint="eastAsia" w:ascii="宋体" w:hAnsi="宋体" w:eastAsia="宋体" w:cs="宋体"/>
          <w:color w:val="auto"/>
          <w:sz w:val="24"/>
          <w:szCs w:val="24"/>
          <w:highlight w:val="none"/>
        </w:rPr>
        <w:t>”。已设置的绩效目标具备明确性、可衡量性、可实现性、相关性、时限性。根据评分标准，该指标不扣分，得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324CA06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（5）预算编制科学性：</w:t>
      </w:r>
      <w:r>
        <w:rPr>
          <w:rFonts w:hint="eastAsia" w:ascii="宋体" w:hAnsi="宋体" w:eastAsia="宋体" w:cs="宋体"/>
          <w:color w:val="auto"/>
          <w:sz w:val="24"/>
          <w:szCs w:val="24"/>
          <w:highlight w:val="none"/>
        </w:rPr>
        <w:t>本项目专项资金-和地财教【2023】73号：2024年新疆西藏等地区教育特殊补助资金-学前三年免费保障经费-公用经费-洛财教【2024】22号，即预算编制较科学且经过论证；</w:t>
      </w:r>
    </w:p>
    <w:p w14:paraId="5851113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预算申请内容为</w:t>
      </w:r>
      <w:r>
        <w:rPr>
          <w:rFonts w:hint="eastAsia" w:ascii="宋体" w:hAnsi="宋体" w:eastAsia="宋体" w:cs="宋体"/>
          <w:color w:val="auto"/>
          <w:sz w:val="24"/>
          <w:szCs w:val="24"/>
          <w:highlight w:val="none"/>
          <w:lang w:val="en-US" w:eastAsia="zh-CN"/>
        </w:rPr>
        <w:t>163.91万元</w:t>
      </w:r>
      <w:r>
        <w:rPr>
          <w:rFonts w:hint="eastAsia" w:ascii="宋体" w:hAnsi="宋体" w:eastAsia="宋体" w:cs="宋体"/>
          <w:color w:val="auto"/>
          <w:sz w:val="24"/>
          <w:szCs w:val="24"/>
          <w:highlight w:val="none"/>
        </w:rPr>
        <w:t>，项目实际内容为</w:t>
      </w:r>
      <w:r>
        <w:rPr>
          <w:rFonts w:hint="eastAsia" w:ascii="宋体" w:hAnsi="宋体" w:eastAsia="宋体" w:cs="宋体"/>
          <w:color w:val="auto"/>
          <w:sz w:val="24"/>
          <w:szCs w:val="24"/>
          <w:highlight w:val="none"/>
          <w:lang w:val="en-US" w:eastAsia="zh-CN"/>
        </w:rPr>
        <w:t>163.91万元</w:t>
      </w:r>
      <w:r>
        <w:rPr>
          <w:rFonts w:hint="eastAsia" w:ascii="宋体" w:hAnsi="宋体" w:eastAsia="宋体" w:cs="宋体"/>
          <w:color w:val="auto"/>
          <w:sz w:val="24"/>
          <w:szCs w:val="24"/>
          <w:highlight w:val="none"/>
        </w:rPr>
        <w:t>，预算申请与《专项资金-和地财教【2023】73号：2024年新疆西藏等地区教育特殊补助资金-学前三年免费保障经费-公用经费-洛财教【2024】22号项目实施方案》中涉及的项目内容匹配；</w:t>
      </w:r>
    </w:p>
    <w:p w14:paraId="3C8EEE8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163.91</w:t>
      </w:r>
      <w:r>
        <w:rPr>
          <w:rFonts w:hint="eastAsia" w:ascii="宋体" w:hAnsi="宋体" w:eastAsia="宋体" w:cs="宋体"/>
          <w:color w:val="auto"/>
          <w:sz w:val="24"/>
          <w:szCs w:val="24"/>
          <w:highlight w:val="none"/>
        </w:rPr>
        <w:t>万元，我单位在预算申请中严格按照项目实施内容及测算标准进行核算，其中：</w:t>
      </w:r>
      <w:r>
        <w:rPr>
          <w:rFonts w:hint="eastAsia" w:ascii="宋体" w:hAnsi="宋体" w:eastAsia="宋体" w:cs="宋体"/>
          <w:color w:val="auto"/>
          <w:sz w:val="24"/>
          <w:szCs w:val="24"/>
          <w:highlight w:val="none"/>
          <w:lang w:val="en-US" w:eastAsia="zh-CN"/>
        </w:rPr>
        <w:t>公用</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87.29</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val="en-US" w:eastAsia="zh-CN"/>
        </w:rPr>
        <w:t>伙食</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76.62</w:t>
      </w:r>
      <w:r>
        <w:rPr>
          <w:rFonts w:hint="eastAsia" w:ascii="宋体" w:hAnsi="宋体" w:eastAsia="宋体" w:cs="宋体"/>
          <w:color w:val="auto"/>
          <w:sz w:val="24"/>
          <w:szCs w:val="24"/>
          <w:highlight w:val="none"/>
        </w:rPr>
        <w:t>万元。预算确定资金量与实际工作任务相匹配。本项目预算额度测算依据充分，严格按照标准编制，预算确定资金量与实际工作任务相匹配；根据评分标准，该指标不扣分，得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20DC127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（6）资金分配合理性：</w:t>
      </w:r>
      <w:r>
        <w:rPr>
          <w:rFonts w:hint="eastAsia" w:ascii="宋体" w:hAnsi="宋体" w:eastAsia="宋体" w:cs="宋体"/>
          <w:color w:val="auto"/>
          <w:sz w:val="24"/>
          <w:szCs w:val="24"/>
          <w:highlight w:val="none"/>
        </w:rPr>
        <w:t>本项目实际分配资金以《关于申请专项资金-和地财教【2023】73号：2024年新疆西藏等地区教育特殊补助资金-学前三年免费保障经费-公用经费-洛财教【2024】22号资金的请示》和《专项资金-和地财教【2023】73号：2024年新疆西藏等地区教育特殊补助资金-学前三年免费保障经费-公用经费-洛财教【2024】22号资金项目实施方案》为依据进行资金分配，预算资金分配依据充分。根据《-和地财教【2023】73号文件》（洛财教【2024】22号），本项目实际到位资金</w:t>
      </w:r>
      <w:r>
        <w:rPr>
          <w:rFonts w:hint="eastAsia" w:ascii="宋体" w:hAnsi="宋体" w:eastAsia="宋体" w:cs="宋体"/>
          <w:color w:val="auto"/>
          <w:sz w:val="24"/>
          <w:szCs w:val="24"/>
          <w:highlight w:val="none"/>
          <w:lang w:val="en-US" w:eastAsia="zh-CN"/>
        </w:rPr>
        <w:t>163.91</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43426902">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3B23639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 5个三级指标构成，权重分为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11.84</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98.67</w:t>
      </w:r>
      <w:r>
        <w:rPr>
          <w:rFonts w:hint="eastAsia" w:ascii="宋体" w:hAnsi="宋体" w:eastAsia="宋体" w:cs="宋体"/>
          <w:color w:val="auto"/>
          <w:sz w:val="24"/>
          <w:szCs w:val="24"/>
          <w:highlight w:val="none"/>
        </w:rPr>
        <w:t>%。</w:t>
      </w:r>
    </w:p>
    <w:p w14:paraId="424DD40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（1）资金到位率：</w:t>
      </w:r>
      <w:r>
        <w:rPr>
          <w:rFonts w:hint="eastAsia" w:ascii="宋体" w:hAnsi="宋体" w:eastAsia="宋体" w:cs="宋体"/>
          <w:b w:val="0"/>
          <w:bCs w:val="0"/>
          <w:color w:val="auto"/>
          <w:sz w:val="24"/>
          <w:szCs w:val="24"/>
          <w:highlight w:val="none"/>
        </w:rPr>
        <w:t>本项目预算资金为</w:t>
      </w:r>
      <w:r>
        <w:rPr>
          <w:rFonts w:hint="eastAsia" w:ascii="宋体" w:hAnsi="宋体" w:eastAsia="宋体" w:cs="宋体"/>
          <w:b w:val="0"/>
          <w:bCs w:val="0"/>
          <w:color w:val="auto"/>
          <w:sz w:val="24"/>
          <w:szCs w:val="24"/>
          <w:highlight w:val="none"/>
          <w:lang w:val="en-US" w:eastAsia="zh-CN"/>
        </w:rPr>
        <w:t>163.91</w:t>
      </w:r>
      <w:r>
        <w:rPr>
          <w:rFonts w:hint="eastAsia" w:ascii="宋体" w:hAnsi="宋体" w:eastAsia="宋体" w:cs="宋体"/>
          <w:b w:val="0"/>
          <w:bCs w:val="0"/>
          <w:color w:val="auto"/>
          <w:sz w:val="24"/>
          <w:szCs w:val="24"/>
          <w:highlight w:val="none"/>
        </w:rPr>
        <w:t>万元，其中：财政安排资金</w:t>
      </w:r>
      <w:r>
        <w:rPr>
          <w:rFonts w:hint="eastAsia" w:ascii="宋体" w:hAnsi="宋体" w:eastAsia="宋体" w:cs="宋体"/>
          <w:b w:val="0"/>
          <w:bCs w:val="0"/>
          <w:color w:val="auto"/>
          <w:sz w:val="24"/>
          <w:szCs w:val="24"/>
          <w:highlight w:val="none"/>
          <w:lang w:val="en-US" w:eastAsia="zh-CN"/>
        </w:rPr>
        <w:t>163.91</w:t>
      </w:r>
      <w:r>
        <w:rPr>
          <w:rFonts w:hint="eastAsia" w:ascii="宋体" w:hAnsi="宋体" w:eastAsia="宋体" w:cs="宋体"/>
          <w:b w:val="0"/>
          <w:bCs w:val="0"/>
          <w:color w:val="auto"/>
          <w:sz w:val="24"/>
          <w:szCs w:val="24"/>
          <w:highlight w:val="none"/>
        </w:rPr>
        <w:t>万元，其他资金</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万元，实际到位资金</w:t>
      </w:r>
      <w:r>
        <w:rPr>
          <w:rFonts w:hint="eastAsia" w:ascii="宋体" w:hAnsi="宋体" w:eastAsia="宋体" w:cs="宋体"/>
          <w:b w:val="0"/>
          <w:bCs w:val="0"/>
          <w:color w:val="auto"/>
          <w:sz w:val="24"/>
          <w:szCs w:val="24"/>
          <w:highlight w:val="none"/>
          <w:lang w:val="en-US" w:eastAsia="zh-CN"/>
        </w:rPr>
        <w:t>163.91</w:t>
      </w:r>
      <w:r>
        <w:rPr>
          <w:rFonts w:hint="eastAsia" w:ascii="宋体" w:hAnsi="宋体" w:eastAsia="宋体" w:cs="宋体"/>
          <w:b w:val="0"/>
          <w:bCs w:val="0"/>
          <w:color w:val="auto"/>
          <w:sz w:val="24"/>
          <w:szCs w:val="24"/>
          <w:highlight w:val="none"/>
        </w:rPr>
        <w:t>万元，资金到位率=</w:t>
      </w:r>
      <w:r>
        <w:rPr>
          <w:rFonts w:hint="eastAsia" w:ascii="宋体" w:hAnsi="宋体" w:eastAsia="宋体" w:cs="宋体"/>
          <w:b w:val="0"/>
          <w:bCs w:val="0"/>
          <w:color w:val="auto"/>
          <w:sz w:val="24"/>
          <w:szCs w:val="24"/>
          <w:highlight w:val="none"/>
          <w:lang w:val="en-US" w:eastAsia="zh-CN"/>
        </w:rPr>
        <w:t>100%；通过分析可知，该项目</w:t>
      </w:r>
      <w:r>
        <w:rPr>
          <w:rFonts w:hint="eastAsia" w:ascii="宋体" w:hAnsi="宋体" w:eastAsia="宋体" w:cs="宋体"/>
          <w:b w:val="0"/>
          <w:bCs w:val="0"/>
          <w:color w:val="auto"/>
          <w:sz w:val="24"/>
          <w:szCs w:val="24"/>
          <w:highlight w:val="none"/>
        </w:rPr>
        <w:t>财政资金足额拨付到位，能够及时足额</w:t>
      </w:r>
      <w:r>
        <w:rPr>
          <w:rFonts w:hint="eastAsia" w:ascii="宋体" w:hAnsi="宋体" w:eastAsia="宋体" w:cs="宋体"/>
          <w:b w:val="0"/>
          <w:bCs w:val="0"/>
          <w:color w:val="auto"/>
          <w:sz w:val="24"/>
          <w:szCs w:val="24"/>
          <w:highlight w:val="none"/>
          <w:lang w:val="en-US" w:eastAsia="zh-CN"/>
        </w:rPr>
        <w:t>支付</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实施</w:t>
      </w:r>
      <w:r>
        <w:rPr>
          <w:rFonts w:hint="eastAsia" w:ascii="宋体" w:hAnsi="宋体" w:eastAsia="宋体" w:cs="宋体"/>
          <w:b w:val="0"/>
          <w:bCs w:val="0"/>
          <w:color w:val="auto"/>
          <w:sz w:val="24"/>
          <w:szCs w:val="24"/>
          <w:highlight w:val="none"/>
        </w:rPr>
        <w:t>单位</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根据评分标准，该指标不扣分，得</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 xml:space="preserve">分。   </w:t>
      </w:r>
    </w:p>
    <w:p w14:paraId="21F49A9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（2）预算执行率：</w:t>
      </w: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151.15</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151.15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163.91</w:t>
      </w:r>
      <w:r>
        <w:rPr>
          <w:rFonts w:hint="eastAsia" w:ascii="宋体" w:hAnsi="宋体" w:eastAsia="宋体" w:cs="宋体"/>
          <w:color w:val="auto"/>
          <w:sz w:val="24"/>
          <w:szCs w:val="24"/>
          <w:highlight w:val="none"/>
        </w:rPr>
        <w:t>）×100.0%=</w:t>
      </w:r>
      <w:r>
        <w:rPr>
          <w:rFonts w:hint="eastAsia" w:ascii="宋体" w:hAnsi="宋体" w:eastAsia="宋体" w:cs="宋体"/>
          <w:color w:val="auto"/>
          <w:sz w:val="24"/>
          <w:szCs w:val="24"/>
          <w:highlight w:val="none"/>
          <w:lang w:val="en-US" w:eastAsia="zh-CN"/>
        </w:rPr>
        <w:t>92.22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通过分析可知，该项目</w:t>
      </w:r>
      <w:r>
        <w:rPr>
          <w:rFonts w:hint="eastAsia" w:ascii="宋体" w:hAnsi="宋体" w:eastAsia="宋体" w:cs="宋体"/>
          <w:b w:val="0"/>
          <w:bCs w:val="0"/>
          <w:color w:val="auto"/>
          <w:sz w:val="24"/>
          <w:szCs w:val="24"/>
          <w:highlight w:val="none"/>
        </w:rPr>
        <w:t>预</w:t>
      </w:r>
      <w:r>
        <w:rPr>
          <w:rFonts w:hint="eastAsia" w:ascii="宋体" w:hAnsi="宋体" w:eastAsia="宋体" w:cs="宋体"/>
          <w:color w:val="auto"/>
          <w:sz w:val="24"/>
          <w:szCs w:val="24"/>
          <w:highlight w:val="none"/>
        </w:rPr>
        <w:t>算编制较为详细，项目资金支出总体能够按照预算执行，根据评分标准，该指标扣</w:t>
      </w:r>
      <w:r>
        <w:rPr>
          <w:rFonts w:hint="eastAsia" w:ascii="宋体" w:hAnsi="宋体" w:eastAsia="宋体" w:cs="宋体"/>
          <w:color w:val="auto"/>
          <w:sz w:val="24"/>
          <w:szCs w:val="24"/>
          <w:highlight w:val="none"/>
          <w:lang w:val="en-US" w:eastAsia="zh-CN"/>
        </w:rPr>
        <w:t>0.16</w:t>
      </w:r>
      <w:r>
        <w:rPr>
          <w:rFonts w:hint="eastAsia" w:ascii="宋体" w:hAnsi="宋体" w:eastAsia="宋体" w:cs="宋体"/>
          <w:color w:val="auto"/>
          <w:sz w:val="24"/>
          <w:szCs w:val="24"/>
          <w:highlight w:val="none"/>
        </w:rPr>
        <w:t>分，得</w:t>
      </w:r>
      <w:r>
        <w:rPr>
          <w:rFonts w:hint="eastAsia" w:ascii="宋体" w:hAnsi="宋体" w:eastAsia="宋体" w:cs="宋体"/>
          <w:color w:val="auto"/>
          <w:sz w:val="24"/>
          <w:szCs w:val="24"/>
          <w:highlight w:val="none"/>
          <w:lang w:val="en-US" w:eastAsia="zh-CN"/>
        </w:rPr>
        <w:t>1.84</w:t>
      </w:r>
      <w:r>
        <w:rPr>
          <w:rFonts w:hint="eastAsia" w:ascii="宋体" w:hAnsi="宋体" w:eastAsia="宋体" w:cs="宋体"/>
          <w:color w:val="auto"/>
          <w:sz w:val="24"/>
          <w:szCs w:val="24"/>
          <w:highlight w:val="none"/>
        </w:rPr>
        <w:t>分。</w:t>
      </w:r>
    </w:p>
    <w:p w14:paraId="499D74B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（3）资金使用合规性：</w:t>
      </w: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val="en-US" w:eastAsia="zh-CN"/>
        </w:rPr>
        <w:t>洛浦县北京幼儿园</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val="en-US" w:eastAsia="zh-CN"/>
        </w:rPr>
        <w:t>洛浦县北京幼儿园</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16D055B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rPr>
        <w:t>4）管理制度健全性：</w:t>
      </w:r>
      <w:r>
        <w:rPr>
          <w:rFonts w:hint="eastAsia" w:ascii="宋体" w:hAnsi="宋体" w:eastAsia="宋体" w:cs="宋体"/>
          <w:b w:val="0"/>
          <w:bCs w:val="0"/>
          <w:color w:val="auto"/>
          <w:sz w:val="24"/>
          <w:szCs w:val="24"/>
          <w:highlight w:val="none"/>
        </w:rPr>
        <w:t>我单位已制定《</w:t>
      </w:r>
      <w:r>
        <w:rPr>
          <w:rFonts w:hint="eastAsia" w:ascii="宋体" w:hAnsi="宋体" w:eastAsia="宋体" w:cs="宋体"/>
          <w:color w:val="auto"/>
          <w:sz w:val="24"/>
          <w:szCs w:val="24"/>
          <w:highlight w:val="none"/>
          <w:lang w:val="en-US" w:eastAsia="zh-CN"/>
        </w:rPr>
        <w:t>洛浦县北京幼儿园</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color w:val="auto"/>
          <w:sz w:val="24"/>
          <w:szCs w:val="24"/>
          <w:highlight w:val="none"/>
          <w:lang w:val="en-US" w:eastAsia="zh-CN"/>
        </w:rPr>
        <w:t>洛浦县北京幼儿园</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color w:val="auto"/>
          <w:sz w:val="24"/>
          <w:szCs w:val="24"/>
          <w:highlight w:val="none"/>
          <w:lang w:val="en-US" w:eastAsia="zh-CN"/>
        </w:rPr>
        <w:t>洛浦县北京幼儿园</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color w:val="auto"/>
          <w:sz w:val="24"/>
          <w:szCs w:val="24"/>
          <w:highlight w:val="none"/>
          <w:lang w:val="en-US" w:eastAsia="zh-CN"/>
        </w:rPr>
        <w:t>洛浦县北京幼儿园</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分。</w:t>
      </w:r>
    </w:p>
    <w:p w14:paraId="018D890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（5）制度执行有效性</w:t>
      </w:r>
      <w:r>
        <w:rPr>
          <w:rFonts w:hint="eastAsia" w:ascii="宋体" w:hAnsi="宋体" w:eastAsia="宋体" w:cs="宋体"/>
          <w:color w:val="auto"/>
          <w:sz w:val="24"/>
          <w:szCs w:val="24"/>
          <w:highlight w:val="none"/>
        </w:rPr>
        <w:t>：①该项目的实施符合</w:t>
      </w:r>
      <w:r>
        <w:rPr>
          <w:rFonts w:hint="eastAsia" w:ascii="宋体" w:hAnsi="宋体" w:eastAsia="宋体" w:cs="宋体"/>
          <w:b w:val="0"/>
          <w:bCs w:val="0"/>
          <w:color w:val="auto"/>
          <w:sz w:val="24"/>
          <w:szCs w:val="24"/>
          <w:highlight w:val="none"/>
        </w:rPr>
        <w:t>《</w:t>
      </w:r>
      <w:r>
        <w:rPr>
          <w:rFonts w:hint="eastAsia" w:ascii="宋体" w:hAnsi="宋体" w:eastAsia="宋体" w:cs="宋体"/>
          <w:color w:val="auto"/>
          <w:sz w:val="24"/>
          <w:szCs w:val="24"/>
          <w:highlight w:val="none"/>
          <w:lang w:val="en-US" w:eastAsia="zh-CN"/>
        </w:rPr>
        <w:t>洛浦县北京幼儿园</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color w:val="auto"/>
          <w:sz w:val="24"/>
          <w:szCs w:val="24"/>
          <w:highlight w:val="none"/>
          <w:lang w:val="en-US" w:eastAsia="zh-CN"/>
        </w:rPr>
        <w:t>洛浦县北京幼儿园</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洛浦县北京幼儿园</w:t>
      </w:r>
      <w:r>
        <w:rPr>
          <w:rFonts w:hint="eastAsia" w:ascii="宋体" w:hAnsi="宋体" w:eastAsia="宋体" w:cs="宋体"/>
          <w:color w:val="auto"/>
          <w:sz w:val="24"/>
          <w:szCs w:val="24"/>
          <w:highlight w:val="none"/>
        </w:rPr>
        <w:t>采购业务管理制度》《</w:t>
      </w:r>
      <w:r>
        <w:rPr>
          <w:rFonts w:hint="eastAsia" w:ascii="宋体" w:hAnsi="宋体" w:eastAsia="宋体" w:cs="宋体"/>
          <w:color w:val="auto"/>
          <w:sz w:val="24"/>
          <w:szCs w:val="24"/>
          <w:highlight w:val="none"/>
          <w:lang w:val="en-US" w:eastAsia="zh-CN"/>
        </w:rPr>
        <w:t>洛浦县北京幼儿园</w:t>
      </w:r>
      <w:r>
        <w:rPr>
          <w:rFonts w:hint="eastAsia" w:ascii="宋体" w:hAnsi="宋体" w:eastAsia="宋体" w:cs="宋体"/>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179A1E1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6B01812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③该项目实施过程中不存在调整事项。</w:t>
      </w:r>
    </w:p>
    <w:p w14:paraId="298253D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专项资金-和地财教【2023】73号：2024年新疆西藏等地区教育特殊补助资金-学前三年免费保障经费-公用经费-洛财教【2024】22号工作领导小组，由</w:t>
      </w:r>
      <w:r>
        <w:rPr>
          <w:rFonts w:hint="eastAsia" w:ascii="宋体" w:hAnsi="宋体" w:eastAsia="宋体" w:cs="宋体"/>
          <w:color w:val="auto"/>
          <w:sz w:val="24"/>
          <w:szCs w:val="24"/>
          <w:highlight w:val="none"/>
          <w:lang w:val="en-US" w:eastAsia="zh-CN"/>
        </w:rPr>
        <w:t>李斯娟书记</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val="en-US" w:eastAsia="zh-CN"/>
        </w:rPr>
        <w:t>副园长汪娇</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val="en-US" w:eastAsia="zh-CN"/>
        </w:rPr>
        <w:t>李小燕、顾洪刚</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val="en-US" w:eastAsia="zh-CN"/>
        </w:rPr>
        <w:t>王小红</w:t>
      </w:r>
      <w:r>
        <w:rPr>
          <w:rFonts w:hint="eastAsia" w:ascii="宋体" w:hAnsi="宋体" w:eastAsia="宋体" w:cs="宋体"/>
          <w:color w:val="auto"/>
          <w:sz w:val="24"/>
          <w:szCs w:val="24"/>
          <w:highlight w:val="none"/>
        </w:rPr>
        <w:t>，主要负责项目监督管理、验收以及资金核拨等工作。根据评分标准，该指标不扣分，得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675E8573">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0BDB932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项目产出类指标包括产出数量、产出质量、产出时效、产出成本四方面的内容，由4个三级指标构成，权重分为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1AF25198">
      <w:pPr>
        <w:pageBreakBefore w:val="0"/>
        <w:widowControl w:val="0"/>
        <w:numPr>
          <w:ilvl w:val="0"/>
          <w:numId w:val="4"/>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0ED9FE6D">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学前教育保障经费收益学生数量指标，预期指标值：“=628人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kern w:val="0"/>
          <w:sz w:val="24"/>
          <w:szCs w:val="24"/>
          <w:highlight w:val="none"/>
          <w:lang w:val="en-US" w:eastAsia="zh-CN" w:bidi="ar-SA"/>
        </w:rPr>
        <w:t>，实际完成值为628人，指标完成率为100%，与预期目标一致，根据评分标准，该指标不扣分，得10分。</w:t>
      </w:r>
    </w:p>
    <w:p w14:paraId="72AD4D0C">
      <w:pPr>
        <w:pageBreakBefore w:val="0"/>
        <w:widowControl w:val="0"/>
        <w:numPr>
          <w:ilvl w:val="0"/>
          <w:numId w:val="4"/>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对于“产出质量”：</w:t>
      </w:r>
    </w:p>
    <w:p w14:paraId="4470BA8B">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补助资金到位率指标，预期指标值：“=100%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lang w:val="en-US" w:eastAsia="zh-CN" w:bidi="ar-SA"/>
        </w:rPr>
        <w:t>实际完成值为</w:t>
      </w:r>
      <w:r>
        <w:rPr>
          <w:rFonts w:hint="eastAsia" w:ascii="宋体" w:hAnsi="宋体" w:eastAsia="宋体" w:cs="宋体"/>
          <w:color w:val="auto"/>
          <w:sz w:val="24"/>
          <w:szCs w:val="24"/>
          <w:highlight w:val="none"/>
        </w:rPr>
        <w:t>100%</w:t>
      </w:r>
      <w:r>
        <w:rPr>
          <w:rFonts w:hint="eastAsia" w:ascii="宋体" w:hAnsi="宋体" w:eastAsia="宋体" w:cs="宋体"/>
          <w:color w:val="auto"/>
          <w:kern w:val="0"/>
          <w:sz w:val="24"/>
          <w:szCs w:val="24"/>
          <w:highlight w:val="none"/>
          <w:lang w:val="en-US" w:eastAsia="zh-CN" w:bidi="ar-SA"/>
        </w:rPr>
        <w:t>，指标完成率为100%，与预期目标一致，根据评分标准，该指标不扣分，得5分。</w:t>
      </w:r>
    </w:p>
    <w:p w14:paraId="1F8B6741">
      <w:pPr>
        <w:pStyle w:val="48"/>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补助资金</w:t>
      </w:r>
      <w:r>
        <w:rPr>
          <w:rFonts w:hint="eastAsia" w:ascii="宋体" w:hAnsi="宋体" w:eastAsia="宋体" w:cs="宋体"/>
          <w:color w:val="auto"/>
          <w:sz w:val="24"/>
          <w:szCs w:val="24"/>
          <w:highlight w:val="none"/>
          <w:lang w:val="en-US" w:eastAsia="zh-CN"/>
        </w:rPr>
        <w:t>发放</w:t>
      </w:r>
      <w:r>
        <w:rPr>
          <w:rFonts w:hint="eastAsia" w:ascii="宋体" w:hAnsi="宋体" w:eastAsia="宋体" w:cs="宋体"/>
          <w:color w:val="auto"/>
          <w:sz w:val="24"/>
          <w:szCs w:val="24"/>
          <w:highlight w:val="none"/>
        </w:rPr>
        <w:t>率指标，预期指标值：“=100%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lang w:val="en-US" w:eastAsia="zh-CN" w:bidi="ar-SA"/>
        </w:rPr>
        <w:t>实际完成值为</w:t>
      </w:r>
      <w:r>
        <w:rPr>
          <w:rFonts w:hint="eastAsia" w:ascii="宋体" w:hAnsi="宋体" w:eastAsia="宋体" w:cs="宋体"/>
          <w:color w:val="auto"/>
          <w:sz w:val="24"/>
          <w:szCs w:val="24"/>
          <w:highlight w:val="none"/>
        </w:rPr>
        <w:t>100%</w:t>
      </w:r>
      <w:r>
        <w:rPr>
          <w:rFonts w:hint="eastAsia" w:ascii="宋体" w:hAnsi="宋体" w:eastAsia="宋体" w:cs="宋体"/>
          <w:color w:val="auto"/>
          <w:kern w:val="0"/>
          <w:sz w:val="24"/>
          <w:szCs w:val="24"/>
          <w:highlight w:val="none"/>
          <w:lang w:val="en-US" w:eastAsia="zh-CN" w:bidi="ar-SA"/>
        </w:rPr>
        <w:t>，指标完成率为100%，与预期目标一致，根据评分标准，该指标不扣分，得5分。</w:t>
      </w:r>
    </w:p>
    <w:p w14:paraId="7A33A14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7F4D4AC9">
      <w:pPr>
        <w:pStyle w:val="10"/>
        <w:pageBreakBefore w:val="0"/>
        <w:widowControl w:val="0"/>
        <w:numPr>
          <w:ilvl w:val="0"/>
          <w:numId w:val="4"/>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对于“产出时效”：</w:t>
      </w:r>
    </w:p>
    <w:p w14:paraId="6E49207C">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b w:val="0"/>
          <w:color w:val="auto"/>
          <w:kern w:val="0"/>
          <w:sz w:val="24"/>
          <w:szCs w:val="24"/>
          <w:highlight w:val="none"/>
          <w:lang w:val="en-US" w:eastAsia="zh-CN" w:bidi="ar-SA"/>
        </w:rPr>
        <w:t>项目结束时间指标，预期指标值为2024年12月，实际完成值为2024年12月，指标完成率为100%，与预期目标一致，根据评分标准，该指标不扣分，得5分。</w:t>
      </w:r>
    </w:p>
    <w:p w14:paraId="3BA097B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b w:val="0"/>
          <w:color w:val="auto"/>
          <w:kern w:val="0"/>
          <w:sz w:val="24"/>
          <w:szCs w:val="24"/>
          <w:highlight w:val="none"/>
          <w:lang w:val="en-US" w:eastAsia="zh-CN" w:bidi="ar-SA"/>
        </w:rPr>
        <w:t>资金拨付及时率指标，预期指标值为“=100%”，实际完成值为“=100%”，指标完成率为100%，与预期目标一致，根据评分标准，该指标不扣分，得5分。</w:t>
      </w:r>
    </w:p>
    <w:p w14:paraId="646B1C05">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合计得10分。</w:t>
      </w:r>
    </w:p>
    <w:p w14:paraId="68CBFA2A">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（4）对于“产出成本”：</w:t>
      </w:r>
    </w:p>
    <w:p w14:paraId="1F6E803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保障经费</w:t>
      </w:r>
      <w:r>
        <w:rPr>
          <w:rFonts w:hint="eastAsia" w:ascii="宋体" w:hAnsi="宋体" w:eastAsia="宋体" w:cs="宋体"/>
          <w:b w:val="0"/>
          <w:bCs w:val="0"/>
          <w:color w:val="auto"/>
          <w:sz w:val="24"/>
          <w:szCs w:val="24"/>
          <w:highlight w:val="none"/>
        </w:rPr>
        <w:t>支出成本指标，预期指标值为“</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163.91万元</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，实际完成值为</w:t>
      </w:r>
      <w:r>
        <w:rPr>
          <w:rFonts w:hint="eastAsia" w:ascii="宋体" w:hAnsi="宋体" w:eastAsia="宋体" w:cs="宋体"/>
          <w:b w:val="0"/>
          <w:bCs w:val="0"/>
          <w:color w:val="auto"/>
          <w:sz w:val="24"/>
          <w:szCs w:val="24"/>
          <w:highlight w:val="none"/>
          <w:lang w:val="en-US" w:eastAsia="zh-CN"/>
        </w:rPr>
        <w:t>151.15万元</w:t>
      </w:r>
      <w:r>
        <w:rPr>
          <w:rFonts w:hint="eastAsia" w:ascii="宋体" w:hAnsi="宋体" w:eastAsia="宋体" w:cs="宋体"/>
          <w:b w:val="0"/>
          <w:bCs w:val="0"/>
          <w:color w:val="auto"/>
          <w:sz w:val="24"/>
          <w:szCs w:val="24"/>
          <w:highlight w:val="none"/>
        </w:rPr>
        <w:t>，指标完成率为</w:t>
      </w:r>
      <w:r>
        <w:rPr>
          <w:rFonts w:hint="eastAsia" w:ascii="宋体" w:hAnsi="宋体" w:eastAsia="宋体" w:cs="宋体"/>
          <w:b w:val="0"/>
          <w:bCs w:val="0"/>
          <w:color w:val="auto"/>
          <w:sz w:val="24"/>
          <w:szCs w:val="24"/>
          <w:highlight w:val="none"/>
          <w:lang w:val="en-US" w:eastAsia="zh-CN"/>
        </w:rPr>
        <w:t>92.22%，</w:t>
      </w:r>
      <w:r>
        <w:rPr>
          <w:rFonts w:hint="eastAsia" w:ascii="宋体" w:hAnsi="宋体" w:eastAsia="宋体" w:cs="宋体"/>
          <w:b w:val="0"/>
          <w:bCs w:val="0"/>
          <w:color w:val="auto"/>
          <w:sz w:val="24"/>
          <w:szCs w:val="24"/>
          <w:highlight w:val="none"/>
        </w:rPr>
        <w:t>本年</w:t>
      </w:r>
      <w:r>
        <w:rPr>
          <w:rFonts w:hint="eastAsia" w:ascii="宋体" w:hAnsi="宋体" w:eastAsia="宋体" w:cs="宋体"/>
          <w:b w:val="0"/>
          <w:bCs w:val="0"/>
          <w:color w:val="auto"/>
          <w:sz w:val="24"/>
          <w:szCs w:val="24"/>
          <w:highlight w:val="none"/>
          <w:lang w:val="en-US" w:eastAsia="zh-CN"/>
        </w:rPr>
        <w:t>项目</w:t>
      </w:r>
      <w:r>
        <w:rPr>
          <w:rFonts w:hint="eastAsia" w:ascii="宋体" w:hAnsi="宋体" w:eastAsia="宋体" w:cs="宋体"/>
          <w:b w:val="0"/>
          <w:bCs w:val="0"/>
          <w:color w:val="auto"/>
          <w:sz w:val="24"/>
          <w:szCs w:val="24"/>
          <w:highlight w:val="none"/>
        </w:rPr>
        <w:t>余款金额</w:t>
      </w:r>
      <w:r>
        <w:rPr>
          <w:rFonts w:hint="eastAsia" w:ascii="宋体" w:hAnsi="宋体" w:eastAsia="宋体" w:cs="宋体"/>
          <w:b w:val="0"/>
          <w:bCs w:val="0"/>
          <w:color w:val="auto"/>
          <w:sz w:val="24"/>
          <w:szCs w:val="24"/>
          <w:highlight w:val="none"/>
          <w:lang w:val="en-US" w:eastAsia="zh-CN"/>
        </w:rPr>
        <w:t>12.76</w:t>
      </w:r>
      <w:r>
        <w:rPr>
          <w:rFonts w:hint="eastAsia" w:ascii="宋体" w:hAnsi="宋体" w:eastAsia="宋体" w:cs="宋体"/>
          <w:b w:val="0"/>
          <w:bCs w:val="0"/>
          <w:color w:val="auto"/>
          <w:sz w:val="24"/>
          <w:szCs w:val="24"/>
          <w:highlight w:val="none"/>
        </w:rPr>
        <w:t>万元，项目经费都能控制绩效目标范围内，根据评分标准，该指标不扣</w:t>
      </w:r>
      <w:r>
        <w:rPr>
          <w:rFonts w:hint="eastAsia" w:ascii="宋体" w:hAnsi="宋体" w:eastAsia="宋体" w:cs="宋体"/>
          <w:color w:val="auto"/>
          <w:sz w:val="24"/>
          <w:szCs w:val="24"/>
          <w:highlight w:val="none"/>
        </w:rPr>
        <w:t>分，得1</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w:t>
      </w:r>
      <w:bookmarkEnd w:id="15"/>
    </w:p>
    <w:p w14:paraId="5A0B6735">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4020663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个方面的内容，由2个三级指标构成，权重分为2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分，实际得分2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分，得分率为100%。</w:t>
      </w:r>
    </w:p>
    <w:p w14:paraId="65EF1F2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（1）对于“社会效益指标”：</w:t>
      </w:r>
    </w:p>
    <w:p w14:paraId="0B6ECC2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改善教育教学质量指标，该指标预期指标值为</w:t>
      </w:r>
      <w:r>
        <w:rPr>
          <w:rFonts w:hint="eastAsia" w:ascii="宋体" w:hAnsi="宋体" w:eastAsia="宋体" w:cs="宋体"/>
          <w:color w:val="auto"/>
          <w:sz w:val="24"/>
          <w:szCs w:val="24"/>
          <w:highlight w:val="none"/>
          <w:lang w:val="en-US" w:eastAsia="zh-CN"/>
        </w:rPr>
        <w:t>有效改善</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有效改善</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，与预期指标一致，根据评分标准，该指标不扣分，得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5分。</w:t>
      </w:r>
    </w:p>
    <w:p w14:paraId="21B32C51">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）满意度指标分析</w:t>
      </w:r>
    </w:p>
    <w:p w14:paraId="605616D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对于学生满意度指标，该指标预期指标值为≥95%，实际完成值为95%，指标完成率为100%，与预期指标一致，根据评分标准，该指标不扣分，得10分。</w:t>
      </w:r>
    </w:p>
    <w:p w14:paraId="0E17B9C2">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6E77EDFD">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p>
    <w:p w14:paraId="46CCCFDA">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五、预算执行进度与绩效指标偏差情况</w:t>
      </w:r>
    </w:p>
    <w:p w14:paraId="35159819">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本项目年初预算资金总额为</w:t>
      </w:r>
      <w:r>
        <w:rPr>
          <w:rFonts w:hint="eastAsia" w:ascii="宋体" w:hAnsi="宋体" w:eastAsia="宋体" w:cs="宋体"/>
          <w:color w:val="auto"/>
          <w:sz w:val="24"/>
          <w:szCs w:val="24"/>
          <w:highlight w:val="none"/>
          <w:lang w:val="en-US" w:eastAsia="zh-CN"/>
        </w:rPr>
        <w:t>163.91</w:t>
      </w:r>
      <w:r>
        <w:rPr>
          <w:rFonts w:hint="eastAsia" w:ascii="宋体" w:hAnsi="宋体" w:eastAsia="宋体" w:cs="宋体"/>
          <w:color w:val="auto"/>
          <w:sz w:val="24"/>
          <w:szCs w:val="24"/>
          <w:highlight w:val="none"/>
        </w:rPr>
        <w:t>万元，全年预算数为</w:t>
      </w:r>
      <w:r>
        <w:rPr>
          <w:rFonts w:hint="eastAsia" w:ascii="宋体" w:hAnsi="宋体" w:eastAsia="宋体" w:cs="宋体"/>
          <w:color w:val="auto"/>
          <w:sz w:val="24"/>
          <w:szCs w:val="24"/>
          <w:highlight w:val="none"/>
          <w:lang w:val="en-US" w:eastAsia="zh-CN"/>
        </w:rPr>
        <w:t>163.91</w:t>
      </w:r>
      <w:r>
        <w:rPr>
          <w:rFonts w:hint="eastAsia" w:ascii="宋体" w:hAnsi="宋体" w:eastAsia="宋体" w:cs="宋体"/>
          <w:color w:val="auto"/>
          <w:sz w:val="24"/>
          <w:szCs w:val="24"/>
          <w:highlight w:val="none"/>
        </w:rPr>
        <w:t>万元，全年执行数为</w:t>
      </w:r>
      <w:r>
        <w:rPr>
          <w:rFonts w:hint="eastAsia" w:ascii="宋体" w:hAnsi="宋体" w:eastAsia="宋体" w:cs="宋体"/>
          <w:color w:val="auto"/>
          <w:sz w:val="24"/>
          <w:szCs w:val="24"/>
          <w:highlight w:val="none"/>
          <w:lang w:val="en-US" w:eastAsia="zh-CN"/>
        </w:rPr>
        <w:t>151.15</w:t>
      </w:r>
      <w:r>
        <w:rPr>
          <w:rFonts w:hint="eastAsia" w:ascii="宋体" w:hAnsi="宋体" w:eastAsia="宋体" w:cs="宋体"/>
          <w:color w:val="auto"/>
          <w:sz w:val="24"/>
          <w:szCs w:val="24"/>
          <w:highlight w:val="none"/>
        </w:rPr>
        <w:t>万元，预算执行率为</w:t>
      </w:r>
      <w:r>
        <w:rPr>
          <w:rFonts w:hint="eastAsia" w:ascii="宋体" w:hAnsi="宋体" w:eastAsia="宋体" w:cs="宋体"/>
          <w:color w:val="auto"/>
          <w:sz w:val="24"/>
          <w:szCs w:val="24"/>
          <w:highlight w:val="none"/>
          <w:lang w:val="en-US" w:eastAsia="zh-CN"/>
        </w:rPr>
        <w:t>92.22</w:t>
      </w:r>
      <w:r>
        <w:rPr>
          <w:rFonts w:hint="eastAsia" w:ascii="宋体" w:hAnsi="宋体" w:eastAsia="宋体" w:cs="宋体"/>
          <w:color w:val="auto"/>
          <w:sz w:val="24"/>
          <w:szCs w:val="24"/>
          <w:highlight w:val="none"/>
        </w:rPr>
        <w:t>%。</w:t>
      </w:r>
    </w:p>
    <w:p w14:paraId="0257B1E1">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本项目共设置三级指标数量</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个，满分指标数量</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个，扣分指标数量</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个，经分析计算所有三级指标完成率得出，本项目总体完成率为</w:t>
      </w:r>
      <w:r>
        <w:rPr>
          <w:rFonts w:hint="eastAsia" w:ascii="宋体" w:hAnsi="宋体" w:eastAsia="宋体" w:cs="宋体"/>
          <w:color w:val="auto"/>
          <w:sz w:val="24"/>
          <w:szCs w:val="24"/>
          <w:highlight w:val="none"/>
          <w:lang w:val="en-US" w:eastAsia="zh-CN"/>
        </w:rPr>
        <w:t>87.5</w:t>
      </w:r>
      <w:r>
        <w:rPr>
          <w:rFonts w:hint="eastAsia" w:ascii="宋体" w:hAnsi="宋体" w:eastAsia="宋体" w:cs="宋体"/>
          <w:color w:val="auto"/>
          <w:sz w:val="24"/>
          <w:szCs w:val="24"/>
          <w:highlight w:val="none"/>
        </w:rPr>
        <w:t>%。</w:t>
      </w:r>
    </w:p>
    <w:p w14:paraId="6D63A55B">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综上所述本项目预算执行率与总体完成率之间的偏差为</w:t>
      </w:r>
      <w:r>
        <w:rPr>
          <w:rFonts w:hint="eastAsia" w:ascii="宋体" w:hAnsi="宋体" w:eastAsia="宋体" w:cs="宋体"/>
          <w:color w:val="auto"/>
          <w:sz w:val="24"/>
          <w:szCs w:val="24"/>
          <w:highlight w:val="none"/>
          <w:lang w:val="en-US" w:eastAsia="zh-CN"/>
        </w:rPr>
        <w:t>4.72</w:t>
      </w:r>
      <w:r>
        <w:rPr>
          <w:rFonts w:hint="eastAsia" w:ascii="宋体" w:hAnsi="宋体" w:eastAsia="宋体" w:cs="宋体"/>
          <w:color w:val="auto"/>
          <w:sz w:val="24"/>
          <w:szCs w:val="24"/>
          <w:highlight w:val="none"/>
        </w:rPr>
        <w:t>%。</w:t>
      </w:r>
    </w:p>
    <w:p w14:paraId="1A3945FF">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bookmarkStart w:id="16" w:name="_Toc68364673"/>
      <w:r>
        <w:rPr>
          <w:rFonts w:hint="eastAsia" w:ascii="黑体" w:hAnsi="黑体" w:eastAsia="黑体" w:cs="黑体"/>
          <w:color w:val="auto"/>
          <w:sz w:val="24"/>
          <w:szCs w:val="24"/>
          <w:highlight w:val="none"/>
        </w:rPr>
        <w:t>六、主要经验及做法、存在的问题及原因分析</w:t>
      </w:r>
    </w:p>
    <w:p w14:paraId="4D075612">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（一）主要经验及做法</w:t>
      </w:r>
      <w:bookmarkEnd w:id="16"/>
    </w:p>
    <w:p w14:paraId="00AE8B94">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一是本项目能够严格按照《项目实施方案》执行，项目执行情况较好。</w:t>
      </w:r>
    </w:p>
    <w:p w14:paraId="2CFD041E">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二是加强组织领导，本项目绩效评价工作，有主要领导亲自挂帅，分管领导具体负责，从项目到资金，均能够很好的执行。</w:t>
      </w:r>
    </w:p>
    <w:p w14:paraId="04164F17">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三是加强沟通协调，我单位及时向领导汇报项目建设进度，加强与施工单位的沟通，确保项目按期完工。</w:t>
      </w:r>
    </w:p>
    <w:p w14:paraId="24A68F2C">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bookmarkStart w:id="17" w:name="_Toc68364674"/>
      <w:r>
        <w:rPr>
          <w:rFonts w:hint="eastAsia" w:ascii="宋体" w:hAnsi="宋体" w:eastAsia="宋体" w:cs="宋体"/>
          <w:color w:val="auto"/>
          <w:sz w:val="24"/>
          <w:szCs w:val="24"/>
          <w:highlight w:val="none"/>
        </w:rPr>
        <w:t>（二）存在问题及原因分析</w:t>
      </w:r>
      <w:bookmarkEnd w:id="17"/>
    </w:p>
    <w:p w14:paraId="75554F45">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问题：项目科目设置不合理，预算未及时调整。</w:t>
      </w:r>
    </w:p>
    <w:p w14:paraId="6F349C5C">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原因分析：财务人员专业能力不足缺乏项目核算经验，今后将定期核算。</w:t>
      </w:r>
    </w:p>
    <w:p w14:paraId="0C434F2B">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2.项目管理环节：</w:t>
      </w:r>
    </w:p>
    <w:p w14:paraId="3E312E49">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问题：计划缺乏前瞻性和灵活性，没有考虑到潜在的变化因素。</w:t>
      </w:r>
    </w:p>
    <w:p w14:paraId="2F954830">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原因分析：在制定计划时，缺乏充分的调研和分析。</w:t>
      </w:r>
    </w:p>
    <w:p w14:paraId="42E3F790">
      <w:pPr>
        <w:pStyle w:val="58"/>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黑体" w:hAnsi="黑体" w:eastAsia="黑体" w:cs="黑体"/>
          <w:b/>
          <w:bCs/>
          <w:color w:val="auto"/>
          <w:kern w:val="44"/>
          <w:sz w:val="24"/>
          <w:szCs w:val="24"/>
          <w:highlight w:val="none"/>
          <w:lang w:val="en-US" w:eastAsia="zh-CN" w:bidi="ar-SA"/>
        </w:rPr>
      </w:pPr>
      <w:bookmarkStart w:id="18" w:name="_Toc68364675"/>
    </w:p>
    <w:p w14:paraId="370BCFEC">
      <w:pPr>
        <w:pStyle w:val="58"/>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黑体" w:hAnsi="黑体" w:eastAsia="黑体" w:cs="黑体"/>
          <w:b/>
          <w:bCs/>
          <w:color w:val="auto"/>
          <w:kern w:val="44"/>
          <w:sz w:val="24"/>
          <w:szCs w:val="24"/>
          <w:highlight w:val="none"/>
          <w:lang w:val="en-US" w:eastAsia="zh-CN" w:bidi="ar-SA"/>
        </w:rPr>
      </w:pPr>
      <w:r>
        <w:rPr>
          <w:rFonts w:hint="eastAsia" w:ascii="黑体" w:hAnsi="黑体" w:eastAsia="黑体" w:cs="黑体"/>
          <w:b/>
          <w:bCs/>
          <w:color w:val="auto"/>
          <w:kern w:val="44"/>
          <w:sz w:val="24"/>
          <w:szCs w:val="24"/>
          <w:highlight w:val="none"/>
          <w:lang w:val="en-US" w:eastAsia="zh-CN" w:bidi="ar-SA"/>
        </w:rPr>
        <w:t>七、有关建议</w:t>
      </w:r>
      <w:bookmarkEnd w:id="18"/>
    </w:p>
    <w:p w14:paraId="5D4EF431">
      <w:pPr>
        <w:pStyle w:val="58"/>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b w:val="0"/>
          <w:bCs w:val="0"/>
          <w:color w:val="auto"/>
          <w:kern w:val="44"/>
          <w:sz w:val="24"/>
          <w:szCs w:val="24"/>
          <w:highlight w:val="none"/>
          <w:lang w:val="en-US" w:eastAsia="zh-CN" w:bidi="ar-SA"/>
        </w:rPr>
      </w:pPr>
      <w:r>
        <w:rPr>
          <w:rFonts w:hint="eastAsia" w:ascii="宋体" w:hAnsi="宋体" w:eastAsia="宋体" w:cs="宋体"/>
          <w:b w:val="0"/>
          <w:bCs w:val="0"/>
          <w:color w:val="auto"/>
          <w:kern w:val="44"/>
          <w:sz w:val="24"/>
          <w:szCs w:val="24"/>
          <w:highlight w:val="none"/>
          <w:lang w:val="en-US" w:eastAsia="zh-CN" w:bidi="ar-SA"/>
        </w:rPr>
        <w:t>1.加大绩效工作宣传力度，强化绩效理念充分，与上级沟通，力争科学安排审计项目，做好预算编制，积极加强绩效管理。</w:t>
      </w:r>
    </w:p>
    <w:p w14:paraId="6B16E109">
      <w:pPr>
        <w:pStyle w:val="58"/>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b w:val="0"/>
          <w:bCs w:val="0"/>
          <w:color w:val="auto"/>
          <w:kern w:val="44"/>
          <w:sz w:val="24"/>
          <w:szCs w:val="24"/>
          <w:highlight w:val="none"/>
          <w:lang w:val="en-US" w:eastAsia="zh-CN" w:bidi="ar-SA"/>
        </w:rPr>
      </w:pPr>
      <w:r>
        <w:rPr>
          <w:rFonts w:hint="eastAsia" w:ascii="宋体" w:hAnsi="宋体" w:eastAsia="宋体" w:cs="宋体"/>
          <w:b w:val="0"/>
          <w:bCs w:val="0"/>
          <w:color w:val="auto"/>
          <w:kern w:val="44"/>
          <w:sz w:val="24"/>
          <w:szCs w:val="24"/>
          <w:highlight w:val="none"/>
          <w:lang w:val="en-US" w:eastAsia="zh-CN" w:bidi="ar-SA"/>
        </w:rPr>
        <w:t>2、完善绩效指标，提高整体绩效目标质量。提升预算精细化管理水平。</w:t>
      </w:r>
    </w:p>
    <w:p w14:paraId="5A8C0E06">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9" w:name="_Toc68364676"/>
    </w:p>
    <w:p w14:paraId="5823D40F">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auto"/>
          <w:sz w:val="24"/>
          <w:szCs w:val="24"/>
          <w:highlight w:val="none"/>
        </w:rPr>
      </w:pPr>
      <w:r>
        <w:rPr>
          <w:rFonts w:hint="eastAsia" w:ascii="黑体" w:hAnsi="黑体" w:eastAsia="黑体" w:cs="黑体"/>
          <w:b/>
          <w:bCs/>
          <w:color w:val="auto"/>
          <w:sz w:val="24"/>
          <w:szCs w:val="24"/>
          <w:highlight w:val="none"/>
        </w:rPr>
        <w:t>八、其他需要说明的问题</w:t>
      </w:r>
      <w:bookmarkEnd w:id="19"/>
    </w:p>
    <w:p w14:paraId="71E0C673">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我单位对上述项目支出绩效评价报告内反映内容的真实性、完整性负责，</w:t>
      </w:r>
      <w:r>
        <w:rPr>
          <w:rFonts w:hint="eastAsia" w:ascii="宋体" w:hAnsi="宋体" w:eastAsia="宋体" w:cs="宋体"/>
          <w:color w:val="auto"/>
          <w:sz w:val="24"/>
          <w:szCs w:val="24"/>
          <w:highlight w:val="none"/>
          <w:lang w:val="en-US" w:eastAsia="zh-CN"/>
        </w:rPr>
        <w:t>愿</w:t>
      </w:r>
      <w:r>
        <w:rPr>
          <w:rFonts w:hint="eastAsia" w:ascii="宋体" w:hAnsi="宋体" w:eastAsia="宋体" w:cs="宋体"/>
          <w:color w:val="auto"/>
          <w:sz w:val="24"/>
          <w:szCs w:val="24"/>
          <w:highlight w:val="none"/>
        </w:rPr>
        <w:t>接受上级部门及社会公众监督。</w:t>
      </w:r>
    </w:p>
    <w:p w14:paraId="6B00D61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398250F8">
      <w:pPr>
        <w:pageBreakBefore w:val="0"/>
        <w:widowControl w:val="0"/>
        <w:kinsoku/>
        <w:wordWrap/>
        <w:topLinePunct w:val="0"/>
        <w:autoSpaceDE/>
        <w:autoSpaceDN/>
        <w:bidi w:val="0"/>
        <w:adjustRightInd/>
        <w:spacing w:line="360" w:lineRule="auto"/>
        <w:ind w:left="1436" w:leftChars="170" w:hanging="960" w:hangingChars="4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附件1：专项资金-和地财教【2023】73号：2024年新疆西藏等地区教育特殊补助资金-学前三年免费保障经费-公用经费-洛财教【2024】22号 </w:t>
      </w:r>
    </w:p>
    <w:p w14:paraId="6FA10644">
      <w:pPr>
        <w:pageBreakBefore w:val="0"/>
        <w:widowControl w:val="0"/>
        <w:kinsoku/>
        <w:wordWrap/>
        <w:topLinePunct w:val="0"/>
        <w:autoSpaceDE/>
        <w:autoSpaceDN/>
        <w:bidi w:val="0"/>
        <w:adjustRightInd/>
        <w:spacing w:line="360" w:lineRule="auto"/>
        <w:ind w:left="1428" w:leftChars="510" w:firstLine="0" w:firstLineChars="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绩效评价指标体系综合评分表</w:t>
      </w:r>
    </w:p>
    <w:p w14:paraId="7A4FEE1B">
      <w:pPr>
        <w:pageBreakBefore w:val="0"/>
        <w:widowControl w:val="0"/>
        <w:kinsoku/>
        <w:wordWrap/>
        <w:topLinePunct w:val="0"/>
        <w:autoSpaceDE/>
        <w:autoSpaceDN/>
        <w:bidi w:val="0"/>
        <w:adjustRightInd/>
        <w:spacing w:line="360" w:lineRule="auto"/>
        <w:ind w:left="1436" w:leftChars="170" w:hanging="960" w:hangingChars="400"/>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附件2：专项资金-和地财教【2023】73号：2024年新疆西藏等地区教育特殊补助资金-学前三年免费保障经费-公用经费-洛财教【2024】22号综合得分表综合得分表</w:t>
      </w:r>
    </w:p>
    <w:p w14:paraId="7522677B">
      <w:pPr>
        <w:pageBreakBefore w:val="0"/>
        <w:widowControl w:val="0"/>
        <w:kinsoku/>
        <w:wordWrap/>
        <w:topLinePunct w:val="0"/>
        <w:autoSpaceDE/>
        <w:autoSpaceDN/>
        <w:bidi w:val="0"/>
        <w:adjustRightInd/>
        <w:spacing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附件3：洛浦县北京幼儿园2024年度部门整体评价</w:t>
      </w:r>
    </w:p>
    <w:p w14:paraId="7FEA28BC">
      <w:pPr>
        <w:pageBreakBefore w:val="0"/>
        <w:widowControl w:val="0"/>
        <w:kinsoku/>
        <w:wordWrap/>
        <w:topLinePunct w:val="0"/>
        <w:autoSpaceDE/>
        <w:autoSpaceDN/>
        <w:bidi w:val="0"/>
        <w:adjustRightInd/>
        <w:spacing w:line="360" w:lineRule="auto"/>
        <w:ind w:left="0" w:leftChars="0" w:firstLine="1440" w:firstLineChars="600"/>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调研问卷汇总</w:t>
      </w:r>
    </w:p>
    <w:p w14:paraId="65B54887">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highlight w:val="none"/>
        </w:rPr>
      </w:pPr>
    </w:p>
    <w:p w14:paraId="002F0274">
      <w:pPr>
        <w:pStyle w:val="10"/>
        <w:ind w:left="0" w:leftChars="0" w:firstLine="0" w:firstLineChars="0"/>
        <w:jc w:val="both"/>
        <w:rPr>
          <w:rFonts w:hint="eastAsia" w:ascii="宋体" w:hAnsi="宋体" w:eastAsia="宋体" w:cs="宋体"/>
          <w:color w:val="auto"/>
          <w:sz w:val="24"/>
          <w:szCs w:val="24"/>
          <w:highlight w:val="none"/>
        </w:rPr>
      </w:pPr>
    </w:p>
    <w:p w14:paraId="7E05A3DC">
      <w:pPr>
        <w:pStyle w:val="10"/>
        <w:ind w:left="0" w:leftChars="0" w:firstLine="0" w:firstLineChars="0"/>
        <w:jc w:val="both"/>
        <w:rPr>
          <w:rFonts w:hint="eastAsia" w:ascii="宋体" w:hAnsi="宋体" w:eastAsia="宋体" w:cs="宋体"/>
          <w:color w:val="auto"/>
          <w:sz w:val="24"/>
          <w:szCs w:val="24"/>
          <w:highlight w:val="none"/>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13916" w:type="dxa"/>
        <w:tblInd w:w="-24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33"/>
        <w:gridCol w:w="533"/>
        <w:gridCol w:w="686"/>
        <w:gridCol w:w="548"/>
        <w:gridCol w:w="766"/>
        <w:gridCol w:w="534"/>
        <w:gridCol w:w="2500"/>
        <w:gridCol w:w="783"/>
        <w:gridCol w:w="4947"/>
        <w:gridCol w:w="970"/>
        <w:gridCol w:w="916"/>
      </w:tblGrid>
      <w:tr w14:paraId="3CD81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trPr>
        <w:tc>
          <w:tcPr>
            <w:tcW w:w="3800" w:type="dxa"/>
            <w:gridSpan w:val="6"/>
            <w:tcBorders>
              <w:top w:val="nil"/>
              <w:left w:val="nil"/>
              <w:bottom w:val="nil"/>
              <w:right w:val="nil"/>
            </w:tcBorders>
            <w:noWrap w:val="0"/>
            <w:vAlign w:val="center"/>
          </w:tcPr>
          <w:p w14:paraId="6E0461BD">
            <w:pPr>
              <w:jc w:val="left"/>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附件1：</w:t>
            </w:r>
          </w:p>
        </w:tc>
        <w:tc>
          <w:tcPr>
            <w:tcW w:w="2500" w:type="dxa"/>
            <w:tcBorders>
              <w:top w:val="nil"/>
              <w:left w:val="nil"/>
              <w:bottom w:val="nil"/>
              <w:right w:val="nil"/>
            </w:tcBorders>
            <w:noWrap w:val="0"/>
            <w:vAlign w:val="center"/>
          </w:tcPr>
          <w:p w14:paraId="2E3CA2A2">
            <w:pPr>
              <w:jc w:val="center"/>
              <w:rPr>
                <w:rFonts w:hint="eastAsia" w:ascii="宋体" w:hAnsi="宋体" w:eastAsia="宋体" w:cs="宋体"/>
                <w:b/>
                <w:bCs/>
                <w:i w:val="0"/>
                <w:iCs w:val="0"/>
                <w:color w:val="000000"/>
                <w:sz w:val="24"/>
                <w:szCs w:val="24"/>
                <w:u w:val="none"/>
              </w:rPr>
            </w:pPr>
          </w:p>
        </w:tc>
        <w:tc>
          <w:tcPr>
            <w:tcW w:w="783" w:type="dxa"/>
            <w:tcBorders>
              <w:top w:val="nil"/>
              <w:left w:val="nil"/>
              <w:bottom w:val="nil"/>
              <w:right w:val="nil"/>
            </w:tcBorders>
            <w:noWrap w:val="0"/>
            <w:vAlign w:val="center"/>
          </w:tcPr>
          <w:p w14:paraId="1D0271EA">
            <w:pPr>
              <w:jc w:val="center"/>
              <w:rPr>
                <w:rFonts w:hint="eastAsia" w:ascii="宋体" w:hAnsi="宋体" w:eastAsia="宋体" w:cs="宋体"/>
                <w:b/>
                <w:bCs/>
                <w:i w:val="0"/>
                <w:iCs w:val="0"/>
                <w:color w:val="000000"/>
                <w:sz w:val="24"/>
                <w:szCs w:val="24"/>
                <w:u w:val="none"/>
              </w:rPr>
            </w:pPr>
          </w:p>
        </w:tc>
        <w:tc>
          <w:tcPr>
            <w:tcW w:w="4947" w:type="dxa"/>
            <w:tcBorders>
              <w:top w:val="nil"/>
              <w:left w:val="nil"/>
              <w:bottom w:val="nil"/>
              <w:right w:val="nil"/>
            </w:tcBorders>
            <w:noWrap w:val="0"/>
            <w:vAlign w:val="center"/>
          </w:tcPr>
          <w:p w14:paraId="22286C9A">
            <w:pPr>
              <w:jc w:val="center"/>
              <w:rPr>
                <w:rFonts w:hint="eastAsia" w:ascii="宋体" w:hAnsi="宋体" w:eastAsia="宋体" w:cs="宋体"/>
                <w:b/>
                <w:bCs/>
                <w:i w:val="0"/>
                <w:iCs w:val="0"/>
                <w:color w:val="000000"/>
                <w:sz w:val="24"/>
                <w:szCs w:val="24"/>
                <w:u w:val="none"/>
              </w:rPr>
            </w:pPr>
          </w:p>
        </w:tc>
        <w:tc>
          <w:tcPr>
            <w:tcW w:w="970" w:type="dxa"/>
            <w:tcBorders>
              <w:top w:val="nil"/>
              <w:left w:val="nil"/>
              <w:bottom w:val="nil"/>
              <w:right w:val="nil"/>
            </w:tcBorders>
            <w:noWrap w:val="0"/>
            <w:vAlign w:val="center"/>
          </w:tcPr>
          <w:p w14:paraId="3A97AD62">
            <w:pPr>
              <w:jc w:val="center"/>
              <w:rPr>
                <w:rFonts w:hint="eastAsia" w:ascii="宋体" w:hAnsi="宋体" w:eastAsia="宋体" w:cs="宋体"/>
                <w:b/>
                <w:bCs/>
                <w:i w:val="0"/>
                <w:iCs w:val="0"/>
                <w:color w:val="000000"/>
                <w:sz w:val="24"/>
                <w:szCs w:val="24"/>
                <w:u w:val="none"/>
              </w:rPr>
            </w:pPr>
          </w:p>
        </w:tc>
        <w:tc>
          <w:tcPr>
            <w:tcW w:w="916" w:type="dxa"/>
            <w:tcBorders>
              <w:top w:val="nil"/>
              <w:left w:val="nil"/>
              <w:bottom w:val="nil"/>
              <w:right w:val="nil"/>
            </w:tcBorders>
            <w:noWrap w:val="0"/>
            <w:vAlign w:val="center"/>
          </w:tcPr>
          <w:p w14:paraId="443C363E">
            <w:pPr>
              <w:jc w:val="center"/>
              <w:rPr>
                <w:rFonts w:hint="eastAsia" w:ascii="宋体" w:hAnsi="宋体" w:eastAsia="宋体" w:cs="宋体"/>
                <w:b/>
                <w:bCs/>
                <w:i w:val="0"/>
                <w:iCs w:val="0"/>
                <w:color w:val="000000"/>
                <w:sz w:val="24"/>
                <w:szCs w:val="24"/>
                <w:u w:val="none"/>
              </w:rPr>
            </w:pPr>
          </w:p>
        </w:tc>
      </w:tr>
      <w:tr w14:paraId="7B4AE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trPr>
        <w:tc>
          <w:tcPr>
            <w:tcW w:w="13916" w:type="dxa"/>
            <w:gridSpan w:val="11"/>
            <w:tcBorders>
              <w:top w:val="nil"/>
              <w:left w:val="nil"/>
              <w:bottom w:val="nil"/>
              <w:right w:val="nil"/>
            </w:tcBorders>
            <w:noWrap w:val="0"/>
            <w:vAlign w:val="center"/>
          </w:tcPr>
          <w:p w14:paraId="513906B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专项资金-和地财教【2023】73号：2024年新疆西藏等地区教育特殊补助资金-学前三年免费保障经费-公用经费-洛财教【2024】22号绩效评价指标体系综合评分表</w:t>
            </w:r>
          </w:p>
        </w:tc>
      </w:tr>
      <w:tr w14:paraId="7EF9A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733" w:type="dxa"/>
            <w:tcBorders>
              <w:top w:val="single" w:color="auto" w:sz="4" w:space="0"/>
              <w:left w:val="single" w:color="auto" w:sz="4" w:space="0"/>
              <w:bottom w:val="single" w:color="auto" w:sz="4" w:space="0"/>
              <w:right w:val="single" w:color="auto" w:sz="4" w:space="0"/>
            </w:tcBorders>
            <w:noWrap w:val="0"/>
            <w:vAlign w:val="center"/>
          </w:tcPr>
          <w:p w14:paraId="703285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21"/>
                <w:szCs w:val="21"/>
                <w:u w:val="none"/>
                <w:lang w:val="en-US" w:eastAsia="zh-CN"/>
              </w:rPr>
            </w:pPr>
            <w:r>
              <w:rPr>
                <w:rFonts w:hint="eastAsia" w:ascii="宋体" w:hAnsi="宋体" w:eastAsia="宋体" w:cs="宋体"/>
                <w:b/>
                <w:bCs/>
                <w:i w:val="0"/>
                <w:iCs w:val="0"/>
                <w:color w:val="000000"/>
                <w:kern w:val="0"/>
                <w:sz w:val="21"/>
                <w:szCs w:val="21"/>
                <w:u w:val="none"/>
                <w:lang w:val="en-US" w:eastAsia="zh-CN"/>
              </w:rPr>
              <w:t>一级指标</w:t>
            </w:r>
          </w:p>
        </w:tc>
        <w:tc>
          <w:tcPr>
            <w:tcW w:w="533" w:type="dxa"/>
            <w:tcBorders>
              <w:top w:val="single" w:color="auto" w:sz="4" w:space="0"/>
              <w:left w:val="single" w:color="auto" w:sz="4" w:space="0"/>
              <w:bottom w:val="single" w:color="auto" w:sz="4" w:space="0"/>
              <w:right w:val="single" w:color="auto" w:sz="4" w:space="0"/>
            </w:tcBorders>
            <w:noWrap w:val="0"/>
            <w:vAlign w:val="center"/>
          </w:tcPr>
          <w:p w14:paraId="05E39C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21"/>
                <w:szCs w:val="21"/>
                <w:u w:val="none"/>
                <w:lang w:val="en-US" w:eastAsia="zh-CN"/>
              </w:rPr>
            </w:pPr>
            <w:r>
              <w:rPr>
                <w:rFonts w:hint="eastAsia" w:ascii="宋体" w:hAnsi="宋体" w:eastAsia="宋体" w:cs="宋体"/>
                <w:b/>
                <w:bCs/>
                <w:i w:val="0"/>
                <w:iCs w:val="0"/>
                <w:color w:val="000000"/>
                <w:kern w:val="0"/>
                <w:sz w:val="21"/>
                <w:szCs w:val="21"/>
                <w:u w:val="none"/>
                <w:lang w:val="en-US" w:eastAsia="zh-CN"/>
              </w:rPr>
              <w:t>分值</w:t>
            </w:r>
          </w:p>
        </w:tc>
        <w:tc>
          <w:tcPr>
            <w:tcW w:w="686" w:type="dxa"/>
            <w:tcBorders>
              <w:top w:val="single" w:color="auto" w:sz="4" w:space="0"/>
              <w:left w:val="single" w:color="auto" w:sz="4" w:space="0"/>
              <w:bottom w:val="single" w:color="auto" w:sz="4" w:space="0"/>
              <w:right w:val="single" w:color="auto" w:sz="4" w:space="0"/>
            </w:tcBorders>
            <w:noWrap w:val="0"/>
            <w:vAlign w:val="center"/>
          </w:tcPr>
          <w:p w14:paraId="13908D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21"/>
                <w:szCs w:val="21"/>
                <w:u w:val="none"/>
                <w:lang w:val="en-US" w:eastAsia="zh-CN"/>
              </w:rPr>
            </w:pPr>
            <w:r>
              <w:rPr>
                <w:rFonts w:hint="eastAsia" w:ascii="宋体" w:hAnsi="宋体" w:eastAsia="宋体" w:cs="宋体"/>
                <w:b/>
                <w:bCs/>
                <w:i w:val="0"/>
                <w:iCs w:val="0"/>
                <w:color w:val="000000"/>
                <w:kern w:val="0"/>
                <w:sz w:val="21"/>
                <w:szCs w:val="21"/>
                <w:u w:val="none"/>
                <w:lang w:val="en-US" w:eastAsia="zh-CN"/>
              </w:rPr>
              <w:t>二级指标</w:t>
            </w:r>
          </w:p>
        </w:tc>
        <w:tc>
          <w:tcPr>
            <w:tcW w:w="548" w:type="dxa"/>
            <w:tcBorders>
              <w:top w:val="single" w:color="auto" w:sz="4" w:space="0"/>
              <w:left w:val="single" w:color="auto" w:sz="4" w:space="0"/>
              <w:bottom w:val="single" w:color="auto" w:sz="4" w:space="0"/>
              <w:right w:val="single" w:color="auto" w:sz="4" w:space="0"/>
            </w:tcBorders>
            <w:noWrap w:val="0"/>
            <w:vAlign w:val="center"/>
          </w:tcPr>
          <w:p w14:paraId="211B07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21"/>
                <w:szCs w:val="21"/>
                <w:u w:val="none"/>
                <w:lang w:val="en-US" w:eastAsia="zh-CN"/>
              </w:rPr>
            </w:pPr>
            <w:r>
              <w:rPr>
                <w:rFonts w:hint="eastAsia" w:ascii="宋体" w:hAnsi="宋体" w:eastAsia="宋体" w:cs="宋体"/>
                <w:b/>
                <w:bCs/>
                <w:i w:val="0"/>
                <w:iCs w:val="0"/>
                <w:color w:val="000000"/>
                <w:kern w:val="0"/>
                <w:sz w:val="21"/>
                <w:szCs w:val="21"/>
                <w:u w:val="none"/>
                <w:lang w:val="en-US" w:eastAsia="zh-CN"/>
              </w:rPr>
              <w:t>分值</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4FF9BC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21"/>
                <w:szCs w:val="21"/>
                <w:u w:val="none"/>
                <w:lang w:val="en-US" w:eastAsia="zh-CN"/>
              </w:rPr>
            </w:pPr>
            <w:r>
              <w:rPr>
                <w:rFonts w:hint="eastAsia" w:ascii="宋体" w:hAnsi="宋体" w:eastAsia="宋体" w:cs="宋体"/>
                <w:b/>
                <w:bCs/>
                <w:i w:val="0"/>
                <w:iCs w:val="0"/>
                <w:color w:val="000000"/>
                <w:kern w:val="0"/>
                <w:sz w:val="21"/>
                <w:szCs w:val="21"/>
                <w:u w:val="none"/>
                <w:lang w:val="en-US" w:eastAsia="zh-CN"/>
              </w:rPr>
              <w:t>三级指标</w:t>
            </w:r>
          </w:p>
        </w:tc>
        <w:tc>
          <w:tcPr>
            <w:tcW w:w="534" w:type="dxa"/>
            <w:tcBorders>
              <w:top w:val="single" w:color="auto" w:sz="4" w:space="0"/>
              <w:left w:val="single" w:color="auto" w:sz="4" w:space="0"/>
              <w:bottom w:val="single" w:color="auto" w:sz="4" w:space="0"/>
              <w:right w:val="single" w:color="auto" w:sz="4" w:space="0"/>
            </w:tcBorders>
            <w:noWrap w:val="0"/>
            <w:vAlign w:val="center"/>
          </w:tcPr>
          <w:p w14:paraId="7D5CD6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21"/>
                <w:szCs w:val="21"/>
                <w:u w:val="none"/>
                <w:lang w:val="en-US" w:eastAsia="zh-CN"/>
              </w:rPr>
            </w:pPr>
            <w:r>
              <w:rPr>
                <w:rFonts w:hint="eastAsia" w:ascii="宋体" w:hAnsi="宋体" w:eastAsia="宋体" w:cs="宋体"/>
                <w:b/>
                <w:bCs/>
                <w:i w:val="0"/>
                <w:iCs w:val="0"/>
                <w:color w:val="000000"/>
                <w:kern w:val="0"/>
                <w:sz w:val="21"/>
                <w:szCs w:val="21"/>
                <w:u w:val="none"/>
                <w:lang w:val="en-US" w:eastAsia="zh-CN"/>
              </w:rPr>
              <w:t>分值</w:t>
            </w:r>
          </w:p>
        </w:tc>
        <w:tc>
          <w:tcPr>
            <w:tcW w:w="2500" w:type="dxa"/>
            <w:tcBorders>
              <w:top w:val="single" w:color="auto" w:sz="4" w:space="0"/>
              <w:left w:val="single" w:color="auto" w:sz="4" w:space="0"/>
              <w:bottom w:val="single" w:color="auto" w:sz="4" w:space="0"/>
              <w:right w:val="single" w:color="auto" w:sz="4" w:space="0"/>
            </w:tcBorders>
            <w:noWrap w:val="0"/>
            <w:vAlign w:val="center"/>
          </w:tcPr>
          <w:p w14:paraId="5EBC98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21"/>
                <w:szCs w:val="21"/>
                <w:u w:val="none"/>
                <w:lang w:val="en-US" w:eastAsia="zh-CN"/>
              </w:rPr>
            </w:pPr>
            <w:r>
              <w:rPr>
                <w:rFonts w:hint="eastAsia" w:ascii="宋体" w:hAnsi="宋体" w:eastAsia="宋体" w:cs="宋体"/>
                <w:b/>
                <w:bCs/>
                <w:i w:val="0"/>
                <w:iCs w:val="0"/>
                <w:color w:val="000000"/>
                <w:kern w:val="0"/>
                <w:sz w:val="21"/>
                <w:szCs w:val="21"/>
                <w:u w:val="none"/>
                <w:lang w:val="en-US" w:eastAsia="zh-CN"/>
              </w:rPr>
              <w:t>指标解释</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6EEC99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21"/>
                <w:szCs w:val="21"/>
                <w:u w:val="none"/>
                <w:lang w:val="en-US" w:eastAsia="zh-CN"/>
              </w:rPr>
            </w:pPr>
            <w:r>
              <w:rPr>
                <w:rFonts w:hint="eastAsia" w:ascii="宋体" w:hAnsi="宋体" w:eastAsia="宋体" w:cs="宋体"/>
                <w:b/>
                <w:bCs/>
                <w:i w:val="0"/>
                <w:iCs w:val="0"/>
                <w:color w:val="000000"/>
                <w:kern w:val="0"/>
                <w:sz w:val="21"/>
                <w:szCs w:val="21"/>
                <w:u w:val="none"/>
                <w:lang w:val="en-US" w:eastAsia="zh-CN"/>
              </w:rPr>
              <w:t>标杆值</w:t>
            </w:r>
          </w:p>
        </w:tc>
        <w:tc>
          <w:tcPr>
            <w:tcW w:w="4947" w:type="dxa"/>
            <w:tcBorders>
              <w:top w:val="single" w:color="auto" w:sz="4" w:space="0"/>
              <w:left w:val="single" w:color="auto" w:sz="4" w:space="0"/>
              <w:bottom w:val="single" w:color="auto" w:sz="4" w:space="0"/>
              <w:right w:val="single" w:color="auto" w:sz="4" w:space="0"/>
            </w:tcBorders>
            <w:noWrap w:val="0"/>
            <w:vAlign w:val="center"/>
          </w:tcPr>
          <w:p w14:paraId="0295A7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21"/>
                <w:szCs w:val="21"/>
                <w:u w:val="none"/>
                <w:lang w:val="en-US" w:eastAsia="zh-CN"/>
              </w:rPr>
            </w:pPr>
            <w:r>
              <w:rPr>
                <w:rFonts w:hint="eastAsia" w:ascii="宋体" w:hAnsi="宋体" w:eastAsia="宋体" w:cs="宋体"/>
                <w:b/>
                <w:bCs/>
                <w:i w:val="0"/>
                <w:iCs w:val="0"/>
                <w:color w:val="000000"/>
                <w:kern w:val="0"/>
                <w:sz w:val="21"/>
                <w:szCs w:val="21"/>
                <w:u w:val="none"/>
                <w:lang w:val="en-US" w:eastAsia="zh-CN"/>
              </w:rPr>
              <w:t>评分标准</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2AF2B5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21"/>
                <w:szCs w:val="21"/>
                <w:u w:val="none"/>
                <w:lang w:val="en-US" w:eastAsia="zh-CN"/>
              </w:rPr>
            </w:pPr>
            <w:r>
              <w:rPr>
                <w:rFonts w:hint="eastAsia" w:ascii="宋体" w:hAnsi="宋体" w:eastAsia="宋体" w:cs="宋体"/>
                <w:b/>
                <w:bCs/>
                <w:i w:val="0"/>
                <w:iCs w:val="0"/>
                <w:color w:val="000000"/>
                <w:kern w:val="0"/>
                <w:sz w:val="21"/>
                <w:szCs w:val="21"/>
                <w:u w:val="none"/>
                <w:lang w:val="en-US" w:eastAsia="zh-CN"/>
              </w:rPr>
              <w:t>完成值</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335A54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21"/>
                <w:szCs w:val="21"/>
                <w:u w:val="none"/>
                <w:lang w:val="en-US" w:eastAsia="zh-CN"/>
              </w:rPr>
            </w:pPr>
            <w:r>
              <w:rPr>
                <w:rFonts w:hint="eastAsia" w:ascii="宋体" w:hAnsi="宋体" w:eastAsia="宋体" w:cs="宋体"/>
                <w:b/>
                <w:bCs/>
                <w:i w:val="0"/>
                <w:iCs w:val="0"/>
                <w:color w:val="000000"/>
                <w:kern w:val="0"/>
                <w:sz w:val="21"/>
                <w:szCs w:val="21"/>
                <w:u w:val="none"/>
                <w:lang w:val="en-US" w:eastAsia="zh-CN"/>
              </w:rPr>
              <w:t>得分</w:t>
            </w:r>
          </w:p>
        </w:tc>
      </w:tr>
      <w:tr w14:paraId="0A8F7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13" w:hRule="atLeast"/>
        </w:trPr>
        <w:tc>
          <w:tcPr>
            <w:tcW w:w="733" w:type="dxa"/>
            <w:vMerge w:val="restart"/>
            <w:tcBorders>
              <w:top w:val="single" w:color="auto" w:sz="4" w:space="0"/>
              <w:left w:val="single" w:color="auto" w:sz="4" w:space="0"/>
              <w:bottom w:val="single" w:color="auto" w:sz="4" w:space="0"/>
              <w:right w:val="single" w:color="auto" w:sz="4" w:space="0"/>
            </w:tcBorders>
            <w:noWrap w:val="0"/>
            <w:vAlign w:val="center"/>
          </w:tcPr>
          <w:p w14:paraId="1F0C2BE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项目决策</w:t>
            </w:r>
          </w:p>
        </w:tc>
        <w:tc>
          <w:tcPr>
            <w:tcW w:w="533" w:type="dxa"/>
            <w:vMerge w:val="restart"/>
            <w:tcBorders>
              <w:top w:val="single" w:color="auto" w:sz="4" w:space="0"/>
              <w:left w:val="single" w:color="auto" w:sz="4" w:space="0"/>
              <w:bottom w:val="single" w:color="auto" w:sz="4" w:space="0"/>
              <w:right w:val="single" w:color="auto" w:sz="4" w:space="0"/>
            </w:tcBorders>
            <w:noWrap w:val="0"/>
            <w:vAlign w:val="center"/>
          </w:tcPr>
          <w:p w14:paraId="31B496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23</w:t>
            </w:r>
          </w:p>
        </w:tc>
        <w:tc>
          <w:tcPr>
            <w:tcW w:w="686" w:type="dxa"/>
            <w:vMerge w:val="restart"/>
            <w:tcBorders>
              <w:top w:val="single" w:color="auto" w:sz="4" w:space="0"/>
              <w:left w:val="single" w:color="auto" w:sz="4" w:space="0"/>
              <w:bottom w:val="single" w:color="auto" w:sz="4" w:space="0"/>
              <w:right w:val="single" w:color="auto" w:sz="4" w:space="0"/>
            </w:tcBorders>
            <w:noWrap w:val="0"/>
            <w:vAlign w:val="center"/>
          </w:tcPr>
          <w:p w14:paraId="0B9D2D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项目立项</w:t>
            </w:r>
          </w:p>
        </w:tc>
        <w:tc>
          <w:tcPr>
            <w:tcW w:w="548" w:type="dxa"/>
            <w:vMerge w:val="restart"/>
            <w:tcBorders>
              <w:top w:val="single" w:color="auto" w:sz="4" w:space="0"/>
              <w:left w:val="single" w:color="auto" w:sz="4" w:space="0"/>
              <w:bottom w:val="single" w:color="auto" w:sz="4" w:space="0"/>
              <w:right w:val="single" w:color="auto" w:sz="4" w:space="0"/>
            </w:tcBorders>
            <w:noWrap w:val="0"/>
            <w:vAlign w:val="center"/>
          </w:tcPr>
          <w:p w14:paraId="11047D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5</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53CA17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立项依据充分性</w:t>
            </w:r>
          </w:p>
        </w:tc>
        <w:tc>
          <w:tcPr>
            <w:tcW w:w="534" w:type="dxa"/>
            <w:tcBorders>
              <w:top w:val="single" w:color="auto" w:sz="4" w:space="0"/>
              <w:left w:val="single" w:color="auto" w:sz="4" w:space="0"/>
              <w:bottom w:val="single" w:color="auto" w:sz="4" w:space="0"/>
              <w:right w:val="single" w:color="auto" w:sz="4" w:space="0"/>
            </w:tcBorders>
            <w:noWrap w:val="0"/>
            <w:vAlign w:val="center"/>
          </w:tcPr>
          <w:p w14:paraId="1A6364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2</w:t>
            </w:r>
          </w:p>
        </w:tc>
        <w:tc>
          <w:tcPr>
            <w:tcW w:w="2500" w:type="dxa"/>
            <w:tcBorders>
              <w:top w:val="single" w:color="auto" w:sz="4" w:space="0"/>
              <w:left w:val="single" w:color="auto" w:sz="4" w:space="0"/>
              <w:bottom w:val="single" w:color="auto" w:sz="4" w:space="0"/>
              <w:right w:val="single" w:color="auto" w:sz="4" w:space="0"/>
            </w:tcBorders>
            <w:noWrap w:val="0"/>
            <w:vAlign w:val="center"/>
          </w:tcPr>
          <w:p w14:paraId="5F181DD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项目立项是否符合法律法规、相关政策、发展规划以及部门职责，用以反映和考核项目立项依据情况。</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380F046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充分</w:t>
            </w:r>
          </w:p>
        </w:tc>
        <w:tc>
          <w:tcPr>
            <w:tcW w:w="4947" w:type="dxa"/>
            <w:tcBorders>
              <w:top w:val="single" w:color="auto" w:sz="4" w:space="0"/>
              <w:left w:val="single" w:color="auto" w:sz="4" w:space="0"/>
              <w:bottom w:val="single" w:color="auto" w:sz="4" w:space="0"/>
              <w:right w:val="single" w:color="auto" w:sz="4" w:space="0"/>
            </w:tcBorders>
            <w:noWrap w:val="0"/>
            <w:vAlign w:val="center"/>
          </w:tcPr>
          <w:p w14:paraId="00A33015">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①项目立项是否符合国家法律法规、国民经济发展规划和相关政策；</w:t>
            </w:r>
          </w:p>
          <w:p w14:paraId="2102A66D">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②项目立项是否符合行业发展规划和政策要求；</w:t>
            </w:r>
          </w:p>
          <w:p w14:paraId="2C27F968">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③项目立项是否与部门职责范围相符，属于部门履职所需；</w:t>
            </w:r>
          </w:p>
          <w:p w14:paraId="086EFFA5">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④项目是否属于公共财政支持范围，是否符合中央、地方事权支出责任划分原则；</w:t>
            </w:r>
          </w:p>
          <w:p w14:paraId="106FDFE1">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⑤项目是否与相关部门同类项目或部门内部相关项目重复。</w:t>
            </w:r>
          </w:p>
          <w:p w14:paraId="2036D60A">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以上每条要素占权重分的20%，每有一条不符合，扣除对应权重分，扣完为止。</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7C32CD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充分</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2099C1B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2</w:t>
            </w:r>
          </w:p>
        </w:tc>
      </w:tr>
      <w:tr w14:paraId="0603A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0" w:hRule="atLeast"/>
        </w:trPr>
        <w:tc>
          <w:tcPr>
            <w:tcW w:w="733" w:type="dxa"/>
            <w:vMerge w:val="continue"/>
            <w:tcBorders>
              <w:top w:val="single" w:color="auto" w:sz="4" w:space="0"/>
              <w:left w:val="single" w:color="auto" w:sz="4" w:space="0"/>
              <w:bottom w:val="single" w:color="auto" w:sz="4" w:space="0"/>
              <w:right w:val="single" w:color="auto" w:sz="4" w:space="0"/>
            </w:tcBorders>
            <w:noWrap w:val="0"/>
            <w:vAlign w:val="center"/>
          </w:tcPr>
          <w:p w14:paraId="06A2A63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33" w:type="dxa"/>
            <w:vMerge w:val="continue"/>
            <w:tcBorders>
              <w:top w:val="single" w:color="auto" w:sz="4" w:space="0"/>
              <w:left w:val="single" w:color="auto" w:sz="4" w:space="0"/>
              <w:bottom w:val="single" w:color="auto" w:sz="4" w:space="0"/>
              <w:right w:val="single" w:color="auto" w:sz="4" w:space="0"/>
            </w:tcBorders>
            <w:noWrap w:val="0"/>
            <w:vAlign w:val="center"/>
          </w:tcPr>
          <w:p w14:paraId="7D2A62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86" w:type="dxa"/>
            <w:vMerge w:val="continue"/>
            <w:tcBorders>
              <w:top w:val="single" w:color="auto" w:sz="4" w:space="0"/>
              <w:left w:val="single" w:color="auto" w:sz="4" w:space="0"/>
              <w:bottom w:val="single" w:color="auto" w:sz="4" w:space="0"/>
              <w:right w:val="single" w:color="auto" w:sz="4" w:space="0"/>
            </w:tcBorders>
            <w:noWrap w:val="0"/>
            <w:vAlign w:val="center"/>
          </w:tcPr>
          <w:p w14:paraId="3461A6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252D149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66" w:type="dxa"/>
            <w:tcBorders>
              <w:top w:val="single" w:color="auto" w:sz="4" w:space="0"/>
              <w:left w:val="single" w:color="auto" w:sz="4" w:space="0"/>
              <w:bottom w:val="single" w:color="auto" w:sz="4" w:space="0"/>
              <w:right w:val="single" w:color="auto" w:sz="4" w:space="0"/>
            </w:tcBorders>
            <w:noWrap w:val="0"/>
            <w:vAlign w:val="center"/>
          </w:tcPr>
          <w:p w14:paraId="6032E77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立项程序规范性</w:t>
            </w:r>
          </w:p>
        </w:tc>
        <w:tc>
          <w:tcPr>
            <w:tcW w:w="534" w:type="dxa"/>
            <w:tcBorders>
              <w:top w:val="single" w:color="auto" w:sz="4" w:space="0"/>
              <w:left w:val="single" w:color="auto" w:sz="4" w:space="0"/>
              <w:bottom w:val="single" w:color="auto" w:sz="4" w:space="0"/>
              <w:right w:val="single" w:color="auto" w:sz="4" w:space="0"/>
            </w:tcBorders>
            <w:noWrap w:val="0"/>
            <w:vAlign w:val="center"/>
          </w:tcPr>
          <w:p w14:paraId="29B379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3</w:t>
            </w:r>
          </w:p>
        </w:tc>
        <w:tc>
          <w:tcPr>
            <w:tcW w:w="2500" w:type="dxa"/>
            <w:tcBorders>
              <w:top w:val="single" w:color="auto" w:sz="4" w:space="0"/>
              <w:left w:val="single" w:color="auto" w:sz="4" w:space="0"/>
              <w:bottom w:val="single" w:color="auto" w:sz="4" w:space="0"/>
              <w:right w:val="single" w:color="auto" w:sz="4" w:space="0"/>
            </w:tcBorders>
            <w:noWrap w:val="0"/>
            <w:vAlign w:val="center"/>
          </w:tcPr>
          <w:p w14:paraId="525B33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项目申请、设立过程是否符合相关要求，用以反映和考核项目立项的规范情况。</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0E2326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规范</w:t>
            </w:r>
          </w:p>
        </w:tc>
        <w:tc>
          <w:tcPr>
            <w:tcW w:w="4947" w:type="dxa"/>
            <w:tcBorders>
              <w:top w:val="single" w:color="auto" w:sz="4" w:space="0"/>
              <w:left w:val="single" w:color="auto" w:sz="4" w:space="0"/>
              <w:bottom w:val="single" w:color="auto" w:sz="4" w:space="0"/>
              <w:right w:val="single" w:color="auto" w:sz="4" w:space="0"/>
            </w:tcBorders>
            <w:noWrap w:val="0"/>
            <w:vAlign w:val="center"/>
          </w:tcPr>
          <w:p w14:paraId="5CBAF70C">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①项目是否按照规定的程序申请设立；</w:t>
            </w:r>
          </w:p>
          <w:p w14:paraId="3A5679A4">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②审批文件、材料是否符合相关要求；</w:t>
            </w:r>
          </w:p>
          <w:p w14:paraId="056B4C74">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③事前是否已经过必要的可行性研究、专家论证、风险评估、绩效评估、集体决策。</w:t>
            </w:r>
          </w:p>
          <w:p w14:paraId="663B0459">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①②③齐全得权重分的100%，缺①扣权重分的40%，缺②扣权重分的30%，缺③扣权重分的30%。</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74472D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规范</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0D5F50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3</w:t>
            </w:r>
          </w:p>
        </w:tc>
      </w:tr>
      <w:tr w14:paraId="6C19A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33" w:type="dxa"/>
            <w:vMerge w:val="continue"/>
            <w:tcBorders>
              <w:top w:val="single" w:color="auto" w:sz="4" w:space="0"/>
              <w:left w:val="single" w:color="auto" w:sz="4" w:space="0"/>
              <w:bottom w:val="single" w:color="auto" w:sz="4" w:space="0"/>
              <w:right w:val="single" w:color="auto" w:sz="4" w:space="0"/>
            </w:tcBorders>
            <w:noWrap w:val="0"/>
            <w:vAlign w:val="center"/>
          </w:tcPr>
          <w:p w14:paraId="1B0582D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33" w:type="dxa"/>
            <w:vMerge w:val="continue"/>
            <w:tcBorders>
              <w:top w:val="single" w:color="auto" w:sz="4" w:space="0"/>
              <w:left w:val="single" w:color="auto" w:sz="4" w:space="0"/>
              <w:bottom w:val="single" w:color="auto" w:sz="4" w:space="0"/>
              <w:right w:val="single" w:color="auto" w:sz="4" w:space="0"/>
            </w:tcBorders>
            <w:noWrap w:val="0"/>
            <w:vAlign w:val="center"/>
          </w:tcPr>
          <w:p w14:paraId="508408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86" w:type="dxa"/>
            <w:vMerge w:val="restart"/>
            <w:tcBorders>
              <w:top w:val="single" w:color="auto" w:sz="4" w:space="0"/>
              <w:left w:val="single" w:color="auto" w:sz="4" w:space="0"/>
              <w:bottom w:val="single" w:color="auto" w:sz="4" w:space="0"/>
              <w:right w:val="single" w:color="auto" w:sz="4" w:space="0"/>
            </w:tcBorders>
            <w:noWrap w:val="0"/>
            <w:vAlign w:val="center"/>
          </w:tcPr>
          <w:p w14:paraId="2A797CD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绩效目标</w:t>
            </w:r>
          </w:p>
        </w:tc>
        <w:tc>
          <w:tcPr>
            <w:tcW w:w="548" w:type="dxa"/>
            <w:vMerge w:val="restart"/>
            <w:tcBorders>
              <w:top w:val="single" w:color="auto" w:sz="4" w:space="0"/>
              <w:left w:val="single" w:color="auto" w:sz="4" w:space="0"/>
              <w:bottom w:val="single" w:color="auto" w:sz="4" w:space="0"/>
              <w:right w:val="single" w:color="auto" w:sz="4" w:space="0"/>
            </w:tcBorders>
            <w:noWrap w:val="0"/>
            <w:vAlign w:val="center"/>
          </w:tcPr>
          <w:p w14:paraId="14D202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34CB78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绩效目标合理性</w:t>
            </w:r>
          </w:p>
        </w:tc>
        <w:tc>
          <w:tcPr>
            <w:tcW w:w="534" w:type="dxa"/>
            <w:tcBorders>
              <w:top w:val="single" w:color="auto" w:sz="4" w:space="0"/>
              <w:left w:val="single" w:color="auto" w:sz="4" w:space="0"/>
              <w:bottom w:val="single" w:color="auto" w:sz="4" w:space="0"/>
              <w:right w:val="single" w:color="auto" w:sz="4" w:space="0"/>
            </w:tcBorders>
            <w:noWrap w:val="0"/>
            <w:vAlign w:val="center"/>
          </w:tcPr>
          <w:p w14:paraId="11C0AB5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5</w:t>
            </w:r>
          </w:p>
        </w:tc>
        <w:tc>
          <w:tcPr>
            <w:tcW w:w="2500" w:type="dxa"/>
            <w:tcBorders>
              <w:top w:val="single" w:color="auto" w:sz="4" w:space="0"/>
              <w:left w:val="single" w:color="auto" w:sz="4" w:space="0"/>
              <w:bottom w:val="single" w:color="auto" w:sz="4" w:space="0"/>
              <w:right w:val="single" w:color="auto" w:sz="4" w:space="0"/>
            </w:tcBorders>
            <w:noWrap w:val="0"/>
            <w:vAlign w:val="center"/>
          </w:tcPr>
          <w:p w14:paraId="613483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项目所设定的绩效目标是否依据充分，是否符合客观实际，用以反映和考核项目绩效目标与项目实施的相符情况。</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79CFBC2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合理</w:t>
            </w:r>
          </w:p>
        </w:tc>
        <w:tc>
          <w:tcPr>
            <w:tcW w:w="4947" w:type="dxa"/>
            <w:tcBorders>
              <w:top w:val="single" w:color="auto" w:sz="4" w:space="0"/>
              <w:left w:val="single" w:color="auto" w:sz="4" w:space="0"/>
              <w:bottom w:val="single" w:color="auto" w:sz="4" w:space="0"/>
              <w:right w:val="single" w:color="auto" w:sz="4" w:space="0"/>
            </w:tcBorders>
            <w:noWrap w:val="0"/>
            <w:vAlign w:val="center"/>
          </w:tcPr>
          <w:p w14:paraId="0B7F2691">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①项目是否有绩效目标；</w:t>
            </w:r>
          </w:p>
          <w:p w14:paraId="257ECE1E">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②项目绩效目标与实际工作内容是否具有相关性；</w:t>
            </w:r>
          </w:p>
          <w:p w14:paraId="62E1D686">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③项目预期产出效益和效果是否符合正常的业绩水平；</w:t>
            </w:r>
          </w:p>
          <w:p w14:paraId="5D634073">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④是否与预算确定的项目投资额或资金量相匹配。</w:t>
            </w:r>
          </w:p>
          <w:p w14:paraId="3EF098DC">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以上每条要素各占权重的25%，每有一条不符合，扣除对应的权重分，扣完为止。</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46FFE9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合理</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5B1132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5</w:t>
            </w:r>
          </w:p>
        </w:tc>
      </w:tr>
      <w:tr w14:paraId="215E5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3" w:hRule="atLeast"/>
        </w:trPr>
        <w:tc>
          <w:tcPr>
            <w:tcW w:w="733" w:type="dxa"/>
            <w:vMerge w:val="continue"/>
            <w:tcBorders>
              <w:top w:val="single" w:color="auto" w:sz="4" w:space="0"/>
              <w:left w:val="single" w:color="auto" w:sz="4" w:space="0"/>
              <w:bottom w:val="single" w:color="auto" w:sz="4" w:space="0"/>
              <w:right w:val="single" w:color="auto" w:sz="4" w:space="0"/>
            </w:tcBorders>
            <w:noWrap w:val="0"/>
            <w:vAlign w:val="center"/>
          </w:tcPr>
          <w:p w14:paraId="60BDA8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33" w:type="dxa"/>
            <w:vMerge w:val="continue"/>
            <w:tcBorders>
              <w:top w:val="single" w:color="auto" w:sz="4" w:space="0"/>
              <w:left w:val="single" w:color="auto" w:sz="4" w:space="0"/>
              <w:bottom w:val="single" w:color="auto" w:sz="4" w:space="0"/>
              <w:right w:val="single" w:color="auto" w:sz="4" w:space="0"/>
            </w:tcBorders>
            <w:noWrap w:val="0"/>
            <w:vAlign w:val="center"/>
          </w:tcPr>
          <w:p w14:paraId="4CA0605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86" w:type="dxa"/>
            <w:vMerge w:val="continue"/>
            <w:tcBorders>
              <w:top w:val="single" w:color="auto" w:sz="4" w:space="0"/>
              <w:left w:val="single" w:color="auto" w:sz="4" w:space="0"/>
              <w:bottom w:val="single" w:color="auto" w:sz="4" w:space="0"/>
              <w:right w:val="single" w:color="auto" w:sz="4" w:space="0"/>
            </w:tcBorders>
            <w:noWrap w:val="0"/>
            <w:vAlign w:val="center"/>
          </w:tcPr>
          <w:p w14:paraId="11AC7D7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59C5B52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66" w:type="dxa"/>
            <w:tcBorders>
              <w:top w:val="single" w:color="auto" w:sz="4" w:space="0"/>
              <w:left w:val="single" w:color="auto" w:sz="4" w:space="0"/>
              <w:bottom w:val="single" w:color="auto" w:sz="4" w:space="0"/>
              <w:right w:val="single" w:color="auto" w:sz="4" w:space="0"/>
            </w:tcBorders>
            <w:noWrap w:val="0"/>
            <w:vAlign w:val="center"/>
          </w:tcPr>
          <w:p w14:paraId="13D6714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绩效指标明确性</w:t>
            </w:r>
          </w:p>
        </w:tc>
        <w:tc>
          <w:tcPr>
            <w:tcW w:w="534" w:type="dxa"/>
            <w:tcBorders>
              <w:top w:val="single" w:color="auto" w:sz="4" w:space="0"/>
              <w:left w:val="single" w:color="auto" w:sz="4" w:space="0"/>
              <w:bottom w:val="single" w:color="auto" w:sz="4" w:space="0"/>
              <w:right w:val="single" w:color="auto" w:sz="4" w:space="0"/>
            </w:tcBorders>
            <w:noWrap w:val="0"/>
            <w:vAlign w:val="center"/>
          </w:tcPr>
          <w:p w14:paraId="3B84544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5</w:t>
            </w:r>
          </w:p>
        </w:tc>
        <w:tc>
          <w:tcPr>
            <w:tcW w:w="2500" w:type="dxa"/>
            <w:tcBorders>
              <w:top w:val="single" w:color="auto" w:sz="4" w:space="0"/>
              <w:left w:val="single" w:color="auto" w:sz="4" w:space="0"/>
              <w:bottom w:val="single" w:color="auto" w:sz="4" w:space="0"/>
              <w:right w:val="single" w:color="auto" w:sz="4" w:space="0"/>
            </w:tcBorders>
            <w:noWrap w:val="0"/>
            <w:vAlign w:val="center"/>
          </w:tcPr>
          <w:p w14:paraId="1EDC43A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依据绩效目标设定的绩效指标是否清晰、细化、可衡量等，用以反映和考核项目绩效目标的明细化情况。</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A632F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明确</w:t>
            </w:r>
          </w:p>
        </w:tc>
        <w:tc>
          <w:tcPr>
            <w:tcW w:w="4947" w:type="dxa"/>
            <w:tcBorders>
              <w:top w:val="single" w:color="auto" w:sz="4" w:space="0"/>
              <w:left w:val="single" w:color="auto" w:sz="4" w:space="0"/>
              <w:bottom w:val="single" w:color="auto" w:sz="4" w:space="0"/>
              <w:right w:val="single" w:color="auto" w:sz="4" w:space="0"/>
            </w:tcBorders>
            <w:noWrap w:val="0"/>
            <w:vAlign w:val="center"/>
          </w:tcPr>
          <w:p w14:paraId="6E6AEA99">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①是否将项目绩效目标细化分解为具体的绩效指标；</w:t>
            </w:r>
          </w:p>
          <w:p w14:paraId="24757218">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②是否通过清晰、可衡量的指标值予以体现；</w:t>
            </w:r>
          </w:p>
          <w:p w14:paraId="57D3CA6B">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③是否与项目目标任务数或计划数相对应。</w:t>
            </w:r>
          </w:p>
          <w:p w14:paraId="0579A7E1">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①②③齐全得权重分的100%，缺①扣权重分的20%，缺②扣权重分的50%，缺③扣权重分的30%。</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687E60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明确</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7B27600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5</w:t>
            </w:r>
          </w:p>
        </w:tc>
      </w:tr>
      <w:tr w14:paraId="00413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3" w:hRule="atLeast"/>
        </w:trPr>
        <w:tc>
          <w:tcPr>
            <w:tcW w:w="733" w:type="dxa"/>
            <w:vMerge w:val="continue"/>
            <w:tcBorders>
              <w:top w:val="single" w:color="auto" w:sz="4" w:space="0"/>
              <w:left w:val="single" w:color="auto" w:sz="4" w:space="0"/>
              <w:bottom w:val="single" w:color="auto" w:sz="4" w:space="0"/>
              <w:right w:val="single" w:color="auto" w:sz="4" w:space="0"/>
            </w:tcBorders>
            <w:noWrap w:val="0"/>
            <w:vAlign w:val="center"/>
          </w:tcPr>
          <w:p w14:paraId="519A01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33" w:type="dxa"/>
            <w:vMerge w:val="continue"/>
            <w:tcBorders>
              <w:top w:val="single" w:color="auto" w:sz="4" w:space="0"/>
              <w:left w:val="single" w:color="auto" w:sz="4" w:space="0"/>
              <w:bottom w:val="single" w:color="auto" w:sz="4" w:space="0"/>
              <w:right w:val="single" w:color="auto" w:sz="4" w:space="0"/>
            </w:tcBorders>
            <w:noWrap w:val="0"/>
            <w:vAlign w:val="center"/>
          </w:tcPr>
          <w:p w14:paraId="3243C6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86" w:type="dxa"/>
            <w:vMerge w:val="restart"/>
            <w:tcBorders>
              <w:top w:val="single" w:color="auto" w:sz="4" w:space="0"/>
              <w:left w:val="single" w:color="auto" w:sz="4" w:space="0"/>
              <w:bottom w:val="single" w:color="auto" w:sz="4" w:space="0"/>
              <w:right w:val="single" w:color="auto" w:sz="4" w:space="0"/>
            </w:tcBorders>
            <w:noWrap w:val="0"/>
            <w:vAlign w:val="center"/>
          </w:tcPr>
          <w:p w14:paraId="28C272C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资金投入</w:t>
            </w:r>
          </w:p>
        </w:tc>
        <w:tc>
          <w:tcPr>
            <w:tcW w:w="548" w:type="dxa"/>
            <w:vMerge w:val="restart"/>
            <w:tcBorders>
              <w:top w:val="single" w:color="auto" w:sz="4" w:space="0"/>
              <w:left w:val="single" w:color="auto" w:sz="4" w:space="0"/>
              <w:bottom w:val="single" w:color="auto" w:sz="4" w:space="0"/>
              <w:right w:val="single" w:color="auto" w:sz="4" w:space="0"/>
            </w:tcBorders>
            <w:noWrap w:val="0"/>
            <w:vAlign w:val="center"/>
          </w:tcPr>
          <w:p w14:paraId="7F1E07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8</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467649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预算编制科学性</w:t>
            </w:r>
          </w:p>
        </w:tc>
        <w:tc>
          <w:tcPr>
            <w:tcW w:w="534" w:type="dxa"/>
            <w:tcBorders>
              <w:top w:val="single" w:color="auto" w:sz="4" w:space="0"/>
              <w:left w:val="single" w:color="auto" w:sz="4" w:space="0"/>
              <w:bottom w:val="single" w:color="auto" w:sz="4" w:space="0"/>
              <w:right w:val="single" w:color="auto" w:sz="4" w:space="0"/>
            </w:tcBorders>
            <w:noWrap w:val="0"/>
            <w:vAlign w:val="center"/>
          </w:tcPr>
          <w:p w14:paraId="4E8CE6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4</w:t>
            </w:r>
          </w:p>
        </w:tc>
        <w:tc>
          <w:tcPr>
            <w:tcW w:w="2500" w:type="dxa"/>
            <w:tcBorders>
              <w:top w:val="single" w:color="auto" w:sz="4" w:space="0"/>
              <w:left w:val="single" w:color="auto" w:sz="4" w:space="0"/>
              <w:bottom w:val="single" w:color="auto" w:sz="4" w:space="0"/>
              <w:right w:val="single" w:color="auto" w:sz="4" w:space="0"/>
            </w:tcBorders>
            <w:noWrap w:val="0"/>
            <w:vAlign w:val="center"/>
          </w:tcPr>
          <w:p w14:paraId="359AB57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项目预算编制是否经过科学论证、有明确标准，资金额度与年度目标是否相适应，用以反映和考核项目预算编制的科学性、合理性情况。</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56956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科学</w:t>
            </w:r>
          </w:p>
        </w:tc>
        <w:tc>
          <w:tcPr>
            <w:tcW w:w="4947" w:type="dxa"/>
            <w:tcBorders>
              <w:top w:val="single" w:color="auto" w:sz="4" w:space="0"/>
              <w:left w:val="single" w:color="auto" w:sz="4" w:space="0"/>
              <w:bottom w:val="single" w:color="auto" w:sz="4" w:space="0"/>
              <w:right w:val="single" w:color="auto" w:sz="4" w:space="0"/>
            </w:tcBorders>
            <w:noWrap w:val="0"/>
            <w:vAlign w:val="center"/>
          </w:tcPr>
          <w:p w14:paraId="0361D57F">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①预算编制是否经过科学论证；</w:t>
            </w:r>
          </w:p>
          <w:p w14:paraId="4DE6B560">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②预算内容与项目内容是否匹配；</w:t>
            </w:r>
          </w:p>
          <w:p w14:paraId="023A6B75">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③预算额度测算依据是否充分，是否按照标准编制；</w:t>
            </w:r>
          </w:p>
          <w:p w14:paraId="2B02C35D">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④预算确定的项目投资额或资金量是否与工作任务相匹配。</w:t>
            </w:r>
          </w:p>
          <w:p w14:paraId="68B6D469">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以上每条要素各占权重的25%，每有一条不符合，扣除对应的权重分，扣完为止。</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12538C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科学</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7101162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4</w:t>
            </w:r>
          </w:p>
        </w:tc>
      </w:tr>
      <w:tr w14:paraId="775DD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33" w:type="dxa"/>
            <w:vMerge w:val="continue"/>
            <w:tcBorders>
              <w:top w:val="single" w:color="auto" w:sz="4" w:space="0"/>
              <w:left w:val="single" w:color="auto" w:sz="4" w:space="0"/>
              <w:bottom w:val="single" w:color="auto" w:sz="4" w:space="0"/>
              <w:right w:val="single" w:color="auto" w:sz="4" w:space="0"/>
            </w:tcBorders>
            <w:noWrap w:val="0"/>
            <w:vAlign w:val="center"/>
          </w:tcPr>
          <w:p w14:paraId="2091194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33" w:type="dxa"/>
            <w:vMerge w:val="continue"/>
            <w:tcBorders>
              <w:top w:val="single" w:color="auto" w:sz="4" w:space="0"/>
              <w:left w:val="single" w:color="auto" w:sz="4" w:space="0"/>
              <w:bottom w:val="single" w:color="auto" w:sz="4" w:space="0"/>
              <w:right w:val="single" w:color="auto" w:sz="4" w:space="0"/>
            </w:tcBorders>
            <w:noWrap w:val="0"/>
            <w:vAlign w:val="center"/>
          </w:tcPr>
          <w:p w14:paraId="2AF1ED9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86" w:type="dxa"/>
            <w:vMerge w:val="continue"/>
            <w:tcBorders>
              <w:top w:val="single" w:color="auto" w:sz="4" w:space="0"/>
              <w:left w:val="single" w:color="auto" w:sz="4" w:space="0"/>
              <w:bottom w:val="single" w:color="auto" w:sz="4" w:space="0"/>
              <w:right w:val="single" w:color="auto" w:sz="4" w:space="0"/>
            </w:tcBorders>
            <w:noWrap w:val="0"/>
            <w:vAlign w:val="center"/>
          </w:tcPr>
          <w:p w14:paraId="1F11B9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627605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66" w:type="dxa"/>
            <w:tcBorders>
              <w:top w:val="single" w:color="auto" w:sz="4" w:space="0"/>
              <w:left w:val="single" w:color="auto" w:sz="4" w:space="0"/>
              <w:bottom w:val="single" w:color="auto" w:sz="4" w:space="0"/>
              <w:right w:val="single" w:color="auto" w:sz="4" w:space="0"/>
            </w:tcBorders>
            <w:noWrap w:val="0"/>
            <w:vAlign w:val="center"/>
          </w:tcPr>
          <w:p w14:paraId="7A844AD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资金分配合理性</w:t>
            </w:r>
          </w:p>
        </w:tc>
        <w:tc>
          <w:tcPr>
            <w:tcW w:w="534" w:type="dxa"/>
            <w:tcBorders>
              <w:top w:val="single" w:color="auto" w:sz="4" w:space="0"/>
              <w:left w:val="single" w:color="auto" w:sz="4" w:space="0"/>
              <w:bottom w:val="single" w:color="auto" w:sz="4" w:space="0"/>
              <w:right w:val="single" w:color="auto" w:sz="4" w:space="0"/>
            </w:tcBorders>
            <w:noWrap w:val="0"/>
            <w:vAlign w:val="center"/>
          </w:tcPr>
          <w:p w14:paraId="7BC4F2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4</w:t>
            </w:r>
          </w:p>
        </w:tc>
        <w:tc>
          <w:tcPr>
            <w:tcW w:w="2500" w:type="dxa"/>
            <w:tcBorders>
              <w:top w:val="single" w:color="auto" w:sz="4" w:space="0"/>
              <w:left w:val="single" w:color="auto" w:sz="4" w:space="0"/>
              <w:bottom w:val="single" w:color="auto" w:sz="4" w:space="0"/>
              <w:right w:val="single" w:color="auto" w:sz="4" w:space="0"/>
            </w:tcBorders>
            <w:noWrap w:val="0"/>
            <w:vAlign w:val="center"/>
          </w:tcPr>
          <w:p w14:paraId="25E255F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项目预算资金分配是否有测算依据，与补助单位或地方实际是否相适应，用以反映和考核项目预算资金分配的科学性、合理性情况。</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7890A9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合理</w:t>
            </w:r>
          </w:p>
        </w:tc>
        <w:tc>
          <w:tcPr>
            <w:tcW w:w="4947" w:type="dxa"/>
            <w:tcBorders>
              <w:top w:val="single" w:color="auto" w:sz="4" w:space="0"/>
              <w:left w:val="single" w:color="auto" w:sz="4" w:space="0"/>
              <w:bottom w:val="single" w:color="auto" w:sz="4" w:space="0"/>
              <w:right w:val="single" w:color="auto" w:sz="4" w:space="0"/>
            </w:tcBorders>
            <w:noWrap w:val="0"/>
            <w:vAlign w:val="center"/>
          </w:tcPr>
          <w:p w14:paraId="7749DA5E">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①预算资金分配依据是否充分；</w:t>
            </w:r>
          </w:p>
          <w:p w14:paraId="6EFCBF75">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②资金分配额度是否合理，与项目单位或地方实际是否相适应。</w:t>
            </w:r>
          </w:p>
          <w:p w14:paraId="71D136A2">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以上每条要素各占权重的50%，每有一条不符合，扣除对应的权重分，扣完为止。</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2EB4DB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合理</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6CF56F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4</w:t>
            </w:r>
          </w:p>
        </w:tc>
      </w:tr>
      <w:tr w14:paraId="045CB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733" w:type="dxa"/>
            <w:vMerge w:val="restart"/>
            <w:tcBorders>
              <w:top w:val="single" w:color="auto" w:sz="4" w:space="0"/>
              <w:left w:val="single" w:color="auto" w:sz="4" w:space="0"/>
              <w:bottom w:val="single" w:color="auto" w:sz="4" w:space="0"/>
              <w:right w:val="single" w:color="auto" w:sz="4" w:space="0"/>
            </w:tcBorders>
            <w:noWrap w:val="0"/>
            <w:vAlign w:val="center"/>
          </w:tcPr>
          <w:p w14:paraId="7B304AE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项目过程</w:t>
            </w:r>
          </w:p>
        </w:tc>
        <w:tc>
          <w:tcPr>
            <w:tcW w:w="533" w:type="dxa"/>
            <w:vMerge w:val="restart"/>
            <w:tcBorders>
              <w:top w:val="single" w:color="auto" w:sz="4" w:space="0"/>
              <w:left w:val="single" w:color="auto" w:sz="4" w:space="0"/>
              <w:bottom w:val="single" w:color="auto" w:sz="4" w:space="0"/>
              <w:right w:val="single" w:color="auto" w:sz="4" w:space="0"/>
            </w:tcBorders>
            <w:noWrap w:val="0"/>
            <w:vAlign w:val="center"/>
          </w:tcPr>
          <w:p w14:paraId="6371E7A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12</w:t>
            </w:r>
          </w:p>
        </w:tc>
        <w:tc>
          <w:tcPr>
            <w:tcW w:w="686" w:type="dxa"/>
            <w:vMerge w:val="restart"/>
            <w:tcBorders>
              <w:top w:val="single" w:color="auto" w:sz="4" w:space="0"/>
              <w:left w:val="single" w:color="auto" w:sz="4" w:space="0"/>
              <w:bottom w:val="single" w:color="auto" w:sz="4" w:space="0"/>
              <w:right w:val="single" w:color="auto" w:sz="4" w:space="0"/>
            </w:tcBorders>
            <w:noWrap w:val="0"/>
            <w:vAlign w:val="center"/>
          </w:tcPr>
          <w:p w14:paraId="0B7680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资金管理</w:t>
            </w:r>
          </w:p>
        </w:tc>
        <w:tc>
          <w:tcPr>
            <w:tcW w:w="548" w:type="dxa"/>
            <w:vMerge w:val="restart"/>
            <w:tcBorders>
              <w:top w:val="single" w:color="auto" w:sz="4" w:space="0"/>
              <w:left w:val="single" w:color="auto" w:sz="4" w:space="0"/>
              <w:bottom w:val="single" w:color="auto" w:sz="4" w:space="0"/>
              <w:right w:val="single" w:color="auto" w:sz="4" w:space="0"/>
            </w:tcBorders>
            <w:noWrap w:val="0"/>
            <w:vAlign w:val="center"/>
          </w:tcPr>
          <w:p w14:paraId="2B268A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6</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502F73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资金到位率</w:t>
            </w:r>
          </w:p>
        </w:tc>
        <w:tc>
          <w:tcPr>
            <w:tcW w:w="534" w:type="dxa"/>
            <w:tcBorders>
              <w:top w:val="single" w:color="auto" w:sz="4" w:space="0"/>
              <w:left w:val="single" w:color="auto" w:sz="4" w:space="0"/>
              <w:bottom w:val="single" w:color="auto" w:sz="4" w:space="0"/>
              <w:right w:val="single" w:color="auto" w:sz="4" w:space="0"/>
            </w:tcBorders>
            <w:noWrap w:val="0"/>
            <w:vAlign w:val="center"/>
          </w:tcPr>
          <w:p w14:paraId="3E292E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w:t>
            </w:r>
          </w:p>
        </w:tc>
        <w:tc>
          <w:tcPr>
            <w:tcW w:w="2500" w:type="dxa"/>
            <w:tcBorders>
              <w:top w:val="single" w:color="auto" w:sz="4" w:space="0"/>
              <w:left w:val="single" w:color="auto" w:sz="4" w:space="0"/>
              <w:bottom w:val="single" w:color="auto" w:sz="4" w:space="0"/>
              <w:right w:val="single" w:color="auto" w:sz="4" w:space="0"/>
            </w:tcBorders>
            <w:noWrap w:val="0"/>
            <w:vAlign w:val="center"/>
          </w:tcPr>
          <w:p w14:paraId="5C3D42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实际到位资金与预算资金的比率，用以反映和考核资金落实情况对项目实施的总体保障程度。</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6819E0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100%</w:t>
            </w:r>
          </w:p>
        </w:tc>
        <w:tc>
          <w:tcPr>
            <w:tcW w:w="4947" w:type="dxa"/>
            <w:tcBorders>
              <w:top w:val="single" w:color="auto" w:sz="4" w:space="0"/>
              <w:left w:val="single" w:color="auto" w:sz="4" w:space="0"/>
              <w:bottom w:val="single" w:color="auto" w:sz="4" w:space="0"/>
              <w:right w:val="single" w:color="auto" w:sz="4" w:space="0"/>
            </w:tcBorders>
            <w:noWrap w:val="0"/>
            <w:vAlign w:val="center"/>
          </w:tcPr>
          <w:p w14:paraId="615B234F">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资金到位率=（实际到位资金/预算资金）×100%。</w:t>
            </w:r>
          </w:p>
          <w:p w14:paraId="0F7D0C24">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资金到位率=100%，得权重分满分，每降低1%，扣除5%权重分，扣完为止。</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487493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100%</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46556B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w:t>
            </w:r>
          </w:p>
        </w:tc>
      </w:tr>
      <w:tr w14:paraId="07774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6" w:hRule="atLeast"/>
        </w:trPr>
        <w:tc>
          <w:tcPr>
            <w:tcW w:w="733" w:type="dxa"/>
            <w:vMerge w:val="continue"/>
            <w:tcBorders>
              <w:top w:val="single" w:color="auto" w:sz="4" w:space="0"/>
              <w:left w:val="single" w:color="auto" w:sz="4" w:space="0"/>
              <w:bottom w:val="single" w:color="auto" w:sz="4" w:space="0"/>
              <w:right w:val="single" w:color="auto" w:sz="4" w:space="0"/>
            </w:tcBorders>
            <w:noWrap w:val="0"/>
            <w:vAlign w:val="center"/>
          </w:tcPr>
          <w:p w14:paraId="034E114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33" w:type="dxa"/>
            <w:vMerge w:val="continue"/>
            <w:tcBorders>
              <w:top w:val="single" w:color="auto" w:sz="4" w:space="0"/>
              <w:left w:val="single" w:color="auto" w:sz="4" w:space="0"/>
              <w:bottom w:val="single" w:color="auto" w:sz="4" w:space="0"/>
              <w:right w:val="single" w:color="auto" w:sz="4" w:space="0"/>
            </w:tcBorders>
            <w:noWrap w:val="0"/>
            <w:vAlign w:val="center"/>
          </w:tcPr>
          <w:p w14:paraId="0C5A63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86" w:type="dxa"/>
            <w:vMerge w:val="continue"/>
            <w:tcBorders>
              <w:top w:val="single" w:color="auto" w:sz="4" w:space="0"/>
              <w:left w:val="single" w:color="auto" w:sz="4" w:space="0"/>
              <w:bottom w:val="single" w:color="auto" w:sz="4" w:space="0"/>
              <w:right w:val="single" w:color="auto" w:sz="4" w:space="0"/>
            </w:tcBorders>
            <w:noWrap w:val="0"/>
            <w:vAlign w:val="center"/>
          </w:tcPr>
          <w:p w14:paraId="4C21700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26F063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66" w:type="dxa"/>
            <w:tcBorders>
              <w:top w:val="single" w:color="auto" w:sz="4" w:space="0"/>
              <w:left w:val="single" w:color="auto" w:sz="4" w:space="0"/>
              <w:bottom w:val="single" w:color="auto" w:sz="4" w:space="0"/>
              <w:right w:val="single" w:color="auto" w:sz="4" w:space="0"/>
            </w:tcBorders>
            <w:noWrap w:val="0"/>
            <w:vAlign w:val="center"/>
          </w:tcPr>
          <w:p w14:paraId="174A01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预算执行率</w:t>
            </w:r>
          </w:p>
        </w:tc>
        <w:tc>
          <w:tcPr>
            <w:tcW w:w="534" w:type="dxa"/>
            <w:tcBorders>
              <w:top w:val="single" w:color="auto" w:sz="4" w:space="0"/>
              <w:left w:val="single" w:color="auto" w:sz="4" w:space="0"/>
              <w:bottom w:val="single" w:color="auto" w:sz="4" w:space="0"/>
              <w:right w:val="single" w:color="auto" w:sz="4" w:space="0"/>
            </w:tcBorders>
            <w:noWrap w:val="0"/>
            <w:vAlign w:val="center"/>
          </w:tcPr>
          <w:p w14:paraId="26AAD7E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2</w:t>
            </w:r>
          </w:p>
        </w:tc>
        <w:tc>
          <w:tcPr>
            <w:tcW w:w="2500" w:type="dxa"/>
            <w:tcBorders>
              <w:top w:val="single" w:color="auto" w:sz="4" w:space="0"/>
              <w:left w:val="single" w:color="auto" w:sz="4" w:space="0"/>
              <w:bottom w:val="single" w:color="auto" w:sz="4" w:space="0"/>
              <w:right w:val="single" w:color="auto" w:sz="4" w:space="0"/>
            </w:tcBorders>
            <w:noWrap w:val="0"/>
            <w:vAlign w:val="center"/>
          </w:tcPr>
          <w:p w14:paraId="0E3FA0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项目预算资金是否按照计划执行，用以反映或考核项目预算执行情况。</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678C95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100%</w:t>
            </w:r>
          </w:p>
        </w:tc>
        <w:tc>
          <w:tcPr>
            <w:tcW w:w="4947" w:type="dxa"/>
            <w:tcBorders>
              <w:top w:val="single" w:color="auto" w:sz="4" w:space="0"/>
              <w:left w:val="single" w:color="auto" w:sz="4" w:space="0"/>
              <w:bottom w:val="single" w:color="auto" w:sz="4" w:space="0"/>
              <w:right w:val="single" w:color="auto" w:sz="4" w:space="0"/>
            </w:tcBorders>
            <w:noWrap w:val="0"/>
            <w:vAlign w:val="center"/>
          </w:tcPr>
          <w:p w14:paraId="3B862776">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预算执行率=（实际支出资金/实际到位资金）×100%。</w:t>
            </w:r>
          </w:p>
          <w:p w14:paraId="77B151C8">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预算执行率=100%，得权重分满分；若预算执行率＜100%，得分=预算执行率*分值；若执行率≤60%，则不得分。</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2AD4E0D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92%</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20B65C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 xml:space="preserve">1.84 </w:t>
            </w:r>
          </w:p>
        </w:tc>
      </w:tr>
      <w:tr w14:paraId="044FC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0" w:hRule="atLeast"/>
        </w:trPr>
        <w:tc>
          <w:tcPr>
            <w:tcW w:w="733" w:type="dxa"/>
            <w:vMerge w:val="continue"/>
            <w:tcBorders>
              <w:top w:val="single" w:color="auto" w:sz="4" w:space="0"/>
              <w:left w:val="single" w:color="auto" w:sz="4" w:space="0"/>
              <w:bottom w:val="single" w:color="auto" w:sz="4" w:space="0"/>
              <w:right w:val="single" w:color="auto" w:sz="4" w:space="0"/>
            </w:tcBorders>
            <w:noWrap w:val="0"/>
            <w:vAlign w:val="center"/>
          </w:tcPr>
          <w:p w14:paraId="6C52201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33" w:type="dxa"/>
            <w:vMerge w:val="continue"/>
            <w:tcBorders>
              <w:top w:val="single" w:color="auto" w:sz="4" w:space="0"/>
              <w:left w:val="single" w:color="auto" w:sz="4" w:space="0"/>
              <w:bottom w:val="single" w:color="auto" w:sz="4" w:space="0"/>
              <w:right w:val="single" w:color="auto" w:sz="4" w:space="0"/>
            </w:tcBorders>
            <w:noWrap w:val="0"/>
            <w:vAlign w:val="center"/>
          </w:tcPr>
          <w:p w14:paraId="5829D8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86" w:type="dxa"/>
            <w:vMerge w:val="continue"/>
            <w:tcBorders>
              <w:top w:val="single" w:color="auto" w:sz="4" w:space="0"/>
              <w:left w:val="single" w:color="auto" w:sz="4" w:space="0"/>
              <w:bottom w:val="single" w:color="auto" w:sz="4" w:space="0"/>
              <w:right w:val="single" w:color="auto" w:sz="4" w:space="0"/>
            </w:tcBorders>
            <w:noWrap w:val="0"/>
            <w:vAlign w:val="center"/>
          </w:tcPr>
          <w:p w14:paraId="39B7D8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28D6BF4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66" w:type="dxa"/>
            <w:tcBorders>
              <w:top w:val="single" w:color="auto" w:sz="4" w:space="0"/>
              <w:left w:val="single" w:color="auto" w:sz="4" w:space="0"/>
              <w:bottom w:val="single" w:color="auto" w:sz="4" w:space="0"/>
              <w:right w:val="single" w:color="auto" w:sz="4" w:space="0"/>
            </w:tcBorders>
            <w:noWrap w:val="0"/>
            <w:vAlign w:val="center"/>
          </w:tcPr>
          <w:p w14:paraId="68C934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资金使用合规性</w:t>
            </w:r>
          </w:p>
        </w:tc>
        <w:tc>
          <w:tcPr>
            <w:tcW w:w="534" w:type="dxa"/>
            <w:tcBorders>
              <w:top w:val="single" w:color="auto" w:sz="4" w:space="0"/>
              <w:left w:val="single" w:color="auto" w:sz="4" w:space="0"/>
              <w:bottom w:val="single" w:color="auto" w:sz="4" w:space="0"/>
              <w:right w:val="single" w:color="auto" w:sz="4" w:space="0"/>
            </w:tcBorders>
            <w:noWrap w:val="0"/>
            <w:vAlign w:val="center"/>
          </w:tcPr>
          <w:p w14:paraId="581E78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3</w:t>
            </w:r>
          </w:p>
        </w:tc>
        <w:tc>
          <w:tcPr>
            <w:tcW w:w="2500" w:type="dxa"/>
            <w:tcBorders>
              <w:top w:val="single" w:color="auto" w:sz="4" w:space="0"/>
              <w:left w:val="single" w:color="auto" w:sz="4" w:space="0"/>
              <w:bottom w:val="single" w:color="auto" w:sz="4" w:space="0"/>
              <w:right w:val="single" w:color="auto" w:sz="4" w:space="0"/>
            </w:tcBorders>
            <w:noWrap w:val="0"/>
            <w:vAlign w:val="center"/>
          </w:tcPr>
          <w:p w14:paraId="752BDB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项目资金使用是否符合相关的财务管理制度规定，用以反映和考核项目资金的规范运行情况。</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6DF546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合规</w:t>
            </w:r>
          </w:p>
        </w:tc>
        <w:tc>
          <w:tcPr>
            <w:tcW w:w="4947" w:type="dxa"/>
            <w:tcBorders>
              <w:top w:val="single" w:color="auto" w:sz="4" w:space="0"/>
              <w:left w:val="single" w:color="auto" w:sz="4" w:space="0"/>
              <w:bottom w:val="single" w:color="auto" w:sz="4" w:space="0"/>
              <w:right w:val="single" w:color="auto" w:sz="4" w:space="0"/>
            </w:tcBorders>
            <w:noWrap w:val="0"/>
            <w:vAlign w:val="center"/>
          </w:tcPr>
          <w:p w14:paraId="3D4A6908">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①否符合国家财经法规和财务管理制度以及有关专项资金管理办法的规定；</w:t>
            </w:r>
          </w:p>
          <w:p w14:paraId="5D8B467E">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②资金的拨付是否有完整的审批程序和手续；</w:t>
            </w:r>
          </w:p>
          <w:p w14:paraId="74715080">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③是否符合项目预算批复或合同规定的用途；</w:t>
            </w:r>
          </w:p>
          <w:p w14:paraId="3CDE6873">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④是否存在截留、挤占、挪用、虚列支出等情况。</w:t>
            </w:r>
          </w:p>
          <w:p w14:paraId="72500C62">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以上每条指标各占权重分的25%，要素①②不符合，扣除对应权重分；要素③④不符合属于重大违纪，该指标不得分。</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7FAB530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合规</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1FA5466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3</w:t>
            </w:r>
          </w:p>
        </w:tc>
      </w:tr>
      <w:tr w14:paraId="3031A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733" w:type="dxa"/>
            <w:vMerge w:val="continue"/>
            <w:tcBorders>
              <w:top w:val="single" w:color="auto" w:sz="4" w:space="0"/>
              <w:left w:val="single" w:color="auto" w:sz="4" w:space="0"/>
              <w:bottom w:val="single" w:color="auto" w:sz="4" w:space="0"/>
              <w:right w:val="single" w:color="auto" w:sz="4" w:space="0"/>
            </w:tcBorders>
            <w:noWrap w:val="0"/>
            <w:vAlign w:val="center"/>
          </w:tcPr>
          <w:p w14:paraId="5C7898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33" w:type="dxa"/>
            <w:vMerge w:val="continue"/>
            <w:tcBorders>
              <w:top w:val="single" w:color="auto" w:sz="4" w:space="0"/>
              <w:left w:val="single" w:color="auto" w:sz="4" w:space="0"/>
              <w:bottom w:val="single" w:color="auto" w:sz="4" w:space="0"/>
              <w:right w:val="single" w:color="auto" w:sz="4" w:space="0"/>
            </w:tcBorders>
            <w:noWrap w:val="0"/>
            <w:vAlign w:val="center"/>
          </w:tcPr>
          <w:p w14:paraId="514E11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86" w:type="dxa"/>
            <w:vMerge w:val="restart"/>
            <w:tcBorders>
              <w:top w:val="single" w:color="auto" w:sz="4" w:space="0"/>
              <w:left w:val="single" w:color="auto" w:sz="4" w:space="0"/>
              <w:bottom w:val="single" w:color="auto" w:sz="4" w:space="0"/>
              <w:right w:val="single" w:color="auto" w:sz="4" w:space="0"/>
            </w:tcBorders>
            <w:noWrap w:val="0"/>
            <w:vAlign w:val="center"/>
          </w:tcPr>
          <w:p w14:paraId="7F97E3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组织实施</w:t>
            </w:r>
          </w:p>
        </w:tc>
        <w:tc>
          <w:tcPr>
            <w:tcW w:w="548" w:type="dxa"/>
            <w:vMerge w:val="restart"/>
            <w:tcBorders>
              <w:top w:val="single" w:color="auto" w:sz="4" w:space="0"/>
              <w:left w:val="single" w:color="auto" w:sz="4" w:space="0"/>
              <w:bottom w:val="single" w:color="auto" w:sz="4" w:space="0"/>
              <w:right w:val="single" w:color="auto" w:sz="4" w:space="0"/>
            </w:tcBorders>
            <w:noWrap w:val="0"/>
            <w:vAlign w:val="center"/>
          </w:tcPr>
          <w:p w14:paraId="187518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6</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02ADF4E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管理制度健全性</w:t>
            </w:r>
          </w:p>
        </w:tc>
        <w:tc>
          <w:tcPr>
            <w:tcW w:w="534" w:type="dxa"/>
            <w:tcBorders>
              <w:top w:val="single" w:color="auto" w:sz="4" w:space="0"/>
              <w:left w:val="single" w:color="auto" w:sz="4" w:space="0"/>
              <w:bottom w:val="single" w:color="auto" w:sz="4" w:space="0"/>
              <w:right w:val="single" w:color="auto" w:sz="4" w:space="0"/>
            </w:tcBorders>
            <w:noWrap w:val="0"/>
            <w:vAlign w:val="center"/>
          </w:tcPr>
          <w:p w14:paraId="3CAC1E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3</w:t>
            </w:r>
          </w:p>
        </w:tc>
        <w:tc>
          <w:tcPr>
            <w:tcW w:w="2500" w:type="dxa"/>
            <w:tcBorders>
              <w:top w:val="single" w:color="auto" w:sz="4" w:space="0"/>
              <w:left w:val="single" w:color="auto" w:sz="4" w:space="0"/>
              <w:bottom w:val="single" w:color="auto" w:sz="4" w:space="0"/>
              <w:right w:val="single" w:color="auto" w:sz="4" w:space="0"/>
            </w:tcBorders>
            <w:noWrap w:val="0"/>
            <w:vAlign w:val="center"/>
          </w:tcPr>
          <w:p w14:paraId="19A1FFE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项目实施单位的财务和业务管理制度是否健全，用以反映和考核财务和业务管理制度对项目顺利实施的保障情况。</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6839A0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健全</w:t>
            </w:r>
          </w:p>
        </w:tc>
        <w:tc>
          <w:tcPr>
            <w:tcW w:w="4947" w:type="dxa"/>
            <w:tcBorders>
              <w:top w:val="single" w:color="auto" w:sz="4" w:space="0"/>
              <w:left w:val="single" w:color="auto" w:sz="4" w:space="0"/>
              <w:bottom w:val="single" w:color="auto" w:sz="4" w:space="0"/>
              <w:right w:val="single" w:color="auto" w:sz="4" w:space="0"/>
            </w:tcBorders>
            <w:noWrap w:val="0"/>
            <w:vAlign w:val="center"/>
          </w:tcPr>
          <w:p w14:paraId="4A625542">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①是否已制定或具有相应的财务和业务管理制度；</w:t>
            </w:r>
          </w:p>
          <w:p w14:paraId="22708E42">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②财务和业务管理制度是否合法、合规、完整。</w:t>
            </w:r>
          </w:p>
          <w:p w14:paraId="3B799E19">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以上每条要素各占权重的50%，每有一条不符合，扣除对应的权重分，扣完为止。</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701C14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健全</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3C4C1E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3</w:t>
            </w:r>
          </w:p>
        </w:tc>
      </w:tr>
      <w:tr w14:paraId="42424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733" w:type="dxa"/>
            <w:vMerge w:val="continue"/>
            <w:tcBorders>
              <w:top w:val="single" w:color="auto" w:sz="4" w:space="0"/>
              <w:left w:val="single" w:color="auto" w:sz="4" w:space="0"/>
              <w:bottom w:val="single" w:color="auto" w:sz="4" w:space="0"/>
              <w:right w:val="single" w:color="auto" w:sz="4" w:space="0"/>
            </w:tcBorders>
            <w:noWrap w:val="0"/>
            <w:vAlign w:val="center"/>
          </w:tcPr>
          <w:p w14:paraId="13DF15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33" w:type="dxa"/>
            <w:vMerge w:val="continue"/>
            <w:tcBorders>
              <w:top w:val="single" w:color="auto" w:sz="4" w:space="0"/>
              <w:left w:val="single" w:color="auto" w:sz="4" w:space="0"/>
              <w:bottom w:val="single" w:color="auto" w:sz="4" w:space="0"/>
              <w:right w:val="single" w:color="auto" w:sz="4" w:space="0"/>
            </w:tcBorders>
            <w:noWrap w:val="0"/>
            <w:vAlign w:val="center"/>
          </w:tcPr>
          <w:p w14:paraId="24E478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86" w:type="dxa"/>
            <w:vMerge w:val="continue"/>
            <w:tcBorders>
              <w:top w:val="single" w:color="auto" w:sz="4" w:space="0"/>
              <w:left w:val="single" w:color="auto" w:sz="4" w:space="0"/>
              <w:bottom w:val="single" w:color="auto" w:sz="4" w:space="0"/>
              <w:right w:val="single" w:color="auto" w:sz="4" w:space="0"/>
            </w:tcBorders>
            <w:noWrap w:val="0"/>
            <w:vAlign w:val="center"/>
          </w:tcPr>
          <w:p w14:paraId="07C9EA0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4FE2EC7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66" w:type="dxa"/>
            <w:tcBorders>
              <w:top w:val="single" w:color="auto" w:sz="4" w:space="0"/>
              <w:left w:val="single" w:color="auto" w:sz="4" w:space="0"/>
              <w:bottom w:val="single" w:color="auto" w:sz="4" w:space="0"/>
              <w:right w:val="single" w:color="auto" w:sz="4" w:space="0"/>
            </w:tcBorders>
            <w:noWrap w:val="0"/>
            <w:vAlign w:val="center"/>
          </w:tcPr>
          <w:p w14:paraId="400A2F0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制度执行有效性</w:t>
            </w:r>
          </w:p>
        </w:tc>
        <w:tc>
          <w:tcPr>
            <w:tcW w:w="534" w:type="dxa"/>
            <w:tcBorders>
              <w:top w:val="single" w:color="auto" w:sz="4" w:space="0"/>
              <w:left w:val="single" w:color="auto" w:sz="4" w:space="0"/>
              <w:bottom w:val="single" w:color="auto" w:sz="4" w:space="0"/>
              <w:right w:val="single" w:color="auto" w:sz="4" w:space="0"/>
            </w:tcBorders>
            <w:noWrap w:val="0"/>
            <w:vAlign w:val="center"/>
          </w:tcPr>
          <w:p w14:paraId="2CCF35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3</w:t>
            </w:r>
          </w:p>
        </w:tc>
        <w:tc>
          <w:tcPr>
            <w:tcW w:w="2500" w:type="dxa"/>
            <w:tcBorders>
              <w:top w:val="single" w:color="auto" w:sz="4" w:space="0"/>
              <w:left w:val="single" w:color="auto" w:sz="4" w:space="0"/>
              <w:bottom w:val="single" w:color="auto" w:sz="4" w:space="0"/>
              <w:right w:val="single" w:color="auto" w:sz="4" w:space="0"/>
            </w:tcBorders>
            <w:noWrap w:val="0"/>
            <w:vAlign w:val="center"/>
          </w:tcPr>
          <w:p w14:paraId="4BC472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项目实施是否符合相关管理规定，用以反映和考核相关管理制度的有效执行情况。</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7A804B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有效</w:t>
            </w:r>
          </w:p>
        </w:tc>
        <w:tc>
          <w:tcPr>
            <w:tcW w:w="4947" w:type="dxa"/>
            <w:tcBorders>
              <w:top w:val="single" w:color="auto" w:sz="4" w:space="0"/>
              <w:left w:val="single" w:color="auto" w:sz="4" w:space="0"/>
              <w:bottom w:val="single" w:color="auto" w:sz="4" w:space="0"/>
              <w:right w:val="single" w:color="auto" w:sz="4" w:space="0"/>
            </w:tcBorders>
            <w:noWrap w:val="0"/>
            <w:vAlign w:val="center"/>
          </w:tcPr>
          <w:p w14:paraId="13FF9A31">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①否遵守相关法律法规和相关管理规定；</w:t>
            </w:r>
          </w:p>
          <w:p w14:paraId="364B676D">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②项目调整及支出调整手续是否完备；</w:t>
            </w:r>
          </w:p>
          <w:p w14:paraId="4693DAC1">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③项目资料是否齐全并及时归档。</w:t>
            </w:r>
          </w:p>
          <w:p w14:paraId="7CBF3B1F">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①②③齐全得权重分的100%，缺①扣权重分的30%，缺②扣权重分的40%，缺③扣权重分的30%。</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4E8D488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有效</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4BDFED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3</w:t>
            </w:r>
          </w:p>
        </w:tc>
      </w:tr>
      <w:tr w14:paraId="3DA22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4" w:hRule="atLeast"/>
        </w:trPr>
        <w:tc>
          <w:tcPr>
            <w:tcW w:w="733" w:type="dxa"/>
            <w:vMerge w:val="restart"/>
            <w:tcBorders>
              <w:top w:val="single" w:color="auto" w:sz="4" w:space="0"/>
              <w:left w:val="single" w:color="auto" w:sz="4" w:space="0"/>
              <w:bottom w:val="nil"/>
              <w:right w:val="single" w:color="auto" w:sz="4" w:space="0"/>
            </w:tcBorders>
            <w:noWrap w:val="0"/>
            <w:vAlign w:val="center"/>
          </w:tcPr>
          <w:p w14:paraId="5AA798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项目产出</w:t>
            </w:r>
          </w:p>
        </w:tc>
        <w:tc>
          <w:tcPr>
            <w:tcW w:w="533" w:type="dxa"/>
            <w:vMerge w:val="restart"/>
            <w:tcBorders>
              <w:top w:val="single" w:color="auto" w:sz="4" w:space="0"/>
              <w:left w:val="single" w:color="auto" w:sz="4" w:space="0"/>
              <w:bottom w:val="nil"/>
              <w:right w:val="single" w:color="auto" w:sz="4" w:space="0"/>
            </w:tcBorders>
            <w:noWrap w:val="0"/>
            <w:vAlign w:val="center"/>
          </w:tcPr>
          <w:p w14:paraId="678850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40</w:t>
            </w:r>
          </w:p>
        </w:tc>
        <w:tc>
          <w:tcPr>
            <w:tcW w:w="686" w:type="dxa"/>
            <w:tcBorders>
              <w:top w:val="single" w:color="auto" w:sz="4" w:space="0"/>
              <w:left w:val="single" w:color="auto" w:sz="4" w:space="0"/>
              <w:bottom w:val="single" w:color="auto" w:sz="4" w:space="0"/>
              <w:right w:val="single" w:color="auto" w:sz="4" w:space="0"/>
            </w:tcBorders>
            <w:noWrap w:val="0"/>
            <w:vAlign w:val="center"/>
          </w:tcPr>
          <w:p w14:paraId="2082A5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产出数量</w:t>
            </w:r>
          </w:p>
        </w:tc>
        <w:tc>
          <w:tcPr>
            <w:tcW w:w="548" w:type="dxa"/>
            <w:tcBorders>
              <w:top w:val="single" w:color="auto" w:sz="4" w:space="0"/>
              <w:left w:val="single" w:color="auto" w:sz="4" w:space="0"/>
              <w:bottom w:val="single" w:color="auto" w:sz="4" w:space="0"/>
              <w:right w:val="single" w:color="auto" w:sz="4" w:space="0"/>
            </w:tcBorders>
            <w:noWrap w:val="0"/>
            <w:vAlign w:val="center"/>
          </w:tcPr>
          <w:p w14:paraId="02C70ED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1F37B7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实际完成率</w:t>
            </w:r>
          </w:p>
        </w:tc>
        <w:tc>
          <w:tcPr>
            <w:tcW w:w="534" w:type="dxa"/>
            <w:tcBorders>
              <w:top w:val="single" w:color="auto" w:sz="4" w:space="0"/>
              <w:left w:val="single" w:color="auto" w:sz="4" w:space="0"/>
              <w:bottom w:val="single" w:color="auto" w:sz="4" w:space="0"/>
              <w:right w:val="single" w:color="auto" w:sz="4" w:space="0"/>
            </w:tcBorders>
            <w:noWrap w:val="0"/>
            <w:vAlign w:val="center"/>
          </w:tcPr>
          <w:p w14:paraId="0F6365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w:t>
            </w:r>
          </w:p>
        </w:tc>
        <w:tc>
          <w:tcPr>
            <w:tcW w:w="2500" w:type="dxa"/>
            <w:tcBorders>
              <w:top w:val="single" w:color="auto" w:sz="4" w:space="0"/>
              <w:left w:val="single" w:color="auto" w:sz="4" w:space="0"/>
              <w:bottom w:val="single" w:color="auto" w:sz="4" w:space="0"/>
              <w:right w:val="single" w:color="auto" w:sz="4" w:space="0"/>
            </w:tcBorders>
            <w:noWrap w:val="0"/>
            <w:vAlign w:val="center"/>
          </w:tcPr>
          <w:p w14:paraId="18E0F8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学前教育保障经费收益学生数量</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6EFB0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628人</w:t>
            </w:r>
          </w:p>
        </w:tc>
        <w:tc>
          <w:tcPr>
            <w:tcW w:w="4947" w:type="dxa"/>
            <w:tcBorders>
              <w:top w:val="single" w:color="auto" w:sz="4" w:space="0"/>
              <w:left w:val="single" w:color="auto" w:sz="4" w:space="0"/>
              <w:bottom w:val="single" w:color="auto" w:sz="4" w:space="0"/>
              <w:right w:val="single" w:color="auto" w:sz="4" w:space="0"/>
            </w:tcBorders>
            <w:noWrap w:val="0"/>
            <w:vAlign w:val="center"/>
          </w:tcPr>
          <w:p w14:paraId="2B8CCD2C">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实际完成率=（实际完成/预期完成）×100%。</w:t>
            </w:r>
            <w:r>
              <w:rPr>
                <w:rFonts w:hint="eastAsia" w:ascii="宋体" w:hAnsi="宋体" w:eastAsia="宋体" w:cs="宋体"/>
                <w:i w:val="0"/>
                <w:iCs w:val="0"/>
                <w:color w:val="000000"/>
                <w:sz w:val="21"/>
                <w:szCs w:val="21"/>
                <w:u w:val="none"/>
                <w:lang w:val="en-US" w:eastAsia="zh-CN"/>
              </w:rPr>
              <w:br w:type="textWrapping"/>
            </w:r>
            <w:r>
              <w:rPr>
                <w:rFonts w:hint="eastAsia" w:ascii="宋体" w:hAnsi="宋体" w:eastAsia="宋体" w:cs="宋体"/>
                <w:i w:val="0"/>
                <w:iCs w:val="0"/>
                <w:color w:val="000000"/>
                <w:sz w:val="21"/>
                <w:szCs w:val="21"/>
                <w:u w:val="none"/>
                <w:lang w:val="en-US" w:eastAsia="zh-CN"/>
              </w:rPr>
              <w:t>①实际完成率≥100%，且偏离程度＜20%，得满分；</w:t>
            </w:r>
            <w:r>
              <w:rPr>
                <w:rFonts w:hint="eastAsia" w:ascii="宋体" w:hAnsi="宋体" w:eastAsia="宋体" w:cs="宋体"/>
                <w:i w:val="0"/>
                <w:iCs w:val="0"/>
                <w:color w:val="000000"/>
                <w:sz w:val="21"/>
                <w:szCs w:val="21"/>
                <w:u w:val="none"/>
                <w:lang w:val="en-US" w:eastAsia="zh-CN"/>
              </w:rPr>
              <w:br w:type="textWrapping"/>
            </w:r>
            <w:r>
              <w:rPr>
                <w:rFonts w:hint="eastAsia" w:ascii="宋体" w:hAnsi="宋体" w:eastAsia="宋体" w:cs="宋体"/>
                <w:i w:val="0"/>
                <w:iCs w:val="0"/>
                <w:color w:val="000000"/>
                <w:sz w:val="21"/>
                <w:szCs w:val="21"/>
                <w:u w:val="none"/>
                <w:lang w:val="en-US" w:eastAsia="zh-CN"/>
              </w:rPr>
              <w:t>②实际完成率≥100%，偏离程度≥20%，得0分；</w:t>
            </w:r>
            <w:r>
              <w:rPr>
                <w:rFonts w:hint="eastAsia" w:ascii="宋体" w:hAnsi="宋体" w:eastAsia="宋体" w:cs="宋体"/>
                <w:i w:val="0"/>
                <w:iCs w:val="0"/>
                <w:color w:val="000000"/>
                <w:sz w:val="21"/>
                <w:szCs w:val="21"/>
                <w:u w:val="none"/>
                <w:lang w:val="en-US" w:eastAsia="zh-CN"/>
              </w:rPr>
              <w:br w:type="textWrapping"/>
            </w:r>
            <w:r>
              <w:rPr>
                <w:rFonts w:hint="eastAsia" w:ascii="宋体" w:hAnsi="宋体" w:eastAsia="宋体" w:cs="宋体"/>
                <w:i w:val="0"/>
                <w:iCs w:val="0"/>
                <w:color w:val="000000"/>
                <w:sz w:val="21"/>
                <w:szCs w:val="21"/>
                <w:u w:val="none"/>
                <w:lang w:val="en-US" w:eastAsia="zh-CN"/>
              </w:rPr>
              <w:t>③实际完成率×100%＜100%，得分=实际完成率×指标分值。</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1F5985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628人</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4E5BED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w:t>
            </w:r>
          </w:p>
        </w:tc>
      </w:tr>
      <w:tr w14:paraId="5BA4A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733" w:type="dxa"/>
            <w:vMerge w:val="continue"/>
            <w:tcBorders>
              <w:top w:val="single" w:color="auto" w:sz="4" w:space="0"/>
              <w:left w:val="single" w:color="auto" w:sz="4" w:space="0"/>
              <w:bottom w:val="nil"/>
              <w:right w:val="single" w:color="auto" w:sz="4" w:space="0"/>
            </w:tcBorders>
            <w:noWrap w:val="0"/>
            <w:vAlign w:val="center"/>
          </w:tcPr>
          <w:p w14:paraId="0226ADC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33" w:type="dxa"/>
            <w:vMerge w:val="continue"/>
            <w:tcBorders>
              <w:top w:val="single" w:color="auto" w:sz="4" w:space="0"/>
              <w:left w:val="single" w:color="auto" w:sz="4" w:space="0"/>
              <w:bottom w:val="nil"/>
              <w:right w:val="single" w:color="auto" w:sz="4" w:space="0"/>
            </w:tcBorders>
            <w:noWrap w:val="0"/>
            <w:vAlign w:val="center"/>
          </w:tcPr>
          <w:p w14:paraId="64EFF68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86" w:type="dxa"/>
            <w:vMerge w:val="restart"/>
            <w:tcBorders>
              <w:top w:val="single" w:color="auto" w:sz="4" w:space="0"/>
              <w:left w:val="single" w:color="auto" w:sz="4" w:space="0"/>
              <w:bottom w:val="single" w:color="auto" w:sz="4" w:space="0"/>
              <w:right w:val="single" w:color="auto" w:sz="4" w:space="0"/>
            </w:tcBorders>
            <w:noWrap w:val="0"/>
            <w:vAlign w:val="center"/>
          </w:tcPr>
          <w:p w14:paraId="041D2E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产出质量</w:t>
            </w:r>
          </w:p>
        </w:tc>
        <w:tc>
          <w:tcPr>
            <w:tcW w:w="548" w:type="dxa"/>
            <w:vMerge w:val="restart"/>
            <w:tcBorders>
              <w:top w:val="single" w:color="auto" w:sz="4" w:space="0"/>
              <w:left w:val="single" w:color="auto" w:sz="4" w:space="0"/>
              <w:bottom w:val="single" w:color="auto" w:sz="4" w:space="0"/>
              <w:right w:val="single" w:color="auto" w:sz="4" w:space="0"/>
            </w:tcBorders>
            <w:noWrap w:val="0"/>
            <w:vAlign w:val="center"/>
          </w:tcPr>
          <w:p w14:paraId="64C3C4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w:t>
            </w:r>
          </w:p>
        </w:tc>
        <w:tc>
          <w:tcPr>
            <w:tcW w:w="766" w:type="dxa"/>
            <w:vMerge w:val="restart"/>
            <w:tcBorders>
              <w:top w:val="single" w:color="auto" w:sz="4" w:space="0"/>
              <w:left w:val="single" w:color="auto" w:sz="4" w:space="0"/>
              <w:bottom w:val="single" w:color="auto" w:sz="4" w:space="0"/>
              <w:right w:val="single" w:color="auto" w:sz="4" w:space="0"/>
            </w:tcBorders>
            <w:noWrap w:val="0"/>
            <w:vAlign w:val="center"/>
          </w:tcPr>
          <w:p w14:paraId="02E0BD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质量达标率</w:t>
            </w:r>
          </w:p>
        </w:tc>
        <w:tc>
          <w:tcPr>
            <w:tcW w:w="534" w:type="dxa"/>
            <w:tcBorders>
              <w:top w:val="single" w:color="auto" w:sz="4" w:space="0"/>
              <w:left w:val="single" w:color="auto" w:sz="4" w:space="0"/>
              <w:bottom w:val="single" w:color="auto" w:sz="4" w:space="0"/>
              <w:right w:val="single" w:color="auto" w:sz="4" w:space="0"/>
            </w:tcBorders>
            <w:noWrap w:val="0"/>
            <w:vAlign w:val="center"/>
          </w:tcPr>
          <w:p w14:paraId="1D2BFEE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5</w:t>
            </w:r>
          </w:p>
        </w:tc>
        <w:tc>
          <w:tcPr>
            <w:tcW w:w="2500" w:type="dxa"/>
            <w:tcBorders>
              <w:top w:val="single" w:color="auto" w:sz="4" w:space="0"/>
              <w:left w:val="single" w:color="auto" w:sz="4" w:space="0"/>
              <w:bottom w:val="single" w:color="auto" w:sz="4" w:space="0"/>
              <w:right w:val="nil"/>
            </w:tcBorders>
            <w:noWrap/>
            <w:vAlign w:val="center"/>
          </w:tcPr>
          <w:p w14:paraId="5DB5AFD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补助资金到位率</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61CE58E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100%</w:t>
            </w:r>
          </w:p>
        </w:tc>
        <w:tc>
          <w:tcPr>
            <w:tcW w:w="4947" w:type="dxa"/>
            <w:vMerge w:val="restart"/>
            <w:tcBorders>
              <w:top w:val="single" w:color="auto" w:sz="4" w:space="0"/>
              <w:left w:val="single" w:color="auto" w:sz="4" w:space="0"/>
              <w:right w:val="single" w:color="auto" w:sz="4" w:space="0"/>
            </w:tcBorders>
            <w:noWrap w:val="0"/>
            <w:vAlign w:val="center"/>
          </w:tcPr>
          <w:p w14:paraId="4FBAAAC7">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若指标达到标杆值，则得100%权重分；否则，得分=（实际完成/预期完成）×100%×指标分值。</w:t>
            </w:r>
          </w:p>
          <w:p w14:paraId="08B3EECC">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若指标完成值达到标杆值，则得100%权重分；否则，不得分。</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5B944E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100%</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04AAB5D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5</w:t>
            </w:r>
          </w:p>
        </w:tc>
      </w:tr>
      <w:tr w14:paraId="68754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3" w:type="dxa"/>
            <w:vMerge w:val="continue"/>
            <w:tcBorders>
              <w:top w:val="single" w:color="auto" w:sz="4" w:space="0"/>
              <w:left w:val="single" w:color="auto" w:sz="4" w:space="0"/>
              <w:bottom w:val="nil"/>
              <w:right w:val="single" w:color="auto" w:sz="4" w:space="0"/>
            </w:tcBorders>
            <w:noWrap w:val="0"/>
            <w:vAlign w:val="center"/>
          </w:tcPr>
          <w:p w14:paraId="6D72CA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33" w:type="dxa"/>
            <w:vMerge w:val="continue"/>
            <w:tcBorders>
              <w:top w:val="single" w:color="auto" w:sz="4" w:space="0"/>
              <w:left w:val="single" w:color="auto" w:sz="4" w:space="0"/>
              <w:bottom w:val="nil"/>
              <w:right w:val="single" w:color="auto" w:sz="4" w:space="0"/>
            </w:tcBorders>
            <w:noWrap w:val="0"/>
            <w:vAlign w:val="center"/>
          </w:tcPr>
          <w:p w14:paraId="5F78D2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86" w:type="dxa"/>
            <w:vMerge w:val="continue"/>
            <w:tcBorders>
              <w:top w:val="single" w:color="auto" w:sz="4" w:space="0"/>
              <w:left w:val="single" w:color="auto" w:sz="4" w:space="0"/>
              <w:bottom w:val="single" w:color="auto" w:sz="4" w:space="0"/>
              <w:right w:val="single" w:color="auto" w:sz="4" w:space="0"/>
            </w:tcBorders>
            <w:noWrap w:val="0"/>
            <w:vAlign w:val="center"/>
          </w:tcPr>
          <w:p w14:paraId="599135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13B9FBA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66" w:type="dxa"/>
            <w:vMerge w:val="continue"/>
            <w:tcBorders>
              <w:top w:val="single" w:color="auto" w:sz="4" w:space="0"/>
              <w:left w:val="single" w:color="auto" w:sz="4" w:space="0"/>
              <w:bottom w:val="single" w:color="auto" w:sz="4" w:space="0"/>
              <w:right w:val="single" w:color="auto" w:sz="4" w:space="0"/>
            </w:tcBorders>
            <w:noWrap w:val="0"/>
            <w:vAlign w:val="center"/>
          </w:tcPr>
          <w:p w14:paraId="0A2B84E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34" w:type="dxa"/>
            <w:tcBorders>
              <w:top w:val="single" w:color="auto" w:sz="4" w:space="0"/>
              <w:left w:val="single" w:color="auto" w:sz="4" w:space="0"/>
              <w:bottom w:val="single" w:color="auto" w:sz="4" w:space="0"/>
              <w:right w:val="single" w:color="auto" w:sz="4" w:space="0"/>
            </w:tcBorders>
            <w:noWrap w:val="0"/>
            <w:vAlign w:val="center"/>
          </w:tcPr>
          <w:p w14:paraId="725EA10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5</w:t>
            </w:r>
          </w:p>
        </w:tc>
        <w:tc>
          <w:tcPr>
            <w:tcW w:w="2500" w:type="dxa"/>
            <w:tcBorders>
              <w:top w:val="single" w:color="auto" w:sz="4" w:space="0"/>
              <w:left w:val="single" w:color="auto" w:sz="4" w:space="0"/>
              <w:bottom w:val="single" w:color="auto" w:sz="4" w:space="0"/>
              <w:right w:val="nil"/>
            </w:tcBorders>
            <w:noWrap/>
            <w:vAlign w:val="center"/>
          </w:tcPr>
          <w:p w14:paraId="36C617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补助资金发放率</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F55FF9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100%</w:t>
            </w:r>
          </w:p>
        </w:tc>
        <w:tc>
          <w:tcPr>
            <w:tcW w:w="4947" w:type="dxa"/>
            <w:vMerge w:val="continue"/>
            <w:tcBorders>
              <w:left w:val="single" w:color="auto" w:sz="4" w:space="0"/>
              <w:bottom w:val="single" w:color="auto" w:sz="4" w:space="0"/>
              <w:right w:val="single" w:color="auto" w:sz="4" w:space="0"/>
            </w:tcBorders>
            <w:noWrap w:val="0"/>
            <w:vAlign w:val="center"/>
          </w:tcPr>
          <w:p w14:paraId="39AE06F2">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970" w:type="dxa"/>
            <w:tcBorders>
              <w:top w:val="single" w:color="auto" w:sz="4" w:space="0"/>
              <w:left w:val="single" w:color="auto" w:sz="4" w:space="0"/>
              <w:bottom w:val="single" w:color="auto" w:sz="4" w:space="0"/>
              <w:right w:val="single" w:color="auto" w:sz="4" w:space="0"/>
            </w:tcBorders>
            <w:noWrap w:val="0"/>
            <w:vAlign w:val="center"/>
          </w:tcPr>
          <w:p w14:paraId="5BF7DD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100%</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1BBF83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5</w:t>
            </w:r>
          </w:p>
        </w:tc>
      </w:tr>
      <w:tr w14:paraId="24D43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733" w:type="dxa"/>
            <w:vMerge w:val="continue"/>
            <w:tcBorders>
              <w:top w:val="single" w:color="auto" w:sz="4" w:space="0"/>
              <w:left w:val="single" w:color="auto" w:sz="4" w:space="0"/>
              <w:bottom w:val="nil"/>
              <w:right w:val="single" w:color="auto" w:sz="4" w:space="0"/>
            </w:tcBorders>
            <w:noWrap w:val="0"/>
            <w:vAlign w:val="center"/>
          </w:tcPr>
          <w:p w14:paraId="07EAF7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33" w:type="dxa"/>
            <w:vMerge w:val="continue"/>
            <w:tcBorders>
              <w:top w:val="single" w:color="auto" w:sz="4" w:space="0"/>
              <w:left w:val="single" w:color="auto" w:sz="4" w:space="0"/>
              <w:bottom w:val="nil"/>
              <w:right w:val="single" w:color="auto" w:sz="4" w:space="0"/>
            </w:tcBorders>
            <w:noWrap w:val="0"/>
            <w:vAlign w:val="center"/>
          </w:tcPr>
          <w:p w14:paraId="48E691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86" w:type="dxa"/>
            <w:vMerge w:val="restart"/>
            <w:tcBorders>
              <w:top w:val="single" w:color="auto" w:sz="4" w:space="0"/>
              <w:left w:val="single" w:color="auto" w:sz="4" w:space="0"/>
              <w:bottom w:val="single" w:color="auto" w:sz="4" w:space="0"/>
              <w:right w:val="single" w:color="auto" w:sz="4" w:space="0"/>
            </w:tcBorders>
            <w:noWrap w:val="0"/>
            <w:vAlign w:val="center"/>
          </w:tcPr>
          <w:p w14:paraId="3B95EF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产出时效</w:t>
            </w:r>
          </w:p>
        </w:tc>
        <w:tc>
          <w:tcPr>
            <w:tcW w:w="548" w:type="dxa"/>
            <w:vMerge w:val="restart"/>
            <w:tcBorders>
              <w:top w:val="single" w:color="auto" w:sz="4" w:space="0"/>
              <w:left w:val="single" w:color="auto" w:sz="4" w:space="0"/>
              <w:bottom w:val="single" w:color="auto" w:sz="4" w:space="0"/>
              <w:right w:val="single" w:color="auto" w:sz="4" w:space="0"/>
            </w:tcBorders>
            <w:noWrap w:val="0"/>
            <w:vAlign w:val="center"/>
          </w:tcPr>
          <w:p w14:paraId="02FC30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w:t>
            </w:r>
          </w:p>
        </w:tc>
        <w:tc>
          <w:tcPr>
            <w:tcW w:w="766" w:type="dxa"/>
            <w:vMerge w:val="restart"/>
            <w:tcBorders>
              <w:top w:val="single" w:color="auto" w:sz="4" w:space="0"/>
              <w:left w:val="single" w:color="auto" w:sz="4" w:space="0"/>
              <w:bottom w:val="single" w:color="auto" w:sz="4" w:space="0"/>
              <w:right w:val="single" w:color="auto" w:sz="4" w:space="0"/>
            </w:tcBorders>
            <w:noWrap w:val="0"/>
            <w:vAlign w:val="center"/>
          </w:tcPr>
          <w:p w14:paraId="5E07059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完成及时率</w:t>
            </w:r>
          </w:p>
        </w:tc>
        <w:tc>
          <w:tcPr>
            <w:tcW w:w="534" w:type="dxa"/>
            <w:tcBorders>
              <w:top w:val="single" w:color="auto" w:sz="4" w:space="0"/>
              <w:left w:val="single" w:color="auto" w:sz="4" w:space="0"/>
              <w:bottom w:val="single" w:color="auto" w:sz="4" w:space="0"/>
              <w:right w:val="single" w:color="auto" w:sz="4" w:space="0"/>
            </w:tcBorders>
            <w:noWrap w:val="0"/>
            <w:vAlign w:val="center"/>
          </w:tcPr>
          <w:p w14:paraId="1E86E2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5</w:t>
            </w:r>
          </w:p>
        </w:tc>
        <w:tc>
          <w:tcPr>
            <w:tcW w:w="2500" w:type="dxa"/>
            <w:tcBorders>
              <w:top w:val="single" w:color="auto" w:sz="4" w:space="0"/>
              <w:left w:val="single" w:color="auto" w:sz="4" w:space="0"/>
              <w:bottom w:val="single" w:color="auto" w:sz="4" w:space="0"/>
              <w:right w:val="single" w:color="auto" w:sz="4" w:space="0"/>
            </w:tcBorders>
            <w:noWrap w:val="0"/>
            <w:vAlign w:val="center"/>
          </w:tcPr>
          <w:p w14:paraId="7760A14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项目结束时间</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036B0D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2024年12月</w:t>
            </w:r>
          </w:p>
        </w:tc>
        <w:tc>
          <w:tcPr>
            <w:tcW w:w="4947" w:type="dxa"/>
            <w:tcBorders>
              <w:top w:val="single" w:color="auto" w:sz="4" w:space="0"/>
              <w:left w:val="single" w:color="auto" w:sz="4" w:space="0"/>
              <w:bottom w:val="single" w:color="auto" w:sz="4" w:space="0"/>
              <w:right w:val="single" w:color="auto" w:sz="4" w:space="0"/>
            </w:tcBorders>
            <w:noWrap w:val="0"/>
            <w:vAlign w:val="center"/>
          </w:tcPr>
          <w:p w14:paraId="07B66FD5">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若指标完成值达到标杆值，则得100%权重分；否则，得分=（实际完成/预期完成）×100%×指标分值。</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343C46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2024年12月</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0DF9070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5</w:t>
            </w:r>
          </w:p>
        </w:tc>
      </w:tr>
      <w:tr w14:paraId="144EE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0" w:hRule="atLeast"/>
        </w:trPr>
        <w:tc>
          <w:tcPr>
            <w:tcW w:w="733" w:type="dxa"/>
            <w:vMerge w:val="continue"/>
            <w:tcBorders>
              <w:top w:val="single" w:color="auto" w:sz="4" w:space="0"/>
              <w:left w:val="single" w:color="auto" w:sz="4" w:space="0"/>
              <w:bottom w:val="nil"/>
              <w:right w:val="single" w:color="auto" w:sz="4" w:space="0"/>
            </w:tcBorders>
            <w:noWrap w:val="0"/>
            <w:vAlign w:val="center"/>
          </w:tcPr>
          <w:p w14:paraId="0D0AF5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33" w:type="dxa"/>
            <w:vMerge w:val="continue"/>
            <w:tcBorders>
              <w:top w:val="single" w:color="auto" w:sz="4" w:space="0"/>
              <w:left w:val="single" w:color="auto" w:sz="4" w:space="0"/>
              <w:bottom w:val="nil"/>
              <w:right w:val="single" w:color="auto" w:sz="4" w:space="0"/>
            </w:tcBorders>
            <w:noWrap w:val="0"/>
            <w:vAlign w:val="center"/>
          </w:tcPr>
          <w:p w14:paraId="7BA118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86" w:type="dxa"/>
            <w:vMerge w:val="continue"/>
            <w:tcBorders>
              <w:top w:val="single" w:color="auto" w:sz="4" w:space="0"/>
              <w:left w:val="single" w:color="auto" w:sz="4" w:space="0"/>
              <w:bottom w:val="single" w:color="auto" w:sz="4" w:space="0"/>
              <w:right w:val="single" w:color="auto" w:sz="4" w:space="0"/>
            </w:tcBorders>
            <w:noWrap w:val="0"/>
            <w:vAlign w:val="center"/>
          </w:tcPr>
          <w:p w14:paraId="0FF661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1C787C4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66" w:type="dxa"/>
            <w:vMerge w:val="continue"/>
            <w:tcBorders>
              <w:top w:val="single" w:color="auto" w:sz="4" w:space="0"/>
              <w:left w:val="single" w:color="auto" w:sz="4" w:space="0"/>
              <w:bottom w:val="single" w:color="auto" w:sz="4" w:space="0"/>
              <w:right w:val="single" w:color="auto" w:sz="4" w:space="0"/>
            </w:tcBorders>
            <w:noWrap w:val="0"/>
            <w:vAlign w:val="center"/>
          </w:tcPr>
          <w:p w14:paraId="7370854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34" w:type="dxa"/>
            <w:tcBorders>
              <w:top w:val="single" w:color="auto" w:sz="4" w:space="0"/>
              <w:left w:val="single" w:color="auto" w:sz="4" w:space="0"/>
              <w:bottom w:val="single" w:color="auto" w:sz="4" w:space="0"/>
              <w:right w:val="single" w:color="auto" w:sz="4" w:space="0"/>
            </w:tcBorders>
            <w:noWrap w:val="0"/>
            <w:vAlign w:val="center"/>
          </w:tcPr>
          <w:p w14:paraId="7931F8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5</w:t>
            </w:r>
          </w:p>
        </w:tc>
        <w:tc>
          <w:tcPr>
            <w:tcW w:w="2500" w:type="dxa"/>
            <w:tcBorders>
              <w:top w:val="single" w:color="auto" w:sz="4" w:space="0"/>
              <w:left w:val="single" w:color="auto" w:sz="4" w:space="0"/>
              <w:bottom w:val="single" w:color="auto" w:sz="4" w:space="0"/>
              <w:right w:val="single" w:color="auto" w:sz="4" w:space="0"/>
            </w:tcBorders>
            <w:noWrap w:val="0"/>
            <w:vAlign w:val="center"/>
          </w:tcPr>
          <w:p w14:paraId="4DF6687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资金拨付及时率</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9F04A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100%</w:t>
            </w:r>
          </w:p>
        </w:tc>
        <w:tc>
          <w:tcPr>
            <w:tcW w:w="4947" w:type="dxa"/>
            <w:tcBorders>
              <w:top w:val="single" w:color="auto" w:sz="4" w:space="0"/>
              <w:left w:val="single" w:color="auto" w:sz="4" w:space="0"/>
              <w:bottom w:val="single" w:color="auto" w:sz="4" w:space="0"/>
              <w:right w:val="single" w:color="auto" w:sz="4" w:space="0"/>
            </w:tcBorders>
            <w:noWrap w:val="0"/>
            <w:vAlign w:val="center"/>
          </w:tcPr>
          <w:p w14:paraId="0E85C6ED">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若在规定时间内完成，得100%权重分；若未在规定的时间内完成，得分=（1-未在规定时间内完成工作数/实际完成工作总数）×分值。</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257757A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100%</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0F3419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5</w:t>
            </w:r>
          </w:p>
        </w:tc>
      </w:tr>
      <w:tr w14:paraId="377C1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90" w:hRule="atLeast"/>
        </w:trPr>
        <w:tc>
          <w:tcPr>
            <w:tcW w:w="733" w:type="dxa"/>
            <w:vMerge w:val="continue"/>
            <w:tcBorders>
              <w:top w:val="single" w:color="auto" w:sz="4" w:space="0"/>
              <w:left w:val="single" w:color="auto" w:sz="4" w:space="0"/>
              <w:bottom w:val="nil"/>
              <w:right w:val="single" w:color="auto" w:sz="4" w:space="0"/>
            </w:tcBorders>
            <w:noWrap w:val="0"/>
            <w:vAlign w:val="center"/>
          </w:tcPr>
          <w:p w14:paraId="0271D7A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33" w:type="dxa"/>
            <w:vMerge w:val="continue"/>
            <w:tcBorders>
              <w:top w:val="single" w:color="auto" w:sz="4" w:space="0"/>
              <w:left w:val="single" w:color="auto" w:sz="4" w:space="0"/>
              <w:bottom w:val="nil"/>
              <w:right w:val="single" w:color="auto" w:sz="4" w:space="0"/>
            </w:tcBorders>
            <w:noWrap w:val="0"/>
            <w:vAlign w:val="center"/>
          </w:tcPr>
          <w:p w14:paraId="191C24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noWrap w:val="0"/>
            <w:vAlign w:val="center"/>
          </w:tcPr>
          <w:p w14:paraId="2FCCB3F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产出成本</w:t>
            </w:r>
          </w:p>
        </w:tc>
        <w:tc>
          <w:tcPr>
            <w:tcW w:w="548" w:type="dxa"/>
            <w:tcBorders>
              <w:top w:val="single" w:color="auto" w:sz="4" w:space="0"/>
              <w:left w:val="single" w:color="auto" w:sz="4" w:space="0"/>
              <w:bottom w:val="single" w:color="auto" w:sz="4" w:space="0"/>
              <w:right w:val="single" w:color="auto" w:sz="4" w:space="0"/>
            </w:tcBorders>
            <w:noWrap w:val="0"/>
            <w:vAlign w:val="center"/>
          </w:tcPr>
          <w:p w14:paraId="27CB817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11E349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成本节约率</w:t>
            </w:r>
          </w:p>
        </w:tc>
        <w:tc>
          <w:tcPr>
            <w:tcW w:w="534" w:type="dxa"/>
            <w:tcBorders>
              <w:top w:val="single" w:color="auto" w:sz="4" w:space="0"/>
              <w:left w:val="single" w:color="auto" w:sz="4" w:space="0"/>
              <w:bottom w:val="single" w:color="auto" w:sz="4" w:space="0"/>
              <w:right w:val="single" w:color="auto" w:sz="4" w:space="0"/>
            </w:tcBorders>
            <w:noWrap w:val="0"/>
            <w:vAlign w:val="center"/>
          </w:tcPr>
          <w:p w14:paraId="737C84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w:t>
            </w:r>
          </w:p>
        </w:tc>
        <w:tc>
          <w:tcPr>
            <w:tcW w:w="2500" w:type="dxa"/>
            <w:tcBorders>
              <w:top w:val="single" w:color="auto" w:sz="4" w:space="0"/>
              <w:left w:val="single" w:color="auto" w:sz="4" w:space="0"/>
              <w:bottom w:val="single" w:color="auto" w:sz="4" w:space="0"/>
              <w:right w:val="single" w:color="auto" w:sz="4" w:space="0"/>
            </w:tcBorders>
            <w:noWrap w:val="0"/>
            <w:vAlign w:val="center"/>
          </w:tcPr>
          <w:p w14:paraId="35EA5A6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保障经费支出成本</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4272337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163.91万元</w:t>
            </w:r>
          </w:p>
        </w:tc>
        <w:tc>
          <w:tcPr>
            <w:tcW w:w="4947" w:type="dxa"/>
            <w:tcBorders>
              <w:top w:val="single" w:color="auto" w:sz="4" w:space="0"/>
              <w:left w:val="single" w:color="auto" w:sz="4" w:space="0"/>
              <w:bottom w:val="single" w:color="auto" w:sz="4" w:space="0"/>
              <w:right w:val="single" w:color="auto" w:sz="4" w:space="0"/>
            </w:tcBorders>
            <w:noWrap w:val="0"/>
            <w:vAlign w:val="center"/>
          </w:tcPr>
          <w:p w14:paraId="38F99588">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实际完成率=（实际支付资金数/计划应支付资金数）×100%。</w:t>
            </w:r>
            <w:r>
              <w:rPr>
                <w:rFonts w:hint="eastAsia" w:ascii="宋体" w:hAnsi="宋体" w:eastAsia="宋体" w:cs="宋体"/>
                <w:i w:val="0"/>
                <w:iCs w:val="0"/>
                <w:color w:val="000000"/>
                <w:sz w:val="21"/>
                <w:szCs w:val="21"/>
                <w:u w:val="none"/>
                <w:lang w:val="en-US" w:eastAsia="zh-CN"/>
              </w:rPr>
              <w:br w:type="textWrapping"/>
            </w:r>
            <w:r>
              <w:rPr>
                <w:rFonts w:hint="eastAsia" w:ascii="宋体" w:hAnsi="宋体" w:eastAsia="宋体" w:cs="宋体"/>
                <w:i w:val="0"/>
                <w:iCs w:val="0"/>
                <w:color w:val="000000"/>
                <w:sz w:val="21"/>
                <w:szCs w:val="21"/>
                <w:u w:val="none"/>
                <w:lang w:val="en-US" w:eastAsia="zh-CN"/>
              </w:rPr>
              <w:t>①实际完成率＞年度指标值，得0得分；</w:t>
            </w:r>
            <w:r>
              <w:rPr>
                <w:rFonts w:hint="eastAsia" w:ascii="宋体" w:hAnsi="宋体" w:eastAsia="宋体" w:cs="宋体"/>
                <w:i w:val="0"/>
                <w:iCs w:val="0"/>
                <w:color w:val="000000"/>
                <w:sz w:val="21"/>
                <w:szCs w:val="21"/>
                <w:u w:val="none"/>
                <w:lang w:val="en-US" w:eastAsia="zh-CN"/>
              </w:rPr>
              <w:br w:type="textWrapping"/>
            </w:r>
            <w:r>
              <w:rPr>
                <w:rFonts w:hint="eastAsia" w:ascii="宋体" w:hAnsi="宋体" w:eastAsia="宋体" w:cs="宋体"/>
                <w:i w:val="0"/>
                <w:iCs w:val="0"/>
                <w:color w:val="000000"/>
                <w:sz w:val="21"/>
                <w:szCs w:val="21"/>
                <w:u w:val="none"/>
                <w:lang w:val="en-US" w:eastAsia="zh-CN"/>
              </w:rPr>
              <w:t>②实际完成率≤年度指标值，且偏离程度＜20%，得满分；</w:t>
            </w:r>
            <w:r>
              <w:rPr>
                <w:rFonts w:hint="eastAsia" w:ascii="宋体" w:hAnsi="宋体" w:eastAsia="宋体" w:cs="宋体"/>
                <w:i w:val="0"/>
                <w:iCs w:val="0"/>
                <w:color w:val="000000"/>
                <w:sz w:val="21"/>
                <w:szCs w:val="21"/>
                <w:u w:val="none"/>
                <w:lang w:val="en-US" w:eastAsia="zh-CN"/>
              </w:rPr>
              <w:br w:type="textWrapping"/>
            </w:r>
            <w:r>
              <w:rPr>
                <w:rFonts w:hint="eastAsia" w:ascii="宋体" w:hAnsi="宋体" w:eastAsia="宋体" w:cs="宋体"/>
                <w:i w:val="0"/>
                <w:iCs w:val="0"/>
                <w:color w:val="000000"/>
                <w:sz w:val="21"/>
                <w:szCs w:val="21"/>
                <w:u w:val="none"/>
                <w:lang w:val="en-US" w:eastAsia="zh-CN"/>
              </w:rPr>
              <w:t>③实际完成率＜年度指标值，且偏离程度≥20%，得分=实际完成率×分值。</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0123E1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151.15万元</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4FCC31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w:t>
            </w:r>
          </w:p>
        </w:tc>
      </w:tr>
      <w:tr w14:paraId="2C4EF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0" w:hRule="atLeast"/>
        </w:trPr>
        <w:tc>
          <w:tcPr>
            <w:tcW w:w="733" w:type="dxa"/>
            <w:vMerge w:val="restart"/>
            <w:tcBorders>
              <w:top w:val="single" w:color="auto" w:sz="4" w:space="0"/>
              <w:left w:val="single" w:color="auto" w:sz="4" w:space="0"/>
              <w:bottom w:val="single" w:color="auto" w:sz="4" w:space="0"/>
              <w:right w:val="single" w:color="auto" w:sz="4" w:space="0"/>
            </w:tcBorders>
            <w:noWrap w:val="0"/>
            <w:vAlign w:val="center"/>
          </w:tcPr>
          <w:p w14:paraId="1EBEEE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项目效益</w:t>
            </w:r>
          </w:p>
        </w:tc>
        <w:tc>
          <w:tcPr>
            <w:tcW w:w="533" w:type="dxa"/>
            <w:vMerge w:val="restart"/>
            <w:tcBorders>
              <w:top w:val="single" w:color="auto" w:sz="4" w:space="0"/>
              <w:left w:val="single" w:color="auto" w:sz="4" w:space="0"/>
              <w:bottom w:val="single" w:color="auto" w:sz="4" w:space="0"/>
              <w:right w:val="single" w:color="auto" w:sz="4" w:space="0"/>
            </w:tcBorders>
            <w:noWrap w:val="0"/>
            <w:vAlign w:val="center"/>
          </w:tcPr>
          <w:p w14:paraId="14D4FCE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25</w:t>
            </w:r>
          </w:p>
        </w:tc>
        <w:tc>
          <w:tcPr>
            <w:tcW w:w="686" w:type="dxa"/>
            <w:vMerge w:val="restart"/>
            <w:tcBorders>
              <w:top w:val="single" w:color="auto" w:sz="4" w:space="0"/>
              <w:left w:val="single" w:color="auto" w:sz="4" w:space="0"/>
              <w:bottom w:val="single" w:color="auto" w:sz="4" w:space="0"/>
              <w:right w:val="single" w:color="auto" w:sz="4" w:space="0"/>
            </w:tcBorders>
            <w:noWrap w:val="0"/>
            <w:vAlign w:val="center"/>
          </w:tcPr>
          <w:p w14:paraId="5D7787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项目效益</w:t>
            </w:r>
          </w:p>
        </w:tc>
        <w:tc>
          <w:tcPr>
            <w:tcW w:w="548" w:type="dxa"/>
            <w:vMerge w:val="restart"/>
            <w:tcBorders>
              <w:top w:val="single" w:color="auto" w:sz="4" w:space="0"/>
              <w:left w:val="single" w:color="auto" w:sz="4" w:space="0"/>
              <w:bottom w:val="single" w:color="auto" w:sz="4" w:space="0"/>
              <w:right w:val="single" w:color="auto" w:sz="4" w:space="0"/>
            </w:tcBorders>
            <w:noWrap w:val="0"/>
            <w:vAlign w:val="center"/>
          </w:tcPr>
          <w:p w14:paraId="26E60F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25</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4BAD81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社会效益</w:t>
            </w:r>
          </w:p>
        </w:tc>
        <w:tc>
          <w:tcPr>
            <w:tcW w:w="534" w:type="dxa"/>
            <w:tcBorders>
              <w:top w:val="single" w:color="auto" w:sz="4" w:space="0"/>
              <w:left w:val="single" w:color="auto" w:sz="4" w:space="0"/>
              <w:bottom w:val="single" w:color="auto" w:sz="4" w:space="0"/>
              <w:right w:val="single" w:color="auto" w:sz="4" w:space="0"/>
            </w:tcBorders>
            <w:noWrap w:val="0"/>
            <w:vAlign w:val="center"/>
          </w:tcPr>
          <w:p w14:paraId="15B68C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15</w:t>
            </w:r>
          </w:p>
        </w:tc>
        <w:tc>
          <w:tcPr>
            <w:tcW w:w="2500" w:type="dxa"/>
            <w:tcBorders>
              <w:top w:val="single" w:color="auto" w:sz="4" w:space="0"/>
              <w:left w:val="single" w:color="auto" w:sz="4" w:space="0"/>
              <w:bottom w:val="single" w:color="auto" w:sz="4" w:space="0"/>
              <w:right w:val="single" w:color="auto" w:sz="4" w:space="0"/>
            </w:tcBorders>
            <w:noWrap w:val="0"/>
            <w:vAlign w:val="center"/>
          </w:tcPr>
          <w:p w14:paraId="243E0C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改善教育教学质量</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06DFF1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有效改善</w:t>
            </w:r>
          </w:p>
        </w:tc>
        <w:tc>
          <w:tcPr>
            <w:tcW w:w="4947" w:type="dxa"/>
            <w:tcBorders>
              <w:top w:val="single" w:color="auto" w:sz="4" w:space="0"/>
              <w:left w:val="single" w:color="auto" w:sz="4" w:space="0"/>
              <w:bottom w:val="single" w:color="auto" w:sz="4" w:space="0"/>
              <w:right w:val="single" w:color="auto" w:sz="4" w:space="0"/>
            </w:tcBorders>
            <w:noWrap w:val="0"/>
            <w:vAlign w:val="center"/>
          </w:tcPr>
          <w:p w14:paraId="7D2F024F">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按评判等级赋分。分为基本达成目标、部分实现目标、实现目标程度较低三个档次，并分别按照该指标对应分值区间100%-80%（含）、80%-60%（含）、60%-0%合理确定分值。</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33097F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有效改善</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00E3F04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15</w:t>
            </w:r>
          </w:p>
        </w:tc>
      </w:tr>
      <w:tr w14:paraId="0B43B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733" w:type="dxa"/>
            <w:vMerge w:val="continue"/>
            <w:tcBorders>
              <w:top w:val="single" w:color="auto" w:sz="4" w:space="0"/>
              <w:left w:val="single" w:color="auto" w:sz="4" w:space="0"/>
              <w:bottom w:val="single" w:color="auto" w:sz="4" w:space="0"/>
              <w:right w:val="single" w:color="auto" w:sz="4" w:space="0"/>
            </w:tcBorders>
            <w:noWrap w:val="0"/>
            <w:vAlign w:val="center"/>
          </w:tcPr>
          <w:p w14:paraId="2276E0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33" w:type="dxa"/>
            <w:vMerge w:val="continue"/>
            <w:tcBorders>
              <w:top w:val="single" w:color="auto" w:sz="4" w:space="0"/>
              <w:left w:val="single" w:color="auto" w:sz="4" w:space="0"/>
              <w:bottom w:val="single" w:color="auto" w:sz="4" w:space="0"/>
              <w:right w:val="single" w:color="auto" w:sz="4" w:space="0"/>
            </w:tcBorders>
            <w:noWrap w:val="0"/>
            <w:vAlign w:val="center"/>
          </w:tcPr>
          <w:p w14:paraId="0CB610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86" w:type="dxa"/>
            <w:vMerge w:val="continue"/>
            <w:tcBorders>
              <w:top w:val="single" w:color="auto" w:sz="4" w:space="0"/>
              <w:left w:val="single" w:color="auto" w:sz="4" w:space="0"/>
              <w:bottom w:val="single" w:color="auto" w:sz="4" w:space="0"/>
              <w:right w:val="single" w:color="auto" w:sz="4" w:space="0"/>
            </w:tcBorders>
            <w:noWrap w:val="0"/>
            <w:vAlign w:val="center"/>
          </w:tcPr>
          <w:p w14:paraId="0BBDD2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6F57EF3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66" w:type="dxa"/>
            <w:tcBorders>
              <w:top w:val="single" w:color="auto" w:sz="4" w:space="0"/>
              <w:left w:val="single" w:color="auto" w:sz="4" w:space="0"/>
              <w:bottom w:val="single" w:color="auto" w:sz="4" w:space="0"/>
              <w:right w:val="single" w:color="auto" w:sz="4" w:space="0"/>
            </w:tcBorders>
            <w:noWrap w:val="0"/>
            <w:vAlign w:val="center"/>
          </w:tcPr>
          <w:p w14:paraId="167176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服务对象满意度</w:t>
            </w:r>
          </w:p>
        </w:tc>
        <w:tc>
          <w:tcPr>
            <w:tcW w:w="534" w:type="dxa"/>
            <w:tcBorders>
              <w:top w:val="single" w:color="auto" w:sz="4" w:space="0"/>
              <w:left w:val="single" w:color="auto" w:sz="4" w:space="0"/>
              <w:bottom w:val="single" w:color="auto" w:sz="4" w:space="0"/>
              <w:right w:val="single" w:color="auto" w:sz="4" w:space="0"/>
            </w:tcBorders>
            <w:noWrap w:val="0"/>
            <w:vAlign w:val="center"/>
          </w:tcPr>
          <w:p w14:paraId="2F4661B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w:t>
            </w:r>
          </w:p>
        </w:tc>
        <w:tc>
          <w:tcPr>
            <w:tcW w:w="2500" w:type="dxa"/>
            <w:tcBorders>
              <w:top w:val="single" w:color="auto" w:sz="4" w:space="0"/>
              <w:left w:val="single" w:color="auto" w:sz="4" w:space="0"/>
              <w:bottom w:val="single" w:color="auto" w:sz="4" w:space="0"/>
              <w:right w:val="single" w:color="auto" w:sz="4" w:space="0"/>
            </w:tcBorders>
            <w:noWrap w:val="0"/>
            <w:vAlign w:val="center"/>
          </w:tcPr>
          <w:p w14:paraId="7F547E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学生满意度</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E3CA27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≥95%</w:t>
            </w:r>
          </w:p>
        </w:tc>
        <w:tc>
          <w:tcPr>
            <w:tcW w:w="4947" w:type="dxa"/>
            <w:tcBorders>
              <w:top w:val="single" w:color="auto" w:sz="4" w:space="0"/>
              <w:left w:val="single" w:color="auto" w:sz="4" w:space="0"/>
              <w:bottom w:val="single" w:color="auto" w:sz="4" w:space="0"/>
              <w:right w:val="single" w:color="auto" w:sz="4" w:space="0"/>
            </w:tcBorders>
            <w:noWrap w:val="0"/>
            <w:vAlign w:val="center"/>
          </w:tcPr>
          <w:p w14:paraId="6731C5D0">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根据问卷调查，满意度达到标杆值，得权重分的100%；否则低于95%，得分=实际满意度*指标分值。</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54AD7E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95%</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7206C0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w:t>
            </w:r>
          </w:p>
        </w:tc>
      </w:tr>
      <w:tr w14:paraId="71D53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733" w:type="dxa"/>
            <w:tcBorders>
              <w:top w:val="single" w:color="auto" w:sz="4" w:space="0"/>
              <w:left w:val="single" w:color="auto" w:sz="4" w:space="0"/>
              <w:bottom w:val="single" w:color="auto" w:sz="4" w:space="0"/>
              <w:right w:val="single" w:color="auto" w:sz="4" w:space="0"/>
            </w:tcBorders>
            <w:noWrap w:val="0"/>
            <w:vAlign w:val="center"/>
          </w:tcPr>
          <w:p w14:paraId="77055C0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总分</w:t>
            </w:r>
          </w:p>
        </w:tc>
        <w:tc>
          <w:tcPr>
            <w:tcW w:w="533" w:type="dxa"/>
            <w:tcBorders>
              <w:top w:val="single" w:color="auto" w:sz="4" w:space="0"/>
              <w:left w:val="single" w:color="auto" w:sz="4" w:space="0"/>
              <w:bottom w:val="single" w:color="auto" w:sz="4" w:space="0"/>
              <w:right w:val="single" w:color="auto" w:sz="4" w:space="0"/>
            </w:tcBorders>
            <w:noWrap w:val="0"/>
            <w:vAlign w:val="center"/>
          </w:tcPr>
          <w:p w14:paraId="08237A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100</w:t>
            </w:r>
          </w:p>
        </w:tc>
        <w:tc>
          <w:tcPr>
            <w:tcW w:w="686" w:type="dxa"/>
            <w:tcBorders>
              <w:top w:val="single" w:color="auto" w:sz="4" w:space="0"/>
              <w:left w:val="single" w:color="auto" w:sz="4" w:space="0"/>
              <w:bottom w:val="single" w:color="auto" w:sz="4" w:space="0"/>
              <w:right w:val="single" w:color="auto" w:sz="4" w:space="0"/>
            </w:tcBorders>
            <w:noWrap w:val="0"/>
            <w:vAlign w:val="center"/>
          </w:tcPr>
          <w:p w14:paraId="768314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48" w:type="dxa"/>
            <w:tcBorders>
              <w:top w:val="single" w:color="auto" w:sz="4" w:space="0"/>
              <w:left w:val="single" w:color="auto" w:sz="4" w:space="0"/>
              <w:bottom w:val="single" w:color="auto" w:sz="4" w:space="0"/>
              <w:right w:val="single" w:color="auto" w:sz="4" w:space="0"/>
            </w:tcBorders>
            <w:noWrap w:val="0"/>
            <w:vAlign w:val="center"/>
          </w:tcPr>
          <w:p w14:paraId="6852522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100</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09CB82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34" w:type="dxa"/>
            <w:tcBorders>
              <w:top w:val="single" w:color="auto" w:sz="4" w:space="0"/>
              <w:left w:val="single" w:color="auto" w:sz="4" w:space="0"/>
              <w:bottom w:val="single" w:color="auto" w:sz="4" w:space="0"/>
              <w:right w:val="single" w:color="auto" w:sz="4" w:space="0"/>
            </w:tcBorders>
            <w:noWrap w:val="0"/>
            <w:vAlign w:val="center"/>
          </w:tcPr>
          <w:p w14:paraId="5CBE2D9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100</w:t>
            </w:r>
          </w:p>
        </w:tc>
        <w:tc>
          <w:tcPr>
            <w:tcW w:w="2500" w:type="dxa"/>
            <w:tcBorders>
              <w:top w:val="single" w:color="auto" w:sz="4" w:space="0"/>
              <w:left w:val="single" w:color="auto" w:sz="4" w:space="0"/>
              <w:bottom w:val="single" w:color="auto" w:sz="4" w:space="0"/>
              <w:right w:val="single" w:color="auto" w:sz="4" w:space="0"/>
            </w:tcBorders>
            <w:noWrap w:val="0"/>
            <w:vAlign w:val="center"/>
          </w:tcPr>
          <w:p w14:paraId="338017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83" w:type="dxa"/>
            <w:tcBorders>
              <w:top w:val="single" w:color="auto" w:sz="4" w:space="0"/>
              <w:left w:val="single" w:color="auto" w:sz="4" w:space="0"/>
              <w:bottom w:val="single" w:color="auto" w:sz="4" w:space="0"/>
              <w:right w:val="single" w:color="auto" w:sz="4" w:space="0"/>
            </w:tcBorders>
            <w:noWrap w:val="0"/>
            <w:vAlign w:val="center"/>
          </w:tcPr>
          <w:p w14:paraId="2FF7207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w:t>
            </w:r>
          </w:p>
        </w:tc>
        <w:tc>
          <w:tcPr>
            <w:tcW w:w="4947" w:type="dxa"/>
            <w:tcBorders>
              <w:top w:val="single" w:color="auto" w:sz="4" w:space="0"/>
              <w:left w:val="single" w:color="auto" w:sz="4" w:space="0"/>
              <w:bottom w:val="single" w:color="auto" w:sz="4" w:space="0"/>
              <w:right w:val="single" w:color="auto" w:sz="4" w:space="0"/>
            </w:tcBorders>
            <w:noWrap w:val="0"/>
            <w:vAlign w:val="center"/>
          </w:tcPr>
          <w:p w14:paraId="1F891E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970" w:type="dxa"/>
            <w:tcBorders>
              <w:top w:val="single" w:color="auto" w:sz="4" w:space="0"/>
              <w:left w:val="single" w:color="auto" w:sz="4" w:space="0"/>
              <w:bottom w:val="single" w:color="auto" w:sz="4" w:space="0"/>
              <w:right w:val="single" w:color="auto" w:sz="4" w:space="0"/>
            </w:tcBorders>
            <w:noWrap w:val="0"/>
            <w:vAlign w:val="center"/>
          </w:tcPr>
          <w:p w14:paraId="6B34E6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916" w:type="dxa"/>
            <w:tcBorders>
              <w:top w:val="single" w:color="auto" w:sz="4" w:space="0"/>
              <w:left w:val="single" w:color="auto" w:sz="4" w:space="0"/>
              <w:bottom w:val="single" w:color="auto" w:sz="4" w:space="0"/>
              <w:right w:val="single" w:color="auto" w:sz="4" w:space="0"/>
            </w:tcBorders>
            <w:noWrap w:val="0"/>
            <w:vAlign w:val="center"/>
          </w:tcPr>
          <w:p w14:paraId="6A9A27C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 xml:space="preserve">99.84 </w:t>
            </w:r>
          </w:p>
        </w:tc>
      </w:tr>
    </w:tbl>
    <w:p w14:paraId="03DC14FD">
      <w:pPr>
        <w:pStyle w:val="10"/>
        <w:rPr>
          <w:rFonts w:hint="eastAsia" w:ascii="宋体" w:hAnsi="宋体" w:eastAsia="宋体" w:cs="宋体"/>
          <w:color w:val="auto"/>
          <w:sz w:val="24"/>
          <w:szCs w:val="24"/>
          <w:highlight w:val="none"/>
          <w:lang w:eastAsia="zh-CN"/>
        </w:rPr>
      </w:pPr>
    </w:p>
    <w:p w14:paraId="181167BC">
      <w:pPr>
        <w:pStyle w:val="10"/>
        <w:rPr>
          <w:rFonts w:hint="eastAsia" w:ascii="宋体" w:hAnsi="宋体" w:eastAsia="宋体" w:cs="宋体"/>
          <w:color w:val="auto"/>
          <w:sz w:val="24"/>
          <w:szCs w:val="24"/>
          <w:highlight w:val="none"/>
          <w:lang w:eastAsia="zh-CN"/>
        </w:rPr>
      </w:pPr>
    </w:p>
    <w:p w14:paraId="7B58BF9E">
      <w:pPr>
        <w:pStyle w:val="10"/>
        <w:ind w:left="0" w:leftChars="0" w:firstLine="0" w:firstLineChars="0"/>
        <w:jc w:val="both"/>
        <w:rPr>
          <w:rFonts w:hint="eastAsia" w:ascii="宋体" w:hAnsi="宋体" w:eastAsia="宋体" w:cs="宋体"/>
          <w:color w:val="auto"/>
          <w:sz w:val="24"/>
          <w:szCs w:val="24"/>
          <w:highlight w:val="none"/>
          <w:lang w:val="en-US" w:eastAsia="zh-CN"/>
        </w:rPr>
      </w:pPr>
    </w:p>
    <w:tbl>
      <w:tblPr>
        <w:tblStyle w:val="23"/>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58"/>
        <w:gridCol w:w="2116"/>
        <w:gridCol w:w="1284"/>
        <w:gridCol w:w="1866"/>
        <w:gridCol w:w="1950"/>
        <w:gridCol w:w="3400"/>
      </w:tblGrid>
      <w:tr w14:paraId="49AEA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58" w:type="dxa"/>
            <w:tcBorders>
              <w:top w:val="nil"/>
              <w:left w:val="nil"/>
              <w:bottom w:val="nil"/>
              <w:right w:val="nil"/>
            </w:tcBorders>
            <w:noWrap/>
            <w:vAlign w:val="center"/>
          </w:tcPr>
          <w:p w14:paraId="0BBA4110">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b/>
                <w:bCs/>
                <w:i w:val="0"/>
                <w:iCs w:val="0"/>
                <w:color w:val="000000"/>
                <w:kern w:val="0"/>
                <w:sz w:val="24"/>
                <w:szCs w:val="24"/>
                <w:u w:val="none"/>
                <w:lang w:val="en-US" w:eastAsia="zh-CN"/>
              </w:rPr>
              <w:t>附件2：</w:t>
            </w:r>
          </w:p>
        </w:tc>
        <w:tc>
          <w:tcPr>
            <w:tcW w:w="2116" w:type="dxa"/>
            <w:tcBorders>
              <w:top w:val="nil"/>
              <w:left w:val="nil"/>
              <w:bottom w:val="nil"/>
              <w:right w:val="nil"/>
            </w:tcBorders>
            <w:noWrap/>
            <w:vAlign w:val="center"/>
          </w:tcPr>
          <w:p w14:paraId="157A8AAF">
            <w:pPr>
              <w:rPr>
                <w:rFonts w:hint="eastAsia" w:ascii="宋体" w:hAnsi="宋体" w:eastAsia="宋体" w:cs="宋体"/>
                <w:i w:val="0"/>
                <w:iCs w:val="0"/>
                <w:color w:val="000000"/>
                <w:sz w:val="22"/>
                <w:szCs w:val="22"/>
                <w:u w:val="none"/>
              </w:rPr>
            </w:pPr>
          </w:p>
        </w:tc>
        <w:tc>
          <w:tcPr>
            <w:tcW w:w="1284" w:type="dxa"/>
            <w:tcBorders>
              <w:top w:val="nil"/>
              <w:left w:val="nil"/>
              <w:bottom w:val="nil"/>
              <w:right w:val="nil"/>
            </w:tcBorders>
            <w:noWrap/>
            <w:vAlign w:val="center"/>
          </w:tcPr>
          <w:p w14:paraId="7397AD9F">
            <w:pPr>
              <w:rPr>
                <w:rFonts w:hint="eastAsia" w:ascii="宋体" w:hAnsi="宋体" w:eastAsia="宋体" w:cs="宋体"/>
                <w:i w:val="0"/>
                <w:iCs w:val="0"/>
                <w:color w:val="000000"/>
                <w:sz w:val="22"/>
                <w:szCs w:val="22"/>
                <w:u w:val="none"/>
              </w:rPr>
            </w:pPr>
          </w:p>
        </w:tc>
        <w:tc>
          <w:tcPr>
            <w:tcW w:w="1866" w:type="dxa"/>
            <w:tcBorders>
              <w:top w:val="nil"/>
              <w:left w:val="nil"/>
              <w:bottom w:val="nil"/>
              <w:right w:val="nil"/>
            </w:tcBorders>
            <w:noWrap/>
            <w:vAlign w:val="center"/>
          </w:tcPr>
          <w:p w14:paraId="0267FA71">
            <w:pPr>
              <w:rPr>
                <w:rFonts w:hint="eastAsia" w:ascii="宋体" w:hAnsi="宋体" w:eastAsia="宋体" w:cs="宋体"/>
                <w:i w:val="0"/>
                <w:iCs w:val="0"/>
                <w:color w:val="000000"/>
                <w:sz w:val="22"/>
                <w:szCs w:val="22"/>
                <w:u w:val="none"/>
              </w:rPr>
            </w:pPr>
          </w:p>
        </w:tc>
        <w:tc>
          <w:tcPr>
            <w:tcW w:w="1950" w:type="dxa"/>
            <w:tcBorders>
              <w:top w:val="nil"/>
              <w:left w:val="nil"/>
              <w:bottom w:val="nil"/>
              <w:right w:val="nil"/>
            </w:tcBorders>
            <w:noWrap/>
            <w:vAlign w:val="center"/>
          </w:tcPr>
          <w:p w14:paraId="07121DDE">
            <w:pPr>
              <w:rPr>
                <w:rFonts w:hint="eastAsia" w:ascii="宋体" w:hAnsi="宋体" w:eastAsia="宋体" w:cs="宋体"/>
                <w:i w:val="0"/>
                <w:iCs w:val="0"/>
                <w:color w:val="000000"/>
                <w:sz w:val="22"/>
                <w:szCs w:val="22"/>
                <w:u w:val="none"/>
              </w:rPr>
            </w:pPr>
          </w:p>
        </w:tc>
        <w:tc>
          <w:tcPr>
            <w:tcW w:w="3400" w:type="dxa"/>
            <w:tcBorders>
              <w:top w:val="nil"/>
              <w:left w:val="nil"/>
              <w:bottom w:val="nil"/>
              <w:right w:val="nil"/>
            </w:tcBorders>
            <w:noWrap/>
            <w:vAlign w:val="center"/>
          </w:tcPr>
          <w:p w14:paraId="6A06EB64">
            <w:pPr>
              <w:rPr>
                <w:rFonts w:hint="eastAsia" w:ascii="宋体" w:hAnsi="宋体" w:eastAsia="宋体" w:cs="宋体"/>
                <w:i w:val="0"/>
                <w:iCs w:val="0"/>
                <w:color w:val="000000"/>
                <w:sz w:val="22"/>
                <w:szCs w:val="22"/>
                <w:u w:val="none"/>
              </w:rPr>
            </w:pPr>
          </w:p>
        </w:tc>
      </w:tr>
      <w:tr w14:paraId="08211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0" w:hRule="atLeast"/>
        </w:trPr>
        <w:tc>
          <w:tcPr>
            <w:tcW w:w="13174" w:type="dxa"/>
            <w:gridSpan w:val="6"/>
            <w:tcBorders>
              <w:top w:val="nil"/>
              <w:left w:val="nil"/>
              <w:bottom w:val="nil"/>
              <w:right w:val="nil"/>
            </w:tcBorders>
            <w:noWrap w:val="0"/>
            <w:vAlign w:val="center"/>
          </w:tcPr>
          <w:p w14:paraId="168B3D37">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rPr>
            </w:pPr>
            <w:r>
              <w:rPr>
                <w:rFonts w:hint="eastAsia" w:ascii="宋体" w:hAnsi="宋体" w:eastAsia="宋体" w:cs="宋体"/>
                <w:b/>
                <w:bCs/>
                <w:i w:val="0"/>
                <w:iCs w:val="0"/>
                <w:color w:val="000000"/>
                <w:kern w:val="0"/>
                <w:sz w:val="24"/>
                <w:szCs w:val="24"/>
                <w:u w:val="none"/>
                <w:lang w:val="en-US" w:eastAsia="zh-CN"/>
              </w:rPr>
              <w:t>专项资金-和地财教【2023】73号：2024年新疆西藏等地区教育特殊补助资金-学前三年免费保障经费-</w:t>
            </w:r>
          </w:p>
          <w:p w14:paraId="5499E82E">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24"/>
                <w:szCs w:val="24"/>
                <w:u w:val="none"/>
                <w:lang w:val="en-US" w:eastAsia="zh-CN"/>
              </w:rPr>
              <w:t>公用经费-洛财教【2024】22号综合得分表</w:t>
            </w:r>
          </w:p>
        </w:tc>
      </w:tr>
      <w:tr w14:paraId="7FB5C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558" w:type="dxa"/>
            <w:tcBorders>
              <w:top w:val="single" w:color="auto" w:sz="4" w:space="0"/>
              <w:left w:val="single" w:color="auto" w:sz="4" w:space="0"/>
              <w:bottom w:val="single" w:color="auto" w:sz="4" w:space="0"/>
              <w:right w:val="single" w:color="auto" w:sz="4" w:space="0"/>
            </w:tcBorders>
            <w:noWrap w:val="0"/>
            <w:vAlign w:val="center"/>
          </w:tcPr>
          <w:p w14:paraId="08AF4DF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指标</w:t>
            </w:r>
          </w:p>
        </w:tc>
        <w:tc>
          <w:tcPr>
            <w:tcW w:w="2116" w:type="dxa"/>
            <w:tcBorders>
              <w:top w:val="single" w:color="auto" w:sz="4" w:space="0"/>
              <w:left w:val="single" w:color="auto" w:sz="4" w:space="0"/>
              <w:bottom w:val="single" w:color="auto" w:sz="4" w:space="0"/>
              <w:right w:val="single" w:color="auto" w:sz="4" w:space="0"/>
            </w:tcBorders>
            <w:noWrap w:val="0"/>
            <w:vAlign w:val="center"/>
          </w:tcPr>
          <w:p w14:paraId="77F7800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项目决策</w:t>
            </w:r>
          </w:p>
        </w:tc>
        <w:tc>
          <w:tcPr>
            <w:tcW w:w="1284" w:type="dxa"/>
            <w:tcBorders>
              <w:top w:val="single" w:color="auto" w:sz="4" w:space="0"/>
              <w:left w:val="single" w:color="auto" w:sz="4" w:space="0"/>
              <w:bottom w:val="single" w:color="auto" w:sz="4" w:space="0"/>
              <w:right w:val="single" w:color="auto" w:sz="4" w:space="0"/>
            </w:tcBorders>
            <w:noWrap w:val="0"/>
            <w:vAlign w:val="center"/>
          </w:tcPr>
          <w:p w14:paraId="2EC3E16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项目过程</w:t>
            </w:r>
          </w:p>
        </w:tc>
        <w:tc>
          <w:tcPr>
            <w:tcW w:w="1866" w:type="dxa"/>
            <w:tcBorders>
              <w:top w:val="single" w:color="auto" w:sz="4" w:space="0"/>
              <w:left w:val="single" w:color="auto" w:sz="4" w:space="0"/>
              <w:bottom w:val="single" w:color="auto" w:sz="4" w:space="0"/>
              <w:right w:val="single" w:color="auto" w:sz="4" w:space="0"/>
            </w:tcBorders>
            <w:noWrap w:val="0"/>
            <w:vAlign w:val="center"/>
          </w:tcPr>
          <w:p w14:paraId="31B4275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项目产出</w:t>
            </w:r>
          </w:p>
        </w:tc>
        <w:tc>
          <w:tcPr>
            <w:tcW w:w="1950" w:type="dxa"/>
            <w:tcBorders>
              <w:top w:val="single" w:color="auto" w:sz="4" w:space="0"/>
              <w:left w:val="single" w:color="auto" w:sz="4" w:space="0"/>
              <w:bottom w:val="single" w:color="auto" w:sz="4" w:space="0"/>
              <w:right w:val="single" w:color="auto" w:sz="4" w:space="0"/>
            </w:tcBorders>
            <w:noWrap w:val="0"/>
            <w:vAlign w:val="center"/>
          </w:tcPr>
          <w:p w14:paraId="69A9E2F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项目效益</w:t>
            </w:r>
          </w:p>
        </w:tc>
        <w:tc>
          <w:tcPr>
            <w:tcW w:w="3400" w:type="dxa"/>
            <w:tcBorders>
              <w:top w:val="single" w:color="auto" w:sz="4" w:space="0"/>
              <w:left w:val="single" w:color="auto" w:sz="4" w:space="0"/>
              <w:bottom w:val="single" w:color="auto" w:sz="4" w:space="0"/>
              <w:right w:val="single" w:color="auto" w:sz="4" w:space="0"/>
            </w:tcBorders>
            <w:noWrap w:val="0"/>
            <w:vAlign w:val="center"/>
          </w:tcPr>
          <w:p w14:paraId="71491BB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合计</w:t>
            </w:r>
          </w:p>
        </w:tc>
      </w:tr>
      <w:tr w14:paraId="38F13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558" w:type="dxa"/>
            <w:tcBorders>
              <w:top w:val="single" w:color="auto" w:sz="4" w:space="0"/>
              <w:left w:val="single" w:color="auto" w:sz="4" w:space="0"/>
              <w:bottom w:val="single" w:color="auto" w:sz="4" w:space="0"/>
              <w:right w:val="single" w:color="auto" w:sz="4" w:space="0"/>
            </w:tcBorders>
            <w:noWrap w:val="0"/>
            <w:vAlign w:val="center"/>
          </w:tcPr>
          <w:p w14:paraId="5A26DEB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权重</w:t>
            </w:r>
          </w:p>
        </w:tc>
        <w:tc>
          <w:tcPr>
            <w:tcW w:w="2116" w:type="dxa"/>
            <w:tcBorders>
              <w:top w:val="single" w:color="auto" w:sz="4" w:space="0"/>
              <w:left w:val="single" w:color="auto" w:sz="4" w:space="0"/>
              <w:bottom w:val="single" w:color="auto" w:sz="4" w:space="0"/>
              <w:right w:val="single" w:color="auto" w:sz="4" w:space="0"/>
            </w:tcBorders>
            <w:noWrap w:val="0"/>
            <w:vAlign w:val="center"/>
          </w:tcPr>
          <w:p w14:paraId="625FDA8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 xml:space="preserve">23.00 </w:t>
            </w:r>
          </w:p>
        </w:tc>
        <w:tc>
          <w:tcPr>
            <w:tcW w:w="1284" w:type="dxa"/>
            <w:tcBorders>
              <w:top w:val="single" w:color="auto" w:sz="4" w:space="0"/>
              <w:left w:val="single" w:color="auto" w:sz="4" w:space="0"/>
              <w:bottom w:val="single" w:color="auto" w:sz="4" w:space="0"/>
              <w:right w:val="single" w:color="auto" w:sz="4" w:space="0"/>
            </w:tcBorders>
            <w:noWrap w:val="0"/>
            <w:vAlign w:val="center"/>
          </w:tcPr>
          <w:p w14:paraId="7512667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 xml:space="preserve">12.00 </w:t>
            </w:r>
          </w:p>
        </w:tc>
        <w:tc>
          <w:tcPr>
            <w:tcW w:w="1866" w:type="dxa"/>
            <w:tcBorders>
              <w:top w:val="single" w:color="auto" w:sz="4" w:space="0"/>
              <w:left w:val="single" w:color="auto" w:sz="4" w:space="0"/>
              <w:bottom w:val="single" w:color="auto" w:sz="4" w:space="0"/>
              <w:right w:val="single" w:color="auto" w:sz="4" w:space="0"/>
            </w:tcBorders>
            <w:noWrap w:val="0"/>
            <w:vAlign w:val="center"/>
          </w:tcPr>
          <w:p w14:paraId="557180B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 xml:space="preserve">40.00 </w:t>
            </w:r>
          </w:p>
        </w:tc>
        <w:tc>
          <w:tcPr>
            <w:tcW w:w="1950" w:type="dxa"/>
            <w:tcBorders>
              <w:top w:val="single" w:color="auto" w:sz="4" w:space="0"/>
              <w:left w:val="single" w:color="auto" w:sz="4" w:space="0"/>
              <w:bottom w:val="single" w:color="auto" w:sz="4" w:space="0"/>
              <w:right w:val="single" w:color="auto" w:sz="4" w:space="0"/>
            </w:tcBorders>
            <w:noWrap w:val="0"/>
            <w:vAlign w:val="center"/>
          </w:tcPr>
          <w:p w14:paraId="0957256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 xml:space="preserve">25.00 </w:t>
            </w:r>
          </w:p>
        </w:tc>
        <w:tc>
          <w:tcPr>
            <w:tcW w:w="3400" w:type="dxa"/>
            <w:tcBorders>
              <w:top w:val="single" w:color="auto" w:sz="4" w:space="0"/>
              <w:left w:val="single" w:color="auto" w:sz="4" w:space="0"/>
              <w:bottom w:val="single" w:color="auto" w:sz="4" w:space="0"/>
              <w:right w:val="single" w:color="auto" w:sz="4" w:space="0"/>
            </w:tcBorders>
            <w:noWrap w:val="0"/>
            <w:vAlign w:val="center"/>
          </w:tcPr>
          <w:p w14:paraId="55BD529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 xml:space="preserve">100.00 </w:t>
            </w:r>
          </w:p>
        </w:tc>
      </w:tr>
      <w:tr w14:paraId="6A5A4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558" w:type="dxa"/>
            <w:tcBorders>
              <w:top w:val="single" w:color="auto" w:sz="4" w:space="0"/>
              <w:left w:val="single" w:color="auto" w:sz="4" w:space="0"/>
              <w:bottom w:val="single" w:color="auto" w:sz="4" w:space="0"/>
              <w:right w:val="single" w:color="auto" w:sz="4" w:space="0"/>
            </w:tcBorders>
            <w:noWrap w:val="0"/>
            <w:vAlign w:val="center"/>
          </w:tcPr>
          <w:p w14:paraId="5294575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得分</w:t>
            </w:r>
          </w:p>
        </w:tc>
        <w:tc>
          <w:tcPr>
            <w:tcW w:w="2116" w:type="dxa"/>
            <w:tcBorders>
              <w:top w:val="single" w:color="auto" w:sz="4" w:space="0"/>
              <w:left w:val="single" w:color="auto" w:sz="4" w:space="0"/>
              <w:bottom w:val="single" w:color="auto" w:sz="4" w:space="0"/>
              <w:right w:val="single" w:color="auto" w:sz="4" w:space="0"/>
            </w:tcBorders>
            <w:noWrap w:val="0"/>
            <w:vAlign w:val="center"/>
          </w:tcPr>
          <w:p w14:paraId="6981164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 xml:space="preserve">23.00 </w:t>
            </w:r>
          </w:p>
        </w:tc>
        <w:tc>
          <w:tcPr>
            <w:tcW w:w="1284" w:type="dxa"/>
            <w:tcBorders>
              <w:top w:val="single" w:color="auto" w:sz="4" w:space="0"/>
              <w:left w:val="single" w:color="auto" w:sz="4" w:space="0"/>
              <w:bottom w:val="single" w:color="auto" w:sz="4" w:space="0"/>
              <w:right w:val="single" w:color="auto" w:sz="4" w:space="0"/>
            </w:tcBorders>
            <w:noWrap w:val="0"/>
            <w:vAlign w:val="center"/>
          </w:tcPr>
          <w:p w14:paraId="43B9D46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11.84</w:t>
            </w:r>
          </w:p>
        </w:tc>
        <w:tc>
          <w:tcPr>
            <w:tcW w:w="1866" w:type="dxa"/>
            <w:tcBorders>
              <w:top w:val="single" w:color="auto" w:sz="4" w:space="0"/>
              <w:left w:val="single" w:color="auto" w:sz="4" w:space="0"/>
              <w:bottom w:val="single" w:color="auto" w:sz="4" w:space="0"/>
              <w:right w:val="single" w:color="auto" w:sz="4" w:space="0"/>
            </w:tcBorders>
            <w:noWrap w:val="0"/>
            <w:vAlign w:val="center"/>
          </w:tcPr>
          <w:p w14:paraId="2529322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 xml:space="preserve">40.00 </w:t>
            </w:r>
          </w:p>
        </w:tc>
        <w:tc>
          <w:tcPr>
            <w:tcW w:w="1950" w:type="dxa"/>
            <w:tcBorders>
              <w:top w:val="single" w:color="auto" w:sz="4" w:space="0"/>
              <w:left w:val="single" w:color="auto" w:sz="4" w:space="0"/>
              <w:bottom w:val="single" w:color="auto" w:sz="4" w:space="0"/>
              <w:right w:val="single" w:color="auto" w:sz="4" w:space="0"/>
            </w:tcBorders>
            <w:noWrap w:val="0"/>
            <w:vAlign w:val="center"/>
          </w:tcPr>
          <w:p w14:paraId="5A054AC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 xml:space="preserve">25.00 </w:t>
            </w:r>
          </w:p>
        </w:tc>
        <w:tc>
          <w:tcPr>
            <w:tcW w:w="3400" w:type="dxa"/>
            <w:tcBorders>
              <w:top w:val="single" w:color="auto" w:sz="4" w:space="0"/>
              <w:left w:val="single" w:color="auto" w:sz="4" w:space="0"/>
              <w:bottom w:val="single" w:color="auto" w:sz="4" w:space="0"/>
              <w:right w:val="single" w:color="auto" w:sz="4" w:space="0"/>
            </w:tcBorders>
            <w:noWrap w:val="0"/>
            <w:vAlign w:val="center"/>
          </w:tcPr>
          <w:p w14:paraId="6706B04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99.84</w:t>
            </w:r>
          </w:p>
        </w:tc>
      </w:tr>
      <w:tr w14:paraId="75C24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558" w:type="dxa"/>
            <w:tcBorders>
              <w:top w:val="single" w:color="auto" w:sz="4" w:space="0"/>
              <w:left w:val="single" w:color="auto" w:sz="4" w:space="0"/>
              <w:bottom w:val="single" w:color="auto" w:sz="4" w:space="0"/>
              <w:right w:val="single" w:color="auto" w:sz="4" w:space="0"/>
            </w:tcBorders>
            <w:noWrap w:val="0"/>
            <w:vAlign w:val="center"/>
          </w:tcPr>
          <w:p w14:paraId="507F7DF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得分率</w:t>
            </w:r>
          </w:p>
        </w:tc>
        <w:tc>
          <w:tcPr>
            <w:tcW w:w="2116" w:type="dxa"/>
            <w:tcBorders>
              <w:top w:val="single" w:color="auto" w:sz="4" w:space="0"/>
              <w:left w:val="single" w:color="auto" w:sz="4" w:space="0"/>
              <w:bottom w:val="single" w:color="auto" w:sz="4" w:space="0"/>
              <w:right w:val="single" w:color="auto" w:sz="4" w:space="0"/>
            </w:tcBorders>
            <w:noWrap w:val="0"/>
            <w:vAlign w:val="center"/>
          </w:tcPr>
          <w:p w14:paraId="011FE98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1284" w:type="dxa"/>
            <w:tcBorders>
              <w:top w:val="single" w:color="auto" w:sz="4" w:space="0"/>
              <w:left w:val="single" w:color="auto" w:sz="4" w:space="0"/>
              <w:bottom w:val="single" w:color="auto" w:sz="4" w:space="0"/>
              <w:right w:val="single" w:color="auto" w:sz="4" w:space="0"/>
            </w:tcBorders>
            <w:noWrap w:val="0"/>
            <w:vAlign w:val="center"/>
          </w:tcPr>
          <w:p w14:paraId="6CB7338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98.67%</w:t>
            </w:r>
          </w:p>
        </w:tc>
        <w:tc>
          <w:tcPr>
            <w:tcW w:w="1866" w:type="dxa"/>
            <w:tcBorders>
              <w:top w:val="single" w:color="auto" w:sz="4" w:space="0"/>
              <w:left w:val="single" w:color="auto" w:sz="4" w:space="0"/>
              <w:bottom w:val="single" w:color="auto" w:sz="4" w:space="0"/>
              <w:right w:val="single" w:color="auto" w:sz="4" w:space="0"/>
            </w:tcBorders>
            <w:noWrap w:val="0"/>
            <w:vAlign w:val="center"/>
          </w:tcPr>
          <w:p w14:paraId="463F841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1950" w:type="dxa"/>
            <w:tcBorders>
              <w:top w:val="single" w:color="auto" w:sz="4" w:space="0"/>
              <w:left w:val="single" w:color="auto" w:sz="4" w:space="0"/>
              <w:bottom w:val="single" w:color="auto" w:sz="4" w:space="0"/>
              <w:right w:val="single" w:color="auto" w:sz="4" w:space="0"/>
            </w:tcBorders>
            <w:noWrap w:val="0"/>
            <w:vAlign w:val="center"/>
          </w:tcPr>
          <w:p w14:paraId="4CC4BA0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3400" w:type="dxa"/>
            <w:tcBorders>
              <w:top w:val="single" w:color="auto" w:sz="4" w:space="0"/>
              <w:left w:val="single" w:color="auto" w:sz="4" w:space="0"/>
              <w:bottom w:val="single" w:color="auto" w:sz="4" w:space="0"/>
              <w:right w:val="single" w:color="auto" w:sz="4" w:space="0"/>
            </w:tcBorders>
            <w:noWrap w:val="0"/>
            <w:vAlign w:val="center"/>
          </w:tcPr>
          <w:p w14:paraId="172171D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99.84%</w:t>
            </w:r>
          </w:p>
        </w:tc>
      </w:tr>
    </w:tbl>
    <w:p w14:paraId="11998577">
      <w:pPr>
        <w:pStyle w:val="10"/>
        <w:ind w:left="0" w:leftChars="0" w:firstLine="0" w:firstLineChars="0"/>
        <w:jc w:val="both"/>
        <w:rPr>
          <w:rFonts w:hint="default" w:ascii="宋体" w:hAnsi="宋体" w:eastAsia="宋体" w:cs="宋体"/>
          <w:color w:val="auto"/>
          <w:sz w:val="24"/>
          <w:szCs w:val="24"/>
          <w:highlight w:val="none"/>
          <w:lang w:val="en-US" w:eastAsia="zh-CN"/>
        </w:rPr>
      </w:pPr>
    </w:p>
    <w:p w14:paraId="59773262">
      <w:pPr>
        <w:pStyle w:val="10"/>
        <w:ind w:left="0" w:leftChars="0" w:firstLine="0" w:firstLineChars="0"/>
        <w:jc w:val="both"/>
        <w:rPr>
          <w:rFonts w:hint="eastAsia" w:ascii="宋体" w:hAnsi="宋体" w:eastAsia="宋体" w:cs="宋体"/>
          <w:color w:val="auto"/>
          <w:sz w:val="24"/>
          <w:szCs w:val="24"/>
          <w:highlight w:val="none"/>
          <w:lang w:eastAsia="zh-CN"/>
        </w:rPr>
        <w:sectPr>
          <w:pgSz w:w="16838" w:h="11906" w:orient="landscape"/>
          <w:pgMar w:top="1531" w:right="1985" w:bottom="1531" w:left="1701" w:header="851" w:footer="992" w:gutter="0"/>
          <w:pgNumType w:start="1"/>
          <w:cols w:space="720" w:num="1"/>
          <w:docGrid w:type="linesAndChars" w:linePitch="386" w:charSpace="0"/>
        </w:sectPr>
      </w:pPr>
    </w:p>
    <w:p w14:paraId="064A6564">
      <w:pPr>
        <w:keepNext w:val="0"/>
        <w:keepLines w:val="0"/>
        <w:widowControl/>
        <w:suppressLineNumbers w:val="0"/>
        <w:ind w:left="0" w:leftChars="0" w:firstLine="0" w:firstLineChars="0"/>
        <w:jc w:val="left"/>
        <w:textAlignment w:val="center"/>
        <w:rPr>
          <w:rFonts w:hint="default" w:ascii="宋体" w:hAnsi="宋体" w:eastAsia="宋体" w:cs="宋体"/>
          <w:b/>
          <w:bCs/>
          <w:i w:val="0"/>
          <w:iCs w:val="0"/>
          <w:color w:val="000000"/>
          <w:kern w:val="0"/>
          <w:sz w:val="24"/>
          <w:szCs w:val="24"/>
          <w:u w:val="none"/>
          <w:lang w:val="en-US" w:eastAsia="zh-CN"/>
        </w:rPr>
      </w:pPr>
      <w:r>
        <w:rPr>
          <w:rFonts w:hint="eastAsia" w:ascii="宋体" w:hAnsi="宋体" w:eastAsia="宋体" w:cs="宋体"/>
          <w:b/>
          <w:bCs/>
          <w:i w:val="0"/>
          <w:iCs w:val="0"/>
          <w:color w:val="000000"/>
          <w:kern w:val="0"/>
          <w:sz w:val="24"/>
          <w:szCs w:val="24"/>
          <w:u w:val="none"/>
          <w:lang w:val="en-US" w:eastAsia="zh-CN"/>
        </w:rPr>
        <w:t>附件3：</w:t>
      </w:r>
    </w:p>
    <w:p w14:paraId="399E02E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洛浦县北京幼儿园2024年度部门整体评价</w:t>
      </w:r>
    </w:p>
    <w:p w14:paraId="01721A0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default" w:ascii="宋体" w:hAnsi="宋体" w:eastAsia="宋体" w:cs="宋体"/>
          <w:color w:val="auto"/>
          <w:sz w:val="36"/>
          <w:szCs w:val="36"/>
          <w:highlight w:val="none"/>
          <w:lang w:val="en-US"/>
        </w:rPr>
      </w:pPr>
      <w:r>
        <w:rPr>
          <w:rFonts w:hint="eastAsia" w:ascii="宋体" w:hAnsi="宋体" w:eastAsia="宋体" w:cs="宋体"/>
          <w:b/>
          <w:bCs/>
          <w:color w:val="auto"/>
          <w:sz w:val="36"/>
          <w:szCs w:val="36"/>
          <w:highlight w:val="none"/>
          <w:lang w:val="en-US" w:eastAsia="zh-CN"/>
        </w:rPr>
        <w:t>调研问卷汇总</w:t>
      </w:r>
    </w:p>
    <w:p w14:paraId="3B93025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bCs/>
          <w:color w:val="auto"/>
          <w:sz w:val="28"/>
          <w:szCs w:val="28"/>
          <w:highlight w:val="none"/>
        </w:rPr>
      </w:pPr>
    </w:p>
    <w:p w14:paraId="2104EA3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color w:val="auto"/>
          <w:sz w:val="24"/>
          <w:szCs w:val="24"/>
          <w:highlight w:val="none"/>
          <w:lang w:val="en-US" w:eastAsia="zh-CN"/>
        </w:rPr>
      </w:pPr>
      <w:r>
        <w:pict>
          <v:shape id="_x0000_i1025" o:spt="75" type="#_x0000_t75" style="height:453pt;width:389.25pt;" filled="f" o:preferrelative="t" stroked="f" coordsize="21600,21600">
            <v:path/>
            <v:fill on="f" focussize="0,0"/>
            <v:stroke on="f" joinstyle="miter"/>
            <v:imagedata r:id="rId8" o:title=""/>
            <o:lock v:ext="edit" aspectratio="t"/>
            <w10:wrap type="none"/>
            <w10:anchorlock/>
          </v:shape>
        </w:pict>
      </w:r>
    </w:p>
    <w:p w14:paraId="1DB2293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p>
    <w:p w14:paraId="2A2ABB43">
      <w:pPr>
        <w:pStyle w:val="10"/>
        <w:rPr>
          <w:rFonts w:hint="eastAsia" w:ascii="宋体" w:hAnsi="宋体" w:eastAsia="宋体" w:cs="宋体"/>
          <w:color w:val="auto"/>
          <w:sz w:val="24"/>
          <w:szCs w:val="24"/>
          <w:highlight w:val="none"/>
          <w:lang w:eastAsia="zh-C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DDE47">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57187">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1"/>
      <w:numFmt w:val="decimal"/>
      <w:suff w:val="nothing"/>
      <w:lvlText w:val="（%1）"/>
      <w:lvlJc w:val="left"/>
    </w:lvl>
  </w:abstractNum>
  <w:abstractNum w:abstractNumId="1">
    <w:nsid w:val="CF092B84"/>
    <w:multiLevelType w:val="singleLevel"/>
    <w:tmpl w:val="CF092B84"/>
    <w:lvl w:ilvl="0" w:tentative="0">
      <w:start w:val="1"/>
      <w:numFmt w:val="decimal"/>
      <w:suff w:val="nothing"/>
      <w:lvlText w:val="%1）"/>
      <w:lvlJc w:val="left"/>
      <w:pPr>
        <w:ind w:left="80"/>
      </w:pPr>
    </w:lvl>
  </w:abstractNum>
  <w:abstractNum w:abstractNumId="2">
    <w:nsid w:val="0053208E"/>
    <w:multiLevelType w:val="singleLevel"/>
    <w:tmpl w:val="0053208E"/>
    <w:lvl w:ilvl="0" w:tentative="0">
      <w:start w:val="1"/>
      <w:numFmt w:val="decimal"/>
      <w:suff w:val="nothing"/>
      <w:lvlText w:val="（%1）"/>
      <w:lvlJc w:val="left"/>
    </w:lvl>
  </w:abstractNum>
  <w:abstractNum w:abstractNumId="3">
    <w:nsid w:val="59ADCABA"/>
    <w:multiLevelType w:val="singleLevel"/>
    <w:tmpl w:val="59ADCABA"/>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417907DB"/>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3">
    <w:name w:val="heading 1"/>
    <w:basedOn w:val="1"/>
    <w:next w:val="4"/>
    <w:link w:val="31"/>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1"/>
    <w:link w:val="34"/>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link w:val="30"/>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4">
    <w:name w:val="Body Text First Indent 2"/>
    <w:basedOn w:val="5"/>
    <w:link w:val="33"/>
    <w:unhideWhenUsed/>
    <w:uiPriority w:val="0"/>
    <w:pPr>
      <w:ind w:firstLine="420"/>
    </w:pPr>
  </w:style>
  <w:style w:type="paragraph" w:styleId="5">
    <w:name w:val="Body Text Indent"/>
    <w:basedOn w:val="1"/>
    <w:link w:val="32"/>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uiPriority w:val="99"/>
    <w:rPr>
      <w:sz w:val="16"/>
      <w:szCs w:val="16"/>
    </w:rPr>
  </w:style>
  <w:style w:type="character" w:customStyle="1" w:styleId="30">
    <w:name w:val="标题 3 Char"/>
    <w:link w:val="2"/>
    <w:uiPriority w:val="9"/>
    <w:rPr>
      <w:rFonts w:ascii="Calibri" w:hAnsi="Calibri" w:eastAsia="仿宋_GB2312" w:cs="黑体"/>
      <w:bCs/>
      <w:sz w:val="28"/>
      <w:szCs w:val="32"/>
    </w:rPr>
  </w:style>
  <w:style w:type="character" w:customStyle="1" w:styleId="31">
    <w:name w:val="标题 1 Char"/>
    <w:link w:val="3"/>
    <w:uiPriority w:val="9"/>
    <w:rPr>
      <w:rFonts w:ascii="Times New Roman" w:hAnsi="Times New Roman" w:eastAsia="仿宋_GB2312" w:cs="Times New Roman"/>
      <w:b/>
      <w:bCs/>
      <w:kern w:val="44"/>
      <w:sz w:val="32"/>
      <w:szCs w:val="44"/>
    </w:rPr>
  </w:style>
  <w:style w:type="character" w:customStyle="1" w:styleId="32">
    <w:name w:val="正文文本缩进 Char"/>
    <w:link w:val="5"/>
    <w:semiHidden/>
    <w:uiPriority w:val="99"/>
    <w:rPr>
      <w:rFonts w:ascii="Calibri" w:hAnsi="Calibri" w:eastAsia="仿宋_GB2312" w:cs="黑体"/>
      <w:sz w:val="28"/>
    </w:rPr>
  </w:style>
  <w:style w:type="character" w:customStyle="1" w:styleId="33">
    <w:name w:val="正文首行缩进 2 Char"/>
    <w:link w:val="4"/>
    <w:uiPriority w:val="0"/>
    <w:rPr>
      <w:rFonts w:ascii="Calibri" w:hAnsi="Calibri" w:eastAsia="仿宋_GB2312" w:cs="黑体"/>
      <w:sz w:val="28"/>
    </w:rPr>
  </w:style>
  <w:style w:type="character" w:customStyle="1" w:styleId="34">
    <w:name w:val="标题 2 Char"/>
    <w:link w:val="6"/>
    <w:uiPriority w:val="0"/>
    <w:rPr>
      <w:rFonts w:ascii="Cambria" w:hAnsi="Cambria" w:eastAsia="仿宋_GB2312" w:cs="Times New Roman"/>
      <w:b/>
      <w:bCs/>
      <w:kern w:val="0"/>
      <w:sz w:val="30"/>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font11"/>
    <w:uiPriority w:val="0"/>
    <w:rPr>
      <w:rFonts w:hint="eastAsia" w:ascii="方正仿宋_GBK" w:hAnsi="方正仿宋_GBK" w:eastAsia="方正仿宋_GBK" w:cs="方正仿宋_GBK"/>
      <w:color w:val="000000"/>
      <w:sz w:val="24"/>
      <w:szCs w:val="24"/>
      <w:u w:val="none"/>
    </w:rPr>
  </w:style>
  <w:style w:type="character" w:customStyle="1" w:styleId="44">
    <w:name w:val="无间隔 Char"/>
    <w:link w:val="45"/>
    <w:uiPriority w:val="1"/>
    <w:rPr>
      <w:rFonts w:eastAsia="仿宋_GB2312" w:cs="黑体"/>
      <w:kern w:val="2"/>
      <w:sz w:val="28"/>
      <w:szCs w:val="22"/>
      <w:lang w:val="en-US" w:eastAsia="zh-CN" w:bidi="ar-SA"/>
    </w:rPr>
  </w:style>
  <w:style w:type="paragraph" w:styleId="45">
    <w:name w:val="No Spacing"/>
    <w:link w:val="44"/>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character" w:customStyle="1" w:styleId="46">
    <w:name w:val="闻政-正文一级标题 Char"/>
    <w:link w:val="47"/>
    <w:uiPriority w:val="3"/>
    <w:rPr>
      <w:rFonts w:ascii="黑体" w:hAnsi="黑体" w:eastAsia="黑体"/>
      <w:bCs/>
      <w:sz w:val="32"/>
      <w:szCs w:val="32"/>
    </w:rPr>
  </w:style>
  <w:style w:type="paragraph" w:customStyle="1" w:styleId="47">
    <w:name w:val="闻政-正文一级标题"/>
    <w:basedOn w:val="2"/>
    <w:next w:val="48"/>
    <w:link w:val="46"/>
    <w:qFormat/>
    <w:uiPriority w:val="3"/>
    <w:pPr>
      <w:spacing w:before="120" w:after="60" w:line="500" w:lineRule="exact"/>
      <w:ind w:firstLine="0" w:firstLineChars="0"/>
      <w:outlineLvl w:val="0"/>
    </w:pPr>
    <w:rPr>
      <w:rFonts w:ascii="黑体" w:hAnsi="黑体" w:eastAsia="黑体"/>
      <w:sz w:val="32"/>
    </w:rPr>
  </w:style>
  <w:style w:type="paragraph" w:customStyle="1" w:styleId="48">
    <w:name w:val="闻政-正文段落文字"/>
    <w:basedOn w:val="1"/>
    <w:link w:val="49"/>
    <w:qFormat/>
    <w:uiPriority w:val="3"/>
    <w:pPr>
      <w:spacing w:line="500" w:lineRule="exact"/>
      <w:ind w:firstLine="200"/>
    </w:pPr>
    <w:rPr>
      <w:rFonts w:ascii="Times New Roman" w:hAnsi="Times New Roman" w:cs="Times New Roman"/>
      <w:kern w:val="0"/>
      <w:szCs w:val="28"/>
    </w:rPr>
  </w:style>
  <w:style w:type="character" w:customStyle="1" w:styleId="49">
    <w:name w:val="闻政-正文段落文字 Char"/>
    <w:link w:val="48"/>
    <w:uiPriority w:val="3"/>
    <w:rPr>
      <w:rFonts w:ascii="Times New Roman" w:hAnsi="Times New Roman" w:eastAsia="仿宋_GB2312"/>
      <w:sz w:val="28"/>
      <w:szCs w:val="28"/>
    </w:rPr>
  </w:style>
  <w:style w:type="character" w:customStyle="1" w:styleId="50">
    <w:name w:val="闻政-正文三级标题 Char"/>
    <w:link w:val="51"/>
    <w:uiPriority w:val="3"/>
    <w:rPr>
      <w:rFonts w:ascii="Times New Roman" w:hAnsi="Times New Roman" w:eastAsia="仿宋_GB2312"/>
      <w:b/>
      <w:snapToGrid w:val="0"/>
      <w:sz w:val="28"/>
      <w:szCs w:val="28"/>
    </w:rPr>
  </w:style>
  <w:style w:type="paragraph" w:customStyle="1" w:styleId="51">
    <w:name w:val="闻政-正文三级标题"/>
    <w:basedOn w:val="1"/>
    <w:next w:val="48"/>
    <w:link w:val="50"/>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2">
    <w:name w:val="52"/>
    <w:qFormat/>
    <w:uiPriority w:val="0"/>
    <w:rPr>
      <w:b/>
      <w:bCs/>
      <w:smallCaps/>
      <w:color w:val="C0504D"/>
      <w:spacing w:val="5"/>
      <w:u w:val="single"/>
    </w:rPr>
  </w:style>
  <w:style w:type="character" w:customStyle="1" w:styleId="53">
    <w:name w:val="font71"/>
    <w:basedOn w:val="25"/>
    <w:uiPriority w:val="0"/>
    <w:rPr>
      <w:rFonts w:hint="eastAsia" w:ascii="微软雅黑" w:hAnsi="微软雅黑" w:eastAsia="微软雅黑" w:cs="微软雅黑"/>
      <w:b/>
      <w:bCs/>
      <w:color w:val="000000"/>
      <w:sz w:val="32"/>
      <w:szCs w:val="32"/>
      <w:u w:val="none"/>
    </w:rPr>
  </w:style>
  <w:style w:type="character" w:customStyle="1" w:styleId="54">
    <w:name w:val="font21"/>
    <w:uiPriority w:val="0"/>
    <w:rPr>
      <w:rFonts w:hint="default" w:ascii="Times New Roman" w:hAnsi="Times New Roman" w:cs="Times New Roman"/>
      <w:color w:val="000000"/>
      <w:sz w:val="24"/>
      <w:szCs w:val="24"/>
      <w:u w:val="none"/>
    </w:rPr>
  </w:style>
  <w:style w:type="character" w:customStyle="1" w:styleId="55">
    <w:name w:val="闻政-正文二级标题 Char"/>
    <w:link w:val="56"/>
    <w:uiPriority w:val="3"/>
    <w:rPr>
      <w:rFonts w:ascii="Times New Roman" w:hAnsi="Times New Roman" w:eastAsia="仿宋_GB2312"/>
      <w:b/>
      <w:bCs/>
      <w:sz w:val="28"/>
      <w:szCs w:val="32"/>
    </w:rPr>
  </w:style>
  <w:style w:type="paragraph" w:customStyle="1" w:styleId="56">
    <w:name w:val="闻政-正文二级标题"/>
    <w:basedOn w:val="6"/>
    <w:next w:val="48"/>
    <w:link w:val="55"/>
    <w:qFormat/>
    <w:uiPriority w:val="3"/>
    <w:pPr>
      <w:spacing w:before="120" w:after="60" w:line="500" w:lineRule="exact"/>
      <w:ind w:left="200" w:leftChars="200" w:firstLine="0" w:firstLineChars="0"/>
    </w:pPr>
    <w:rPr>
      <w:rFonts w:ascii="Times New Roman" w:hAnsi="Times New Roman"/>
      <w:sz w:val="28"/>
    </w:r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paragraph" w:styleId="58">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0AD30C48ACB040ECB6A8D0A4397D3FE3_13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46c029e4-c52b-4654-891e-0252be683e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10787</Words>
  <Characters>11367</Characters>
  <Lines>44</Lines>
  <Paragraphs>12</Paragraphs>
  <TotalTime>17</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2025-10-10T10:35:15Z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0AD30C48ACB040ECB6A8D0A4397D3FE3_13</vt:lpwstr>
  </property>
  <property fmtid="{D5CDD505-2E9C-101B-9397-08002B2CF9AE}" pid="4" name="KSOTemplateDocerSaveRecord">
    <vt:lpwstr>eyJoZGlkIjoiZDE5MGZhMTJhZDM2OTQwYzkzYWVjM2FhZDUxN2Q0M2IiLCJ1c2VySWQiOiI2NTE5NDIwMjYifQ_x003D__x003D_</vt:lpwstr>
  </property>
</Properties>
</file>