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80AF8">
      <w:bookmarkStart w:id="18" w:name="_GoBack"/>
      <w:bookmarkEnd w:id="18"/>
    </w:p>
    <w:p w14:paraId="4DE27299">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35C70A0A">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和田地区洛浦县专项资金-和地财教【2023】73号：</w:t>
      </w:r>
    </w:p>
    <w:p w14:paraId="3230681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2024年新疆西藏等地区教育特殊补助资金-学前三年免费保障经费-公用经费-洛财教【2024】22号</w:t>
      </w:r>
    </w:p>
    <w:p w14:paraId="1C500E6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rPr>
      </w:pPr>
      <w:r>
        <w:rPr>
          <w:rFonts w:hint="eastAsia" w:ascii="黑体" w:hAnsi="黑体" w:eastAsia="黑体" w:cs="黑体"/>
          <w:b/>
          <w:sz w:val="36"/>
          <w:szCs w:val="36"/>
        </w:rPr>
        <w:t>项目支出绩效评价报告</w:t>
      </w:r>
    </w:p>
    <w:p w14:paraId="619CF6B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kern w:val="2"/>
          <w:sz w:val="36"/>
          <w:szCs w:val="36"/>
          <w:lang w:val="en-US" w:eastAsia="zh-CN" w:bidi="ar-SA"/>
        </w:rPr>
      </w:pPr>
    </w:p>
    <w:p w14:paraId="4996F81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kern w:val="2"/>
          <w:sz w:val="36"/>
          <w:szCs w:val="36"/>
          <w:lang w:val="en-US" w:eastAsia="zh-CN" w:bidi="ar-SA"/>
        </w:rPr>
      </w:pPr>
      <w:r>
        <w:rPr>
          <w:rFonts w:hint="eastAsia" w:ascii="黑体" w:hAnsi="黑体" w:eastAsia="黑体" w:cs="黑体"/>
          <w:b w:val="0"/>
          <w:bCs/>
          <w:kern w:val="2"/>
          <w:sz w:val="36"/>
          <w:szCs w:val="36"/>
          <w:lang w:val="en-US" w:eastAsia="zh-CN" w:bidi="ar-SA"/>
        </w:rPr>
        <w:t>（2024年度）</w:t>
      </w:r>
    </w:p>
    <w:p w14:paraId="08EC56B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248B74BA">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7CC267A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4220180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35BC0AA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3DDB4FB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16891BBC">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bidi="en-US"/>
        </w:rPr>
      </w:pPr>
      <w:r>
        <w:rPr>
          <w:rFonts w:hint="eastAsia" w:ascii="宋体" w:hAnsi="宋体" w:eastAsia="宋体" w:cs="宋体"/>
          <w:b w:val="0"/>
          <w:bCs w:val="0"/>
          <w:color w:val="auto"/>
          <w:kern w:val="0"/>
          <w:sz w:val="24"/>
          <w:szCs w:val="24"/>
          <w:lang w:bidi="en-US"/>
        </w:rPr>
        <w:t>项目名称：专项资金-和地财教【2023】73号：2024年新疆西藏</w:t>
      </w:r>
    </w:p>
    <w:p w14:paraId="49AD1B50">
      <w:pPr>
        <w:pageBreakBefore w:val="0"/>
        <w:widowControl w:val="0"/>
        <w:kinsoku/>
        <w:wordWrap/>
        <w:topLinePunct w:val="0"/>
        <w:autoSpaceDE/>
        <w:autoSpaceDN/>
        <w:bidi w:val="0"/>
        <w:spacing w:line="560" w:lineRule="exact"/>
        <w:ind w:firstLine="2160" w:firstLineChars="900"/>
        <w:jc w:val="left"/>
        <w:textAlignment w:val="auto"/>
        <w:rPr>
          <w:rFonts w:hint="eastAsia" w:ascii="宋体" w:hAnsi="宋体" w:eastAsia="宋体" w:cs="宋体"/>
          <w:b w:val="0"/>
          <w:bCs w:val="0"/>
          <w:color w:val="auto"/>
          <w:kern w:val="0"/>
          <w:sz w:val="24"/>
          <w:szCs w:val="24"/>
          <w:lang w:bidi="en-US"/>
        </w:rPr>
      </w:pPr>
      <w:r>
        <w:rPr>
          <w:rFonts w:hint="eastAsia" w:ascii="宋体" w:hAnsi="宋体" w:eastAsia="宋体" w:cs="宋体"/>
          <w:b w:val="0"/>
          <w:bCs w:val="0"/>
          <w:color w:val="auto"/>
          <w:kern w:val="0"/>
          <w:sz w:val="24"/>
          <w:szCs w:val="24"/>
          <w:lang w:bidi="en-US"/>
        </w:rPr>
        <w:t>等地区教育特殊补助资金-学前三年免费保障经费-公用</w:t>
      </w:r>
    </w:p>
    <w:p w14:paraId="1FAAF255">
      <w:pPr>
        <w:pageBreakBefore w:val="0"/>
        <w:widowControl w:val="0"/>
        <w:kinsoku/>
        <w:wordWrap/>
        <w:topLinePunct w:val="0"/>
        <w:autoSpaceDE/>
        <w:autoSpaceDN/>
        <w:bidi w:val="0"/>
        <w:spacing w:line="560" w:lineRule="exact"/>
        <w:ind w:firstLine="2160" w:firstLineChars="900"/>
        <w:jc w:val="left"/>
        <w:textAlignment w:val="auto"/>
        <w:rPr>
          <w:rFonts w:hint="eastAsia" w:ascii="宋体" w:hAnsi="宋体" w:eastAsia="宋体" w:cs="宋体"/>
          <w:b w:val="0"/>
          <w:bCs w:val="0"/>
          <w:color w:val="auto"/>
          <w:kern w:val="0"/>
          <w:sz w:val="24"/>
          <w:szCs w:val="24"/>
          <w:lang w:bidi="en-US"/>
        </w:rPr>
      </w:pPr>
      <w:r>
        <w:rPr>
          <w:rFonts w:hint="eastAsia" w:ascii="宋体" w:hAnsi="宋体" w:eastAsia="宋体" w:cs="宋体"/>
          <w:b w:val="0"/>
          <w:bCs w:val="0"/>
          <w:color w:val="auto"/>
          <w:kern w:val="0"/>
          <w:sz w:val="24"/>
          <w:szCs w:val="24"/>
          <w:lang w:bidi="en-US"/>
        </w:rPr>
        <w:t>经费-洛财教【2024】22号</w:t>
      </w:r>
    </w:p>
    <w:p w14:paraId="2B44FC81">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项目单位：</w:t>
      </w:r>
      <w:r>
        <w:rPr>
          <w:rFonts w:hint="eastAsia" w:ascii="宋体" w:hAnsi="宋体" w:eastAsia="宋体" w:cs="宋体"/>
          <w:b w:val="0"/>
          <w:bCs w:val="0"/>
          <w:color w:val="auto"/>
          <w:kern w:val="0"/>
          <w:sz w:val="24"/>
          <w:szCs w:val="24"/>
          <w:lang w:val="en-US" w:eastAsia="zh-CN" w:bidi="en-US"/>
        </w:rPr>
        <w:t>洛浦县第五幼儿园</w:t>
      </w:r>
    </w:p>
    <w:p w14:paraId="14D5B5A9">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主管部门：</w:t>
      </w:r>
      <w:r>
        <w:rPr>
          <w:rFonts w:hint="eastAsia" w:ascii="宋体" w:hAnsi="宋体" w:eastAsia="宋体" w:cs="宋体"/>
          <w:b w:val="0"/>
          <w:bCs w:val="0"/>
          <w:color w:val="auto"/>
          <w:kern w:val="0"/>
          <w:sz w:val="24"/>
          <w:szCs w:val="24"/>
          <w:lang w:val="en-US" w:eastAsia="zh-CN" w:bidi="en-US"/>
        </w:rPr>
        <w:t>洛浦县教育局</w:t>
      </w:r>
    </w:p>
    <w:p w14:paraId="5BE5456B">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项目负责人：</w:t>
      </w:r>
      <w:r>
        <w:rPr>
          <w:rFonts w:hint="eastAsia" w:ascii="宋体" w:hAnsi="宋体" w:eastAsia="宋体" w:cs="宋体"/>
          <w:b w:val="0"/>
          <w:bCs w:val="0"/>
          <w:color w:val="auto"/>
          <w:kern w:val="0"/>
          <w:sz w:val="24"/>
          <w:szCs w:val="24"/>
          <w:lang w:val="en-US" w:eastAsia="zh-CN" w:bidi="en-US"/>
        </w:rPr>
        <w:t>杨新星</w:t>
      </w:r>
    </w:p>
    <w:p w14:paraId="552649D9">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黑体" w:hAnsi="黑体" w:eastAsia="黑体" w:cs="黑体"/>
          <w:sz w:val="24"/>
          <w:szCs w:val="24"/>
          <w:lang w:val="en-US" w:eastAsia="zh-CN"/>
        </w:rPr>
      </w:pPr>
      <w:r>
        <w:rPr>
          <w:rFonts w:hint="eastAsia" w:ascii="宋体" w:hAnsi="宋体" w:eastAsia="宋体" w:cs="宋体"/>
          <w:b w:val="0"/>
          <w:bCs w:val="0"/>
          <w:color w:val="auto"/>
          <w:kern w:val="0"/>
          <w:sz w:val="24"/>
          <w:szCs w:val="24"/>
          <w:lang w:bidi="en-US"/>
        </w:rPr>
        <w:t>填报时间：</w:t>
      </w:r>
      <w:r>
        <w:rPr>
          <w:rFonts w:hint="eastAsia" w:ascii="宋体" w:hAnsi="宋体" w:eastAsia="宋体" w:cs="宋体"/>
          <w:b w:val="0"/>
          <w:bCs w:val="0"/>
          <w:color w:val="auto"/>
          <w:kern w:val="0"/>
          <w:sz w:val="24"/>
          <w:szCs w:val="24"/>
          <w:lang w:val="en-US" w:eastAsia="zh-CN" w:bidi="en-US"/>
        </w:rPr>
        <w:t>2025</w:t>
      </w:r>
      <w:r>
        <w:rPr>
          <w:rFonts w:hint="eastAsia" w:ascii="宋体" w:hAnsi="宋体" w:eastAsia="宋体" w:cs="宋体"/>
          <w:b w:val="0"/>
          <w:bCs w:val="0"/>
          <w:color w:val="auto"/>
          <w:kern w:val="0"/>
          <w:sz w:val="24"/>
          <w:szCs w:val="24"/>
          <w:lang w:bidi="en-US"/>
        </w:rPr>
        <w:t>年</w:t>
      </w:r>
      <w:r>
        <w:rPr>
          <w:rFonts w:hint="eastAsia" w:ascii="宋体" w:hAnsi="宋体" w:eastAsia="宋体" w:cs="宋体"/>
          <w:b w:val="0"/>
          <w:bCs w:val="0"/>
          <w:color w:val="auto"/>
          <w:kern w:val="0"/>
          <w:sz w:val="24"/>
          <w:szCs w:val="24"/>
          <w:lang w:val="en-US" w:eastAsia="zh-CN" w:bidi="en-US"/>
        </w:rPr>
        <w:t>3</w:t>
      </w:r>
      <w:r>
        <w:rPr>
          <w:rFonts w:hint="eastAsia" w:ascii="宋体" w:hAnsi="宋体" w:eastAsia="宋体" w:cs="宋体"/>
          <w:b w:val="0"/>
          <w:bCs w:val="0"/>
          <w:color w:val="auto"/>
          <w:kern w:val="0"/>
          <w:sz w:val="24"/>
          <w:szCs w:val="24"/>
          <w:lang w:bidi="en-US"/>
        </w:rPr>
        <w:t>月</w:t>
      </w:r>
      <w:r>
        <w:rPr>
          <w:rFonts w:hint="eastAsia" w:ascii="宋体" w:hAnsi="宋体" w:eastAsia="宋体" w:cs="宋体"/>
          <w:b w:val="0"/>
          <w:bCs w:val="0"/>
          <w:color w:val="auto"/>
          <w:kern w:val="0"/>
          <w:sz w:val="24"/>
          <w:szCs w:val="24"/>
          <w:lang w:val="en-US" w:eastAsia="zh-CN" w:bidi="en-US"/>
        </w:rPr>
        <w:t>31</w:t>
      </w:r>
      <w:r>
        <w:rPr>
          <w:rFonts w:hint="eastAsia" w:ascii="宋体" w:hAnsi="宋体" w:eastAsia="宋体" w:cs="宋体"/>
          <w:b w:val="0"/>
          <w:bCs w:val="0"/>
          <w:color w:val="auto"/>
          <w:kern w:val="0"/>
          <w:sz w:val="24"/>
          <w:szCs w:val="24"/>
          <w:lang w:bidi="en-US"/>
        </w:rPr>
        <w:t>日</w:t>
      </w:r>
      <w:bookmarkStart w:id="0" w:name="_Toc68364657"/>
    </w:p>
    <w:p w14:paraId="2F3F0B17">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53DBD721">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3A29A4C1">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2D767123">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根据党的教育方针及教学大纲，组织三年制全日制初中教学，通过实施素质教育，为小学输送合格的毕业生，为社会培养合格接班人，在上级主管部门的领导下，加强对全校师生的管理和教育，加强政治思想、道德素养、法制观念、爱国主义、集体主义，无神论的教育，培养德、智、体、美、劳全面发展，招收适龄儿童，安排班级，组织教学；执行上级教育部门有关教育教学工作的安排布置，计划、办法和措施；在当地党政部门的指导下，做好当地幼儿教育。</w:t>
      </w:r>
    </w:p>
    <w:p w14:paraId="73D18C4C">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sz w:val="24"/>
          <w:szCs w:val="24"/>
          <w:lang w:val="en-US" w:eastAsia="zh-CN"/>
        </w:rPr>
        <w:t>2.</w:t>
      </w:r>
      <w:r>
        <w:rPr>
          <w:rFonts w:hint="eastAsia" w:ascii="宋体" w:hAnsi="宋体" w:eastAsia="宋体" w:cs="宋体"/>
          <w:b/>
          <w:bCs/>
          <w:sz w:val="24"/>
          <w:szCs w:val="24"/>
        </w:rPr>
        <w:t>主要内容及实施情况</w:t>
      </w:r>
    </w:p>
    <w:p w14:paraId="0779517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1367DEA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保障学生数量177人，保障在职人员数量14人，保障教学及辅助用房面积2325.4平方米，项目完成时限2023年12月，公用经费支出21.6万元，伙食费支出23.17万元，有效提高受教育学生综合素质，持续提升教学水平，维护教育公平，争取受益学生家长及受益在职人员满意度达到95%以上。</w:t>
      </w:r>
    </w:p>
    <w:p w14:paraId="370C2DD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保障我单位全年教职工的工资、津贴、奖金、离休费、退休人员生活补助、医疗保险、养老保险、住房公积金等开支。以及用于日常办公、业务活动方面的经常性开支，包括：办公费、水电费、取暖费、差旅费、公务用车交通费等。</w:t>
      </w:r>
    </w:p>
    <w:p w14:paraId="05C4D8E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宣传贯彻执行党和国家、自治区、地区的教育方针、政策；</w:t>
      </w:r>
    </w:p>
    <w:p w14:paraId="2A5285E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制定符合党的教育方针和国家教育法律法规以及本校实际的教育发展规划；</w:t>
      </w:r>
    </w:p>
    <w:p w14:paraId="30E4B32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核算和发放教职工工资，不断提高教师满意度。</w:t>
      </w:r>
    </w:p>
    <w:p w14:paraId="2270174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276D6B00">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7F57C98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本项目主管部门为洛浦县教</w:t>
      </w:r>
      <w:r>
        <w:rPr>
          <w:rFonts w:hint="eastAsia" w:ascii="宋体" w:hAnsi="宋体" w:eastAsia="宋体" w:cs="宋体"/>
          <w:b w:val="0"/>
          <w:bCs w:val="0"/>
          <w:color w:val="auto"/>
          <w:sz w:val="24"/>
          <w:szCs w:val="24"/>
          <w:lang w:val="en-US" w:eastAsia="zh-CN"/>
        </w:rPr>
        <w:t>育局，实施单位为洛浦县第五幼儿园。</w:t>
      </w:r>
    </w:p>
    <w:p w14:paraId="29C8A040">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0B02FAE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7D43A85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截止2024年12月31日，本单位已完成：1、保障学生数量</w:t>
      </w:r>
      <w:r>
        <w:rPr>
          <w:rFonts w:hint="eastAsia" w:ascii="宋体" w:hAnsi="宋体" w:eastAsia="宋体" w:cs="宋体"/>
          <w:color w:val="auto"/>
          <w:sz w:val="24"/>
          <w:szCs w:val="24"/>
          <w:highlight w:val="none"/>
          <w:lang w:val="en-US" w:eastAsia="zh-CN"/>
        </w:rPr>
        <w:t>177</w:t>
      </w:r>
      <w:r>
        <w:rPr>
          <w:rFonts w:hint="default" w:ascii="宋体" w:hAnsi="宋体" w:eastAsia="宋体" w:cs="宋体"/>
          <w:color w:val="auto"/>
          <w:sz w:val="24"/>
          <w:szCs w:val="24"/>
          <w:highlight w:val="none"/>
          <w:lang w:val="en-US" w:eastAsia="zh-CN"/>
        </w:rPr>
        <w:t>人，保障在职人员数量6人</w:t>
      </w:r>
      <w:r>
        <w:rPr>
          <w:rFonts w:hint="eastAsia" w:ascii="宋体" w:hAnsi="宋体" w:eastAsia="宋体" w:cs="宋体"/>
          <w:color w:val="auto"/>
          <w:sz w:val="24"/>
          <w:szCs w:val="24"/>
          <w:highlight w:val="none"/>
          <w:lang w:val="en-US" w:eastAsia="zh-CN"/>
        </w:rPr>
        <w:t>。公用经费支出21.6万元，伙食费支出23.17</w:t>
      </w:r>
      <w:r>
        <w:rPr>
          <w:rFonts w:hint="default" w:ascii="宋体" w:hAnsi="宋体" w:eastAsia="宋体" w:cs="宋体"/>
          <w:color w:val="auto"/>
          <w:sz w:val="24"/>
          <w:szCs w:val="24"/>
          <w:highlight w:val="none"/>
          <w:lang w:val="en-US" w:eastAsia="zh-CN"/>
        </w:rPr>
        <w:t>万元，有效提高受教育学生综合素质，持续提升教学水平，维护教育公</w:t>
      </w:r>
      <w:r>
        <w:rPr>
          <w:rFonts w:hint="eastAsia" w:ascii="宋体" w:hAnsi="宋体" w:eastAsia="宋体" w:cs="宋体"/>
          <w:color w:val="auto"/>
          <w:sz w:val="24"/>
          <w:szCs w:val="24"/>
          <w:highlight w:val="none"/>
          <w:lang w:val="en-US" w:eastAsia="zh-CN"/>
        </w:rPr>
        <w:t>。</w:t>
      </w:r>
    </w:p>
    <w:p w14:paraId="313FF48B">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3EB8128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55BED26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万元，资金来源为部门预算自治区专项资金，其中：财政资金</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D8667B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14D2084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44.77</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公用经费</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21.6</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幼儿伙食</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23.17</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w:t>
      </w:r>
    </w:p>
    <w:p w14:paraId="512C509F">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2CAC5DD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2D2286DE">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6657D7A3">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计划保障学生数量177人，保障在职人员数量</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lang w:eastAsia="zh-CN"/>
        </w:rPr>
        <w:t>人，保障教学及辅助用房面积2325.4平方米，项目完成时限202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年12月，</w:t>
      </w:r>
      <w:r>
        <w:rPr>
          <w:rFonts w:hint="eastAsia" w:ascii="宋体" w:hAnsi="宋体" w:eastAsia="宋体" w:cs="宋体"/>
          <w:color w:val="auto"/>
          <w:sz w:val="24"/>
          <w:szCs w:val="24"/>
          <w:lang w:val="en-US" w:eastAsia="zh-CN"/>
        </w:rPr>
        <w:t>公用经费支出21.6万元，伙食费支出23.17</w:t>
      </w:r>
      <w:r>
        <w:rPr>
          <w:rFonts w:hint="eastAsia" w:ascii="宋体" w:hAnsi="宋体" w:eastAsia="宋体" w:cs="宋体"/>
          <w:color w:val="auto"/>
          <w:sz w:val="24"/>
          <w:szCs w:val="24"/>
          <w:lang w:eastAsia="zh-CN"/>
        </w:rPr>
        <w:t>万元，有效提高受教育学生综合素质，持续提升教学水平，维护教育公平，争取受益学生家长及受益在职人员满意度达到95%以上。</w:t>
      </w:r>
    </w:p>
    <w:p w14:paraId="4F74B5A3">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48FA76B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63E44687">
      <w:pPr>
        <w:pStyle w:val="45"/>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5AE92754">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7F11769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指标1：补助发放人数，预期指标值：“=</w:t>
      </w:r>
      <w:r>
        <w:rPr>
          <w:rFonts w:hint="eastAsia" w:ascii="宋体" w:hAnsi="宋体" w:eastAsia="宋体" w:cs="宋体"/>
          <w:color w:val="auto"/>
          <w:sz w:val="24"/>
          <w:szCs w:val="24"/>
          <w:lang w:eastAsia="zh-CN"/>
        </w:rPr>
        <w:t>177</w:t>
      </w:r>
      <w:r>
        <w:rPr>
          <w:rFonts w:hint="eastAsia" w:ascii="宋体" w:hAnsi="宋体" w:eastAsia="宋体" w:cs="宋体"/>
          <w:color w:val="auto"/>
          <w:sz w:val="24"/>
          <w:szCs w:val="24"/>
        </w:rPr>
        <w:t>人</w:t>
      </w:r>
      <w:r>
        <w:rPr>
          <w:rFonts w:hint="eastAsia" w:ascii="宋体" w:hAnsi="宋体" w:eastAsia="宋体" w:cs="宋体"/>
          <w:color w:val="auto"/>
          <w:sz w:val="24"/>
          <w:szCs w:val="24"/>
          <w:lang w:eastAsia="zh-CN"/>
        </w:rPr>
        <w:t>”；</w:t>
      </w:r>
    </w:p>
    <w:p w14:paraId="0083AA2F">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576FE49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指标1：补助覆盖率，预期指标值：“=100%</w:t>
      </w:r>
      <w:r>
        <w:rPr>
          <w:rFonts w:hint="eastAsia" w:ascii="宋体" w:hAnsi="宋体" w:eastAsia="宋体" w:cs="宋体"/>
          <w:color w:val="auto"/>
          <w:sz w:val="24"/>
          <w:szCs w:val="24"/>
          <w:lang w:eastAsia="zh-CN"/>
        </w:rPr>
        <w:t>”；</w:t>
      </w:r>
    </w:p>
    <w:p w14:paraId="483D066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指标2：补助资发放率，预期指标值：“=100%</w:t>
      </w:r>
      <w:r>
        <w:rPr>
          <w:rFonts w:hint="eastAsia" w:ascii="宋体" w:hAnsi="宋体" w:eastAsia="宋体" w:cs="宋体"/>
          <w:color w:val="auto"/>
          <w:sz w:val="24"/>
          <w:szCs w:val="24"/>
          <w:lang w:eastAsia="zh-CN"/>
        </w:rPr>
        <w:t>”；</w:t>
      </w:r>
    </w:p>
    <w:p w14:paraId="5555987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指标3：生活保障资金到位率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p>
    <w:p w14:paraId="29E1F63E">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6925499F">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指标1：补助资金发放及时率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p>
    <w:p w14:paraId="1780FE4F">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：项目</w:t>
      </w:r>
      <w:r>
        <w:rPr>
          <w:rFonts w:hint="eastAsia" w:ascii="宋体" w:hAnsi="宋体" w:eastAsia="宋体" w:cs="宋体"/>
          <w:color w:val="auto"/>
          <w:sz w:val="24"/>
          <w:szCs w:val="24"/>
          <w:lang w:val="en-US" w:eastAsia="zh-CN"/>
        </w:rPr>
        <w:t>开始</w:t>
      </w:r>
      <w:r>
        <w:rPr>
          <w:rFonts w:hint="eastAsia" w:ascii="宋体" w:hAnsi="宋体" w:eastAsia="宋体" w:cs="宋体"/>
          <w:color w:val="auto"/>
          <w:sz w:val="24"/>
          <w:szCs w:val="24"/>
        </w:rPr>
        <w:t>时间，预期指标值：“2024年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eastAsia="zh-CN"/>
        </w:rPr>
        <w:t>”；</w:t>
      </w:r>
    </w:p>
    <w:p w14:paraId="6C0994D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：项目结束时间，预期指标值：“</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lang w:eastAsia="zh-CN"/>
        </w:rPr>
        <w:t>”；</w:t>
      </w:r>
    </w:p>
    <w:p w14:paraId="6D04883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32E5B947">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7A6F76AC">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指标1：生活保障资金总成本，预期指标值：“</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46.2</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p>
    <w:p w14:paraId="13B14BA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0673287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指标1：改善教育教学质量，预期指标值：“有效改善</w:t>
      </w:r>
      <w:r>
        <w:rPr>
          <w:rFonts w:hint="eastAsia" w:ascii="宋体" w:hAnsi="宋体" w:eastAsia="宋体" w:cs="宋体"/>
          <w:color w:val="auto"/>
          <w:sz w:val="24"/>
          <w:szCs w:val="24"/>
          <w:lang w:eastAsia="zh-CN"/>
        </w:rPr>
        <w:t>”；</w:t>
      </w:r>
    </w:p>
    <w:p w14:paraId="57B5BBB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50D5F68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b w:val="0"/>
          <w:bCs w:val="0"/>
          <w:color w:val="auto"/>
          <w:sz w:val="24"/>
          <w:szCs w:val="24"/>
        </w:rPr>
        <w:t>指标1：学生满意度，预期指标值：“</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95%</w:t>
      </w:r>
      <w:r>
        <w:rPr>
          <w:rFonts w:hint="eastAsia" w:ascii="宋体" w:hAnsi="宋体" w:eastAsia="宋体" w:cs="宋体"/>
          <w:color w:val="auto"/>
          <w:sz w:val="24"/>
          <w:szCs w:val="24"/>
          <w:lang w:eastAsia="zh-CN"/>
        </w:rPr>
        <w:t>”。</w:t>
      </w:r>
    </w:p>
    <w:p w14:paraId="4800A25C">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3B862973">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427F2298">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1FAACB66">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439C615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定，对专项资金-和地财教【2023】73号：2024年新疆西藏等地区教育特殊补助资金-学前三年免费保障经费-公用经费-洛财教【2024】22号项目开展本次部门项目支出绩效评价工作。全面了解</w:t>
      </w:r>
      <w:r>
        <w:rPr>
          <w:rFonts w:hint="eastAsia" w:ascii="宋体" w:hAnsi="宋体" w:eastAsia="宋体" w:cs="宋体"/>
          <w:color w:val="auto"/>
          <w:sz w:val="24"/>
          <w:szCs w:val="24"/>
          <w:lang w:val="en-US" w:eastAsia="zh-CN"/>
        </w:rPr>
        <w:t>专项资金-和地财教【2023】73号：2024年新疆西藏等地区教育特殊补助资金-学前三年免费保障经费-公用经费-洛财教【2024】22号</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7380EFF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w:t>
      </w:r>
      <w:r>
        <w:rPr>
          <w:rFonts w:hint="eastAsia" w:ascii="宋体" w:hAnsi="宋体" w:eastAsia="宋体" w:cs="宋体"/>
          <w:sz w:val="24"/>
          <w:szCs w:val="24"/>
          <w:lang w:val="en-US" w:eastAsia="zh-CN"/>
        </w:rPr>
        <w:t>治区党委自治区人民政府关于全面实施预算绩效管理的实施意见》（新党发〔2018〕30号）政策文件的指示精神，有助于建立健全“花钱必问效、无效必问责”的绩效预算管理机制</w:t>
      </w:r>
    </w:p>
    <w:p w14:paraId="05694C4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9C1F01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2EE6D68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BFDBE4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专项资金-和地财教【2023】73号：2024年新疆西藏等地区教育特殊补助资金-学前三年免费保障经费-公用经费-洛财教【2024】22号</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102B96AF">
      <w:pPr>
        <w:pStyle w:val="45"/>
        <w:pageBreakBefore w:val="0"/>
        <w:widowControl w:val="0"/>
        <w:kinsoku/>
        <w:wordWrap/>
        <w:topLinePunct w:val="0"/>
        <w:autoSpaceDE/>
        <w:autoSpaceDN/>
        <w:bidi w:val="0"/>
        <w:adjustRightInd/>
        <w:snapToGrid/>
        <w:spacing w:line="360" w:lineRule="auto"/>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7AA4E2CB">
      <w:pPr>
        <w:pStyle w:val="45"/>
        <w:pageBreakBefore w:val="0"/>
        <w:widowControl w:val="0"/>
        <w:kinsoku/>
        <w:wordWrap/>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专项资金-和地财教【2023】73号：2024年新疆西藏等地区教育特殊补助资金-学前三年免费保障经费-公用经费-洛财教【2024】22号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63EFF048">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0ED1BFC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4727BBC2">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014FEFF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2E30F96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4D4CD47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1E0CE33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1F65928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1960A5A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265246D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1510DD8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5E00DB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6A4B4E2D">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1DBBA6D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51AD7B5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E05190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3BB3757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7C6BE3E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6C369B6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1C60D9B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25B1C1D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5C380D3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1A62110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66B18B4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32B2230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2B15C87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537B220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7900EB7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600C48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1CCE116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567DD335">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w:t>
      </w:r>
      <w:r>
        <w:rPr>
          <w:rFonts w:hint="eastAsia" w:ascii="宋体" w:hAnsi="宋体" w:eastAsia="宋体" w:cs="宋体"/>
          <w:color w:val="auto"/>
          <w:sz w:val="24"/>
          <w:szCs w:val="24"/>
        </w:rPr>
        <w:t>成情况进行比较、分析、评价。本次评价主要采用了</w:t>
      </w:r>
      <w:r>
        <w:rPr>
          <w:rFonts w:hint="eastAsia" w:ascii="宋体" w:hAnsi="宋体" w:eastAsia="宋体" w:cs="宋体"/>
          <w:color w:val="auto"/>
          <w:sz w:val="24"/>
          <w:szCs w:val="24"/>
          <w:lang w:val="en-US" w:eastAsia="zh-CN"/>
        </w:rPr>
        <w:t>计划</w:t>
      </w:r>
      <w:r>
        <w:rPr>
          <w:rFonts w:hint="eastAsia" w:ascii="宋体" w:hAnsi="宋体" w:eastAsia="宋体" w:cs="宋体"/>
          <w:color w:val="auto"/>
          <w:sz w:val="24"/>
          <w:szCs w:val="24"/>
        </w:rPr>
        <w:t>标准。</w:t>
      </w:r>
    </w:p>
    <w:p w14:paraId="43B61DD0">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7" w:name="_Toc17882"/>
      <w:bookmarkStart w:id="8" w:name="_Toc31464"/>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059B9478">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435843A7">
      <w:pPr>
        <w:pStyle w:val="2"/>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2D88F81B">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7013C34">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杨新星（书记 园长）（评价小组组长）：主要负责绩效评价工作职责为负责全盘工作。</w:t>
      </w:r>
    </w:p>
    <w:p w14:paraId="3EB5DB2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吴义倩（财务分管领导）（评价小组组员）：主要负责绩效评价工作职责为为对项目实施情况进行实地调查。</w:t>
      </w:r>
    </w:p>
    <w:p w14:paraId="2232639B">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财务分管领导吴义倩 、总务主任张生兰、教务主任王乔珍  、报账员赵登明（评价小组组员）：主要负责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96D42E1">
      <w:pPr>
        <w:pStyle w:val="2"/>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2062E9BE">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31</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6994E68A">
      <w:pPr>
        <w:pStyle w:val="2"/>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6291F3DF">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475FF3EC">
      <w:pPr>
        <w:pStyle w:val="2"/>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02E0B593">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477DB293">
      <w:pPr>
        <w:pStyle w:val="2"/>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41D32593">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B07D1E1">
      <w:pPr>
        <w:pStyle w:val="2"/>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58F52CB3">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673E1C74">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5FA1FB9B">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9"/>
    </w:p>
    <w:p w14:paraId="5A077DFC">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0" w:name="_Toc68364665"/>
      <w:r>
        <w:rPr>
          <w:rFonts w:hint="eastAsia" w:ascii="宋体" w:hAnsi="宋体" w:eastAsia="宋体" w:cs="宋体"/>
          <w:color w:val="auto"/>
          <w:sz w:val="24"/>
          <w:szCs w:val="24"/>
          <w:highlight w:val="none"/>
        </w:rPr>
        <w:t>（一）综合评价情况</w:t>
      </w:r>
      <w:bookmarkEnd w:id="10"/>
    </w:p>
    <w:p w14:paraId="711A2D34">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11" w:name="_Toc68364666"/>
      <w:r>
        <w:rPr>
          <w:rFonts w:hint="eastAsia" w:ascii="宋体" w:hAnsi="宋体" w:eastAsia="宋体" w:cs="宋体"/>
          <w:color w:val="auto"/>
          <w:sz w:val="24"/>
          <w:szCs w:val="24"/>
          <w:highlight w:val="none"/>
        </w:rPr>
        <w:t>通过实施专项资金-和地财教【2023】73号：2024年新疆西藏等地区教育特殊补助资金-学前三年免费保障经费-公用经费-洛财教【2024】22号产生</w:t>
      </w:r>
      <w:r>
        <w:rPr>
          <w:rFonts w:hint="eastAsia" w:ascii="宋体" w:hAnsi="宋体" w:eastAsia="宋体" w:cs="宋体"/>
          <w:color w:val="auto"/>
          <w:sz w:val="24"/>
          <w:szCs w:val="24"/>
          <w:highlight w:val="none"/>
          <w:lang w:val="en-US" w:eastAsia="zh-CN"/>
        </w:rPr>
        <w:t>改</w:t>
      </w:r>
      <w:r>
        <w:rPr>
          <w:rFonts w:hint="eastAsia" w:ascii="宋体" w:hAnsi="宋体" w:eastAsia="宋体" w:cs="宋体"/>
          <w:color w:val="auto"/>
          <w:sz w:val="24"/>
          <w:szCs w:val="24"/>
          <w:highlight w:val="none"/>
        </w:rPr>
        <w:t>善教育教学质量效益。项目实施主要通过项目决策、项目过程、项目产出以及项目效益等方面进行评价，其中：</w:t>
      </w:r>
    </w:p>
    <w:p w14:paraId="7C5D3C7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项目决策：该项目主要通过专项资金-和地财教【2023】73号立项，项目实施符合法律法规、相关政策、发展规划以及部门职责</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 xml:space="preserve">要求，项目立项依据充分，立项程序规范。 </w:t>
      </w:r>
    </w:p>
    <w:p w14:paraId="7AF209FF">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项目过程：专项资金-和地财教【2023】73号：2024年新疆西藏等地区教育特殊补助资金-学前三年免费保障经费-公用经费-洛财教【2024】22号预算安排</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2ACDF56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sz w:val="24"/>
          <w:szCs w:val="24"/>
        </w:rPr>
        <w:t>项目效益：通过实施本项目，通过项目的实施，有效改善教育教学质量</w:t>
      </w:r>
      <w:r>
        <w:rPr>
          <w:rFonts w:hint="eastAsia" w:ascii="宋体" w:hAnsi="宋体" w:eastAsia="宋体" w:cs="宋体"/>
          <w:sz w:val="24"/>
          <w:szCs w:val="24"/>
          <w:lang w:eastAsia="zh-CN"/>
        </w:rPr>
        <w:t>。</w:t>
      </w:r>
    </w:p>
    <w:p w14:paraId="11B3C2C8">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61F84926">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专项资金-和地财教【2023】73号：2024年新疆西藏等地区教育特殊补助资金-学前三年免费保障经费-公用经费-洛财教【2024】22号进行客观评价，最终评分结果：评价总分</w:t>
      </w:r>
      <w:r>
        <w:rPr>
          <w:rFonts w:hint="eastAsia" w:ascii="宋体" w:hAnsi="宋体" w:eastAsia="宋体" w:cs="宋体"/>
          <w:color w:val="auto"/>
          <w:sz w:val="24"/>
          <w:szCs w:val="24"/>
          <w:highlight w:val="none"/>
          <w:lang w:val="en-US" w:eastAsia="zh-CN"/>
        </w:rPr>
        <w:t>99.94</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优秀</w:t>
      </w:r>
      <w:r>
        <w:rPr>
          <w:rFonts w:hint="eastAsia" w:ascii="宋体" w:hAnsi="宋体" w:eastAsia="宋体" w:cs="宋体"/>
          <w:color w:val="auto"/>
          <w:sz w:val="24"/>
          <w:szCs w:val="24"/>
          <w:highlight w:val="none"/>
        </w:rPr>
        <w:t>”。</w:t>
      </w:r>
      <w:bookmarkEnd w:id="11"/>
    </w:p>
    <w:p w14:paraId="6519D1D0">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bookmarkStart w:id="12" w:name="_Toc68364667"/>
    </w:p>
    <w:p w14:paraId="2AD7A891">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2"/>
    </w:p>
    <w:p w14:paraId="1F657CCE">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3" w:name="_Toc68364668"/>
      <w:r>
        <w:rPr>
          <w:rFonts w:hint="eastAsia" w:ascii="宋体" w:hAnsi="宋体" w:eastAsia="宋体" w:cs="宋体"/>
          <w:color w:val="auto"/>
          <w:sz w:val="24"/>
          <w:szCs w:val="24"/>
          <w:highlight w:val="none"/>
        </w:rPr>
        <w:t>（一）项目决策情况</w:t>
      </w:r>
    </w:p>
    <w:p w14:paraId="28C63E19">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84E9C6A">
      <w:pPr>
        <w:keepNext w:val="0"/>
        <w:keepLines w:val="0"/>
        <w:pageBreakBefore w:val="0"/>
        <w:widowControl w:val="0"/>
        <w:numPr>
          <w:ilvl w:val="0"/>
          <w:numId w:val="4"/>
        </w:numPr>
        <w:kinsoku/>
        <w:wordWrap/>
        <w:topLinePunct w:val="0"/>
        <w:autoSpaceDE/>
        <w:autoSpaceDN/>
        <w:bidi w:val="0"/>
        <w:adjustRightInd/>
        <w:snapToGrid/>
        <w:spacing w:line="360" w:lineRule="auto"/>
        <w:ind w:left="0" w:leftChars="0" w:firstLine="56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48E5655C">
      <w:pPr>
        <w:keepNext w:val="0"/>
        <w:keepLines w:val="0"/>
        <w:pageBreakBefore w:val="0"/>
        <w:widowControl w:val="0"/>
        <w:kinsoku/>
        <w:wordWrap/>
        <w:topLinePunct w:val="0"/>
        <w:autoSpaceDE/>
        <w:autoSpaceDN/>
        <w:bidi w:val="0"/>
        <w:adjustRightInd/>
        <w:snapToGrid/>
        <w:spacing w:line="360" w:lineRule="auto"/>
        <w:ind w:left="0" w:leftChars="0" w:firstLine="56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rPr>
        <w:t>颁发的《2024年新疆西藏等地区教育特殊补助资金-学前三年免费保障经费》（和地财教【2023】73号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文件</w:t>
      </w:r>
      <w:r>
        <w:rPr>
          <w:rFonts w:hint="eastAsia" w:ascii="宋体" w:hAnsi="宋体" w:eastAsia="宋体" w:cs="宋体"/>
          <w:color w:val="auto"/>
          <w:sz w:val="24"/>
          <w:szCs w:val="24"/>
          <w:highlight w:val="none"/>
        </w:rPr>
        <w:t>；合行业发展规划和政策要求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02E6B7E6">
      <w:pPr>
        <w:keepNext w:val="0"/>
        <w:keepLines w:val="0"/>
        <w:pageBreakBefore w:val="0"/>
        <w:widowControl w:val="0"/>
        <w:kinsoku/>
        <w:wordWrap/>
        <w:topLinePunct w:val="0"/>
        <w:autoSpaceDE/>
        <w:autoSpaceDN/>
        <w:bidi w:val="0"/>
        <w:adjustRightInd/>
        <w:snapToGrid/>
        <w:spacing w:line="360" w:lineRule="auto"/>
        <w:ind w:left="0" w:leftChars="0"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10A6DF56">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33FFE205">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一般公共预算</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万元，不涉及事前绩效评估和风险评估，并经过专家论证。</w:t>
      </w:r>
    </w:p>
    <w:p w14:paraId="5E5A0B5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30315A7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5B49816E">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rPr>
        <w:t>①该项目已设置年度绩效目标，具体内容为“</w:t>
      </w:r>
      <w:r>
        <w:rPr>
          <w:rFonts w:hint="eastAsia" w:ascii="宋体" w:hAnsi="宋体" w:eastAsia="宋体" w:cs="宋体"/>
          <w:color w:val="auto"/>
          <w:sz w:val="24"/>
          <w:szCs w:val="24"/>
          <w:lang w:eastAsia="zh-CN"/>
        </w:rPr>
        <w:t>计划保障学生数量177人，保障在职人员数量</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lang w:eastAsia="zh-CN"/>
        </w:rPr>
        <w:t>人，保障教学及辅助用房面积2325.4平方米，项目完成时限202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年12月，</w:t>
      </w:r>
      <w:r>
        <w:rPr>
          <w:rFonts w:hint="eastAsia" w:ascii="宋体" w:hAnsi="宋体" w:eastAsia="宋体" w:cs="宋体"/>
          <w:color w:val="auto"/>
          <w:sz w:val="24"/>
          <w:szCs w:val="24"/>
          <w:lang w:val="en-US" w:eastAsia="zh-CN"/>
        </w:rPr>
        <w:t>公用经费支出21.6万元，伙食费支出23.17</w:t>
      </w:r>
      <w:r>
        <w:rPr>
          <w:rFonts w:hint="eastAsia" w:ascii="宋体" w:hAnsi="宋体" w:eastAsia="宋体" w:cs="宋体"/>
          <w:color w:val="auto"/>
          <w:sz w:val="24"/>
          <w:szCs w:val="24"/>
          <w:lang w:eastAsia="zh-CN"/>
        </w:rPr>
        <w:t>万元，有效提高受教育学生综合素质，持续提升教学水平，维护教育公平，争取受益学生家长及受益在职人员满意度达到95%以上。</w:t>
      </w:r>
      <w:r>
        <w:rPr>
          <w:rFonts w:hint="eastAsia" w:ascii="宋体" w:hAnsi="宋体" w:eastAsia="宋体" w:cs="宋体"/>
          <w:color w:val="auto"/>
          <w:sz w:val="24"/>
          <w:szCs w:val="24"/>
          <w:highlight w:val="none"/>
        </w:rPr>
        <w:t>工作内容一致，两者具有相关性。</w:t>
      </w:r>
    </w:p>
    <w:p w14:paraId="257F189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②该项目实际工作内容为：截止到自评节点，我单位已完成</w:t>
      </w:r>
      <w:r>
        <w:rPr>
          <w:rFonts w:hint="eastAsia" w:ascii="宋体" w:hAnsi="宋体" w:eastAsia="宋体" w:cs="宋体"/>
          <w:color w:val="auto"/>
          <w:sz w:val="24"/>
          <w:szCs w:val="24"/>
          <w:lang w:eastAsia="zh-CN"/>
        </w:rPr>
        <w:t>保障学生数量177人</w:t>
      </w:r>
      <w:r>
        <w:rPr>
          <w:rFonts w:hint="eastAsia" w:ascii="宋体" w:hAnsi="宋体" w:eastAsia="宋体" w:cs="宋体"/>
          <w:color w:val="auto"/>
          <w:sz w:val="24"/>
          <w:szCs w:val="24"/>
          <w:highlight w:val="none"/>
        </w:rPr>
        <w:t>正常的校园生活，项目资金已使用</w:t>
      </w:r>
      <w:r>
        <w:rPr>
          <w:rFonts w:hint="eastAsia" w:ascii="宋体" w:hAnsi="宋体" w:eastAsia="宋体" w:cs="宋体"/>
          <w:color w:val="auto"/>
          <w:sz w:val="24"/>
          <w:szCs w:val="24"/>
          <w:highlight w:val="none"/>
          <w:lang w:val="en-US" w:eastAsia="zh-CN"/>
        </w:rPr>
        <w:t>44.77</w:t>
      </w:r>
      <w:r>
        <w:rPr>
          <w:rFonts w:hint="eastAsia" w:ascii="宋体" w:hAnsi="宋体" w:eastAsia="宋体" w:cs="宋体"/>
          <w:color w:val="auto"/>
          <w:sz w:val="24"/>
          <w:szCs w:val="24"/>
          <w:highlight w:val="none"/>
        </w:rPr>
        <w:t>万元。通过项目的实施，有效改善教育教学质量。绩效目标与实际工作内容一致，两者具有相关性。</w:t>
      </w:r>
    </w:p>
    <w:p w14:paraId="30AA043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③该项目按照绩效保障</w:t>
      </w:r>
      <w:r>
        <w:rPr>
          <w:rFonts w:hint="eastAsia" w:ascii="宋体" w:hAnsi="宋体" w:eastAsia="宋体" w:cs="宋体"/>
          <w:color w:val="auto"/>
          <w:sz w:val="24"/>
          <w:szCs w:val="24"/>
          <w:highlight w:val="none"/>
          <w:lang w:val="en-US" w:eastAsia="zh-CN"/>
        </w:rPr>
        <w:t>177名</w:t>
      </w:r>
      <w:r>
        <w:rPr>
          <w:rFonts w:hint="eastAsia" w:ascii="宋体" w:hAnsi="宋体" w:eastAsia="宋体" w:cs="宋体"/>
          <w:color w:val="auto"/>
          <w:sz w:val="24"/>
          <w:szCs w:val="24"/>
          <w:highlight w:val="none"/>
        </w:rPr>
        <w:t>学生正常的校园生活，通过项目的实施，有效改善教育教学质量。预期产出效益和效果符合正常的业绩水平。</w:t>
      </w:r>
    </w:p>
    <w:p w14:paraId="5207379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万元，预算确定的项目资金与预算确定的项目投资额相匹配。</w:t>
      </w:r>
    </w:p>
    <w:p w14:paraId="7A88FD1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C0470E9">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09BAB9A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学前教育保障经费收益学生数量177人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项目开始时间、项目完成时间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E92236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本项目专项资金-和地财教【2023】73号：2024年新疆西藏等地区教育特殊补助资金-学前三年免费保障经费-公用经费-洛财教【2024】22号，即预算编制较科学且经过论证；</w:t>
      </w:r>
    </w:p>
    <w:p w14:paraId="4D12000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46.2万元</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46.2万元</w:t>
      </w:r>
      <w:r>
        <w:rPr>
          <w:rFonts w:hint="eastAsia" w:ascii="宋体" w:hAnsi="宋体" w:eastAsia="宋体" w:cs="宋体"/>
          <w:color w:val="auto"/>
          <w:sz w:val="24"/>
          <w:szCs w:val="24"/>
          <w:highlight w:val="none"/>
        </w:rPr>
        <w:t>，预算申请与《专项资金-和地财教【2023】73号：2024年新疆西藏等地区教育特殊补助资金-学前三年免费保障经费-公用经费-洛财教【2024】22号项目实施方案》中涉及的项目内容匹配；</w:t>
      </w:r>
    </w:p>
    <w:p w14:paraId="15466BE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44.77</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公用</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23.17</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伙食</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21.6</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3C9E353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专项资金-和地财教【2023】73号：2024年新疆西藏等地区教育特殊补助资金-学前三年免费保障经费-公用经费-洛财教【2024】22号资金的请示》和《2024年新疆西藏等地区教育特殊补助资金-学前三年免费保障经费-公用经费项目实施方案》为依据进行资金分配，预算资金分配依据充分。根据《专项资金-2024年新疆西藏等地区教育特殊补助资金-学前三年免费保障经费文件》（和地财教【2023】73号），本项目实际到位资金</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60F67BD8">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2A50341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11.94</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99.5</w:t>
      </w:r>
      <w:r>
        <w:rPr>
          <w:rFonts w:hint="eastAsia" w:ascii="宋体" w:hAnsi="宋体" w:eastAsia="宋体" w:cs="宋体"/>
          <w:color w:val="auto"/>
          <w:sz w:val="24"/>
          <w:szCs w:val="24"/>
          <w:highlight w:val="none"/>
        </w:rPr>
        <w:t>%。</w:t>
      </w:r>
    </w:p>
    <w:p w14:paraId="36DEF89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46.2</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46.2</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46.2</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4662603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44.77</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44.77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46.2</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96.9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预算编制较为详细，项目资金支出总体能够按照预算执行，根据评分标准，该指标扣</w:t>
      </w:r>
      <w:r>
        <w:rPr>
          <w:rFonts w:hint="eastAsia" w:ascii="宋体" w:hAnsi="宋体" w:eastAsia="宋体" w:cs="宋体"/>
          <w:color w:val="auto"/>
          <w:sz w:val="24"/>
          <w:szCs w:val="24"/>
          <w:highlight w:val="none"/>
          <w:lang w:val="en-US" w:eastAsia="zh-CN"/>
        </w:rPr>
        <w:t>0.06</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1.94</w:t>
      </w:r>
      <w:r>
        <w:rPr>
          <w:rFonts w:hint="eastAsia" w:ascii="宋体" w:hAnsi="宋体" w:eastAsia="宋体" w:cs="宋体"/>
          <w:color w:val="auto"/>
          <w:sz w:val="24"/>
          <w:szCs w:val="24"/>
          <w:highlight w:val="none"/>
        </w:rPr>
        <w:t>分。</w:t>
      </w:r>
    </w:p>
    <w:p w14:paraId="6D500D5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D60494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22E8E00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洛浦县第五幼儿园</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143E9AE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7D9EF95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w:t>
      </w:r>
      <w:r>
        <w:rPr>
          <w:rFonts w:hint="eastAsia" w:ascii="宋体" w:hAnsi="宋体" w:eastAsia="宋体" w:cs="宋体"/>
          <w:color w:val="auto"/>
          <w:sz w:val="24"/>
          <w:szCs w:val="24"/>
          <w:highlight w:val="none"/>
          <w:lang w:val="en-US" w:eastAsia="zh-CN"/>
        </w:rPr>
        <w:t>项</w:t>
      </w:r>
      <w:r>
        <w:rPr>
          <w:rFonts w:hint="eastAsia" w:ascii="宋体" w:hAnsi="宋体" w:eastAsia="宋体" w:cs="宋体"/>
          <w:color w:val="auto"/>
          <w:sz w:val="24"/>
          <w:szCs w:val="24"/>
          <w:highlight w:val="none"/>
        </w:rPr>
        <w:t>。</w:t>
      </w:r>
    </w:p>
    <w:p w14:paraId="33368EA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专项资金-和地财教【2023】73号：2024年新疆西藏等地区教育特殊补助资金-学前三年免费保障经费-公用经费-洛财教【2024】22号工作领导小组，由</w:t>
      </w:r>
      <w:r>
        <w:rPr>
          <w:rFonts w:hint="eastAsia" w:ascii="宋体" w:hAnsi="宋体" w:eastAsia="宋体" w:cs="宋体"/>
          <w:color w:val="auto"/>
          <w:sz w:val="24"/>
          <w:szCs w:val="24"/>
          <w:highlight w:val="none"/>
          <w:lang w:val="en-US" w:eastAsia="zh-CN"/>
        </w:rPr>
        <w:t>杨新星书记</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财务分管领导吴义倩</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吴义倩、张生兰</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赵登明</w:t>
      </w:r>
      <w:r>
        <w:rPr>
          <w:rFonts w:hint="eastAsia" w:ascii="宋体" w:hAnsi="宋体" w:eastAsia="宋体" w:cs="宋体"/>
          <w:color w:val="auto"/>
          <w:sz w:val="24"/>
          <w:szCs w:val="24"/>
          <w:highlight w:val="none"/>
        </w:rPr>
        <w:t>，主要负责项目监督管理、验收以及资金核拨等工作。根据评分标准，该指标不扣分，得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3FA1A293">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BFDD74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287C93E">
      <w:pPr>
        <w:pageBreakBefore w:val="0"/>
        <w:widowControl w:val="0"/>
        <w:numPr>
          <w:ilvl w:val="0"/>
          <w:numId w:val="5"/>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0AFE1A7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补助发放人数</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177</w:t>
      </w:r>
      <w:r>
        <w:rPr>
          <w:rFonts w:hint="eastAsia" w:ascii="宋体" w:hAnsi="宋体" w:eastAsia="宋体" w:cs="宋体"/>
          <w:color w:val="auto"/>
          <w:sz w:val="24"/>
          <w:szCs w:val="24"/>
        </w:rPr>
        <w:t>人</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lang w:val="en-US" w:eastAsia="zh-CN" w:bidi="ar-SA"/>
        </w:rPr>
        <w:t>，实际完成值为177，指标完成率为100%，与预期目标一致，根据评分标准，该指标不扣分，得10分。</w:t>
      </w:r>
    </w:p>
    <w:p w14:paraId="1290658A">
      <w:pPr>
        <w:pageBreakBefore w:val="0"/>
        <w:widowControl w:val="0"/>
        <w:numPr>
          <w:ilvl w:val="0"/>
          <w:numId w:val="5"/>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highlight w:val="none"/>
        </w:rPr>
        <w:t>对于“产出质量”</w:t>
      </w:r>
    </w:p>
    <w:p w14:paraId="32C03B0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补助覆盖率</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kern w:val="0"/>
          <w:sz w:val="24"/>
          <w:szCs w:val="24"/>
          <w:lang w:val="en-US" w:eastAsia="zh-CN" w:bidi="ar-SA"/>
        </w:rPr>
        <w:t>实际完成值为</w:t>
      </w:r>
      <w:r>
        <w:rPr>
          <w:rFonts w:hint="eastAsia" w:ascii="宋体" w:hAnsi="宋体" w:eastAsia="宋体" w:cs="宋体"/>
          <w:color w:val="auto"/>
          <w:sz w:val="24"/>
          <w:szCs w:val="24"/>
        </w:rPr>
        <w:t>100%</w:t>
      </w:r>
      <w:r>
        <w:rPr>
          <w:rFonts w:hint="eastAsia" w:ascii="宋体" w:hAnsi="宋体" w:eastAsia="宋体" w:cs="宋体"/>
          <w:color w:val="auto"/>
          <w:kern w:val="0"/>
          <w:sz w:val="24"/>
          <w:szCs w:val="24"/>
          <w:lang w:val="en-US" w:eastAsia="zh-CN" w:bidi="ar-SA"/>
        </w:rPr>
        <w:t>，指标完成率为100%，与预期目标一致，根据评分标准，该指标不扣分，得3分。</w:t>
      </w:r>
    </w:p>
    <w:p w14:paraId="4B68FDD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补助金发放率</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kern w:val="0"/>
          <w:sz w:val="24"/>
          <w:szCs w:val="24"/>
          <w:lang w:val="en-US" w:eastAsia="zh-CN" w:bidi="ar-SA"/>
        </w:rPr>
        <w:t>实际完成值为</w:t>
      </w:r>
      <w:r>
        <w:rPr>
          <w:rFonts w:hint="eastAsia" w:ascii="宋体" w:hAnsi="宋体" w:eastAsia="宋体" w:cs="宋体"/>
          <w:color w:val="auto"/>
          <w:sz w:val="24"/>
          <w:szCs w:val="24"/>
        </w:rPr>
        <w:t>100%</w:t>
      </w:r>
      <w:r>
        <w:rPr>
          <w:rFonts w:hint="eastAsia" w:ascii="宋体" w:hAnsi="宋体" w:eastAsia="宋体" w:cs="宋体"/>
          <w:color w:val="auto"/>
          <w:kern w:val="0"/>
          <w:sz w:val="24"/>
          <w:szCs w:val="24"/>
          <w:lang w:val="en-US" w:eastAsia="zh-CN" w:bidi="ar-SA"/>
        </w:rPr>
        <w:t>，指标完成率为100%，与预期目标一致，根据评分标准，该指标不扣分，得3分。</w:t>
      </w:r>
    </w:p>
    <w:p w14:paraId="3E48C01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生活保障资金到位率</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lang w:val="en-US" w:eastAsia="zh-CN" w:bidi="ar-SA"/>
        </w:rPr>
        <w:t>，实际完成值为100%，指标完成率为100%，与预期目标一致，根据评分标准，该指标不扣分，得4分。</w:t>
      </w:r>
    </w:p>
    <w:p w14:paraId="3EAD675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合计得10分。</w:t>
      </w:r>
    </w:p>
    <w:p w14:paraId="466AD085">
      <w:pPr>
        <w:pStyle w:val="10"/>
        <w:pageBreakBefore w:val="0"/>
        <w:widowControl w:val="0"/>
        <w:numPr>
          <w:ilvl w:val="0"/>
          <w:numId w:val="0"/>
        </w:numPr>
        <w:kinsoku/>
        <w:wordWrap/>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对于“产出时效”：</w:t>
      </w:r>
    </w:p>
    <w:p w14:paraId="1DA1A613">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补助资金发放及时率指标，预期指标值为“=100%”，实际完成值为“=100%”，指标完成率为100%，与预期目标一致，根据评分标准，该指标不扣分，得3分。</w:t>
      </w:r>
    </w:p>
    <w:p w14:paraId="4C76B2C0">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项目开始时间，预期指标值为2024年1月，实际完成值为2024年1月，指标完成率为100%，与预期目标一致，根据评分标准，该指标不扣分，得3分。</w:t>
      </w:r>
    </w:p>
    <w:p w14:paraId="2E52AD46">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项目结束时间产出时效指标，预期指标值为2024年12月，实际完成值为2024年12月，指标完成率为100%，与预期目标一致，根据评分标准，该指标不扣分，得4分。</w:t>
      </w:r>
    </w:p>
    <w:p w14:paraId="42259B6A">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lang w:val="en-US" w:eastAsia="zh-CN" w:bidi="ar-SA"/>
        </w:rPr>
      </w:pPr>
    </w:p>
    <w:p w14:paraId="472307BA">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4B84E052">
      <w:pPr>
        <w:pStyle w:val="45"/>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10EE1B3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生活保障资金总成本指标，预期指标值为</w:t>
      </w:r>
      <w:r>
        <w:rPr>
          <w:rFonts w:hint="eastAsia" w:ascii="宋体" w:hAnsi="宋体" w:eastAsia="宋体" w:cs="宋体"/>
          <w:color w:val="auto"/>
          <w:sz w:val="24"/>
          <w:szCs w:val="24"/>
        </w:rPr>
        <w:t>“&lt;=</w:t>
      </w:r>
      <w:r>
        <w:rPr>
          <w:rFonts w:hint="eastAsia" w:ascii="宋体" w:hAnsi="宋体" w:eastAsia="宋体" w:cs="宋体"/>
          <w:color w:val="auto"/>
          <w:sz w:val="24"/>
          <w:szCs w:val="24"/>
          <w:lang w:eastAsia="zh-CN"/>
        </w:rPr>
        <w:t>46.2</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44.77万元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62D11362">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31ECC2B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4C1D3A8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052D861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改善教育教学质量指标，该指标预期指标值为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7C286B87">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p>
    <w:p w14:paraId="3871C7D0">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对于</w:t>
      </w:r>
      <w:bookmarkEnd w:id="13"/>
      <w:r>
        <w:rPr>
          <w:rFonts w:hint="eastAsia" w:ascii="宋体" w:hAnsi="宋体" w:eastAsia="宋体" w:cs="宋体"/>
          <w:b w:val="0"/>
          <w:color w:val="auto"/>
          <w:kern w:val="2"/>
          <w:sz w:val="24"/>
          <w:szCs w:val="24"/>
          <w:lang w:val="en-US" w:eastAsia="zh-CN" w:bidi="ar-SA"/>
        </w:rPr>
        <w:t>学生满意度指标，该指标预期指标值为&gt;=95%，实际完成值为95%，指标完成率为100%，与预期指标一致，根据评分标准，该指标不扣分，得10分。</w:t>
      </w:r>
    </w:p>
    <w:p w14:paraId="444B3AB1">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p>
    <w:p w14:paraId="20216DBF">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6E1B018C">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0176BE40">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46.2</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46.2</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44.77</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96.9</w:t>
      </w:r>
      <w:r>
        <w:rPr>
          <w:rFonts w:hint="eastAsia" w:ascii="宋体" w:hAnsi="宋体" w:eastAsia="宋体" w:cs="宋体"/>
          <w:color w:val="auto"/>
          <w:sz w:val="24"/>
          <w:szCs w:val="24"/>
        </w:rPr>
        <w:t>%。</w:t>
      </w:r>
    </w:p>
    <w:p w14:paraId="205AF3D1">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B5A178F">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3.8</w:t>
      </w:r>
      <w:r>
        <w:rPr>
          <w:rFonts w:hint="eastAsia" w:ascii="宋体" w:hAnsi="宋体" w:eastAsia="宋体" w:cs="宋体"/>
          <w:color w:val="auto"/>
          <w:sz w:val="24"/>
          <w:szCs w:val="24"/>
        </w:rPr>
        <w:t>%。</w:t>
      </w:r>
    </w:p>
    <w:p w14:paraId="32E5F14E">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bookmarkStart w:id="14" w:name="_Toc68364673"/>
    </w:p>
    <w:p w14:paraId="4BE81A8B">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509858A0">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r>
        <w:rPr>
          <w:rFonts w:hint="eastAsia" w:ascii="宋体" w:hAnsi="宋体" w:eastAsia="宋体" w:cs="宋体"/>
          <w:sz w:val="24"/>
          <w:szCs w:val="24"/>
        </w:rPr>
        <w:t>（一）主要经验及做法</w:t>
      </w:r>
      <w:bookmarkEnd w:id="14"/>
    </w:p>
    <w:p w14:paraId="372A9C0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p>
    <w:p w14:paraId="3846787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0384816F">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5" w:name="_Toc68364674"/>
      <w:r>
        <w:rPr>
          <w:rFonts w:hint="eastAsia" w:ascii="宋体" w:hAnsi="宋体" w:eastAsia="宋体" w:cs="宋体"/>
          <w:sz w:val="24"/>
          <w:szCs w:val="24"/>
        </w:rPr>
        <w:t>（二）存在问题及原因分析</w:t>
      </w:r>
      <w:bookmarkEnd w:id="15"/>
    </w:p>
    <w:p w14:paraId="0D96B59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1.项目资金管理环节：</w:t>
      </w:r>
    </w:p>
    <w:p w14:paraId="0097313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问题：项目科目设置不合理，预算未及时调整。</w:t>
      </w:r>
    </w:p>
    <w:p w14:paraId="5CE5D66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原因分析：财务人员专业能力不足缺乏项目核算经验，今后将定期核算。</w:t>
      </w:r>
    </w:p>
    <w:p w14:paraId="62C2985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130B0E7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问题：计划缺乏前瞻性和灵活性，没有考虑到潜在的变化因素。</w:t>
      </w:r>
    </w:p>
    <w:p w14:paraId="75D74A7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原因分析：在制定计划时，缺乏充分的调研和分析。</w:t>
      </w:r>
    </w:p>
    <w:p w14:paraId="2B245E31">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黑体" w:hAnsi="黑体" w:eastAsia="黑体" w:cs="黑体"/>
          <w:sz w:val="24"/>
          <w:szCs w:val="24"/>
        </w:rPr>
      </w:pPr>
      <w:bookmarkStart w:id="16" w:name="_Toc68364675"/>
    </w:p>
    <w:p w14:paraId="5759A454">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color w:val="auto"/>
        </w:rPr>
      </w:pPr>
      <w:r>
        <w:rPr>
          <w:rFonts w:hint="eastAsia" w:ascii="黑体" w:hAnsi="黑体" w:eastAsia="黑体" w:cs="黑体"/>
          <w:color w:val="auto"/>
          <w:sz w:val="24"/>
          <w:szCs w:val="24"/>
        </w:rPr>
        <w:t>七、有关建议</w:t>
      </w:r>
      <w:bookmarkEnd w:id="16"/>
    </w:p>
    <w:p w14:paraId="4AFBC12E">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1.加大绩效工作宣传力度，强化绩效理念充分，与上级沟通，力争科学安排审计项目，做好预算编制，积极加强绩效管理。</w:t>
      </w:r>
    </w:p>
    <w:p w14:paraId="31071AC3">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2、完善绩效指标，提高整体绩效目标质量。提升预算精细化管理水平。</w:t>
      </w:r>
    </w:p>
    <w:p w14:paraId="743FBB76">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3、建立健全财政各项资金管理制度，严格执行财务管理制度，做到了财务处理及时，会计核算规范，严格按照计划进度支付，</w:t>
      </w:r>
    </w:p>
    <w:p w14:paraId="3F08621D">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4、继续完善预算绩效管理相关工作制度，建立全过程预算绩效管理链条，有效贯彻落实全面实施绩效管理的精神。</w:t>
      </w:r>
    </w:p>
    <w:p w14:paraId="21AB1D1D">
      <w:pPr>
        <w:pStyle w:val="57"/>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default"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5、加强系统内各层级人员绩效管理培训，营造绩效管理的良好氛围，注重总结推广先进典型做法，形成系统内案例库，逐步丰富工作成果.</w:t>
      </w:r>
    </w:p>
    <w:p w14:paraId="4C89D980">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bookmarkStart w:id="17" w:name="_Toc68364676"/>
    </w:p>
    <w:p w14:paraId="6D212728">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r>
        <w:rPr>
          <w:rFonts w:hint="eastAsia" w:ascii="宋体" w:hAnsi="宋体" w:eastAsia="宋体" w:cs="宋体"/>
          <w:sz w:val="24"/>
          <w:szCs w:val="24"/>
        </w:rPr>
        <w:t>八、其他需要说明的问题</w:t>
      </w:r>
      <w:bookmarkEnd w:id="17"/>
    </w:p>
    <w:p w14:paraId="038A78A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087932FE">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p>
    <w:p w14:paraId="52E8C16E">
      <w:pPr>
        <w:pageBreakBefore w:val="0"/>
        <w:widowControl w:val="0"/>
        <w:kinsoku/>
        <w:wordWrap/>
        <w:topLinePunct w:val="0"/>
        <w:autoSpaceDE/>
        <w:autoSpaceDN/>
        <w:bidi w:val="0"/>
        <w:adjustRightInd/>
        <w:snapToGrid/>
        <w:spacing w:line="360" w:lineRule="auto"/>
        <w:ind w:left="1436" w:leftChars="170" w:hanging="960" w:hangingChars="4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附件1：专项资金-和地财教【2023】73号：2024年新疆西藏等地区教育特殊补助资金-学前三年免费保障经费-公用经费-洛财教【2024】22号</w:t>
      </w:r>
    </w:p>
    <w:p w14:paraId="48BE9DF2">
      <w:pPr>
        <w:pageBreakBefore w:val="0"/>
        <w:widowControl w:val="0"/>
        <w:kinsoku/>
        <w:wordWrap/>
        <w:topLinePunct w:val="0"/>
        <w:autoSpaceDE/>
        <w:autoSpaceDN/>
        <w:bidi w:val="0"/>
        <w:adjustRightInd/>
        <w:snapToGrid/>
        <w:spacing w:line="360" w:lineRule="auto"/>
        <w:ind w:left="0" w:leftChars="0" w:firstLine="1440" w:firstLineChars="6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项目绩效评价指标体系</w:t>
      </w:r>
    </w:p>
    <w:p w14:paraId="078E2B2A">
      <w:pPr>
        <w:pageBreakBefore w:val="0"/>
        <w:widowControl w:val="0"/>
        <w:kinsoku/>
        <w:wordWrap/>
        <w:topLinePunct w:val="0"/>
        <w:autoSpaceDE/>
        <w:autoSpaceDN/>
        <w:bidi w:val="0"/>
        <w:adjustRightInd/>
        <w:snapToGrid/>
        <w:spacing w:line="360" w:lineRule="auto"/>
        <w:ind w:left="1436" w:leftChars="170" w:hanging="960" w:hangingChars="4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附件2：专项资金-和地财教【2023】73号：2024年新疆西藏等地区教育特殊补助资金-学前三年免费保障经费-公用经费-洛财教【2024】22号</w:t>
      </w:r>
    </w:p>
    <w:p w14:paraId="210F7519">
      <w:pPr>
        <w:pageBreakBefore w:val="0"/>
        <w:widowControl w:val="0"/>
        <w:kinsoku/>
        <w:wordWrap/>
        <w:topLinePunct w:val="0"/>
        <w:autoSpaceDE/>
        <w:autoSpaceDN/>
        <w:bidi w:val="0"/>
        <w:adjustRightInd/>
        <w:snapToGrid/>
        <w:spacing w:line="360" w:lineRule="auto"/>
        <w:ind w:left="0" w:leftChars="0" w:firstLine="1440" w:firstLineChars="6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项目综合得分表</w:t>
      </w:r>
    </w:p>
    <w:p w14:paraId="5DAEE425">
      <w:pPr>
        <w:pageBreakBefore w:val="0"/>
        <w:widowControl w:val="0"/>
        <w:kinsoku/>
        <w:wordWrap/>
        <w:topLinePunct w:val="0"/>
        <w:autoSpaceDE/>
        <w:autoSpaceDN/>
        <w:bidi w:val="0"/>
        <w:adjustRightInd/>
        <w:snapToGrid/>
        <w:spacing w:line="360" w:lineRule="auto"/>
        <w:ind w:left="0" w:leftChars="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附件3：满意度调查问分析情况</w:t>
      </w:r>
    </w:p>
    <w:p w14:paraId="61637CA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17E5CF1D">
      <w:pPr>
        <w:pStyle w:val="10"/>
        <w:ind w:left="0" w:leftChars="0" w:firstLine="0" w:firstLineChars="0"/>
        <w:jc w:val="both"/>
        <w:rPr>
          <w:rFonts w:hint="eastAsia" w:ascii="宋体" w:hAnsi="宋体" w:eastAsia="宋体" w:cs="宋体"/>
          <w:sz w:val="24"/>
          <w:szCs w:val="24"/>
        </w:rPr>
      </w:pPr>
    </w:p>
    <w:p w14:paraId="32AF4911">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363" w:type="pct"/>
        <w:tblInd w:w="-3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603"/>
        <w:gridCol w:w="731"/>
        <w:gridCol w:w="599"/>
        <w:gridCol w:w="717"/>
        <w:gridCol w:w="668"/>
        <w:gridCol w:w="2329"/>
        <w:gridCol w:w="1356"/>
        <w:gridCol w:w="5202"/>
        <w:gridCol w:w="754"/>
        <w:gridCol w:w="582"/>
      </w:tblGrid>
      <w:tr w14:paraId="0382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488" w:type="pct"/>
            <w:gridSpan w:val="2"/>
            <w:tcBorders>
              <w:top w:val="nil"/>
              <w:left w:val="nil"/>
              <w:bottom w:val="nil"/>
              <w:right w:val="nil"/>
            </w:tcBorders>
            <w:noWrap/>
            <w:vAlign w:val="center"/>
          </w:tcPr>
          <w:p w14:paraId="704FD40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255" w:type="pct"/>
            <w:tcBorders>
              <w:top w:val="nil"/>
              <w:left w:val="nil"/>
              <w:bottom w:val="nil"/>
              <w:right w:val="nil"/>
            </w:tcBorders>
            <w:noWrap/>
            <w:vAlign w:val="center"/>
          </w:tcPr>
          <w:p w14:paraId="3D567D1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09" w:type="pct"/>
            <w:tcBorders>
              <w:top w:val="nil"/>
              <w:left w:val="nil"/>
              <w:bottom w:val="nil"/>
              <w:right w:val="nil"/>
            </w:tcBorders>
            <w:noWrap/>
            <w:vAlign w:val="center"/>
          </w:tcPr>
          <w:p w14:paraId="274BA69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50" w:type="pct"/>
            <w:tcBorders>
              <w:top w:val="nil"/>
              <w:left w:val="nil"/>
              <w:bottom w:val="nil"/>
              <w:right w:val="nil"/>
            </w:tcBorders>
            <w:noWrap/>
            <w:vAlign w:val="center"/>
          </w:tcPr>
          <w:p w14:paraId="0B0E251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33" w:type="pct"/>
            <w:tcBorders>
              <w:top w:val="nil"/>
              <w:left w:val="nil"/>
              <w:bottom w:val="nil"/>
              <w:right w:val="nil"/>
            </w:tcBorders>
            <w:noWrap/>
            <w:vAlign w:val="center"/>
          </w:tcPr>
          <w:p w14:paraId="3CB8CED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812" w:type="pct"/>
            <w:tcBorders>
              <w:top w:val="nil"/>
              <w:left w:val="nil"/>
              <w:bottom w:val="nil"/>
              <w:right w:val="nil"/>
            </w:tcBorders>
            <w:noWrap/>
            <w:vAlign w:val="center"/>
          </w:tcPr>
          <w:p w14:paraId="01CA8D0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473" w:type="pct"/>
            <w:tcBorders>
              <w:top w:val="nil"/>
              <w:left w:val="nil"/>
              <w:bottom w:val="nil"/>
              <w:right w:val="nil"/>
            </w:tcBorders>
            <w:noWrap/>
            <w:vAlign w:val="center"/>
          </w:tcPr>
          <w:p w14:paraId="0A68242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1814" w:type="pct"/>
            <w:tcBorders>
              <w:top w:val="nil"/>
              <w:left w:val="nil"/>
              <w:bottom w:val="nil"/>
              <w:right w:val="nil"/>
            </w:tcBorders>
            <w:noWrap/>
            <w:vAlign w:val="center"/>
          </w:tcPr>
          <w:p w14:paraId="2F24788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63" w:type="pct"/>
            <w:tcBorders>
              <w:top w:val="nil"/>
              <w:left w:val="nil"/>
              <w:bottom w:val="nil"/>
              <w:right w:val="nil"/>
            </w:tcBorders>
            <w:noWrap/>
            <w:vAlign w:val="center"/>
          </w:tcPr>
          <w:p w14:paraId="48A34B1B">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198" w:type="pct"/>
            <w:tcBorders>
              <w:top w:val="nil"/>
              <w:left w:val="nil"/>
              <w:bottom w:val="nil"/>
              <w:right w:val="nil"/>
            </w:tcBorders>
            <w:noWrap/>
            <w:vAlign w:val="center"/>
          </w:tcPr>
          <w:p w14:paraId="6813156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r>
      <w:tr w14:paraId="14B0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11"/>
            <w:tcBorders>
              <w:top w:val="nil"/>
            </w:tcBorders>
            <w:noWrap w:val="0"/>
            <w:vAlign w:val="center"/>
          </w:tcPr>
          <w:p w14:paraId="29D7F9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Style w:val="54"/>
                <w:rFonts w:hint="eastAsia" w:ascii="宋体" w:hAnsi="宋体" w:eastAsia="宋体" w:cs="宋体"/>
                <w:sz w:val="21"/>
                <w:szCs w:val="21"/>
                <w:lang w:val="en-US" w:eastAsia="zh-CN"/>
              </w:rPr>
            </w:pPr>
            <w:r>
              <w:rPr>
                <w:rStyle w:val="54"/>
                <w:rFonts w:hint="eastAsia" w:ascii="宋体" w:hAnsi="宋体" w:eastAsia="宋体" w:cs="宋体"/>
                <w:sz w:val="21"/>
                <w:szCs w:val="21"/>
                <w:lang w:val="en-US" w:eastAsia="zh-CN"/>
              </w:rPr>
              <w:t>专项资金-和地财教【2023】73号：2024年新疆西藏等地区教育特殊补助资金-学前三年免费保障经费-</w:t>
            </w:r>
          </w:p>
          <w:p w14:paraId="76F198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1"/>
                <w:szCs w:val="21"/>
                <w:u w:val="none"/>
              </w:rPr>
            </w:pPr>
            <w:r>
              <w:rPr>
                <w:rStyle w:val="54"/>
                <w:rFonts w:hint="eastAsia" w:ascii="宋体" w:hAnsi="宋体" w:eastAsia="宋体" w:cs="宋体"/>
                <w:sz w:val="21"/>
                <w:szCs w:val="21"/>
                <w:lang w:val="en-US" w:eastAsia="zh-CN"/>
              </w:rPr>
              <w:t>公用经费-洛财教【2024】22号项目绩效评价指标体系综合评分表</w:t>
            </w:r>
          </w:p>
        </w:tc>
      </w:tr>
      <w:tr w14:paraId="524B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8" w:type="pct"/>
            <w:noWrap w:val="0"/>
            <w:vAlign w:val="center"/>
          </w:tcPr>
          <w:p w14:paraId="7BC6F7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209" w:type="pct"/>
            <w:noWrap w:val="0"/>
            <w:vAlign w:val="center"/>
          </w:tcPr>
          <w:p w14:paraId="6B8F21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55" w:type="pct"/>
            <w:noWrap w:val="0"/>
            <w:vAlign w:val="center"/>
          </w:tcPr>
          <w:p w14:paraId="4D820D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209" w:type="pct"/>
            <w:noWrap w:val="0"/>
            <w:vAlign w:val="center"/>
          </w:tcPr>
          <w:p w14:paraId="64B6C4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50" w:type="pct"/>
            <w:noWrap w:val="0"/>
            <w:vAlign w:val="center"/>
          </w:tcPr>
          <w:p w14:paraId="1DEBF6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233" w:type="pct"/>
            <w:noWrap w:val="0"/>
            <w:vAlign w:val="center"/>
          </w:tcPr>
          <w:p w14:paraId="195414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812" w:type="pct"/>
            <w:noWrap w:val="0"/>
            <w:vAlign w:val="center"/>
          </w:tcPr>
          <w:p w14:paraId="3766B0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473" w:type="pct"/>
            <w:noWrap w:val="0"/>
            <w:vAlign w:val="center"/>
          </w:tcPr>
          <w:p w14:paraId="51C06F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814" w:type="pct"/>
            <w:noWrap w:val="0"/>
            <w:vAlign w:val="center"/>
          </w:tcPr>
          <w:p w14:paraId="439BA1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263" w:type="pct"/>
            <w:noWrap w:val="0"/>
            <w:vAlign w:val="center"/>
          </w:tcPr>
          <w:p w14:paraId="777E7D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198" w:type="pct"/>
            <w:noWrap w:val="0"/>
            <w:vAlign w:val="center"/>
          </w:tcPr>
          <w:p w14:paraId="4A34F6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48EDD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trPr>
        <w:tc>
          <w:tcPr>
            <w:tcW w:w="278" w:type="pct"/>
            <w:vMerge w:val="restart"/>
            <w:noWrap w:val="0"/>
            <w:vAlign w:val="center"/>
          </w:tcPr>
          <w:p w14:paraId="160F9D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209" w:type="pct"/>
            <w:vMerge w:val="restart"/>
            <w:noWrap w:val="0"/>
            <w:vAlign w:val="center"/>
          </w:tcPr>
          <w:p w14:paraId="7BA764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255" w:type="pct"/>
            <w:vMerge w:val="restart"/>
            <w:noWrap w:val="0"/>
            <w:vAlign w:val="center"/>
          </w:tcPr>
          <w:p w14:paraId="0023BB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209" w:type="pct"/>
            <w:vMerge w:val="restart"/>
            <w:noWrap w:val="0"/>
            <w:vAlign w:val="center"/>
          </w:tcPr>
          <w:p w14:paraId="2A5BE9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50" w:type="pct"/>
            <w:noWrap w:val="0"/>
            <w:vAlign w:val="center"/>
          </w:tcPr>
          <w:p w14:paraId="568BF8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233" w:type="pct"/>
            <w:noWrap w:val="0"/>
            <w:vAlign w:val="center"/>
          </w:tcPr>
          <w:p w14:paraId="60E970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812" w:type="pct"/>
            <w:noWrap w:val="0"/>
            <w:vAlign w:val="center"/>
          </w:tcPr>
          <w:p w14:paraId="13C697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473" w:type="pct"/>
            <w:noWrap w:val="0"/>
            <w:vAlign w:val="center"/>
          </w:tcPr>
          <w:p w14:paraId="332C03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814" w:type="pct"/>
            <w:noWrap w:val="0"/>
            <w:vAlign w:val="center"/>
          </w:tcPr>
          <w:p w14:paraId="59CE53B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1140513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17835F1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52568C2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7A1B8B7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5D6F32A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263" w:type="pct"/>
            <w:noWrap w:val="0"/>
            <w:vAlign w:val="center"/>
          </w:tcPr>
          <w:p w14:paraId="481A8B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98" w:type="pct"/>
            <w:noWrap w:val="0"/>
            <w:vAlign w:val="center"/>
          </w:tcPr>
          <w:p w14:paraId="31AD72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67E7D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78" w:type="pct"/>
            <w:vMerge w:val="continue"/>
            <w:noWrap w:val="0"/>
            <w:vAlign w:val="center"/>
          </w:tcPr>
          <w:p w14:paraId="0532BB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5121A2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continue"/>
            <w:noWrap w:val="0"/>
            <w:vAlign w:val="center"/>
          </w:tcPr>
          <w:p w14:paraId="2526AE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253128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0" w:type="pct"/>
            <w:noWrap w:val="0"/>
            <w:vAlign w:val="center"/>
          </w:tcPr>
          <w:p w14:paraId="0D8F2F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233" w:type="pct"/>
            <w:noWrap w:val="0"/>
            <w:vAlign w:val="center"/>
          </w:tcPr>
          <w:p w14:paraId="39C207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812" w:type="pct"/>
            <w:noWrap w:val="0"/>
            <w:vAlign w:val="center"/>
          </w:tcPr>
          <w:p w14:paraId="7D11E9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473" w:type="pct"/>
            <w:noWrap w:val="0"/>
            <w:vAlign w:val="center"/>
          </w:tcPr>
          <w:p w14:paraId="78D3C4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814" w:type="pct"/>
            <w:noWrap w:val="0"/>
            <w:vAlign w:val="center"/>
          </w:tcPr>
          <w:p w14:paraId="66EF6F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06A52C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668D14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69FB65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263" w:type="pct"/>
            <w:noWrap w:val="0"/>
            <w:vAlign w:val="center"/>
          </w:tcPr>
          <w:p w14:paraId="3BFF5A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98" w:type="pct"/>
            <w:noWrap w:val="0"/>
            <w:vAlign w:val="center"/>
          </w:tcPr>
          <w:p w14:paraId="44C0D0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36FB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278" w:type="pct"/>
            <w:vMerge w:val="continue"/>
            <w:noWrap w:val="0"/>
            <w:vAlign w:val="center"/>
          </w:tcPr>
          <w:p w14:paraId="4DCAA2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13CB22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restart"/>
            <w:noWrap w:val="0"/>
            <w:vAlign w:val="center"/>
          </w:tcPr>
          <w:p w14:paraId="1C4C98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209" w:type="pct"/>
            <w:vMerge w:val="restart"/>
            <w:noWrap w:val="0"/>
            <w:vAlign w:val="center"/>
          </w:tcPr>
          <w:p w14:paraId="101802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0" w:type="pct"/>
            <w:noWrap w:val="0"/>
            <w:vAlign w:val="center"/>
          </w:tcPr>
          <w:p w14:paraId="317457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233" w:type="pct"/>
            <w:noWrap w:val="0"/>
            <w:vAlign w:val="center"/>
          </w:tcPr>
          <w:p w14:paraId="761D96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812" w:type="pct"/>
            <w:noWrap w:val="0"/>
            <w:vAlign w:val="center"/>
          </w:tcPr>
          <w:p w14:paraId="0B64EE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473" w:type="pct"/>
            <w:noWrap w:val="0"/>
            <w:vAlign w:val="center"/>
          </w:tcPr>
          <w:p w14:paraId="1F5DEE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814" w:type="pct"/>
            <w:noWrap w:val="0"/>
            <w:vAlign w:val="center"/>
          </w:tcPr>
          <w:p w14:paraId="1135AA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32E673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1B0882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251D7F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7FC922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263" w:type="pct"/>
            <w:noWrap w:val="0"/>
            <w:vAlign w:val="center"/>
          </w:tcPr>
          <w:p w14:paraId="24ED77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98" w:type="pct"/>
            <w:noWrap w:val="0"/>
            <w:vAlign w:val="center"/>
          </w:tcPr>
          <w:p w14:paraId="0FDEF9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1B5A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278" w:type="pct"/>
            <w:vMerge w:val="continue"/>
            <w:noWrap w:val="0"/>
            <w:vAlign w:val="center"/>
          </w:tcPr>
          <w:p w14:paraId="62EECC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02C9CD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continue"/>
            <w:noWrap w:val="0"/>
            <w:vAlign w:val="center"/>
          </w:tcPr>
          <w:p w14:paraId="48C64F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6D1C65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0" w:type="pct"/>
            <w:noWrap w:val="0"/>
            <w:vAlign w:val="center"/>
          </w:tcPr>
          <w:p w14:paraId="7B593F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233" w:type="pct"/>
            <w:noWrap w:val="0"/>
            <w:vAlign w:val="center"/>
          </w:tcPr>
          <w:p w14:paraId="1866F8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812" w:type="pct"/>
            <w:noWrap w:val="0"/>
            <w:vAlign w:val="center"/>
          </w:tcPr>
          <w:p w14:paraId="4C1810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473" w:type="pct"/>
            <w:noWrap w:val="0"/>
            <w:vAlign w:val="center"/>
          </w:tcPr>
          <w:p w14:paraId="30AA58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814" w:type="pct"/>
            <w:noWrap w:val="0"/>
            <w:vAlign w:val="center"/>
          </w:tcPr>
          <w:p w14:paraId="737F54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4444A8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17AFAD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5EE203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263" w:type="pct"/>
            <w:noWrap w:val="0"/>
            <w:vAlign w:val="center"/>
          </w:tcPr>
          <w:p w14:paraId="347D44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98" w:type="pct"/>
            <w:noWrap w:val="0"/>
            <w:vAlign w:val="center"/>
          </w:tcPr>
          <w:p w14:paraId="1CC7F2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5BAE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8" w:type="pct"/>
            <w:vMerge w:val="continue"/>
            <w:noWrap w:val="0"/>
            <w:vAlign w:val="center"/>
          </w:tcPr>
          <w:p w14:paraId="2765D7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74A9C8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restart"/>
            <w:noWrap w:val="0"/>
            <w:vAlign w:val="center"/>
          </w:tcPr>
          <w:p w14:paraId="01F5ED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209" w:type="pct"/>
            <w:vMerge w:val="restart"/>
            <w:noWrap w:val="0"/>
            <w:vAlign w:val="center"/>
          </w:tcPr>
          <w:p w14:paraId="579710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250" w:type="pct"/>
            <w:noWrap w:val="0"/>
            <w:vAlign w:val="center"/>
          </w:tcPr>
          <w:p w14:paraId="2C9CAD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233" w:type="pct"/>
            <w:noWrap w:val="0"/>
            <w:vAlign w:val="center"/>
          </w:tcPr>
          <w:p w14:paraId="0925E3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812" w:type="pct"/>
            <w:noWrap w:val="0"/>
            <w:vAlign w:val="center"/>
          </w:tcPr>
          <w:p w14:paraId="3CD79D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473" w:type="pct"/>
            <w:noWrap w:val="0"/>
            <w:vAlign w:val="center"/>
          </w:tcPr>
          <w:p w14:paraId="05F504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814" w:type="pct"/>
            <w:noWrap w:val="0"/>
            <w:vAlign w:val="center"/>
          </w:tcPr>
          <w:p w14:paraId="519B67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4322BD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5EA7D3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759FB2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2B5936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263" w:type="pct"/>
            <w:noWrap w:val="0"/>
            <w:vAlign w:val="center"/>
          </w:tcPr>
          <w:p w14:paraId="5CBCD7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98" w:type="pct"/>
            <w:noWrap w:val="0"/>
            <w:vAlign w:val="center"/>
          </w:tcPr>
          <w:p w14:paraId="2AAA2A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7B97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278" w:type="pct"/>
            <w:vMerge w:val="continue"/>
            <w:noWrap w:val="0"/>
            <w:vAlign w:val="center"/>
          </w:tcPr>
          <w:p w14:paraId="580881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4275C6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continue"/>
            <w:noWrap w:val="0"/>
            <w:vAlign w:val="center"/>
          </w:tcPr>
          <w:p w14:paraId="322E93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1F9FFE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0" w:type="pct"/>
            <w:noWrap w:val="0"/>
            <w:vAlign w:val="center"/>
          </w:tcPr>
          <w:p w14:paraId="20A26F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233" w:type="pct"/>
            <w:noWrap w:val="0"/>
            <w:vAlign w:val="center"/>
          </w:tcPr>
          <w:p w14:paraId="7F420B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812" w:type="pct"/>
            <w:noWrap w:val="0"/>
            <w:vAlign w:val="center"/>
          </w:tcPr>
          <w:p w14:paraId="31032E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473" w:type="pct"/>
            <w:noWrap w:val="0"/>
            <w:vAlign w:val="center"/>
          </w:tcPr>
          <w:p w14:paraId="78E89E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814" w:type="pct"/>
            <w:noWrap w:val="0"/>
            <w:vAlign w:val="center"/>
          </w:tcPr>
          <w:p w14:paraId="6416C5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714E5E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269C3B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263" w:type="pct"/>
            <w:noWrap w:val="0"/>
            <w:vAlign w:val="center"/>
          </w:tcPr>
          <w:p w14:paraId="73E575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98" w:type="pct"/>
            <w:noWrap w:val="0"/>
            <w:vAlign w:val="center"/>
          </w:tcPr>
          <w:p w14:paraId="499696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043E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78" w:type="pct"/>
            <w:vMerge w:val="restart"/>
            <w:noWrap w:val="0"/>
            <w:vAlign w:val="center"/>
          </w:tcPr>
          <w:p w14:paraId="1EFCF4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209" w:type="pct"/>
            <w:vMerge w:val="restart"/>
            <w:noWrap w:val="0"/>
            <w:vAlign w:val="center"/>
          </w:tcPr>
          <w:p w14:paraId="5F8D75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255" w:type="pct"/>
            <w:vMerge w:val="restart"/>
            <w:noWrap w:val="0"/>
            <w:vAlign w:val="center"/>
          </w:tcPr>
          <w:p w14:paraId="6EE081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209" w:type="pct"/>
            <w:vMerge w:val="restart"/>
            <w:noWrap w:val="0"/>
            <w:vAlign w:val="center"/>
          </w:tcPr>
          <w:p w14:paraId="1CE68D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50" w:type="pct"/>
            <w:noWrap w:val="0"/>
            <w:vAlign w:val="center"/>
          </w:tcPr>
          <w:p w14:paraId="725712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233" w:type="pct"/>
            <w:noWrap w:val="0"/>
            <w:vAlign w:val="center"/>
          </w:tcPr>
          <w:p w14:paraId="41A7A0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812" w:type="pct"/>
            <w:noWrap w:val="0"/>
            <w:vAlign w:val="center"/>
          </w:tcPr>
          <w:p w14:paraId="545ACC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473" w:type="pct"/>
            <w:noWrap w:val="0"/>
            <w:vAlign w:val="center"/>
          </w:tcPr>
          <w:p w14:paraId="6826A0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814" w:type="pct"/>
            <w:noWrap w:val="0"/>
            <w:vAlign w:val="center"/>
          </w:tcPr>
          <w:p w14:paraId="767517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67B59A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263" w:type="pct"/>
            <w:noWrap w:val="0"/>
            <w:vAlign w:val="center"/>
          </w:tcPr>
          <w:p w14:paraId="086A30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98" w:type="pct"/>
            <w:noWrap w:val="0"/>
            <w:vAlign w:val="center"/>
          </w:tcPr>
          <w:p w14:paraId="642A89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r>
      <w:tr w14:paraId="76E2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278" w:type="pct"/>
            <w:vMerge w:val="continue"/>
            <w:noWrap w:val="0"/>
            <w:vAlign w:val="center"/>
          </w:tcPr>
          <w:p w14:paraId="28AB7C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6A7987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continue"/>
            <w:noWrap w:val="0"/>
            <w:vAlign w:val="center"/>
          </w:tcPr>
          <w:p w14:paraId="786AEE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76E689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0" w:type="pct"/>
            <w:noWrap w:val="0"/>
            <w:vAlign w:val="center"/>
          </w:tcPr>
          <w:p w14:paraId="1DEBF9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233" w:type="pct"/>
            <w:noWrap w:val="0"/>
            <w:vAlign w:val="center"/>
          </w:tcPr>
          <w:p w14:paraId="155802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812" w:type="pct"/>
            <w:noWrap w:val="0"/>
            <w:vAlign w:val="center"/>
          </w:tcPr>
          <w:p w14:paraId="01940D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473" w:type="pct"/>
            <w:noWrap w:val="0"/>
            <w:vAlign w:val="center"/>
          </w:tcPr>
          <w:p w14:paraId="37B252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814" w:type="pct"/>
            <w:noWrap w:val="0"/>
            <w:vAlign w:val="center"/>
          </w:tcPr>
          <w:p w14:paraId="04F019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43A706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263" w:type="pct"/>
            <w:noWrap w:val="0"/>
            <w:vAlign w:val="center"/>
          </w:tcPr>
          <w:p w14:paraId="59ED17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96.9%</w:t>
            </w:r>
          </w:p>
        </w:tc>
        <w:tc>
          <w:tcPr>
            <w:tcW w:w="198" w:type="pct"/>
            <w:noWrap w:val="0"/>
            <w:vAlign w:val="center"/>
          </w:tcPr>
          <w:p w14:paraId="040DE7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1.94</w:t>
            </w:r>
          </w:p>
        </w:tc>
      </w:tr>
      <w:tr w14:paraId="47AC8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278" w:type="pct"/>
            <w:vMerge w:val="continue"/>
            <w:noWrap w:val="0"/>
            <w:vAlign w:val="center"/>
          </w:tcPr>
          <w:p w14:paraId="574C7D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6BF955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continue"/>
            <w:noWrap w:val="0"/>
            <w:vAlign w:val="center"/>
          </w:tcPr>
          <w:p w14:paraId="4CF7B2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7530E9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0" w:type="pct"/>
            <w:noWrap w:val="0"/>
            <w:vAlign w:val="center"/>
          </w:tcPr>
          <w:p w14:paraId="697926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233" w:type="pct"/>
            <w:noWrap w:val="0"/>
            <w:vAlign w:val="center"/>
          </w:tcPr>
          <w:p w14:paraId="1834D2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812" w:type="pct"/>
            <w:noWrap w:val="0"/>
            <w:vAlign w:val="center"/>
          </w:tcPr>
          <w:p w14:paraId="33C88D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473" w:type="pct"/>
            <w:noWrap w:val="0"/>
            <w:vAlign w:val="center"/>
          </w:tcPr>
          <w:p w14:paraId="2F9FC5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814" w:type="pct"/>
            <w:noWrap w:val="0"/>
            <w:vAlign w:val="center"/>
          </w:tcPr>
          <w:p w14:paraId="7481D1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18B8B6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02CA17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7B9743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22AA3D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263" w:type="pct"/>
            <w:noWrap w:val="0"/>
            <w:vAlign w:val="center"/>
          </w:tcPr>
          <w:p w14:paraId="403D76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98" w:type="pct"/>
            <w:noWrap w:val="0"/>
            <w:vAlign w:val="center"/>
          </w:tcPr>
          <w:p w14:paraId="2CD6C2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31DF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8" w:type="pct"/>
            <w:vMerge w:val="continue"/>
            <w:noWrap w:val="0"/>
            <w:vAlign w:val="center"/>
          </w:tcPr>
          <w:p w14:paraId="72349C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4BED6A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restart"/>
            <w:noWrap w:val="0"/>
            <w:vAlign w:val="center"/>
          </w:tcPr>
          <w:p w14:paraId="7F1EDF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209" w:type="pct"/>
            <w:vMerge w:val="restart"/>
            <w:noWrap w:val="0"/>
            <w:vAlign w:val="center"/>
          </w:tcPr>
          <w:p w14:paraId="6C5296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50" w:type="pct"/>
            <w:noWrap w:val="0"/>
            <w:vAlign w:val="center"/>
          </w:tcPr>
          <w:p w14:paraId="3A4760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233" w:type="pct"/>
            <w:noWrap w:val="0"/>
            <w:vAlign w:val="center"/>
          </w:tcPr>
          <w:p w14:paraId="176D48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812" w:type="pct"/>
            <w:noWrap w:val="0"/>
            <w:vAlign w:val="center"/>
          </w:tcPr>
          <w:p w14:paraId="1D08C0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473" w:type="pct"/>
            <w:noWrap w:val="0"/>
            <w:vAlign w:val="center"/>
          </w:tcPr>
          <w:p w14:paraId="4EA29E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814" w:type="pct"/>
            <w:noWrap w:val="0"/>
            <w:vAlign w:val="center"/>
          </w:tcPr>
          <w:p w14:paraId="09BE6F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18C934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1C3514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263" w:type="pct"/>
            <w:noWrap w:val="0"/>
            <w:vAlign w:val="center"/>
          </w:tcPr>
          <w:p w14:paraId="29172C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98" w:type="pct"/>
            <w:noWrap w:val="0"/>
            <w:vAlign w:val="center"/>
          </w:tcPr>
          <w:p w14:paraId="12DBAA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4F61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278" w:type="pct"/>
            <w:vMerge w:val="continue"/>
            <w:noWrap w:val="0"/>
            <w:vAlign w:val="center"/>
          </w:tcPr>
          <w:p w14:paraId="320D8D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11FA83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continue"/>
            <w:noWrap w:val="0"/>
            <w:vAlign w:val="center"/>
          </w:tcPr>
          <w:p w14:paraId="166758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7A68A4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0" w:type="pct"/>
            <w:noWrap w:val="0"/>
            <w:vAlign w:val="center"/>
          </w:tcPr>
          <w:p w14:paraId="71AA5E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233" w:type="pct"/>
            <w:noWrap w:val="0"/>
            <w:vAlign w:val="center"/>
          </w:tcPr>
          <w:p w14:paraId="66A9FE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812" w:type="pct"/>
            <w:noWrap w:val="0"/>
            <w:vAlign w:val="center"/>
          </w:tcPr>
          <w:p w14:paraId="4F08C9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473" w:type="pct"/>
            <w:noWrap w:val="0"/>
            <w:vAlign w:val="center"/>
          </w:tcPr>
          <w:p w14:paraId="578066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814" w:type="pct"/>
            <w:noWrap w:val="0"/>
            <w:vAlign w:val="center"/>
          </w:tcPr>
          <w:p w14:paraId="72CB8E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6351B9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0B304A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0FA94E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263" w:type="pct"/>
            <w:noWrap w:val="0"/>
            <w:vAlign w:val="center"/>
          </w:tcPr>
          <w:p w14:paraId="7842A3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98" w:type="pct"/>
            <w:noWrap w:val="0"/>
            <w:vAlign w:val="center"/>
          </w:tcPr>
          <w:p w14:paraId="4F356F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58B8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278" w:type="pct"/>
            <w:vMerge w:val="restart"/>
            <w:noWrap w:val="0"/>
            <w:vAlign w:val="center"/>
          </w:tcPr>
          <w:p w14:paraId="159DEF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209" w:type="pct"/>
            <w:vMerge w:val="restart"/>
            <w:noWrap w:val="0"/>
            <w:vAlign w:val="center"/>
          </w:tcPr>
          <w:p w14:paraId="64747E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255" w:type="pct"/>
            <w:noWrap w:val="0"/>
            <w:vAlign w:val="center"/>
          </w:tcPr>
          <w:p w14:paraId="03BC12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209" w:type="pct"/>
            <w:noWrap w:val="0"/>
            <w:vAlign w:val="center"/>
          </w:tcPr>
          <w:p w14:paraId="40DE9C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0" w:type="pct"/>
            <w:noWrap w:val="0"/>
            <w:vAlign w:val="center"/>
          </w:tcPr>
          <w:p w14:paraId="31ECBF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233" w:type="pct"/>
            <w:noWrap w:val="0"/>
            <w:vAlign w:val="center"/>
          </w:tcPr>
          <w:p w14:paraId="58D15A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812" w:type="pct"/>
            <w:noWrap w:val="0"/>
            <w:vAlign w:val="center"/>
          </w:tcPr>
          <w:p w14:paraId="08E04E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补助发放人数</w:t>
            </w:r>
          </w:p>
        </w:tc>
        <w:tc>
          <w:tcPr>
            <w:tcW w:w="473" w:type="pct"/>
            <w:noWrap w:val="0"/>
            <w:vAlign w:val="center"/>
          </w:tcPr>
          <w:p w14:paraId="1375A7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=177人</w:t>
            </w:r>
          </w:p>
        </w:tc>
        <w:tc>
          <w:tcPr>
            <w:tcW w:w="1814" w:type="pct"/>
            <w:noWrap w:val="0"/>
            <w:vAlign w:val="center"/>
          </w:tcPr>
          <w:p w14:paraId="7D6C2B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①实际完成率≥100%，且偏离程度＜20%，得满分；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②实际完成率≥100%，偏离程度≥20%，得0分；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263" w:type="pct"/>
            <w:noWrap w:val="0"/>
            <w:vAlign w:val="center"/>
          </w:tcPr>
          <w:p w14:paraId="75395A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177</w:t>
            </w:r>
            <w:r>
              <w:rPr>
                <w:rFonts w:hint="eastAsia" w:ascii="宋体" w:hAnsi="宋体" w:eastAsia="宋体" w:cs="宋体"/>
                <w:i w:val="0"/>
                <w:iCs w:val="0"/>
                <w:color w:val="000000"/>
                <w:sz w:val="21"/>
                <w:szCs w:val="21"/>
                <w:u w:val="none"/>
              </w:rPr>
              <w:t>人</w:t>
            </w:r>
          </w:p>
        </w:tc>
        <w:tc>
          <w:tcPr>
            <w:tcW w:w="198" w:type="pct"/>
            <w:noWrap w:val="0"/>
            <w:vAlign w:val="center"/>
          </w:tcPr>
          <w:p w14:paraId="7DF523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362E8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78" w:type="pct"/>
            <w:vMerge w:val="continue"/>
            <w:noWrap w:val="0"/>
            <w:vAlign w:val="center"/>
          </w:tcPr>
          <w:p w14:paraId="4367E9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79D6C9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restart"/>
            <w:noWrap w:val="0"/>
            <w:vAlign w:val="center"/>
          </w:tcPr>
          <w:p w14:paraId="7D8B1E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209" w:type="pct"/>
            <w:vMerge w:val="restart"/>
            <w:noWrap w:val="0"/>
            <w:vAlign w:val="center"/>
          </w:tcPr>
          <w:p w14:paraId="3922D0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0" w:type="pct"/>
            <w:vMerge w:val="restart"/>
            <w:noWrap w:val="0"/>
            <w:vAlign w:val="center"/>
          </w:tcPr>
          <w:p w14:paraId="072E26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233" w:type="pct"/>
            <w:vMerge w:val="restart"/>
            <w:noWrap w:val="0"/>
            <w:vAlign w:val="center"/>
          </w:tcPr>
          <w:p w14:paraId="7FC5D9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812" w:type="pct"/>
            <w:noWrap w:val="0"/>
            <w:vAlign w:val="center"/>
          </w:tcPr>
          <w:p w14:paraId="01754D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补助覆盖率</w:t>
            </w:r>
          </w:p>
        </w:tc>
        <w:tc>
          <w:tcPr>
            <w:tcW w:w="473" w:type="pct"/>
            <w:noWrap w:val="0"/>
            <w:vAlign w:val="center"/>
          </w:tcPr>
          <w:p w14:paraId="04E969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814" w:type="pct"/>
            <w:vMerge w:val="restart"/>
            <w:noWrap w:val="0"/>
            <w:vAlign w:val="center"/>
          </w:tcPr>
          <w:p w14:paraId="75728B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p w14:paraId="4E551F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263" w:type="pct"/>
            <w:noWrap w:val="0"/>
            <w:vAlign w:val="center"/>
          </w:tcPr>
          <w:p w14:paraId="7D5A5A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000000"/>
                <w:sz w:val="21"/>
                <w:szCs w:val="21"/>
                <w:u w:val="none"/>
              </w:rPr>
              <w:t>100%</w:t>
            </w:r>
          </w:p>
        </w:tc>
        <w:tc>
          <w:tcPr>
            <w:tcW w:w="198" w:type="pct"/>
            <w:noWrap w:val="0"/>
            <w:vAlign w:val="center"/>
          </w:tcPr>
          <w:p w14:paraId="5B6126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1507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278" w:type="pct"/>
            <w:vMerge w:val="continue"/>
            <w:noWrap w:val="0"/>
            <w:vAlign w:val="center"/>
          </w:tcPr>
          <w:p w14:paraId="1F3F9F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9" w:type="pct"/>
            <w:vMerge w:val="continue"/>
            <w:noWrap w:val="0"/>
            <w:vAlign w:val="center"/>
          </w:tcPr>
          <w:p w14:paraId="6BFC6C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55" w:type="pct"/>
            <w:vMerge w:val="continue"/>
            <w:noWrap w:val="0"/>
            <w:vAlign w:val="center"/>
          </w:tcPr>
          <w:p w14:paraId="5C4904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9" w:type="pct"/>
            <w:vMerge w:val="continue"/>
            <w:noWrap w:val="0"/>
            <w:vAlign w:val="center"/>
          </w:tcPr>
          <w:p w14:paraId="5373AC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50" w:type="pct"/>
            <w:vMerge w:val="continue"/>
            <w:noWrap w:val="0"/>
            <w:vAlign w:val="center"/>
          </w:tcPr>
          <w:p w14:paraId="1840C8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33" w:type="pct"/>
            <w:vMerge w:val="continue"/>
            <w:noWrap w:val="0"/>
            <w:vAlign w:val="center"/>
          </w:tcPr>
          <w:p w14:paraId="122BDA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812" w:type="pct"/>
            <w:noWrap w:val="0"/>
            <w:vAlign w:val="center"/>
          </w:tcPr>
          <w:p w14:paraId="3E59A0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补助金发放率</w:t>
            </w:r>
          </w:p>
        </w:tc>
        <w:tc>
          <w:tcPr>
            <w:tcW w:w="473" w:type="pct"/>
            <w:noWrap w:val="0"/>
            <w:vAlign w:val="center"/>
          </w:tcPr>
          <w:p w14:paraId="59BB44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814" w:type="pct"/>
            <w:vMerge w:val="continue"/>
            <w:noWrap w:val="0"/>
            <w:vAlign w:val="center"/>
          </w:tcPr>
          <w:p w14:paraId="6072D3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3" w:type="pct"/>
            <w:noWrap w:val="0"/>
            <w:vAlign w:val="center"/>
          </w:tcPr>
          <w:p w14:paraId="12CACC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98" w:type="pct"/>
            <w:noWrap w:val="0"/>
            <w:vAlign w:val="center"/>
          </w:tcPr>
          <w:p w14:paraId="37903F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6628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8" w:type="pct"/>
            <w:vMerge w:val="continue"/>
            <w:noWrap w:val="0"/>
            <w:vAlign w:val="center"/>
          </w:tcPr>
          <w:p w14:paraId="42082A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9" w:type="pct"/>
            <w:vMerge w:val="continue"/>
            <w:noWrap w:val="0"/>
            <w:vAlign w:val="center"/>
          </w:tcPr>
          <w:p w14:paraId="5C41C5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55" w:type="pct"/>
            <w:vMerge w:val="continue"/>
            <w:noWrap w:val="0"/>
            <w:vAlign w:val="center"/>
          </w:tcPr>
          <w:p w14:paraId="5228B8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9" w:type="pct"/>
            <w:vMerge w:val="continue"/>
            <w:noWrap w:val="0"/>
            <w:vAlign w:val="center"/>
          </w:tcPr>
          <w:p w14:paraId="5FCA89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50" w:type="pct"/>
            <w:vMerge w:val="continue"/>
            <w:noWrap w:val="0"/>
            <w:vAlign w:val="center"/>
          </w:tcPr>
          <w:p w14:paraId="4BC0E1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33" w:type="pct"/>
            <w:vMerge w:val="continue"/>
            <w:noWrap w:val="0"/>
            <w:vAlign w:val="center"/>
          </w:tcPr>
          <w:p w14:paraId="154C95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812" w:type="pct"/>
            <w:noWrap w:val="0"/>
            <w:vAlign w:val="center"/>
          </w:tcPr>
          <w:p w14:paraId="599580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补助资金发放及时率</w:t>
            </w:r>
          </w:p>
        </w:tc>
        <w:tc>
          <w:tcPr>
            <w:tcW w:w="473" w:type="pct"/>
            <w:noWrap w:val="0"/>
            <w:vAlign w:val="center"/>
          </w:tcPr>
          <w:p w14:paraId="47EBE1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814" w:type="pct"/>
            <w:vMerge w:val="continue"/>
            <w:noWrap w:val="0"/>
            <w:vAlign w:val="center"/>
          </w:tcPr>
          <w:p w14:paraId="70FD2E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3" w:type="pct"/>
            <w:noWrap w:val="0"/>
            <w:vAlign w:val="center"/>
          </w:tcPr>
          <w:p w14:paraId="3567ED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98" w:type="pct"/>
            <w:noWrap w:val="0"/>
            <w:vAlign w:val="center"/>
          </w:tcPr>
          <w:p w14:paraId="56E441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2242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78" w:type="pct"/>
            <w:vMerge w:val="continue"/>
            <w:noWrap w:val="0"/>
            <w:vAlign w:val="center"/>
          </w:tcPr>
          <w:p w14:paraId="480D77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548DFC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restart"/>
            <w:noWrap w:val="0"/>
            <w:vAlign w:val="center"/>
          </w:tcPr>
          <w:p w14:paraId="7DB205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209" w:type="pct"/>
            <w:vMerge w:val="restart"/>
            <w:noWrap w:val="0"/>
            <w:vAlign w:val="center"/>
          </w:tcPr>
          <w:p w14:paraId="632D96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0" w:type="pct"/>
            <w:vMerge w:val="restart"/>
            <w:noWrap w:val="0"/>
            <w:vAlign w:val="center"/>
          </w:tcPr>
          <w:p w14:paraId="375DC6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233" w:type="pct"/>
            <w:vMerge w:val="restart"/>
            <w:noWrap w:val="0"/>
            <w:vAlign w:val="center"/>
          </w:tcPr>
          <w:p w14:paraId="596058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812" w:type="pct"/>
            <w:noWrap w:val="0"/>
            <w:vAlign w:val="center"/>
          </w:tcPr>
          <w:p w14:paraId="0D0482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补助资金发放及时率</w:t>
            </w:r>
          </w:p>
        </w:tc>
        <w:tc>
          <w:tcPr>
            <w:tcW w:w="473" w:type="pct"/>
            <w:noWrap w:val="0"/>
            <w:vAlign w:val="center"/>
          </w:tcPr>
          <w:p w14:paraId="62A4B3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814" w:type="pct"/>
            <w:vMerge w:val="restart"/>
            <w:noWrap w:val="0"/>
            <w:vAlign w:val="center"/>
          </w:tcPr>
          <w:p w14:paraId="3D1BA2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59085C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263" w:type="pct"/>
            <w:noWrap w:val="0"/>
            <w:vAlign w:val="center"/>
          </w:tcPr>
          <w:p w14:paraId="435736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98" w:type="pct"/>
            <w:noWrap w:val="0"/>
            <w:vAlign w:val="center"/>
          </w:tcPr>
          <w:p w14:paraId="3ED5FA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0E2F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78" w:type="pct"/>
            <w:vMerge w:val="continue"/>
            <w:noWrap w:val="0"/>
            <w:vAlign w:val="center"/>
          </w:tcPr>
          <w:p w14:paraId="5823E4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6A6E8F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continue"/>
            <w:noWrap w:val="0"/>
            <w:vAlign w:val="center"/>
          </w:tcPr>
          <w:p w14:paraId="426A50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44BC67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p>
        </w:tc>
        <w:tc>
          <w:tcPr>
            <w:tcW w:w="250" w:type="pct"/>
            <w:vMerge w:val="continue"/>
            <w:noWrap w:val="0"/>
            <w:vAlign w:val="center"/>
          </w:tcPr>
          <w:p w14:paraId="5D0889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p>
        </w:tc>
        <w:tc>
          <w:tcPr>
            <w:tcW w:w="233" w:type="pct"/>
            <w:vMerge w:val="continue"/>
            <w:noWrap w:val="0"/>
            <w:vAlign w:val="center"/>
          </w:tcPr>
          <w:p w14:paraId="43C655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p>
        </w:tc>
        <w:tc>
          <w:tcPr>
            <w:tcW w:w="812" w:type="pct"/>
            <w:noWrap w:val="0"/>
            <w:vAlign w:val="center"/>
          </w:tcPr>
          <w:p w14:paraId="535824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项目开始时间</w:t>
            </w:r>
          </w:p>
        </w:tc>
        <w:tc>
          <w:tcPr>
            <w:tcW w:w="473" w:type="pct"/>
            <w:noWrap w:val="0"/>
            <w:vAlign w:val="center"/>
          </w:tcPr>
          <w:p w14:paraId="4D8ACA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2024年1月</w:t>
            </w:r>
          </w:p>
        </w:tc>
        <w:tc>
          <w:tcPr>
            <w:tcW w:w="1814" w:type="pct"/>
            <w:vMerge w:val="continue"/>
            <w:noWrap w:val="0"/>
            <w:vAlign w:val="center"/>
          </w:tcPr>
          <w:p w14:paraId="1773E1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263" w:type="pct"/>
            <w:noWrap w:val="0"/>
            <w:vAlign w:val="center"/>
          </w:tcPr>
          <w:p w14:paraId="7BDB38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rPr>
              <w:t>2024年1月</w:t>
            </w:r>
          </w:p>
        </w:tc>
        <w:tc>
          <w:tcPr>
            <w:tcW w:w="198" w:type="pct"/>
            <w:noWrap w:val="0"/>
            <w:vAlign w:val="center"/>
          </w:tcPr>
          <w:p w14:paraId="1108A9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1A8F9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78" w:type="pct"/>
            <w:vMerge w:val="continue"/>
            <w:noWrap w:val="0"/>
            <w:vAlign w:val="center"/>
          </w:tcPr>
          <w:p w14:paraId="686D22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9" w:type="pct"/>
            <w:vMerge w:val="continue"/>
            <w:noWrap w:val="0"/>
            <w:vAlign w:val="center"/>
          </w:tcPr>
          <w:p w14:paraId="677BFA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55" w:type="pct"/>
            <w:vMerge w:val="continue"/>
            <w:noWrap w:val="0"/>
            <w:vAlign w:val="center"/>
          </w:tcPr>
          <w:p w14:paraId="2A1F2C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9" w:type="pct"/>
            <w:vMerge w:val="continue"/>
            <w:noWrap w:val="0"/>
            <w:vAlign w:val="center"/>
          </w:tcPr>
          <w:p w14:paraId="69CC77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50" w:type="pct"/>
            <w:vMerge w:val="continue"/>
            <w:noWrap w:val="0"/>
            <w:vAlign w:val="center"/>
          </w:tcPr>
          <w:p w14:paraId="21AEEA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33" w:type="pct"/>
            <w:vMerge w:val="continue"/>
            <w:noWrap w:val="0"/>
            <w:vAlign w:val="center"/>
          </w:tcPr>
          <w:p w14:paraId="182075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812" w:type="pct"/>
            <w:noWrap w:val="0"/>
            <w:vAlign w:val="center"/>
          </w:tcPr>
          <w:p w14:paraId="3A2071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项目完成时间</w:t>
            </w:r>
          </w:p>
        </w:tc>
        <w:tc>
          <w:tcPr>
            <w:tcW w:w="473" w:type="pct"/>
            <w:noWrap w:val="0"/>
            <w:vAlign w:val="center"/>
          </w:tcPr>
          <w:p w14:paraId="268BD2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2024年1</w:t>
            </w:r>
            <w:r>
              <w:rPr>
                <w:rFonts w:hint="eastAsia" w:ascii="宋体" w:hAnsi="宋体" w:eastAsia="宋体" w:cs="宋体"/>
                <w:i w:val="0"/>
                <w:iCs w:val="0"/>
                <w:color w:val="000000"/>
                <w:sz w:val="21"/>
                <w:szCs w:val="21"/>
                <w:u w:val="none"/>
                <w:lang w:val="en-US" w:eastAsia="zh-CN"/>
              </w:rPr>
              <w:t>2</w:t>
            </w:r>
            <w:r>
              <w:rPr>
                <w:rFonts w:hint="eastAsia" w:ascii="宋体" w:hAnsi="宋体" w:eastAsia="宋体" w:cs="宋体"/>
                <w:i w:val="0"/>
                <w:iCs w:val="0"/>
                <w:color w:val="000000"/>
                <w:sz w:val="21"/>
                <w:szCs w:val="21"/>
                <w:u w:val="none"/>
              </w:rPr>
              <w:t>月</w:t>
            </w:r>
          </w:p>
        </w:tc>
        <w:tc>
          <w:tcPr>
            <w:tcW w:w="1814" w:type="pct"/>
            <w:vMerge w:val="continue"/>
            <w:noWrap w:val="0"/>
            <w:vAlign w:val="center"/>
          </w:tcPr>
          <w:p w14:paraId="44E6FD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3" w:type="pct"/>
            <w:noWrap w:val="0"/>
            <w:vAlign w:val="center"/>
          </w:tcPr>
          <w:p w14:paraId="1E4A2B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rPr>
              <w:t>2024年1</w:t>
            </w:r>
            <w:r>
              <w:rPr>
                <w:rFonts w:hint="eastAsia" w:ascii="宋体" w:hAnsi="宋体" w:eastAsia="宋体" w:cs="宋体"/>
                <w:i w:val="0"/>
                <w:iCs w:val="0"/>
                <w:color w:val="000000"/>
                <w:sz w:val="21"/>
                <w:szCs w:val="21"/>
                <w:u w:val="none"/>
                <w:lang w:val="en-US" w:eastAsia="zh-CN"/>
              </w:rPr>
              <w:t>2</w:t>
            </w:r>
            <w:r>
              <w:rPr>
                <w:rFonts w:hint="eastAsia" w:ascii="宋体" w:hAnsi="宋体" w:eastAsia="宋体" w:cs="宋体"/>
                <w:i w:val="0"/>
                <w:iCs w:val="0"/>
                <w:color w:val="000000"/>
                <w:sz w:val="21"/>
                <w:szCs w:val="21"/>
                <w:u w:val="none"/>
              </w:rPr>
              <w:t>月</w:t>
            </w:r>
          </w:p>
        </w:tc>
        <w:tc>
          <w:tcPr>
            <w:tcW w:w="198" w:type="pct"/>
            <w:noWrap w:val="0"/>
            <w:vAlign w:val="center"/>
          </w:tcPr>
          <w:p w14:paraId="11FDC5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3E79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78" w:type="pct"/>
            <w:vMerge w:val="continue"/>
            <w:noWrap w:val="0"/>
            <w:vAlign w:val="center"/>
          </w:tcPr>
          <w:p w14:paraId="11FA01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4D37FB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noWrap w:val="0"/>
            <w:vAlign w:val="center"/>
          </w:tcPr>
          <w:p w14:paraId="2B9E1F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209" w:type="pct"/>
            <w:noWrap w:val="0"/>
            <w:vAlign w:val="center"/>
          </w:tcPr>
          <w:p w14:paraId="5ED01C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0" w:type="pct"/>
            <w:noWrap w:val="0"/>
            <w:vAlign w:val="center"/>
          </w:tcPr>
          <w:p w14:paraId="4146EE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233" w:type="pct"/>
            <w:noWrap w:val="0"/>
            <w:vAlign w:val="center"/>
          </w:tcPr>
          <w:p w14:paraId="79D858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812" w:type="pct"/>
            <w:noWrap w:val="0"/>
            <w:vAlign w:val="center"/>
          </w:tcPr>
          <w:p w14:paraId="1BBF8B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生活保障资金总成本</w:t>
            </w:r>
          </w:p>
        </w:tc>
        <w:tc>
          <w:tcPr>
            <w:tcW w:w="473" w:type="pct"/>
            <w:noWrap w:val="0"/>
            <w:vAlign w:val="center"/>
          </w:tcPr>
          <w:p w14:paraId="42315A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lang w:val="en-US" w:eastAsia="zh-CN"/>
              </w:rPr>
              <w:t>46.2</w:t>
            </w:r>
            <w:r>
              <w:rPr>
                <w:rFonts w:hint="eastAsia" w:ascii="宋体" w:hAnsi="宋体" w:eastAsia="宋体" w:cs="宋体"/>
                <w:i w:val="0"/>
                <w:iCs w:val="0"/>
                <w:color w:val="000000"/>
                <w:sz w:val="21"/>
                <w:szCs w:val="21"/>
                <w:u w:val="none"/>
              </w:rPr>
              <w:t>万元</w:t>
            </w:r>
          </w:p>
        </w:tc>
        <w:tc>
          <w:tcPr>
            <w:tcW w:w="1814" w:type="pct"/>
            <w:noWrap w:val="0"/>
            <w:vAlign w:val="center"/>
          </w:tcPr>
          <w:p w14:paraId="04397A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263" w:type="pct"/>
            <w:noWrap w:val="0"/>
            <w:vAlign w:val="center"/>
          </w:tcPr>
          <w:p w14:paraId="6185A4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000000"/>
                <w:sz w:val="21"/>
                <w:szCs w:val="21"/>
                <w:u w:val="none"/>
                <w:lang w:val="en-US" w:eastAsia="zh-CN"/>
              </w:rPr>
              <w:t>44.77</w:t>
            </w:r>
            <w:r>
              <w:rPr>
                <w:rFonts w:hint="eastAsia" w:ascii="宋体" w:hAnsi="宋体" w:eastAsia="宋体" w:cs="宋体"/>
                <w:i w:val="0"/>
                <w:iCs w:val="0"/>
                <w:color w:val="000000"/>
                <w:sz w:val="21"/>
                <w:szCs w:val="21"/>
                <w:u w:val="none"/>
              </w:rPr>
              <w:t>万元</w:t>
            </w:r>
          </w:p>
        </w:tc>
        <w:tc>
          <w:tcPr>
            <w:tcW w:w="198" w:type="pct"/>
            <w:noWrap w:val="0"/>
            <w:vAlign w:val="center"/>
          </w:tcPr>
          <w:p w14:paraId="67983F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4FB4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278" w:type="pct"/>
            <w:vMerge w:val="restart"/>
            <w:noWrap w:val="0"/>
            <w:vAlign w:val="center"/>
          </w:tcPr>
          <w:p w14:paraId="41DD32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09" w:type="pct"/>
            <w:vMerge w:val="restart"/>
            <w:noWrap w:val="0"/>
            <w:vAlign w:val="center"/>
          </w:tcPr>
          <w:p w14:paraId="557A89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55" w:type="pct"/>
            <w:vMerge w:val="restart"/>
            <w:noWrap w:val="0"/>
            <w:vAlign w:val="center"/>
          </w:tcPr>
          <w:p w14:paraId="6282DE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09" w:type="pct"/>
            <w:vMerge w:val="restart"/>
            <w:noWrap w:val="0"/>
            <w:vAlign w:val="center"/>
          </w:tcPr>
          <w:p w14:paraId="631F53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50" w:type="pct"/>
            <w:noWrap w:val="0"/>
            <w:vAlign w:val="center"/>
          </w:tcPr>
          <w:p w14:paraId="4704D9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233" w:type="pct"/>
            <w:noWrap w:val="0"/>
            <w:vAlign w:val="center"/>
          </w:tcPr>
          <w:p w14:paraId="0BDCFD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c>
          <w:tcPr>
            <w:tcW w:w="812" w:type="pct"/>
            <w:noWrap w:val="0"/>
            <w:vAlign w:val="center"/>
          </w:tcPr>
          <w:p w14:paraId="679168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改善教育教学质量</w:t>
            </w:r>
          </w:p>
        </w:tc>
        <w:tc>
          <w:tcPr>
            <w:tcW w:w="473" w:type="pct"/>
            <w:noWrap w:val="0"/>
            <w:vAlign w:val="center"/>
          </w:tcPr>
          <w:p w14:paraId="6A56CD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rPr>
              <w:t>有效</w:t>
            </w:r>
            <w:r>
              <w:rPr>
                <w:rFonts w:hint="eastAsia" w:ascii="宋体" w:hAnsi="宋体" w:eastAsia="宋体" w:cs="宋体"/>
                <w:i w:val="0"/>
                <w:iCs w:val="0"/>
                <w:color w:val="000000"/>
                <w:sz w:val="21"/>
                <w:szCs w:val="21"/>
                <w:u w:val="none"/>
                <w:lang w:val="en-US" w:eastAsia="zh-CN"/>
              </w:rPr>
              <w:t>改善</w:t>
            </w:r>
          </w:p>
        </w:tc>
        <w:tc>
          <w:tcPr>
            <w:tcW w:w="1814" w:type="pct"/>
            <w:noWrap w:val="0"/>
            <w:vAlign w:val="center"/>
          </w:tcPr>
          <w:p w14:paraId="197825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263" w:type="pct"/>
            <w:noWrap w:val="0"/>
            <w:vAlign w:val="center"/>
          </w:tcPr>
          <w:p w14:paraId="2366BC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有效</w:t>
            </w:r>
            <w:r>
              <w:rPr>
                <w:rFonts w:hint="eastAsia" w:ascii="宋体" w:hAnsi="宋体" w:eastAsia="宋体" w:cs="宋体"/>
                <w:i w:val="0"/>
                <w:iCs w:val="0"/>
                <w:color w:val="000000"/>
                <w:sz w:val="21"/>
                <w:szCs w:val="21"/>
                <w:u w:val="none"/>
                <w:lang w:val="en-US" w:eastAsia="zh-CN"/>
              </w:rPr>
              <w:t>改善</w:t>
            </w:r>
          </w:p>
        </w:tc>
        <w:tc>
          <w:tcPr>
            <w:tcW w:w="198" w:type="pct"/>
            <w:noWrap w:val="0"/>
            <w:vAlign w:val="center"/>
          </w:tcPr>
          <w:p w14:paraId="52FB7A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r>
      <w:tr w14:paraId="3893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8" w:type="pct"/>
            <w:vMerge w:val="continue"/>
            <w:noWrap w:val="0"/>
            <w:vAlign w:val="center"/>
          </w:tcPr>
          <w:p w14:paraId="7FF7F1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7F48CE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vMerge w:val="continue"/>
            <w:noWrap w:val="0"/>
            <w:vAlign w:val="center"/>
          </w:tcPr>
          <w:p w14:paraId="24FB1F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vMerge w:val="continue"/>
            <w:noWrap w:val="0"/>
            <w:vAlign w:val="center"/>
          </w:tcPr>
          <w:p w14:paraId="3CE060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0" w:type="pct"/>
            <w:noWrap w:val="0"/>
            <w:vAlign w:val="center"/>
          </w:tcPr>
          <w:p w14:paraId="5C494B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233" w:type="pct"/>
            <w:noWrap w:val="0"/>
            <w:vAlign w:val="center"/>
          </w:tcPr>
          <w:p w14:paraId="7B2423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12" w:type="pct"/>
            <w:noWrap w:val="0"/>
            <w:vAlign w:val="center"/>
          </w:tcPr>
          <w:p w14:paraId="53F3F9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受益学生满意度</w:t>
            </w:r>
          </w:p>
        </w:tc>
        <w:tc>
          <w:tcPr>
            <w:tcW w:w="473" w:type="pct"/>
            <w:noWrap w:val="0"/>
            <w:vAlign w:val="center"/>
          </w:tcPr>
          <w:p w14:paraId="32601A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95%</w:t>
            </w:r>
          </w:p>
        </w:tc>
        <w:tc>
          <w:tcPr>
            <w:tcW w:w="1814" w:type="pct"/>
            <w:noWrap w:val="0"/>
            <w:vAlign w:val="center"/>
          </w:tcPr>
          <w:p w14:paraId="055948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263" w:type="pct"/>
            <w:noWrap w:val="0"/>
            <w:vAlign w:val="center"/>
          </w:tcPr>
          <w:p w14:paraId="7F96AA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100%</w:t>
            </w:r>
          </w:p>
        </w:tc>
        <w:tc>
          <w:tcPr>
            <w:tcW w:w="198" w:type="pct"/>
            <w:noWrap w:val="0"/>
            <w:vAlign w:val="center"/>
          </w:tcPr>
          <w:p w14:paraId="5A68B0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r>
      <w:tr w14:paraId="7D359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8" w:type="pct"/>
            <w:noWrap w:val="0"/>
            <w:vAlign w:val="center"/>
          </w:tcPr>
          <w:p w14:paraId="2C750B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209" w:type="pct"/>
            <w:noWrap w:val="0"/>
            <w:vAlign w:val="center"/>
          </w:tcPr>
          <w:p w14:paraId="632473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5" w:type="pct"/>
            <w:noWrap w:val="0"/>
            <w:vAlign w:val="center"/>
          </w:tcPr>
          <w:p w14:paraId="43D0B7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9" w:type="pct"/>
            <w:noWrap w:val="0"/>
            <w:vAlign w:val="center"/>
          </w:tcPr>
          <w:p w14:paraId="0DD654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0" w:type="pct"/>
            <w:noWrap w:val="0"/>
            <w:vAlign w:val="center"/>
          </w:tcPr>
          <w:p w14:paraId="565BD1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33" w:type="pct"/>
            <w:noWrap w:val="0"/>
            <w:vAlign w:val="center"/>
          </w:tcPr>
          <w:p w14:paraId="6D0B83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812" w:type="pct"/>
            <w:noWrap w:val="0"/>
            <w:vAlign w:val="center"/>
          </w:tcPr>
          <w:p w14:paraId="4E5F3B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73" w:type="pct"/>
            <w:noWrap w:val="0"/>
            <w:vAlign w:val="center"/>
          </w:tcPr>
          <w:p w14:paraId="63C3CB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1814" w:type="pct"/>
            <w:noWrap w:val="0"/>
            <w:vAlign w:val="center"/>
          </w:tcPr>
          <w:p w14:paraId="7415BEC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263" w:type="pct"/>
            <w:noWrap w:val="0"/>
            <w:vAlign w:val="center"/>
          </w:tcPr>
          <w:p w14:paraId="14D0E1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8" w:type="pct"/>
            <w:noWrap w:val="0"/>
            <w:vAlign w:val="center"/>
          </w:tcPr>
          <w:p w14:paraId="03C36E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99.94</w:t>
            </w:r>
          </w:p>
        </w:tc>
      </w:tr>
    </w:tbl>
    <w:p w14:paraId="0A910AF9">
      <w:pPr>
        <w:pStyle w:val="10"/>
        <w:rPr>
          <w:rFonts w:hint="eastAsia" w:ascii="宋体" w:hAnsi="宋体" w:eastAsia="宋体" w:cs="宋体"/>
          <w:sz w:val="24"/>
          <w:szCs w:val="24"/>
          <w:lang w:eastAsia="zh-CN"/>
        </w:rPr>
      </w:pPr>
    </w:p>
    <w:p w14:paraId="34025CB0">
      <w:pPr>
        <w:pStyle w:val="10"/>
        <w:rPr>
          <w:rFonts w:hint="eastAsia" w:ascii="宋体" w:hAnsi="宋体" w:eastAsia="宋体" w:cs="宋体"/>
          <w:sz w:val="24"/>
          <w:szCs w:val="24"/>
          <w:lang w:eastAsia="zh-CN"/>
        </w:rPr>
      </w:pPr>
    </w:p>
    <w:p w14:paraId="021A7381">
      <w:pPr>
        <w:pStyle w:val="10"/>
        <w:ind w:left="0" w:leftChars="0" w:firstLine="0" w:firstLineChars="0"/>
        <w:jc w:val="both"/>
        <w:rPr>
          <w:rFonts w:hint="eastAsia" w:ascii="宋体" w:hAnsi="宋体" w:eastAsia="宋体" w:cs="宋体"/>
          <w:sz w:val="24"/>
          <w:szCs w:val="24"/>
          <w:lang w:val="en-US" w:eastAsia="zh-CN"/>
        </w:rPr>
      </w:pPr>
    </w:p>
    <w:p w14:paraId="5FAC2701">
      <w:pPr>
        <w:pStyle w:val="10"/>
        <w:ind w:left="0" w:leftChars="0" w:firstLine="0" w:firstLineChars="0"/>
        <w:jc w:val="both"/>
        <w:rPr>
          <w:rFonts w:hint="eastAsia" w:ascii="宋体" w:hAnsi="宋体" w:eastAsia="宋体" w:cs="宋体"/>
          <w:color w:val="auto"/>
          <w:sz w:val="24"/>
          <w:szCs w:val="24"/>
          <w:lang w:val="en-US" w:eastAsia="zh-CN"/>
        </w:rPr>
      </w:pPr>
    </w:p>
    <w:p w14:paraId="2B04ABD6">
      <w:pPr>
        <w:pStyle w:val="10"/>
        <w:ind w:left="0" w:leftChars="0" w:firstLine="0" w:firstLineChars="0"/>
        <w:jc w:val="both"/>
        <w:rPr>
          <w:rFonts w:hint="eastAsia" w:ascii="宋体" w:hAnsi="宋体" w:eastAsia="宋体" w:cs="宋体"/>
          <w:color w:val="auto"/>
          <w:sz w:val="24"/>
          <w:szCs w:val="24"/>
          <w:lang w:val="en-US" w:eastAsia="zh-CN"/>
        </w:rPr>
      </w:pPr>
    </w:p>
    <w:p w14:paraId="27B2D1FB">
      <w:pPr>
        <w:pStyle w:val="10"/>
        <w:ind w:left="0" w:leftChars="0" w:firstLine="0" w:firstLineChars="0"/>
        <w:jc w:val="both"/>
        <w:rPr>
          <w:rFonts w:hint="eastAsia" w:ascii="宋体" w:hAnsi="宋体" w:eastAsia="宋体" w:cs="宋体"/>
          <w:color w:val="auto"/>
          <w:sz w:val="24"/>
          <w:szCs w:val="24"/>
          <w:lang w:val="en-US" w:eastAsia="zh-CN"/>
        </w:rPr>
      </w:pPr>
    </w:p>
    <w:p w14:paraId="022C432A">
      <w:pPr>
        <w:pStyle w:val="10"/>
        <w:ind w:left="0" w:leftChars="0" w:firstLine="0" w:firstLineChars="0"/>
        <w:jc w:val="both"/>
        <w:rPr>
          <w:rFonts w:hint="eastAsia" w:ascii="宋体" w:hAnsi="宋体" w:eastAsia="宋体" w:cs="宋体"/>
          <w:color w:val="auto"/>
          <w:sz w:val="24"/>
          <w:szCs w:val="24"/>
          <w:lang w:val="en-US" w:eastAsia="zh-CN"/>
        </w:rPr>
      </w:pPr>
    </w:p>
    <w:p w14:paraId="7BBF5D2A">
      <w:pPr>
        <w:pStyle w:val="10"/>
        <w:ind w:left="0" w:leftChars="0" w:firstLine="0" w:firstLineChars="0"/>
        <w:jc w:val="both"/>
        <w:rPr>
          <w:rFonts w:hint="eastAsia" w:ascii="宋体" w:hAnsi="宋体" w:eastAsia="宋体" w:cs="宋体"/>
          <w:color w:val="auto"/>
          <w:sz w:val="24"/>
          <w:szCs w:val="24"/>
          <w:lang w:val="en-US" w:eastAsia="zh-CN"/>
        </w:rPr>
      </w:pPr>
    </w:p>
    <w:p w14:paraId="54ABB165">
      <w:pPr>
        <w:pStyle w:val="10"/>
        <w:ind w:left="0" w:leftChars="0" w:firstLine="0" w:firstLineChars="0"/>
        <w:jc w:val="both"/>
        <w:rPr>
          <w:rFonts w:hint="eastAsia" w:ascii="宋体" w:hAnsi="宋体" w:eastAsia="宋体" w:cs="宋体"/>
          <w:color w:val="auto"/>
          <w:sz w:val="24"/>
          <w:szCs w:val="24"/>
          <w:lang w:val="en-US" w:eastAsia="zh-CN"/>
        </w:rPr>
      </w:pPr>
    </w:p>
    <w:p w14:paraId="31E463E7">
      <w:pPr>
        <w:pStyle w:val="10"/>
        <w:ind w:left="0" w:leftChars="0" w:firstLine="0" w:firstLineChars="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7ECF8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016FDFB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15C8B1AB">
            <w:pPr>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1AF10CE2">
            <w:pPr>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717571AC">
            <w:pPr>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7AFE8D4C">
            <w:pPr>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5AFD50AA">
            <w:pPr>
              <w:rPr>
                <w:rFonts w:hint="eastAsia" w:ascii="宋体" w:hAnsi="宋体" w:eastAsia="宋体" w:cs="宋体"/>
                <w:i w:val="0"/>
                <w:iCs w:val="0"/>
                <w:color w:val="000000"/>
                <w:sz w:val="22"/>
                <w:szCs w:val="22"/>
                <w:highlight w:val="none"/>
                <w:u w:val="none"/>
              </w:rPr>
            </w:pPr>
          </w:p>
        </w:tc>
      </w:tr>
      <w:tr w14:paraId="51D68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5C3CB082">
            <w:pPr>
              <w:keepNext w:val="0"/>
              <w:keepLines w:val="0"/>
              <w:widowControl/>
              <w:suppressLineNumbers w:val="0"/>
              <w:jc w:val="center"/>
              <w:textAlignment w:val="center"/>
              <w:rPr>
                <w:rFonts w:hint="eastAsia" w:ascii="宋体" w:hAnsi="宋体" w:eastAsia="宋体" w:cs="宋体"/>
                <w:b/>
                <w:bCs/>
                <w:i w:val="0"/>
                <w:iCs w:val="0"/>
                <w:color w:val="FF0000"/>
                <w:sz w:val="36"/>
                <w:szCs w:val="36"/>
                <w:highlight w:val="none"/>
                <w:u w:val="none"/>
              </w:rPr>
            </w:pPr>
            <w:r>
              <w:rPr>
                <w:rFonts w:hint="eastAsia" w:ascii="宋体" w:hAnsi="宋体" w:eastAsia="宋体" w:cs="宋体"/>
                <w:b/>
                <w:bCs/>
                <w:i w:val="0"/>
                <w:iCs w:val="0"/>
                <w:color w:val="auto"/>
                <w:kern w:val="0"/>
                <w:sz w:val="28"/>
                <w:szCs w:val="28"/>
                <w:u w:val="none"/>
                <w:lang w:val="en-US" w:eastAsia="zh-CN"/>
              </w:rPr>
              <w:t>专项资金-和地财教【2023】73号：2024年新疆西藏等地区教育特殊补助资金-学前三年免费保障经费-公用经费-洛财教【2024】22号项目综合得分表</w:t>
            </w:r>
          </w:p>
        </w:tc>
      </w:tr>
      <w:tr w14:paraId="77DFA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6163B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972A8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6146E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F05C2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D5883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86307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652C2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66847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0EEB9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251DE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85A11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210EA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3B1CF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100.00 </w:t>
            </w:r>
          </w:p>
        </w:tc>
      </w:tr>
      <w:tr w14:paraId="22973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35EA3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5C123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4FB32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11.94</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B925F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B5FC9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55C9FD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99.94</w:t>
            </w:r>
          </w:p>
        </w:tc>
      </w:tr>
      <w:tr w14:paraId="34077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FCE47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0607F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21EFF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7D926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E4300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66C511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99.94%</w:t>
            </w:r>
          </w:p>
        </w:tc>
      </w:tr>
    </w:tbl>
    <w:p w14:paraId="584618DD">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6E171E0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4DE9DA0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洛浦县第五幼儿园项目满意度调查问卷分析报告</w:t>
      </w:r>
    </w:p>
    <w:p w14:paraId="05285FE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57AD3C5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一、该问卷调查从2025年2月1日开始至2025年2月28日结束，调查问卷共设置2道题目。</w:t>
      </w:r>
    </w:p>
    <w:p w14:paraId="347B631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1.调查对象</w:t>
      </w:r>
    </w:p>
    <w:p w14:paraId="57112DF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本次调查的受益对象为本校学生与家长。</w:t>
      </w:r>
    </w:p>
    <w:p w14:paraId="02FBA99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2.调查内容</w:t>
      </w:r>
    </w:p>
    <w:p w14:paraId="0085645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①您认为项目实施过后对于提高学生的校园生活质量的程度怎么样？</w:t>
      </w:r>
    </w:p>
    <w:p w14:paraId="25D1616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A.有效提高    B.提高    C.无效果</w:t>
      </w:r>
    </w:p>
    <w:p w14:paraId="66E88A8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②总的来说，您对目前专项资金-和地财教【2023】73号：2024年新疆西藏等地区教育特殊补助资金-学前三年免费保障经费-公用经费-洛财教【2024】22号项目实施后的整体满意程度如何？</w:t>
      </w:r>
    </w:p>
    <w:p w14:paraId="2B11DB5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A.有效提高    B.提高    C.无效果</w:t>
      </w:r>
    </w:p>
    <w:p w14:paraId="1924C4BC">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0672E4E3">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问卷调查采取分层抽样和随机抽样相结合的方式进行。在全面调查开展之前会先进行论证，依据论证结果对问卷和抽样方案再进行一次修改和调整之后再付诸实施。</w:t>
      </w:r>
    </w:p>
    <w:p w14:paraId="36325FBD">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4.抽样方式</w:t>
      </w:r>
    </w:p>
    <w:p w14:paraId="1EAC85D6">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为确保问卷调查的全面性和代表性，本次调查问卷调查采取随机抽样和分层抽样相结合方式进行。</w:t>
      </w:r>
    </w:p>
    <w:p w14:paraId="4B2C95C1">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5.问卷的发放和回收</w:t>
      </w:r>
    </w:p>
    <w:p w14:paraId="5CCECFED">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为了给调查对象营造良好的作答环境，保证调查的科学性和严谨性，由我单位工作人员在线下发放问卷，邀请相应的调查对象填写问卷。到目前为止共回收问卷50份，其中有效问卷50份，有效问卷回收率为100%。</w:t>
      </w:r>
    </w:p>
    <w:p w14:paraId="2AF9D597">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1868B3AB">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本次调查过程中，评价小组实际发放问卷50份，回收问卷50份，问卷回收率为100.00%，有效问卷50份，有效回收率100.00%，本次调查的整体情况如下：</w:t>
      </w:r>
    </w:p>
    <w:p w14:paraId="3888CF99">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第一个问题：该项统计有效问卷数量20份，选择有效提高的人数为20人。选择提高的人数为0人，选择无效果的人数0人。</w:t>
      </w:r>
    </w:p>
    <w:p w14:paraId="2C04E5CB">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第二个问题：该项统计有效问卷数量20份，选择有效提高 的人数为20人。选择提高的人数为0人，选择无效果的人数0人。</w:t>
      </w:r>
    </w:p>
    <w:p w14:paraId="69BB68F3">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5528758A">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专项资金-和地财教【2023】73号：2024年新疆西藏等地区教育特殊补助资金-学前三年免费保障经费-公用经费-洛财教【2024】22号项目针对受益人员发放50份调查问卷，最终统计受益人群满意度为100%。</w:t>
      </w:r>
    </w:p>
    <w:p w14:paraId="27FB4274">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30"/>
          <w:szCs w:val="30"/>
          <w:highlight w:val="none"/>
          <w:lang w:val="en-US" w:eastAsia="zh-CN"/>
        </w:rPr>
      </w:pPr>
    </w:p>
    <w:p w14:paraId="397C7DA9">
      <w:pPr>
        <w:pStyle w:val="4"/>
        <w:rPr>
          <w:rFonts w:hint="eastAsia"/>
          <w:lang w:val="en-US" w:eastAsia="zh-CN"/>
        </w:rPr>
      </w:pPr>
    </w:p>
    <w:p w14:paraId="4ABFED6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00" w:firstLineChars="200"/>
        <w:jc w:val="right"/>
        <w:textAlignment w:val="auto"/>
        <w:rPr>
          <w:rFonts w:hint="eastAsia" w:cs="宋体"/>
          <w:sz w:val="30"/>
          <w:szCs w:val="30"/>
          <w:highlight w:val="none"/>
          <w:lang w:val="en-US" w:eastAsia="zh-CN"/>
        </w:rPr>
      </w:pPr>
      <w:r>
        <w:rPr>
          <w:rFonts w:hint="eastAsia" w:cs="宋体"/>
          <w:sz w:val="30"/>
          <w:szCs w:val="30"/>
          <w:highlight w:val="none"/>
          <w:lang w:val="en-US" w:eastAsia="zh-CN"/>
        </w:rPr>
        <w:t>洛浦</w:t>
      </w:r>
      <w:r>
        <w:rPr>
          <w:rFonts w:hint="eastAsia" w:ascii="宋体" w:hAnsi="宋体" w:eastAsia="宋体" w:cs="宋体"/>
          <w:sz w:val="30"/>
          <w:szCs w:val="30"/>
          <w:highlight w:val="none"/>
          <w:lang w:val="en-US" w:eastAsia="zh-CN"/>
        </w:rPr>
        <w:t>县</w:t>
      </w:r>
      <w:r>
        <w:rPr>
          <w:rFonts w:hint="eastAsia" w:cs="宋体"/>
          <w:sz w:val="30"/>
          <w:szCs w:val="30"/>
          <w:highlight w:val="none"/>
          <w:lang w:val="en-US" w:eastAsia="zh-CN"/>
        </w:rPr>
        <w:t>第五幼儿园</w:t>
      </w:r>
    </w:p>
    <w:p w14:paraId="01DCD75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00" w:firstLineChars="200"/>
        <w:jc w:val="right"/>
        <w:textAlignment w:val="auto"/>
        <w:rPr>
          <w:rFonts w:hint="eastAsia" w:ascii="宋体" w:hAnsi="宋体" w:eastAsia="宋体" w:cs="宋体"/>
          <w:sz w:val="24"/>
          <w:szCs w:val="24"/>
          <w:lang w:eastAsia="zh-CN"/>
        </w:rPr>
      </w:pPr>
      <w:r>
        <w:rPr>
          <w:rFonts w:hint="eastAsia" w:ascii="宋体" w:hAnsi="宋体" w:eastAsia="宋体" w:cs="宋体"/>
          <w:sz w:val="30"/>
          <w:szCs w:val="30"/>
          <w:highlight w:val="none"/>
          <w:lang w:val="en-US" w:eastAsia="zh-CN"/>
        </w:rPr>
        <w:t>2025年</w:t>
      </w:r>
      <w:r>
        <w:rPr>
          <w:rFonts w:hint="eastAsia" w:cs="宋体"/>
          <w:sz w:val="30"/>
          <w:szCs w:val="30"/>
          <w:highlight w:val="none"/>
          <w:lang w:val="en-US" w:eastAsia="zh-CN"/>
        </w:rPr>
        <w:t>3</w:t>
      </w:r>
      <w:r>
        <w:rPr>
          <w:rFonts w:hint="eastAsia" w:ascii="宋体" w:hAnsi="宋体" w:eastAsia="宋体" w:cs="宋体"/>
          <w:sz w:val="30"/>
          <w:szCs w:val="30"/>
          <w:highlight w:val="none"/>
          <w:lang w:val="en-US" w:eastAsia="zh-CN"/>
        </w:rPr>
        <w:t>月</w:t>
      </w:r>
      <w:r>
        <w:rPr>
          <w:rFonts w:hint="eastAsia" w:cs="宋体"/>
          <w:sz w:val="30"/>
          <w:szCs w:val="30"/>
          <w:highlight w:val="none"/>
          <w:lang w:val="en-US" w:eastAsia="zh-CN"/>
        </w:rPr>
        <w:t>3</w:t>
      </w:r>
      <w:r>
        <w:rPr>
          <w:rFonts w:hint="eastAsia" w:ascii="宋体" w:hAnsi="宋体" w:eastAsia="宋体" w:cs="宋体"/>
          <w:sz w:val="30"/>
          <w:szCs w:val="30"/>
          <w:highlight w:val="none"/>
          <w:lang w:val="en-US" w:eastAsia="zh-CN"/>
        </w:rPr>
        <w:t>日</w:t>
      </w:r>
    </w:p>
    <w:p w14:paraId="42AFA438">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3AD9C">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BE932">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59ADCABA"/>
    <w:multiLevelType w:val="singleLevel"/>
    <w:tmpl w:val="59ADCABA"/>
    <w:lvl w:ilvl="0" w:tentative="0">
      <w:start w:val="1"/>
      <w:numFmt w:val="decimal"/>
      <w:suff w:val="nothing"/>
      <w:lvlText w:val="%1）"/>
      <w:lvlJc w:val="left"/>
      <w:pPr>
        <w:ind w:left="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WFmMDdmOTQ4ZTcyMzY2ZTU0NGY0OTNmNzMxYzg4YTQifQ=="/>
  </w:docVars>
  <w:rsids>
    <w:rsidRoot w:val="00000000"/>
    <w:rsid w:val="6467167B"/>
    <w:rsid w:val="7DFA47A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0"/>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qFormat/>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3 Char"/>
    <w:link w:val="2"/>
    <w:uiPriority w:val="9"/>
    <w:rPr>
      <w:rFonts w:ascii="Calibri" w:hAnsi="Calibri" w:eastAsia="仿宋_GB2312" w:cs="黑体"/>
      <w:bCs/>
      <w:sz w:val="28"/>
      <w:szCs w:val="32"/>
    </w:rPr>
  </w:style>
  <w:style w:type="character" w:customStyle="1" w:styleId="31">
    <w:name w:val="标题 1 Char"/>
    <w:link w:val="3"/>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uiPriority w:val="99"/>
    <w:rPr>
      <w:rFonts w:ascii="Calibri" w:hAnsi="Calibri" w:eastAsia="仿宋_GB2312" w:cs="黑体"/>
      <w:sz w:val="28"/>
    </w:rPr>
  </w:style>
  <w:style w:type="character" w:customStyle="1" w:styleId="33">
    <w:name w:val="正文首行缩进 2 Char"/>
    <w:link w:val="4"/>
    <w:uiPriority w:val="0"/>
    <w:rPr>
      <w:rFonts w:ascii="Calibri" w:hAnsi="Calibri" w:eastAsia="仿宋_GB2312" w:cs="黑体"/>
      <w:sz w:val="28"/>
    </w:rPr>
  </w:style>
  <w:style w:type="character" w:customStyle="1" w:styleId="34">
    <w:name w:val="标题 2 Char"/>
    <w:link w:val="6"/>
    <w:uiPriority w:val="0"/>
    <w:rPr>
      <w:rFonts w:ascii="Cambria" w:hAnsi="Cambria" w:eastAsia="仿宋_GB2312" w:cs="Times New Roman"/>
      <w:b/>
      <w:bCs/>
      <w:kern w:val="0"/>
      <w:sz w:val="30"/>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三级标题 Char"/>
    <w:link w:val="44"/>
    <w:uiPriority w:val="3"/>
    <w:rPr>
      <w:rFonts w:ascii="Times New Roman" w:hAnsi="Times New Roman" w:eastAsia="仿宋_GB2312"/>
      <w:b/>
      <w:snapToGrid w:val="0"/>
      <w:sz w:val="28"/>
      <w:szCs w:val="28"/>
    </w:rPr>
  </w:style>
  <w:style w:type="paragraph" w:customStyle="1" w:styleId="44">
    <w:name w:val="闻政-正文三级标题"/>
    <w:basedOn w:val="1"/>
    <w:next w:val="45"/>
    <w:link w:val="4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无间隔 Char"/>
    <w:link w:val="48"/>
    <w:uiPriority w:val="1"/>
    <w:rPr>
      <w:rFonts w:eastAsia="仿宋_GB2312" w:cs="黑体"/>
      <w:kern w:val="2"/>
      <w:sz w:val="28"/>
      <w:szCs w:val="22"/>
      <w:lang w:val="en-US" w:eastAsia="zh-CN" w:bidi="ar-SA"/>
    </w:rPr>
  </w:style>
  <w:style w:type="paragraph" w:styleId="48">
    <w:name w:val="No Spacing"/>
    <w:link w:val="47"/>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character" w:customStyle="1" w:styleId="49">
    <w:name w:val="闻政-正文一级标题 Char"/>
    <w:link w:val="50"/>
    <w:uiPriority w:val="3"/>
    <w:rPr>
      <w:rFonts w:ascii="黑体" w:hAnsi="黑体" w:eastAsia="黑体"/>
      <w:bCs/>
      <w:sz w:val="32"/>
      <w:szCs w:val="32"/>
    </w:rPr>
  </w:style>
  <w:style w:type="paragraph" w:customStyle="1" w:styleId="50">
    <w:name w:val="闻政-正文一级标题"/>
    <w:basedOn w:val="2"/>
    <w:next w:val="45"/>
    <w:link w:val="49"/>
    <w:qFormat/>
    <w:uiPriority w:val="3"/>
    <w:pPr>
      <w:spacing w:before="120" w:after="60" w:line="500" w:lineRule="exact"/>
      <w:ind w:firstLine="0" w:firstLineChars="0"/>
      <w:outlineLvl w:val="0"/>
    </w:pPr>
    <w:rPr>
      <w:rFonts w:ascii="黑体" w:hAnsi="黑体" w:eastAsia="黑体"/>
      <w:sz w:val="32"/>
    </w:rPr>
  </w:style>
  <w:style w:type="character" w:customStyle="1" w:styleId="51">
    <w:name w:val="font21"/>
    <w:uiPriority w:val="0"/>
    <w:rPr>
      <w:rFonts w:hint="default" w:ascii="Times New Roman" w:hAnsi="Times New Roman" w:cs="Times New Roman"/>
      <w:color w:val="000000"/>
      <w:sz w:val="24"/>
      <w:szCs w:val="24"/>
      <w:u w:val="none"/>
    </w:rPr>
  </w:style>
  <w:style w:type="character" w:customStyle="1" w:styleId="52">
    <w:name w:val="font11"/>
    <w:uiPriority w:val="0"/>
    <w:rPr>
      <w:rFonts w:hint="eastAsia" w:ascii="方正仿宋_GBK" w:hAnsi="方正仿宋_GBK" w:eastAsia="方正仿宋_GBK" w:cs="方正仿宋_GBK"/>
      <w:color w:val="000000"/>
      <w:sz w:val="24"/>
      <w:szCs w:val="24"/>
      <w:u w:val="none"/>
    </w:rPr>
  </w:style>
  <w:style w:type="character" w:customStyle="1" w:styleId="53">
    <w:name w:val="53"/>
    <w:qFormat/>
    <w:uiPriority w:val="0"/>
    <w:rPr>
      <w:b/>
      <w:bCs/>
      <w:smallCaps/>
      <w:color w:val="C0504D"/>
      <w:spacing w:val="5"/>
      <w:u w:val="single"/>
    </w:rPr>
  </w:style>
  <w:style w:type="character" w:customStyle="1" w:styleId="54">
    <w:name w:val="font71"/>
    <w:basedOn w:val="25"/>
    <w:uiPriority w:val="0"/>
    <w:rPr>
      <w:rFonts w:hint="eastAsia" w:ascii="微软雅黑" w:hAnsi="微软雅黑" w:eastAsia="微软雅黑" w:cs="微软雅黑"/>
      <w:b/>
      <w:bCs/>
      <w:color w:val="000000"/>
      <w:sz w:val="32"/>
      <w:szCs w:val="32"/>
      <w:u w:val="none"/>
    </w:rPr>
  </w:style>
  <w:style w:type="character" w:customStyle="1" w:styleId="55">
    <w:name w:val="闻政-正文二级标题 Char"/>
    <w:link w:val="56"/>
    <w:uiPriority w:val="3"/>
    <w:rPr>
      <w:rFonts w:ascii="Times New Roman" w:hAnsi="Times New Roman" w:eastAsia="仿宋_GB2312"/>
      <w:b/>
      <w:bCs/>
      <w:sz w:val="28"/>
      <w:szCs w:val="32"/>
    </w:rPr>
  </w:style>
  <w:style w:type="paragraph" w:customStyle="1" w:styleId="56">
    <w:name w:val="闻政-正文二级标题"/>
    <w:basedOn w:val="6"/>
    <w:next w:val="45"/>
    <w:link w:val="55"/>
    <w:qFormat/>
    <w:uiPriority w:val="3"/>
    <w:pPr>
      <w:spacing w:before="120" w:after="60" w:line="500" w:lineRule="exact"/>
      <w:ind w:left="200" w:leftChars="200" w:firstLine="0" w:firstLineChars="0"/>
    </w:pPr>
    <w:rPr>
      <w:rFonts w:ascii="Times New Roman" w:hAnsi="Times New Roman"/>
      <w:sz w:val="28"/>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ED4352BAD0F3410E84867B51EE168488_13</vt:lpwstr>
  </property>
  <property fmtid="{D5CDD505-2E9C-101B-9397-08002B2CF9AE}" pid="4" name="KSOTemplateDocerSaveRecord">
    <vt:lpwstr>eyJoZGlkIjoiMTMxMGNkYTJhN2NkODc0MzYwZWZhYmI0Y2E4ZDVlOGEiLCJ1c2VySWQiOiI2NTE5NDIwMjYifQ==</vt:lpwstr>
  </property>
</Properties>
</file>

<file path=customXml/itemProps1.xml><?xml version="1.0" encoding="utf-8"?>
<ds:datastoreItem xmlns:ds="http://schemas.openxmlformats.org/officeDocument/2006/customXml" ds:itemID="{63ddd228-a4be-4dc4-ba4a-7dd5b0c347b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3640</Words>
  <Characters>3915</Characters>
  <Lines>44</Lines>
  <Paragraphs>12</Paragraphs>
  <TotalTime>12</TotalTime>
  <ScaleCrop>false</ScaleCrop>
  <LinksUpToDate>false</LinksUpToDate>
  <CharactersWithSpaces>3923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2025-10-10T07:49:35Z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ED4352BAD0F3410E84867B51EE168488_13</vt:lpwstr>
  </property>
  <property fmtid="{D5CDD505-2E9C-101B-9397-08002B2CF9AE}" pid="4" name="KSOTemplateDocerSaveRecord">
    <vt:lpwstr>eyJoZGlkIjoiMGIxZTI3ODM4ZmVjOGE5NDFiYmE3OTRiMjQ5OTEyNzIiLCJ1c2VySWQiOiIzNzI2MDMzNTYifQ==</vt:lpwstr>
  </property>
</Properties>
</file>