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431EAB">
      <w:bookmarkStart w:id="20" w:name="_GoBack"/>
      <w:bookmarkEnd w:id="20"/>
    </w:p>
    <w:p w14:paraId="5D33C54E">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7E048C7F">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和田地区洛浦县专项资金-和地财教【2023】73号：</w:t>
      </w:r>
    </w:p>
    <w:p w14:paraId="788AC41E">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2024年新疆西藏等地区教育特殊补助资金-学前三年免费保障经费-公用经费-洛财教【2024】22号</w:t>
      </w:r>
    </w:p>
    <w:p w14:paraId="17DF2529">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rPr>
      </w:pPr>
      <w:r>
        <w:rPr>
          <w:rFonts w:hint="eastAsia" w:ascii="黑体" w:hAnsi="黑体" w:eastAsia="黑体" w:cs="黑体"/>
          <w:b/>
          <w:sz w:val="36"/>
          <w:szCs w:val="36"/>
        </w:rPr>
        <w:t>项目支出绩效评价报告</w:t>
      </w:r>
    </w:p>
    <w:p w14:paraId="696C365F">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kern w:val="2"/>
          <w:sz w:val="36"/>
          <w:szCs w:val="36"/>
          <w:lang w:val="en-US" w:eastAsia="zh-CN" w:bidi="ar-SA"/>
        </w:rPr>
      </w:pPr>
    </w:p>
    <w:p w14:paraId="488A8348">
      <w:pPr>
        <w:pStyle w:val="6"/>
        <w:jc w:val="center"/>
        <w:rPr>
          <w:rFonts w:hint="eastAsia" w:ascii="Times New Roman" w:hAnsi="Times New Roman" w:cs="Times New Roman"/>
          <w:bCs/>
          <w:lang w:val="en-US" w:eastAsia="zh-CN"/>
        </w:rPr>
      </w:pPr>
      <w:r>
        <w:rPr>
          <w:rFonts w:hint="eastAsia" w:ascii="Times New Roman" w:hAnsi="Times New Roman" w:cs="Times New Roman"/>
          <w:bCs/>
          <w:lang w:val="en-US" w:eastAsia="zh-CN"/>
        </w:rPr>
        <w:t>（2024年度）</w:t>
      </w:r>
    </w:p>
    <w:p w14:paraId="02D2BE95">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0DCCC14E">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35CF6CE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33A5098D">
      <w:pPr>
        <w:pageBreakBefore w:val="0"/>
        <w:widowControl w:val="0"/>
        <w:kinsoku/>
        <w:wordWrap/>
        <w:topLinePunct w:val="0"/>
        <w:autoSpaceDE/>
        <w:autoSpaceDN/>
        <w:bidi w:val="0"/>
        <w:spacing w:line="560" w:lineRule="exact"/>
        <w:ind w:left="0" w:leftChars="0" w:firstLine="0" w:firstLineChars="0"/>
        <w:jc w:val="left"/>
        <w:textAlignment w:val="auto"/>
        <w:rPr>
          <w:rFonts w:hint="eastAsia" w:ascii="宋体" w:hAnsi="宋体" w:eastAsia="宋体" w:cs="宋体"/>
          <w:kern w:val="0"/>
          <w:sz w:val="28"/>
          <w:szCs w:val="28"/>
          <w:lang w:bidi="en-US"/>
        </w:rPr>
      </w:pPr>
    </w:p>
    <w:p w14:paraId="6726FC00">
      <w:pPr>
        <w:pageBreakBefore w:val="0"/>
        <w:widowControl w:val="0"/>
        <w:kinsoku/>
        <w:wordWrap/>
        <w:topLinePunct w:val="0"/>
        <w:autoSpaceDE/>
        <w:autoSpaceDN/>
        <w:bidi w:val="0"/>
        <w:spacing w:line="560" w:lineRule="exact"/>
        <w:ind w:left="0" w:leftChars="0" w:firstLine="0" w:firstLineChars="0"/>
        <w:jc w:val="left"/>
        <w:textAlignment w:val="auto"/>
        <w:rPr>
          <w:rFonts w:hint="eastAsia" w:ascii="宋体" w:hAnsi="宋体" w:eastAsia="宋体" w:cs="宋体"/>
          <w:kern w:val="0"/>
          <w:sz w:val="28"/>
          <w:szCs w:val="28"/>
          <w:lang w:bidi="en-US"/>
        </w:rPr>
      </w:pPr>
    </w:p>
    <w:p w14:paraId="69BDB5F4">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bidi="en-US"/>
        </w:rPr>
      </w:pPr>
      <w:r>
        <w:rPr>
          <w:rFonts w:hint="eastAsia" w:ascii="宋体" w:hAnsi="宋体" w:eastAsia="宋体" w:cs="宋体"/>
          <w:b w:val="0"/>
          <w:bCs w:val="0"/>
          <w:color w:val="auto"/>
          <w:kern w:val="0"/>
          <w:sz w:val="24"/>
          <w:szCs w:val="24"/>
          <w:lang w:bidi="en-US"/>
        </w:rPr>
        <w:t>项目名称：专项资金-和地财教【2023】73号：2024年新疆西藏</w:t>
      </w:r>
    </w:p>
    <w:p w14:paraId="7FA1FD31">
      <w:pPr>
        <w:pageBreakBefore w:val="0"/>
        <w:widowControl w:val="0"/>
        <w:kinsoku/>
        <w:wordWrap/>
        <w:topLinePunct w:val="0"/>
        <w:autoSpaceDE/>
        <w:autoSpaceDN/>
        <w:bidi w:val="0"/>
        <w:spacing w:line="560" w:lineRule="exact"/>
        <w:ind w:firstLine="2160" w:firstLineChars="900"/>
        <w:jc w:val="left"/>
        <w:textAlignment w:val="auto"/>
        <w:rPr>
          <w:rFonts w:hint="eastAsia" w:ascii="宋体" w:hAnsi="宋体" w:eastAsia="宋体" w:cs="宋体"/>
          <w:b w:val="0"/>
          <w:bCs w:val="0"/>
          <w:color w:val="auto"/>
          <w:kern w:val="0"/>
          <w:sz w:val="24"/>
          <w:szCs w:val="24"/>
          <w:lang w:bidi="en-US"/>
        </w:rPr>
      </w:pPr>
      <w:r>
        <w:rPr>
          <w:rFonts w:hint="eastAsia" w:ascii="宋体" w:hAnsi="宋体" w:eastAsia="宋体" w:cs="宋体"/>
          <w:b w:val="0"/>
          <w:bCs w:val="0"/>
          <w:color w:val="auto"/>
          <w:kern w:val="0"/>
          <w:sz w:val="24"/>
          <w:szCs w:val="24"/>
          <w:lang w:bidi="en-US"/>
        </w:rPr>
        <w:t>等地区教育特殊补助资金-学前三年免费保障经费-公用</w:t>
      </w:r>
    </w:p>
    <w:p w14:paraId="11F126F2">
      <w:pPr>
        <w:pageBreakBefore w:val="0"/>
        <w:widowControl w:val="0"/>
        <w:kinsoku/>
        <w:wordWrap/>
        <w:topLinePunct w:val="0"/>
        <w:autoSpaceDE/>
        <w:autoSpaceDN/>
        <w:bidi w:val="0"/>
        <w:spacing w:line="560" w:lineRule="exact"/>
        <w:ind w:firstLine="2160" w:firstLineChars="900"/>
        <w:jc w:val="left"/>
        <w:textAlignment w:val="auto"/>
        <w:rPr>
          <w:rFonts w:hint="eastAsia" w:ascii="宋体" w:hAnsi="宋体" w:eastAsia="宋体" w:cs="宋体"/>
          <w:b w:val="0"/>
          <w:bCs w:val="0"/>
          <w:color w:val="auto"/>
          <w:kern w:val="0"/>
          <w:sz w:val="24"/>
          <w:szCs w:val="24"/>
          <w:lang w:bidi="en-US"/>
        </w:rPr>
      </w:pPr>
      <w:r>
        <w:rPr>
          <w:rFonts w:hint="eastAsia" w:ascii="宋体" w:hAnsi="宋体" w:eastAsia="宋体" w:cs="宋体"/>
          <w:b w:val="0"/>
          <w:bCs w:val="0"/>
          <w:color w:val="auto"/>
          <w:kern w:val="0"/>
          <w:sz w:val="24"/>
          <w:szCs w:val="24"/>
          <w:lang w:bidi="en-US"/>
        </w:rPr>
        <w:t>经费-洛财教【2024】22号</w:t>
      </w:r>
    </w:p>
    <w:p w14:paraId="33B218A1">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val="en-US" w:eastAsia="zh-CN" w:bidi="en-US"/>
        </w:rPr>
      </w:pPr>
      <w:r>
        <w:rPr>
          <w:rFonts w:hint="eastAsia" w:ascii="宋体" w:hAnsi="宋体" w:eastAsia="宋体" w:cs="宋体"/>
          <w:b w:val="0"/>
          <w:bCs w:val="0"/>
          <w:color w:val="auto"/>
          <w:kern w:val="0"/>
          <w:sz w:val="24"/>
          <w:szCs w:val="24"/>
          <w:lang w:bidi="en-US"/>
        </w:rPr>
        <w:t>项目单位：</w:t>
      </w:r>
      <w:r>
        <w:rPr>
          <w:rFonts w:hint="eastAsia" w:ascii="宋体" w:hAnsi="宋体" w:eastAsia="宋体" w:cs="宋体"/>
          <w:b w:val="0"/>
          <w:bCs w:val="0"/>
          <w:color w:val="auto"/>
          <w:kern w:val="0"/>
          <w:sz w:val="24"/>
          <w:szCs w:val="24"/>
          <w:lang w:val="en-US" w:eastAsia="zh-CN" w:bidi="en-US"/>
        </w:rPr>
        <w:t>洛浦县第四幼儿园</w:t>
      </w:r>
    </w:p>
    <w:p w14:paraId="0BF8A2FD">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val="en-US" w:eastAsia="zh-CN" w:bidi="en-US"/>
        </w:rPr>
      </w:pPr>
      <w:r>
        <w:rPr>
          <w:rFonts w:hint="eastAsia" w:ascii="宋体" w:hAnsi="宋体" w:eastAsia="宋体" w:cs="宋体"/>
          <w:b w:val="0"/>
          <w:bCs w:val="0"/>
          <w:color w:val="auto"/>
          <w:kern w:val="0"/>
          <w:sz w:val="24"/>
          <w:szCs w:val="24"/>
          <w:lang w:bidi="en-US"/>
        </w:rPr>
        <w:t>主管部门：</w:t>
      </w:r>
      <w:r>
        <w:rPr>
          <w:rFonts w:hint="eastAsia" w:ascii="宋体" w:hAnsi="宋体" w:eastAsia="宋体" w:cs="宋体"/>
          <w:b w:val="0"/>
          <w:bCs w:val="0"/>
          <w:color w:val="auto"/>
          <w:kern w:val="0"/>
          <w:sz w:val="24"/>
          <w:szCs w:val="24"/>
          <w:lang w:val="en-US" w:eastAsia="zh-CN" w:bidi="en-US"/>
        </w:rPr>
        <w:t>洛浦县教育局</w:t>
      </w:r>
    </w:p>
    <w:p w14:paraId="3A09A37E">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宋体" w:hAnsi="宋体" w:eastAsia="宋体" w:cs="宋体"/>
          <w:b w:val="0"/>
          <w:bCs w:val="0"/>
          <w:color w:val="auto"/>
          <w:kern w:val="0"/>
          <w:sz w:val="24"/>
          <w:szCs w:val="24"/>
          <w:lang w:val="en-US" w:eastAsia="zh-CN" w:bidi="en-US"/>
        </w:rPr>
      </w:pPr>
      <w:r>
        <w:rPr>
          <w:rFonts w:hint="eastAsia" w:ascii="宋体" w:hAnsi="宋体" w:eastAsia="宋体" w:cs="宋体"/>
          <w:b w:val="0"/>
          <w:bCs w:val="0"/>
          <w:color w:val="auto"/>
          <w:kern w:val="0"/>
          <w:sz w:val="24"/>
          <w:szCs w:val="24"/>
          <w:lang w:bidi="en-US"/>
        </w:rPr>
        <w:t>项目负责人：</w:t>
      </w:r>
      <w:r>
        <w:rPr>
          <w:rFonts w:hint="eastAsia" w:ascii="宋体" w:hAnsi="宋体" w:eastAsia="宋体" w:cs="宋体"/>
          <w:b w:val="0"/>
          <w:bCs w:val="0"/>
          <w:color w:val="auto"/>
          <w:kern w:val="0"/>
          <w:sz w:val="24"/>
          <w:szCs w:val="24"/>
          <w:lang w:val="en-US" w:eastAsia="zh-CN" w:bidi="en-US"/>
        </w:rPr>
        <w:t>杨谦</w:t>
      </w:r>
    </w:p>
    <w:p w14:paraId="60C4B824">
      <w:pPr>
        <w:pageBreakBefore w:val="0"/>
        <w:widowControl w:val="0"/>
        <w:kinsoku/>
        <w:wordWrap/>
        <w:topLinePunct w:val="0"/>
        <w:autoSpaceDE/>
        <w:autoSpaceDN/>
        <w:bidi w:val="0"/>
        <w:spacing w:line="560" w:lineRule="exact"/>
        <w:ind w:left="0" w:leftChars="0" w:firstLine="1058" w:firstLineChars="441"/>
        <w:jc w:val="left"/>
        <w:textAlignment w:val="auto"/>
        <w:rPr>
          <w:rFonts w:hint="eastAsia" w:ascii="黑体" w:hAnsi="黑体" w:eastAsia="黑体" w:cs="黑体"/>
          <w:sz w:val="24"/>
          <w:szCs w:val="24"/>
          <w:lang w:val="en-US" w:eastAsia="zh-CN"/>
        </w:rPr>
      </w:pPr>
      <w:r>
        <w:rPr>
          <w:rFonts w:hint="eastAsia" w:ascii="宋体" w:hAnsi="宋体" w:eastAsia="宋体" w:cs="宋体"/>
          <w:b w:val="0"/>
          <w:bCs w:val="0"/>
          <w:color w:val="auto"/>
          <w:kern w:val="0"/>
          <w:sz w:val="24"/>
          <w:szCs w:val="24"/>
          <w:lang w:bidi="en-US"/>
        </w:rPr>
        <w:t>填报时间：</w:t>
      </w:r>
      <w:r>
        <w:rPr>
          <w:rFonts w:hint="eastAsia" w:ascii="宋体" w:hAnsi="宋体" w:eastAsia="宋体" w:cs="宋体"/>
          <w:b w:val="0"/>
          <w:bCs w:val="0"/>
          <w:color w:val="auto"/>
          <w:kern w:val="0"/>
          <w:sz w:val="24"/>
          <w:szCs w:val="24"/>
          <w:lang w:val="en-US" w:eastAsia="zh-CN" w:bidi="en-US"/>
        </w:rPr>
        <w:t>2025</w:t>
      </w:r>
      <w:r>
        <w:rPr>
          <w:rFonts w:hint="eastAsia" w:ascii="宋体" w:hAnsi="宋体" w:eastAsia="宋体" w:cs="宋体"/>
          <w:b w:val="0"/>
          <w:bCs w:val="0"/>
          <w:color w:val="auto"/>
          <w:kern w:val="0"/>
          <w:sz w:val="24"/>
          <w:szCs w:val="24"/>
          <w:lang w:bidi="en-US"/>
        </w:rPr>
        <w:t>年</w:t>
      </w:r>
      <w:r>
        <w:rPr>
          <w:rFonts w:hint="eastAsia" w:ascii="宋体" w:hAnsi="宋体" w:eastAsia="宋体" w:cs="宋体"/>
          <w:b w:val="0"/>
          <w:bCs w:val="0"/>
          <w:color w:val="auto"/>
          <w:kern w:val="0"/>
          <w:sz w:val="24"/>
          <w:szCs w:val="24"/>
          <w:lang w:val="en-US" w:eastAsia="zh-CN" w:bidi="en-US"/>
        </w:rPr>
        <w:t>3</w:t>
      </w:r>
      <w:r>
        <w:rPr>
          <w:rFonts w:hint="eastAsia" w:ascii="宋体" w:hAnsi="宋体" w:eastAsia="宋体" w:cs="宋体"/>
          <w:b w:val="0"/>
          <w:bCs w:val="0"/>
          <w:color w:val="auto"/>
          <w:kern w:val="0"/>
          <w:sz w:val="24"/>
          <w:szCs w:val="24"/>
          <w:lang w:bidi="en-US"/>
        </w:rPr>
        <w:t>月</w:t>
      </w:r>
      <w:r>
        <w:rPr>
          <w:rFonts w:hint="eastAsia" w:ascii="宋体" w:hAnsi="宋体" w:eastAsia="宋体" w:cs="宋体"/>
          <w:b w:val="0"/>
          <w:bCs w:val="0"/>
          <w:color w:val="auto"/>
          <w:kern w:val="0"/>
          <w:sz w:val="24"/>
          <w:szCs w:val="24"/>
          <w:lang w:val="en-US" w:eastAsia="zh-CN" w:bidi="en-US"/>
        </w:rPr>
        <w:t>31</w:t>
      </w:r>
      <w:r>
        <w:rPr>
          <w:rFonts w:hint="eastAsia" w:ascii="宋体" w:hAnsi="宋体" w:eastAsia="宋体" w:cs="宋体"/>
          <w:b w:val="0"/>
          <w:bCs w:val="0"/>
          <w:color w:val="auto"/>
          <w:kern w:val="0"/>
          <w:sz w:val="24"/>
          <w:szCs w:val="24"/>
          <w:lang w:bidi="en-US"/>
        </w:rPr>
        <w:t>日</w:t>
      </w:r>
      <w:bookmarkStart w:id="0" w:name="_Toc68364657"/>
    </w:p>
    <w:p w14:paraId="0FE5ADE9">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一、</w:t>
      </w:r>
      <w:r>
        <w:rPr>
          <w:rFonts w:hint="eastAsia" w:ascii="黑体" w:hAnsi="黑体" w:eastAsia="黑体" w:cs="黑体"/>
          <w:sz w:val="24"/>
          <w:szCs w:val="24"/>
        </w:rPr>
        <w:t>基本情况</w:t>
      </w:r>
      <w:bookmarkEnd w:id="0"/>
    </w:p>
    <w:p w14:paraId="4A58E4B6">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8"/>
      <w:r>
        <w:rPr>
          <w:rFonts w:hint="eastAsia" w:ascii="宋体" w:hAnsi="宋体" w:eastAsia="宋体" w:cs="宋体"/>
          <w:sz w:val="24"/>
          <w:szCs w:val="24"/>
          <w:lang w:eastAsia="zh-CN"/>
        </w:rPr>
        <w:t>（一）</w:t>
      </w:r>
      <w:r>
        <w:rPr>
          <w:rFonts w:hint="eastAsia" w:ascii="宋体" w:hAnsi="宋体" w:eastAsia="宋体" w:cs="宋体"/>
          <w:sz w:val="24"/>
          <w:szCs w:val="24"/>
        </w:rPr>
        <w:t>项目概况</w:t>
      </w:r>
      <w:bookmarkEnd w:id="1"/>
    </w:p>
    <w:p w14:paraId="0DE4E40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项目背景</w:t>
      </w:r>
    </w:p>
    <w:p w14:paraId="7FA088AB">
      <w:pPr>
        <w:pStyle w:val="5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kern w:val="0"/>
          <w:sz w:val="24"/>
          <w:szCs w:val="24"/>
          <w:lang w:val="en-US" w:eastAsia="zh-CN" w:bidi="ar-SA"/>
        </w:rPr>
      </w:pPr>
      <w:r>
        <w:rPr>
          <w:rFonts w:hint="eastAsia" w:ascii="宋体" w:hAnsi="宋体" w:eastAsia="宋体" w:cs="宋体"/>
          <w:b w:val="0"/>
          <w:bCs w:val="0"/>
          <w:color w:val="000000"/>
          <w:kern w:val="0"/>
          <w:sz w:val="24"/>
          <w:szCs w:val="24"/>
          <w:lang w:val="en-US" w:eastAsia="zh-CN" w:bidi="ar-SA"/>
        </w:rPr>
        <w:t>根据党的教育方针及教学大纲，组织三年制全日制幼儿教学，通过实施素质教育，为小学输送合格的毕业生，为社会培养合格接班人，在上级主管部门的领导下，加强对全校师生的管理和教育，加强政治思想、道德素养、法制观念、爱国主义、集体主义，无神论的教育，培养德、智、体、美、劳全面发展，招收适龄儿童，安排班级，组织教学；执行上级教育部门有关教育教学工作的安排布置，计划、办法和措施；在当地党政部门的指导下，做好当地幼儿教育。</w:t>
      </w:r>
    </w:p>
    <w:p w14:paraId="357A5F0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sz w:val="24"/>
          <w:szCs w:val="24"/>
          <w:lang w:val="en-US" w:eastAsia="zh-CN"/>
        </w:rPr>
        <w:t>2.</w:t>
      </w:r>
      <w:r>
        <w:rPr>
          <w:rFonts w:hint="eastAsia" w:ascii="宋体" w:hAnsi="宋体" w:eastAsia="宋体" w:cs="宋体"/>
          <w:b/>
          <w:bCs/>
          <w:sz w:val="24"/>
          <w:szCs w:val="24"/>
        </w:rPr>
        <w:t>主要内容及实施情况</w:t>
      </w:r>
    </w:p>
    <w:p w14:paraId="5E1F0DD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049E36D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为保障学校日常工作正常运行，本项目正常性项目，资金总额为66.76万元，将在2024年12月之前完成。通过实施本项目可以有效提高学校工作效率。保障学校日常工作正常运行。</w:t>
      </w:r>
    </w:p>
    <w:p w14:paraId="54788D4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保障我单位全年教职工的工资、津贴、奖金、离休费、退休人员生活补助、医疗保险、养老保险、住房公积金等开支。以及用于日常办公、业务活动方面的经常性开支，包括：办公费、水电费、取暖费、差旅费、公务用车交通费等。</w:t>
      </w:r>
    </w:p>
    <w:p w14:paraId="4D4C143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宣传贯彻执行党和国家、自治区、地区的教育方针、政策；</w:t>
      </w:r>
    </w:p>
    <w:p w14:paraId="62FA74D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制定符合党的教育方针和国家教育法律法规以及本校实际的教育发展规划；</w:t>
      </w:r>
    </w:p>
    <w:p w14:paraId="4381F6C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核算和发放教职工工资，不断提高教师满意度。</w:t>
      </w:r>
    </w:p>
    <w:p w14:paraId="6099662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2.实施情况</w:t>
      </w:r>
    </w:p>
    <w:p w14:paraId="4C4DE0F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bCs/>
          <w:sz w:val="24"/>
          <w:szCs w:val="24"/>
          <w:lang w:val="en-US"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1）项目实施主体</w:t>
      </w:r>
    </w:p>
    <w:p w14:paraId="0BC8A87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sz w:val="24"/>
          <w:szCs w:val="24"/>
          <w:lang w:val="en-US" w:eastAsia="zh-CN"/>
        </w:rPr>
        <w:t>本项目主管部门为洛浦县教</w:t>
      </w:r>
      <w:r>
        <w:rPr>
          <w:rFonts w:hint="eastAsia" w:ascii="宋体" w:hAnsi="宋体" w:eastAsia="宋体" w:cs="宋体"/>
          <w:b w:val="0"/>
          <w:bCs w:val="0"/>
          <w:color w:val="auto"/>
          <w:sz w:val="24"/>
          <w:szCs w:val="24"/>
          <w:lang w:val="en-US" w:eastAsia="zh-CN"/>
        </w:rPr>
        <w:t>育局，实施单位为洛浦县第四幼儿园。</w:t>
      </w:r>
    </w:p>
    <w:p w14:paraId="5033B0C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3F2E452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（3）项目实施情况</w:t>
      </w:r>
    </w:p>
    <w:p w14:paraId="0D64ABC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截至目前2024年12月31日，我单位已完成学前教育保障经费收益学生数量190人，实际支付资金66.76万元。通过实施本项目可以有效提高学校工作效率。保障学校日常工作正常运行.</w:t>
      </w:r>
    </w:p>
    <w:p w14:paraId="2B0B82B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资金投入和使用情况</w:t>
      </w:r>
    </w:p>
    <w:p w14:paraId="5363EC8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12BC4ED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万元，资金来源为部门预算自治区专项资金，其中：财政资金</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含自有资金、社会资金及以前年度结转结余资金）0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4F45484">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31C2028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%（预算执行率=（</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）*100%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本项目资金主要用于支付取暖费</w:t>
      </w:r>
      <w:r>
        <w:rPr>
          <w:rFonts w:hint="eastAsia" w:ascii="宋体" w:hAnsi="宋体" w:eastAsia="宋体" w:cs="宋体"/>
          <w:color w:val="auto"/>
          <w:sz w:val="24"/>
          <w:szCs w:val="24"/>
          <w:highlight w:val="none"/>
          <w:lang w:val="en-US" w:eastAsia="zh-CN"/>
        </w:rPr>
        <w:t>2.24万元。公用经费</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32.51</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幼儿伙食</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32.01</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w:t>
      </w:r>
    </w:p>
    <w:p w14:paraId="4D635A0D">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2" w:name="_Toc68364659"/>
      <w:r>
        <w:rPr>
          <w:rFonts w:hint="eastAsia" w:ascii="宋体" w:hAnsi="宋体" w:eastAsia="宋体" w:cs="宋体"/>
          <w:sz w:val="24"/>
          <w:szCs w:val="24"/>
        </w:rPr>
        <w:t>（二）项目绩效目标</w:t>
      </w:r>
      <w:bookmarkEnd w:id="2"/>
    </w:p>
    <w:p w14:paraId="6F95898D">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4CFF10A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808545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本项目主要实施内容为：为保障学校日常工作正常运行，本项目正常性项目，资金总额为66.76万元，将在2024年12月之前完成。通过实施本项目可以有效提高学校工作效率。保障学校日常工作正常运行。</w:t>
      </w:r>
    </w:p>
    <w:p w14:paraId="19299EB4">
      <w:pPr>
        <w:pStyle w:val="46"/>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21C08E4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7854D9EC">
      <w:pPr>
        <w:pStyle w:val="46"/>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003C9BE6">
      <w:pPr>
        <w:pStyle w:val="46"/>
        <w:pageBreakBefore w:val="0"/>
        <w:widowControl w:val="0"/>
        <w:numPr>
          <w:ilvl w:val="0"/>
          <w:numId w:val="3"/>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02CDA617">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指标1：学前教育保障经费收益学生数量，预期指标值：“=190人</w:t>
      </w:r>
      <w:r>
        <w:rPr>
          <w:rFonts w:hint="eastAsia" w:ascii="宋体" w:hAnsi="宋体" w:eastAsia="宋体" w:cs="宋体"/>
          <w:color w:val="auto"/>
          <w:sz w:val="24"/>
          <w:szCs w:val="24"/>
          <w:lang w:eastAsia="zh-CN"/>
        </w:rPr>
        <w:t>”；</w:t>
      </w:r>
    </w:p>
    <w:p w14:paraId="4CF66C73">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3D76968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指标1：资金到位率，预期指标值：“=100%</w:t>
      </w:r>
      <w:r>
        <w:rPr>
          <w:rFonts w:hint="eastAsia" w:ascii="宋体" w:hAnsi="宋体" w:eastAsia="宋体" w:cs="宋体"/>
          <w:color w:val="auto"/>
          <w:sz w:val="24"/>
          <w:szCs w:val="24"/>
          <w:lang w:eastAsia="zh-CN"/>
        </w:rPr>
        <w:t>”；</w:t>
      </w:r>
    </w:p>
    <w:p w14:paraId="0BFDFD9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3）时效目标：</w:t>
      </w:r>
    </w:p>
    <w:p w14:paraId="390FBC61">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指标1：资金拨付及时性，预期指标值：“=100%</w:t>
      </w:r>
      <w:r>
        <w:rPr>
          <w:rFonts w:hint="eastAsia" w:ascii="宋体" w:hAnsi="宋体" w:eastAsia="宋体" w:cs="宋体"/>
          <w:color w:val="auto"/>
          <w:sz w:val="24"/>
          <w:szCs w:val="24"/>
          <w:lang w:eastAsia="zh-CN"/>
        </w:rPr>
        <w:t>”；</w:t>
      </w:r>
    </w:p>
    <w:p w14:paraId="4DA2055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 xml:space="preserve">（2）成本指标： </w:t>
      </w:r>
    </w:p>
    <w:p w14:paraId="635CA62D">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1）经济成本指标</w:t>
      </w:r>
    </w:p>
    <w:p w14:paraId="1E9ED435">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指标1：取暖费，预期指标值：“=2.24万元</w:t>
      </w:r>
      <w:r>
        <w:rPr>
          <w:rFonts w:hint="eastAsia" w:ascii="宋体" w:hAnsi="宋体" w:eastAsia="宋体" w:cs="宋体"/>
          <w:color w:val="auto"/>
          <w:sz w:val="24"/>
          <w:szCs w:val="24"/>
          <w:lang w:eastAsia="zh-CN"/>
        </w:rPr>
        <w:t>”；</w:t>
      </w:r>
    </w:p>
    <w:p w14:paraId="2DED2934">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：公用经费，预期指标值：“=32.51万元</w:t>
      </w:r>
      <w:r>
        <w:rPr>
          <w:rFonts w:hint="eastAsia" w:ascii="宋体" w:hAnsi="宋体" w:eastAsia="宋体" w:cs="宋体"/>
          <w:color w:val="auto"/>
          <w:sz w:val="24"/>
          <w:szCs w:val="24"/>
          <w:lang w:eastAsia="zh-CN"/>
        </w:rPr>
        <w:t>”；</w:t>
      </w:r>
    </w:p>
    <w:p w14:paraId="4B3DBE79">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：伙食费，预期指标值：“=32.01万元</w:t>
      </w:r>
      <w:r>
        <w:rPr>
          <w:rFonts w:hint="eastAsia" w:ascii="宋体" w:hAnsi="宋体" w:eastAsia="宋体" w:cs="宋体"/>
          <w:color w:val="auto"/>
          <w:sz w:val="24"/>
          <w:szCs w:val="24"/>
          <w:lang w:eastAsia="zh-CN"/>
        </w:rPr>
        <w:t>”；</w:t>
      </w:r>
    </w:p>
    <w:p w14:paraId="42666BE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（3）效益指标</w:t>
      </w:r>
    </w:p>
    <w:p w14:paraId="100CD478">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）社会效益指标：</w:t>
      </w:r>
    </w:p>
    <w:p w14:paraId="5C5AD402">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指标1：改善教育教学质量，预期指标值：“有效改善</w:t>
      </w:r>
      <w:r>
        <w:rPr>
          <w:rFonts w:hint="eastAsia" w:ascii="宋体" w:hAnsi="宋体" w:eastAsia="宋体" w:cs="宋体"/>
          <w:color w:val="auto"/>
          <w:sz w:val="24"/>
          <w:szCs w:val="24"/>
          <w:lang w:eastAsia="zh-CN"/>
        </w:rPr>
        <w:t>”；</w:t>
      </w:r>
    </w:p>
    <w:p w14:paraId="12F6348F">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43A59950">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黑体" w:hAnsi="黑体" w:eastAsia="黑体" w:cs="黑体"/>
          <w:sz w:val="24"/>
          <w:szCs w:val="24"/>
        </w:rPr>
      </w:pPr>
      <w:r>
        <w:rPr>
          <w:rFonts w:hint="eastAsia" w:ascii="宋体" w:hAnsi="宋体" w:eastAsia="宋体" w:cs="宋体"/>
          <w:b w:val="0"/>
          <w:bCs w:val="0"/>
          <w:color w:val="auto"/>
          <w:sz w:val="24"/>
          <w:szCs w:val="24"/>
        </w:rPr>
        <w:t>指标1：学生满意度，预期指标值：“≥95%</w:t>
      </w:r>
      <w:r>
        <w:rPr>
          <w:rFonts w:hint="eastAsia" w:ascii="宋体" w:hAnsi="宋体" w:eastAsia="宋体" w:cs="宋体"/>
          <w:color w:val="auto"/>
          <w:sz w:val="24"/>
          <w:szCs w:val="24"/>
          <w:lang w:eastAsia="zh-CN"/>
        </w:rPr>
        <w:t>”。</w:t>
      </w:r>
    </w:p>
    <w:p w14:paraId="10323C8E">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二、绩效评价工作开展情况</w:t>
      </w:r>
      <w:bookmarkEnd w:id="3"/>
    </w:p>
    <w:p w14:paraId="50078B18">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4" w:name="_Toc68364661"/>
      <w:r>
        <w:rPr>
          <w:rFonts w:hint="eastAsia" w:ascii="宋体" w:hAnsi="宋体" w:eastAsia="宋体" w:cs="宋体"/>
          <w:sz w:val="24"/>
          <w:szCs w:val="24"/>
        </w:rPr>
        <w:t>（一）绩效评价目的、对象和范围</w:t>
      </w:r>
      <w:bookmarkEnd w:id="4"/>
    </w:p>
    <w:p w14:paraId="27AE6D0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绩效评价目的</w:t>
      </w:r>
    </w:p>
    <w:p w14:paraId="4513BD7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定，对专项资金-和地财教【2023】73号：2024年新疆西藏等地区教育特殊补助资金-学前三年免费保障经费-公用经费-洛财教【2024】22号项目开展本次部门项目支出绩效评价工作。全面了解</w:t>
      </w:r>
      <w:r>
        <w:rPr>
          <w:rFonts w:hint="eastAsia" w:ascii="宋体" w:hAnsi="宋体" w:eastAsia="宋体" w:cs="宋体"/>
          <w:color w:val="auto"/>
          <w:sz w:val="24"/>
          <w:szCs w:val="24"/>
          <w:lang w:val="en-US" w:eastAsia="zh-CN"/>
        </w:rPr>
        <w:t>专项资金-和地财教【2023】73号：2024年新疆西藏等地区教育特殊补助资金-学前三年免费保障经费-公用经费-洛财教【2024】22号</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5D3578A9">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w:t>
      </w:r>
      <w:r>
        <w:rPr>
          <w:rFonts w:hint="eastAsia" w:ascii="宋体" w:hAnsi="宋体" w:eastAsia="宋体" w:cs="宋体"/>
          <w:sz w:val="24"/>
          <w:szCs w:val="24"/>
          <w:lang w:val="en-US" w:eastAsia="zh-CN"/>
        </w:rPr>
        <w:t>治区党委自治区人民政府关于全面实施预算绩效管理的实施意见》（新党发〔2018〕30号）政策文件的指示精神，有助于建立健全“花钱必问效、无效必问责”的绩效预算管理机制</w:t>
      </w:r>
    </w:p>
    <w:p w14:paraId="5F7462F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429030F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355C82B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41AE4582">
      <w:pPr>
        <w:pStyle w:val="46"/>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highlight w:val="none"/>
          <w:lang w:val="en-US" w:eastAsia="zh-CN"/>
        </w:rPr>
        <w:t>专项资金-和地财教【2023】73号：2024年新疆西藏等地区教育特殊补助资金-学前三年免费保障经费-公用经费-洛财教【2024】22号</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57DB5A47">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3. 绩效评价范围</w:t>
      </w:r>
    </w:p>
    <w:p w14:paraId="3FFC9E2B">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专项资金-和地财教【2023】73号：2024年新疆西藏等地区教育特殊补助资金-学前三年免费保障经费-公用经费-洛财教【2024】22号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67302E90">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5"/>
    </w:p>
    <w:p w14:paraId="200FEE4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 绩效评价原则</w:t>
      </w:r>
    </w:p>
    <w:p w14:paraId="5D94499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D3A2DE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2C1C797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02161C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3AD1BC0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5DB932E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77DEF36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（1）在数据采集时，采取客观数据，主管部门审查、社会中介组织复查，与问卷调查相结合的形式，以保证各项指标的真实性。</w:t>
      </w:r>
    </w:p>
    <w:p w14:paraId="6C3A406C">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（2）保证评价结果的真实性、公正性，提高评价报告的公信力。</w:t>
      </w:r>
    </w:p>
    <w:p w14:paraId="376D7F4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sz w:val="24"/>
          <w:szCs w:val="24"/>
        </w:rPr>
      </w:pPr>
      <w:r>
        <w:rPr>
          <w:rFonts w:hint="eastAsia" w:ascii="宋体" w:hAnsi="宋体" w:eastAsia="宋体" w:cs="宋体"/>
          <w:sz w:val="24"/>
          <w:szCs w:val="24"/>
        </w:rPr>
        <w:t>（3）绩</w:t>
      </w:r>
      <w:r>
        <w:rPr>
          <w:rFonts w:hint="eastAsia" w:ascii="宋体" w:hAnsi="宋体" w:eastAsia="宋体" w:cs="宋体"/>
          <w:sz w:val="24"/>
          <w:szCs w:val="24"/>
          <w:lang w:val="en-US" w:eastAsia="zh-CN"/>
        </w:rPr>
        <w:t>效</w:t>
      </w:r>
      <w:r>
        <w:rPr>
          <w:rFonts w:hint="eastAsia" w:ascii="宋体" w:hAnsi="宋体" w:eastAsia="宋体" w:cs="宋体"/>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66BAC24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 绩效评价指标体系</w:t>
      </w:r>
    </w:p>
    <w:p w14:paraId="575B4A5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37A1370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 绩效评价方法</w:t>
      </w:r>
    </w:p>
    <w:p w14:paraId="6A1EA68A">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4D2DD5A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40078AE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67D5FBC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32E3AEE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0D773F5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01B02E6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3EEB420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3FA56413">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198B3F4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19FFDA3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4E9F47C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01248A4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5C2C2B68">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6EEAC6F">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5F8E0CA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 绩效评价标准</w:t>
      </w:r>
    </w:p>
    <w:p w14:paraId="3533E23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FF0000"/>
          <w:sz w:val="24"/>
          <w:szCs w:val="24"/>
        </w:rPr>
      </w:pPr>
      <w:bookmarkStart w:id="6" w:name="_Toc68364663"/>
      <w:r>
        <w:rPr>
          <w:rFonts w:hint="eastAsia" w:ascii="宋体" w:hAnsi="宋体" w:eastAsia="宋体" w:cs="宋体"/>
          <w:sz w:val="24"/>
          <w:szCs w:val="24"/>
        </w:rPr>
        <w:t>绩效评价标准通常包括计划标准、行业标准、历史标准等，用于对绩效指标完</w:t>
      </w:r>
      <w:r>
        <w:rPr>
          <w:rFonts w:hint="eastAsia" w:ascii="宋体" w:hAnsi="宋体" w:eastAsia="宋体" w:cs="宋体"/>
          <w:color w:val="auto"/>
          <w:sz w:val="24"/>
          <w:szCs w:val="24"/>
        </w:rPr>
        <w:t>成情况进行比较、分析、评价。本次评价主要采用了</w:t>
      </w:r>
      <w:r>
        <w:rPr>
          <w:rFonts w:hint="eastAsia" w:ascii="宋体" w:hAnsi="宋体" w:eastAsia="宋体" w:cs="宋体"/>
          <w:color w:val="auto"/>
          <w:sz w:val="24"/>
          <w:szCs w:val="24"/>
          <w:lang w:val="en-US" w:eastAsia="zh-CN"/>
        </w:rPr>
        <w:t>行业</w:t>
      </w:r>
      <w:r>
        <w:rPr>
          <w:rFonts w:hint="eastAsia" w:ascii="宋体" w:hAnsi="宋体" w:eastAsia="宋体" w:cs="宋体"/>
          <w:color w:val="auto"/>
          <w:sz w:val="24"/>
          <w:szCs w:val="24"/>
        </w:rPr>
        <w:t>标准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计划标准</w:t>
      </w:r>
      <w:r>
        <w:rPr>
          <w:rFonts w:hint="eastAsia" w:ascii="宋体" w:hAnsi="宋体" w:eastAsia="宋体" w:cs="宋体"/>
          <w:color w:val="auto"/>
          <w:sz w:val="24"/>
          <w:szCs w:val="24"/>
        </w:rPr>
        <w:t>。</w:t>
      </w:r>
    </w:p>
    <w:p w14:paraId="64E694F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7" w:name="_Toc31464"/>
      <w:bookmarkStart w:id="8"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7"/>
      <w:bookmarkEnd w:id="8"/>
    </w:p>
    <w:p w14:paraId="62BE4EC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bookmarkStart w:id="9" w:name="_Toc2318"/>
      <w:bookmarkStart w:id="10" w:name="_Toc5633"/>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9"/>
      <w:bookmarkEnd w:id="10"/>
    </w:p>
    <w:p w14:paraId="2252E62D">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6"/>
    </w:p>
    <w:p w14:paraId="2B61DA0B">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1" w:name="_Toc68364664"/>
      <w:r>
        <w:rPr>
          <w:rFonts w:hint="eastAsia" w:ascii="宋体" w:hAnsi="宋体" w:eastAsia="宋体" w:cs="宋体"/>
          <w:sz w:val="24"/>
          <w:szCs w:val="24"/>
        </w:rPr>
        <w:t>1.前期准备</w:t>
      </w:r>
    </w:p>
    <w:p w14:paraId="24C303F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62664C60">
      <w:pPr>
        <w:pStyle w:val="5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杨谦（书记 园长）（评价小组组长）：主要负责绩效评价工作职责为负责全盘工作。</w:t>
      </w:r>
    </w:p>
    <w:p w14:paraId="36C77F4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蒲小青（副园长）（评价小组组员）：主要负责绩效评价工作职责为为对项目实施情况进行实地调查。</w:t>
      </w:r>
    </w:p>
    <w:p w14:paraId="25605788">
      <w:pPr>
        <w:pStyle w:val="5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木拉江总务主任顾洪刚、教务主任曹兴华  、报账员古再努尔（评价小组组员）：主要负责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6EB93EB2">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2.组织实施</w:t>
      </w:r>
    </w:p>
    <w:p w14:paraId="4F8AF03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30</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1FF3E984">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3.分析评价</w:t>
      </w:r>
    </w:p>
    <w:p w14:paraId="7B746FD6">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28</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575306E8">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4.撰写与提交评价报告</w:t>
      </w:r>
    </w:p>
    <w:p w14:paraId="4D8A910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1FAD3733">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5.问题整改</w:t>
      </w:r>
    </w:p>
    <w:p w14:paraId="48733B3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C21E2BD">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6.档案整理</w:t>
      </w:r>
    </w:p>
    <w:p w14:paraId="115555C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5E3EBD76">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p>
    <w:p w14:paraId="3BF70C46">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1"/>
    </w:p>
    <w:p w14:paraId="1B75ABEB">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2" w:name="_Toc68364665"/>
      <w:r>
        <w:rPr>
          <w:rFonts w:hint="eastAsia" w:ascii="宋体" w:hAnsi="宋体" w:eastAsia="宋体" w:cs="宋体"/>
          <w:color w:val="auto"/>
          <w:sz w:val="24"/>
          <w:szCs w:val="24"/>
          <w:highlight w:val="none"/>
        </w:rPr>
        <w:t>（一）综合评价情况</w:t>
      </w:r>
      <w:bookmarkEnd w:id="12"/>
    </w:p>
    <w:p w14:paraId="0D163FB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3" w:name="_Toc68364666"/>
      <w:r>
        <w:rPr>
          <w:rFonts w:hint="eastAsia" w:ascii="宋体" w:hAnsi="宋体" w:eastAsia="宋体" w:cs="宋体"/>
          <w:color w:val="auto"/>
          <w:sz w:val="24"/>
          <w:szCs w:val="24"/>
          <w:highlight w:val="none"/>
        </w:rPr>
        <w:t>通过实施专项资金-和地财教【2023】73号：2024年新疆西藏等地区教育特殊补助资金-学前三年免费保障经费-公用经费-洛财教【2024】22号产生</w:t>
      </w:r>
      <w:r>
        <w:rPr>
          <w:rFonts w:hint="eastAsia" w:ascii="宋体" w:hAnsi="宋体" w:eastAsia="宋体" w:cs="宋体"/>
          <w:color w:val="auto"/>
          <w:sz w:val="24"/>
          <w:szCs w:val="24"/>
          <w:highlight w:val="none"/>
          <w:lang w:val="en-US" w:eastAsia="zh-CN"/>
        </w:rPr>
        <w:t>改</w:t>
      </w:r>
      <w:r>
        <w:rPr>
          <w:rFonts w:hint="eastAsia" w:ascii="宋体" w:hAnsi="宋体" w:eastAsia="宋体" w:cs="宋体"/>
          <w:color w:val="auto"/>
          <w:sz w:val="24"/>
          <w:szCs w:val="24"/>
          <w:highlight w:val="none"/>
        </w:rPr>
        <w:t>善教育教学质量效益。项目实施主要通过项目决策、项目过程、项目产出以及项目效益等方面进行评价，其中：</w:t>
      </w:r>
    </w:p>
    <w:p w14:paraId="688E3827">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项目决策：该项目主要通过专项资金-和地财教【2023】73号立项，项目实施符合法律法规、相关政策、发展规划以及部门职责</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 xml:space="preserve">要求，项目立项依据充分，立项程序规范。 </w:t>
      </w:r>
    </w:p>
    <w:p w14:paraId="136D2BF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项目过程：专项资金-和地财教【2023】73号：2024年新疆西藏等地区教育特殊补助资金-学前三年免费保障经费-公用经费-洛财教【2024】22号预算安排</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258372B9">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rPr>
        <w:t>项目效益：通过实施本项目可以有效提高学校工作效率</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有效</w:t>
      </w:r>
      <w:r>
        <w:rPr>
          <w:rFonts w:hint="eastAsia" w:ascii="宋体" w:hAnsi="宋体" w:eastAsia="宋体" w:cs="宋体"/>
          <w:sz w:val="24"/>
          <w:szCs w:val="24"/>
        </w:rPr>
        <w:t>改善教育教学质量</w:t>
      </w:r>
      <w:r>
        <w:rPr>
          <w:rFonts w:hint="eastAsia" w:ascii="宋体" w:hAnsi="宋体" w:eastAsia="宋体" w:cs="宋体"/>
          <w:sz w:val="24"/>
          <w:szCs w:val="24"/>
          <w:lang w:eastAsia="zh-CN"/>
        </w:rPr>
        <w:t>，</w:t>
      </w:r>
      <w:r>
        <w:rPr>
          <w:rFonts w:hint="eastAsia" w:ascii="宋体" w:hAnsi="宋体" w:eastAsia="宋体" w:cs="宋体"/>
          <w:sz w:val="24"/>
          <w:szCs w:val="24"/>
        </w:rPr>
        <w:t>保障学校日常工作正常运行</w:t>
      </w:r>
      <w:r>
        <w:rPr>
          <w:rFonts w:hint="eastAsia" w:ascii="宋体" w:hAnsi="宋体" w:eastAsia="宋体" w:cs="宋体"/>
          <w:sz w:val="24"/>
          <w:szCs w:val="24"/>
          <w:lang w:eastAsia="zh-CN"/>
        </w:rPr>
        <w:t>。</w:t>
      </w:r>
    </w:p>
    <w:p w14:paraId="5A510A8D">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5537B61B">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专项资金-和地财教【2023】73号：2024年新疆西藏等地区教育特殊补助资金-学前三年免费保障经费-公用经费-洛财教【2024】22号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优秀</w:t>
      </w:r>
      <w:r>
        <w:rPr>
          <w:rFonts w:hint="eastAsia" w:ascii="宋体" w:hAnsi="宋体" w:eastAsia="宋体" w:cs="宋体"/>
          <w:color w:val="auto"/>
          <w:sz w:val="24"/>
          <w:szCs w:val="24"/>
          <w:highlight w:val="none"/>
        </w:rPr>
        <w:t>”。</w:t>
      </w:r>
      <w:bookmarkEnd w:id="13"/>
    </w:p>
    <w:p w14:paraId="28D224F3">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bookmarkStart w:id="14" w:name="_Toc68364667"/>
    </w:p>
    <w:p w14:paraId="2779D13E">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4"/>
    </w:p>
    <w:p w14:paraId="1E3DE869">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5" w:name="_Toc68364668"/>
      <w:r>
        <w:rPr>
          <w:rFonts w:hint="eastAsia" w:ascii="宋体" w:hAnsi="宋体" w:eastAsia="宋体" w:cs="宋体"/>
          <w:color w:val="auto"/>
          <w:sz w:val="24"/>
          <w:szCs w:val="24"/>
          <w:highlight w:val="none"/>
        </w:rPr>
        <w:t>（一）项目决策情况</w:t>
      </w:r>
    </w:p>
    <w:p w14:paraId="34FFB871">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3295C7BB">
      <w:pPr>
        <w:keepNext w:val="0"/>
        <w:keepLines w:val="0"/>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7406D669">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000000"/>
          <w:sz w:val="24"/>
          <w:szCs w:val="24"/>
          <w:highlight w:val="none"/>
          <w:lang w:eastAsia="zh-CN"/>
        </w:rPr>
        <w:t>自治区财政厅</w:t>
      </w:r>
      <w:r>
        <w:rPr>
          <w:rFonts w:hint="eastAsia" w:ascii="宋体" w:hAnsi="宋体" w:eastAsia="宋体" w:cs="宋体"/>
          <w:color w:val="auto"/>
          <w:sz w:val="24"/>
          <w:szCs w:val="24"/>
          <w:highlight w:val="none"/>
        </w:rPr>
        <w:t>颁发的《2024年新疆西藏等地区教育特殊补助资金-学前三年免费保障经费》（专项资金-和地财教【2023】73号）中：“洛财教【2024】22号”；本项目立项符合《2024年新疆西藏等地区教育特殊补助资金-学前三年免费保障经费》（专项资金-和地财教【2023】73号）中：“学前三年免费保障经费”内容，符合行业发展</w:t>
      </w:r>
      <w:r>
        <w:rPr>
          <w:rFonts w:hint="eastAsia" w:ascii="宋体" w:hAnsi="宋体" w:eastAsia="宋体" w:cs="宋体"/>
          <w:color w:val="auto"/>
          <w:sz w:val="24"/>
          <w:szCs w:val="24"/>
        </w:rPr>
        <w:t>规划和政策要求；本项目立项符合《洛浦县第四幼儿园配置内设机构和人员编制规定》中职责范围中的“</w:t>
      </w:r>
      <w:r>
        <w:rPr>
          <w:rFonts w:hint="eastAsia" w:ascii="宋体" w:hAnsi="宋体" w:eastAsia="宋体" w:cs="宋体"/>
          <w:color w:val="auto"/>
          <w:sz w:val="24"/>
          <w:szCs w:val="24"/>
          <w:lang w:val="en-US" w:eastAsia="zh-CN"/>
        </w:rPr>
        <w:t>公用经费、伙食费</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val="en-US" w:eastAsia="zh-CN"/>
        </w:rPr>
        <w:t>教育支出</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商品服务与支出</w:t>
      </w:r>
      <w:r>
        <w:rPr>
          <w:rFonts w:hint="eastAsia" w:ascii="宋体" w:hAnsi="宋体" w:eastAsia="宋体" w:cs="宋体"/>
          <w:color w:val="auto"/>
          <w:sz w:val="24"/>
          <w:szCs w:val="24"/>
        </w:rPr>
        <w:t>”属</w:t>
      </w:r>
      <w:r>
        <w:rPr>
          <w:rFonts w:hint="eastAsia" w:ascii="宋体" w:hAnsi="宋体" w:eastAsia="宋体" w:cs="宋体"/>
          <w:color w:val="auto"/>
          <w:sz w:val="24"/>
          <w:szCs w:val="24"/>
          <w:highlight w:val="none"/>
        </w:rPr>
        <w:t>于公共财政支持范围，符合中央、地方事权支出责任划分原则；经检查我单位财政应用平台指标，本项目不存在重复。</w:t>
      </w:r>
    </w:p>
    <w:p w14:paraId="1D91EBD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30A699D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（2）立项程序规范性：</w:t>
      </w:r>
    </w:p>
    <w:p w14:paraId="4AEF1B3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本项目专项资金-和地财教【2023】73号：2024年新疆西藏等地区教育特殊补助资金-学前三年免费保障经费-公用经费-洛财教【2024】22号，项目立项过程中产生的文件均符合相关要求。本项目为</w:t>
      </w:r>
      <w:r>
        <w:rPr>
          <w:rFonts w:hint="eastAsia" w:ascii="宋体" w:hAnsi="宋体" w:eastAsia="宋体" w:cs="宋体"/>
          <w:color w:val="auto"/>
          <w:sz w:val="24"/>
          <w:szCs w:val="24"/>
          <w:highlight w:val="none"/>
          <w:lang w:val="en-US" w:eastAsia="zh-CN"/>
        </w:rPr>
        <w:t>一般公共预算</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万元，不涉及事前绩效评估和风险评估，</w:t>
      </w:r>
      <w:r>
        <w:rPr>
          <w:rFonts w:hint="eastAsia" w:ascii="宋体" w:hAnsi="宋体" w:eastAsia="宋体" w:cs="宋体"/>
          <w:color w:val="auto"/>
          <w:sz w:val="24"/>
          <w:szCs w:val="24"/>
          <w:highlight w:val="none"/>
          <w:lang w:eastAsia="zh-CN"/>
        </w:rPr>
        <w:t>。</w:t>
      </w:r>
    </w:p>
    <w:p w14:paraId="4C846C8F">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color w:val="auto"/>
          <w:sz w:val="24"/>
          <w:szCs w:val="24"/>
        </w:rPr>
        <w:t>（3）绩效目标合理性</w:t>
      </w:r>
      <w:r>
        <w:rPr>
          <w:rFonts w:hint="eastAsia" w:ascii="宋体" w:hAnsi="宋体" w:eastAsia="宋体" w:cs="宋体"/>
          <w:color w:val="auto"/>
          <w:sz w:val="24"/>
          <w:szCs w:val="24"/>
        </w:rPr>
        <w:t>：</w:t>
      </w:r>
    </w:p>
    <w:p w14:paraId="3CEE72A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为保障学校日常工作正常运行，本项目正常性项目，资金总额为66.76万元，将在2024年12月之前完成。通过实施本项目可以有效提高学校工作效率。保障学校日常工作正常运行.”。</w:t>
      </w:r>
    </w:p>
    <w:p w14:paraId="1E0FCA0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我单位已完成学前教育保障经费收益学生数量190人，实际支付资金66.76万元。通过实施本项目可以有效提高学校工作效率。保障学校日常工作正常运行。绩效目标与实际工作内容一致，两者具有相关性。</w:t>
      </w:r>
    </w:p>
    <w:p w14:paraId="51885C4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预期值</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改善教育教学质量</w:t>
      </w:r>
      <w:r>
        <w:rPr>
          <w:rFonts w:hint="eastAsia" w:ascii="宋体" w:hAnsi="宋体" w:eastAsia="宋体" w:cs="宋体"/>
          <w:color w:val="auto"/>
          <w:sz w:val="24"/>
          <w:szCs w:val="24"/>
          <w:highlight w:val="none"/>
        </w:rPr>
        <w:t>效益，预期产出效益和效果是否符合正常的业绩水平。</w:t>
      </w:r>
    </w:p>
    <w:p w14:paraId="57599ED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万元，预算确定的项目资金与预算确定的项目投资额相匹配。</w:t>
      </w:r>
    </w:p>
    <w:p w14:paraId="10C25D9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63BFFB92">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87.5</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5D51F64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学前教育保障经费收益学生数量190人</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资金拨付及时性</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17F1ADE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本项目专项资金-和地财教【2023】73号：2024年新疆西藏等地区教育特殊补助资金-学前三年免费保障经费-公用经费-洛财教【2024】22号，即预算编制较科学且经过论证；</w:t>
      </w:r>
    </w:p>
    <w:p w14:paraId="69F08FE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66.76万元</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66.76万元</w:t>
      </w:r>
      <w:r>
        <w:rPr>
          <w:rFonts w:hint="eastAsia" w:ascii="宋体" w:hAnsi="宋体" w:eastAsia="宋体" w:cs="宋体"/>
          <w:color w:val="auto"/>
          <w:sz w:val="24"/>
          <w:szCs w:val="24"/>
          <w:highlight w:val="none"/>
        </w:rPr>
        <w:t>，预算申请与《专项资金-和地财教【2023】73号：2024年新疆西藏等地区教育特殊补助资金-学前三年免费保障经费-公用经费-洛财教【2024】22号项目实施方案》中涉及的项目内容匹配；</w:t>
      </w:r>
    </w:p>
    <w:p w14:paraId="2945BDB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val="en-US" w:eastAsia="zh-CN"/>
        </w:rPr>
        <w:t>取暖费2.21万元，公用</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32.51</w:t>
      </w:r>
      <w:r>
        <w:rPr>
          <w:rFonts w:hint="eastAsia" w:ascii="宋体" w:hAnsi="宋体" w:eastAsia="宋体" w:cs="宋体"/>
          <w:color w:val="auto"/>
          <w:sz w:val="24"/>
          <w:szCs w:val="24"/>
          <w:highlight w:val="none"/>
        </w:rPr>
        <w:t>万元、</w:t>
      </w:r>
      <w:r>
        <w:rPr>
          <w:rFonts w:hint="eastAsia" w:ascii="宋体" w:hAnsi="宋体" w:eastAsia="宋体" w:cs="宋体"/>
          <w:color w:val="auto"/>
          <w:sz w:val="24"/>
          <w:szCs w:val="24"/>
          <w:highlight w:val="none"/>
          <w:lang w:val="en-US" w:eastAsia="zh-CN"/>
        </w:rPr>
        <w:t>伙食</w:t>
      </w:r>
      <w:r>
        <w:rPr>
          <w:rFonts w:hint="eastAsia" w:ascii="宋体" w:hAnsi="宋体" w:eastAsia="宋体" w:cs="宋体"/>
          <w:color w:val="auto"/>
          <w:sz w:val="24"/>
          <w:szCs w:val="24"/>
          <w:highlight w:val="none"/>
        </w:rPr>
        <w:t>费用</w:t>
      </w:r>
      <w:r>
        <w:rPr>
          <w:rFonts w:hint="eastAsia" w:ascii="宋体" w:hAnsi="宋体" w:eastAsia="宋体" w:cs="宋体"/>
          <w:color w:val="auto"/>
          <w:sz w:val="24"/>
          <w:szCs w:val="24"/>
          <w:highlight w:val="none"/>
          <w:lang w:val="en-US" w:eastAsia="zh-CN"/>
        </w:rPr>
        <w:t>32.01</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5F7E530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申请专项资金-和地财教【2023】73号：2024年新疆西藏等地区教育特殊补助资金-学前三年免费保障经费-公用经费-洛财教【2024】22号资金的请示》和《XX项目实施方案》为依据进行资金分配，预算资金分配依据充分。根据《024年新疆西藏等地区教育特殊补助资金-学前三年免费保障经费文件》（和地财教【2023】73号），本项目实际到位资金</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5646FCB4">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5A26E92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项目过程类指标包括资金管理和组织实施两方面的内容，由 5个三级指标构成，权重分为</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w:t>
      </w:r>
      <w:r>
        <w:rPr>
          <w:rFonts w:hint="eastAsia" w:ascii="宋体" w:hAnsi="宋体" w:eastAsia="宋体" w:cs="宋体"/>
          <w:color w:val="auto"/>
          <w:sz w:val="24"/>
          <w:szCs w:val="24"/>
          <w:highlight w:val="none"/>
        </w:rPr>
        <w:t>，实际得分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1A9479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66.76</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66.76</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66.76</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100%；通过分析可知，该项目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 xml:space="preserve">分。   </w:t>
      </w:r>
    </w:p>
    <w:p w14:paraId="45B0B94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66.76</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79.93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702B8CA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制定了相关的制度和管理规定对经费使用进行规范管理，财务制度健全、执行严格，根据评分标准，该指标不扣分，得4分。</w:t>
      </w:r>
    </w:p>
    <w:p w14:paraId="7020D3D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制度均符合行政事业单位内控管理要求，财务和业务管理制度合法、合规、完整，本项目执行符合上述制度规定。根据评分标准，该指标不扣分，得5分。</w:t>
      </w:r>
    </w:p>
    <w:p w14:paraId="2ADA0AD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color w:val="auto"/>
          <w:sz w:val="24"/>
          <w:szCs w:val="24"/>
          <w:highlight w:val="none"/>
        </w:rPr>
        <w:t>专项资金管理办法》《</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color w:val="auto"/>
          <w:sz w:val="24"/>
          <w:szCs w:val="24"/>
          <w:highlight w:val="none"/>
        </w:rPr>
        <w:t>管理制度》《</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洛浦县第四幼儿园</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08CA093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5A012FC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③该项目实施过程中不存在调整事项。</w:t>
      </w:r>
    </w:p>
    <w:p w14:paraId="12264C3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专项资金-和地财教【2023】73号：2024年新疆西藏等地区教育特殊补助资金-学前三年免费保障经费-公用经费-洛财教【2024】22号工作领导小组，由</w:t>
      </w:r>
      <w:r>
        <w:rPr>
          <w:rFonts w:hint="eastAsia" w:ascii="宋体" w:hAnsi="宋体" w:eastAsia="宋体" w:cs="宋体"/>
          <w:color w:val="auto"/>
          <w:sz w:val="24"/>
          <w:szCs w:val="24"/>
          <w:highlight w:val="none"/>
          <w:lang w:val="en-US" w:eastAsia="zh-CN"/>
        </w:rPr>
        <w:t>杨谦书记</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蒲小青</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木拉江、曹兴华</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古再努尔</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0534FA75">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26575D8F">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3132D48">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304FCA9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学前教育保障经费收益学生数量</w:t>
      </w: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rPr>
        <w:t>，预期指标值：“=</w:t>
      </w:r>
      <w:r>
        <w:rPr>
          <w:rFonts w:hint="eastAsia" w:ascii="宋体" w:hAnsi="宋体" w:eastAsia="宋体" w:cs="宋体"/>
          <w:color w:val="auto"/>
          <w:sz w:val="24"/>
          <w:szCs w:val="24"/>
          <w:lang w:val="en-US" w:eastAsia="zh-CN"/>
        </w:rPr>
        <w:t>190人</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lang w:val="en-US" w:eastAsia="zh-CN" w:bidi="ar-SA"/>
        </w:rPr>
        <w:t>，实际完成值为190人，指标完成率为100%，与预期目标一致，根据评分标准，该指标不扣分，  得10分</w:t>
      </w:r>
    </w:p>
    <w:p w14:paraId="5D165A7A">
      <w:pPr>
        <w:pageBreakBefore w:val="0"/>
        <w:widowControl w:val="0"/>
        <w:numPr>
          <w:ilvl w:val="0"/>
          <w:numId w:val="5"/>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对于“产出质量”：</w:t>
      </w:r>
    </w:p>
    <w:p w14:paraId="7715216A">
      <w:pPr>
        <w:pStyle w:val="46"/>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sz w:val="24"/>
          <w:szCs w:val="24"/>
        </w:rPr>
        <w:t>资金到位率</w:t>
      </w: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rPr>
        <w:t>，预期指标值：“=100%</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kern w:val="0"/>
          <w:sz w:val="24"/>
          <w:szCs w:val="24"/>
          <w:lang w:val="en-US" w:eastAsia="zh-CN" w:bidi="ar-SA"/>
        </w:rPr>
        <w:t>实际完成值为</w:t>
      </w:r>
      <w:r>
        <w:rPr>
          <w:rFonts w:hint="eastAsia" w:ascii="宋体" w:hAnsi="宋体" w:eastAsia="宋体" w:cs="宋体"/>
          <w:color w:val="auto"/>
          <w:sz w:val="24"/>
          <w:szCs w:val="24"/>
        </w:rPr>
        <w:t>100%</w:t>
      </w:r>
      <w:r>
        <w:rPr>
          <w:rFonts w:hint="eastAsia" w:ascii="宋体" w:hAnsi="宋体" w:eastAsia="宋体" w:cs="宋体"/>
          <w:color w:val="auto"/>
          <w:kern w:val="0"/>
          <w:sz w:val="24"/>
          <w:szCs w:val="24"/>
          <w:lang w:val="en-US" w:eastAsia="zh-CN" w:bidi="ar-SA"/>
        </w:rPr>
        <w:t>，指标完成率为100%，与预期目标一致，根据评分标准，该指标不扣分，得10分。</w:t>
      </w:r>
    </w:p>
    <w:p w14:paraId="01706BC6">
      <w:pPr>
        <w:pStyle w:val="10"/>
        <w:pageBreakBefore w:val="0"/>
        <w:widowControl w:val="0"/>
        <w:numPr>
          <w:ilvl w:val="0"/>
          <w:numId w:val="5"/>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47EEFE08">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资金拨付及时性指标，预期指标值为“=100%”，实际完成值为“=100%”，指标完成率为100%，与预期目标一致，根据评分标准，该指标不扣分，得10分。</w:t>
      </w:r>
    </w:p>
    <w:p w14:paraId="0DFD6766">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5C42A2D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取暖费指标，预期指标值为“=2.24万元”，实际完成值为“2.24万元”，指标完成率为100%，与预期目标一致，</w:t>
      </w:r>
      <w:r>
        <w:rPr>
          <w:rFonts w:hint="eastAsia" w:ascii="宋体" w:hAnsi="宋体" w:eastAsia="宋体" w:cs="宋体"/>
          <w:color w:val="auto"/>
          <w:sz w:val="24"/>
          <w:szCs w:val="24"/>
          <w:highlight w:val="none"/>
        </w:rPr>
        <w:t>都能控制绩效目标范围内，根据评分标准，该指标不扣分，得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028C375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公用经费指标，预期指标值为“=32.51万元%”，实际完成值为“32.51万元”，指标完成率为100%，与预期目标一致，</w:t>
      </w:r>
      <w:r>
        <w:rPr>
          <w:rFonts w:hint="eastAsia" w:ascii="宋体" w:hAnsi="宋体" w:eastAsia="宋体" w:cs="宋体"/>
          <w:color w:val="auto"/>
          <w:sz w:val="24"/>
          <w:szCs w:val="24"/>
          <w:highlight w:val="none"/>
        </w:rPr>
        <w:t>都能控制绩效目标范围内，根据评分标准，该指标不扣分，得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23A61B1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val="0"/>
          <w:color w:val="auto"/>
          <w:kern w:val="0"/>
          <w:sz w:val="24"/>
          <w:szCs w:val="24"/>
          <w:lang w:val="en-US" w:eastAsia="zh-CN" w:bidi="ar-SA"/>
        </w:rPr>
        <w:t>伙食费指标，预期指标值为“=32.01万元”，实际完成值为“32.01万元”，指标完成率为100%，与预期目标一致，</w:t>
      </w:r>
      <w:r>
        <w:rPr>
          <w:rFonts w:hint="eastAsia" w:ascii="宋体" w:hAnsi="宋体" w:eastAsia="宋体" w:cs="宋体"/>
          <w:color w:val="auto"/>
          <w:sz w:val="24"/>
          <w:szCs w:val="24"/>
          <w:highlight w:val="none"/>
        </w:rPr>
        <w:t>都能控制绩效目标范围内，根据评分标准，该指标不扣分，得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224FE431">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合计得10分。</w:t>
      </w:r>
    </w:p>
    <w:p w14:paraId="3C9D9110">
      <w:pPr>
        <w:pStyle w:val="49"/>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0624C06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个方面的内容，由2个三级指标构成，权重分为2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p>
    <w:p w14:paraId="29E62FC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（1）对于“社会效益指标”：</w:t>
      </w:r>
    </w:p>
    <w:p w14:paraId="643483F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改善教育教学质量指标，该指标预期指标值为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有效改善</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5分。</w:t>
      </w:r>
    </w:p>
    <w:p w14:paraId="033BD76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（4）满意度指标分析</w:t>
      </w:r>
    </w:p>
    <w:p w14:paraId="41A63214">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lang w:val="en-US" w:eastAsia="zh-CN" w:bidi="ar-SA"/>
        </w:rPr>
      </w:pPr>
      <w:r>
        <w:rPr>
          <w:rFonts w:hint="eastAsia" w:ascii="宋体" w:hAnsi="宋体" w:eastAsia="宋体" w:cs="宋体"/>
          <w:b w:val="0"/>
          <w:color w:val="auto"/>
          <w:kern w:val="2"/>
          <w:sz w:val="24"/>
          <w:szCs w:val="24"/>
          <w:lang w:val="en-US" w:eastAsia="zh-CN" w:bidi="ar-SA"/>
        </w:rPr>
        <w:t>对于</w:t>
      </w:r>
      <w:bookmarkEnd w:id="15"/>
      <w:r>
        <w:rPr>
          <w:rFonts w:hint="eastAsia" w:ascii="宋体" w:hAnsi="宋体" w:eastAsia="宋体" w:cs="宋体"/>
          <w:b w:val="0"/>
          <w:color w:val="auto"/>
          <w:kern w:val="2"/>
          <w:sz w:val="24"/>
          <w:szCs w:val="24"/>
          <w:lang w:val="en-US" w:eastAsia="zh-CN" w:bidi="ar-SA"/>
        </w:rPr>
        <w:t>学生满意度指标，该指标预期指标值为≥95%，实际完成值为100%，指标完成率为100%，与预期指标一致，根据评分标准，该指标不扣分，得10分。</w:t>
      </w:r>
    </w:p>
    <w:p w14:paraId="6826AB3F">
      <w:pPr>
        <w:pStyle w:val="4"/>
        <w:pageBreakBefore w:val="0"/>
        <w:widowControl w:val="0"/>
        <w:kinsoku/>
        <w:wordWrap/>
        <w:topLinePunct w:val="0"/>
        <w:autoSpaceDE/>
        <w:autoSpaceDN/>
        <w:bidi w:val="0"/>
        <w:adjustRightInd/>
        <w:snapToGrid/>
        <w:spacing w:before="0" w:after="0" w:line="360" w:lineRule="auto"/>
        <w:ind w:left="0" w:leftChars="0" w:firstLine="0" w:firstLineChars="0"/>
        <w:jc w:val="both"/>
        <w:textAlignment w:val="auto"/>
        <w:rPr>
          <w:rFonts w:hint="eastAsia" w:ascii="黑体" w:hAnsi="黑体" w:eastAsia="黑体" w:cs="黑体"/>
          <w:sz w:val="24"/>
          <w:szCs w:val="24"/>
        </w:rPr>
      </w:pPr>
    </w:p>
    <w:p w14:paraId="5754A7A5">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516CB310">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66.67</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66.67</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66.76</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713DB8B">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E287616">
      <w:pPr>
        <w:pStyle w:val="46"/>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综上所述本项目预算执行率与总体完成率之间的偏差为</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w:t>
      </w:r>
    </w:p>
    <w:p w14:paraId="4AF25167">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6" w:name="_Toc68364673"/>
    </w:p>
    <w:p w14:paraId="1652F6DF">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六、主要经验及做法、存在的问题及原因分析</w:t>
      </w:r>
    </w:p>
    <w:p w14:paraId="491A7E16">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r>
        <w:rPr>
          <w:rFonts w:hint="eastAsia" w:ascii="宋体" w:hAnsi="宋体" w:eastAsia="宋体" w:cs="宋体"/>
          <w:sz w:val="24"/>
          <w:szCs w:val="24"/>
        </w:rPr>
        <w:t>（一）主要经验及做法</w:t>
      </w:r>
      <w:bookmarkEnd w:id="16"/>
    </w:p>
    <w:p w14:paraId="02C003E0">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p>
    <w:p w14:paraId="67881DC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5C178FB9">
      <w:pPr>
        <w:pStyle w:val="49"/>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bookmarkStart w:id="17" w:name="_Toc68364674"/>
      <w:r>
        <w:rPr>
          <w:rFonts w:hint="eastAsia" w:ascii="宋体" w:hAnsi="宋体" w:eastAsia="宋体" w:cs="宋体"/>
          <w:sz w:val="24"/>
          <w:szCs w:val="24"/>
        </w:rPr>
        <w:t>（二）存在问题及原因分析</w:t>
      </w:r>
      <w:bookmarkEnd w:id="17"/>
    </w:p>
    <w:p w14:paraId="2152A856">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1.项目资金管理环节：</w:t>
      </w:r>
    </w:p>
    <w:p w14:paraId="32D47B8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问题：项目科目设置不合理，预算未及时调整。</w:t>
      </w:r>
    </w:p>
    <w:p w14:paraId="0694795B">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原因分析：财务人员专业能力不足缺乏项目核算经验，今后将定期核算。</w:t>
      </w:r>
    </w:p>
    <w:p w14:paraId="0AE9E512">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2.项目管理环节：</w:t>
      </w:r>
    </w:p>
    <w:p w14:paraId="5C989E2E">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问题：计划缺乏前瞻性和灵活性，没有考虑到潜在的变化因素。</w:t>
      </w:r>
    </w:p>
    <w:p w14:paraId="29B09E35">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原因分析：在制定计划时，缺乏充分的调研和分析。</w:t>
      </w:r>
    </w:p>
    <w:p w14:paraId="6ABEB4AD">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bookmarkStart w:id="18" w:name="_Toc68364675"/>
    </w:p>
    <w:p w14:paraId="05965D40">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七、有关建议</w:t>
      </w:r>
      <w:bookmarkEnd w:id="18"/>
    </w:p>
    <w:p w14:paraId="342BB747">
      <w:pPr>
        <w:pStyle w:val="5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1.加大绩效工作宣传力度，强化绩效理念充分，与上级沟通，力争科学安排审计项目，做好预算编制，积极加强绩效管理。</w:t>
      </w:r>
    </w:p>
    <w:p w14:paraId="3CD116B0">
      <w:pPr>
        <w:pStyle w:val="5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2、完善绩效指标，提高整体绩效目标质量。提升预算精细化管理水平。</w:t>
      </w:r>
    </w:p>
    <w:p w14:paraId="0BE6F0FE">
      <w:pPr>
        <w:pStyle w:val="5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kern w:val="44"/>
          <w:sz w:val="24"/>
          <w:szCs w:val="24"/>
          <w:lang w:val="en-US" w:eastAsia="zh-CN" w:bidi="ar-SA"/>
        </w:rPr>
      </w:pPr>
      <w:r>
        <w:rPr>
          <w:rFonts w:hint="eastAsia" w:ascii="宋体" w:hAnsi="宋体" w:eastAsia="宋体" w:cs="宋体"/>
          <w:b w:val="0"/>
          <w:bCs w:val="0"/>
          <w:kern w:val="44"/>
          <w:sz w:val="24"/>
          <w:szCs w:val="24"/>
          <w:lang w:val="en-US" w:eastAsia="zh-CN" w:bidi="ar-SA"/>
        </w:rPr>
        <w:t>3、建立健全财政各项资金管理制度，严格执行财务管理制度，做到了财务处理及时，会计核算规范，严格按照计划进度支付，</w:t>
      </w:r>
    </w:p>
    <w:p w14:paraId="6860B9F9">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9" w:name="_Toc68364676"/>
    </w:p>
    <w:p w14:paraId="43A3FEB8">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rPr>
      </w:pPr>
      <w:r>
        <w:rPr>
          <w:rFonts w:hint="eastAsia" w:ascii="黑体" w:hAnsi="黑体" w:eastAsia="黑体" w:cs="黑体"/>
          <w:b/>
          <w:bCs/>
          <w:sz w:val="24"/>
          <w:szCs w:val="24"/>
        </w:rPr>
        <w:t>八、其他需要说明的问题</w:t>
      </w:r>
      <w:bookmarkEnd w:id="19"/>
    </w:p>
    <w:p w14:paraId="082D5561">
      <w:pPr>
        <w:pStyle w:val="46"/>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我单位对上述项目支出绩效评价报告内反映内容的真实性、完整性负责，</w:t>
      </w:r>
      <w:r>
        <w:rPr>
          <w:rFonts w:hint="eastAsia" w:ascii="宋体" w:hAnsi="宋体" w:eastAsia="宋体" w:cs="宋体"/>
          <w:sz w:val="24"/>
          <w:szCs w:val="24"/>
          <w:lang w:val="en-US" w:eastAsia="zh-CN"/>
        </w:rPr>
        <w:t>愿</w:t>
      </w:r>
      <w:r>
        <w:rPr>
          <w:rFonts w:hint="eastAsia" w:ascii="宋体" w:hAnsi="宋体" w:eastAsia="宋体" w:cs="宋体"/>
          <w:sz w:val="24"/>
          <w:szCs w:val="24"/>
        </w:rPr>
        <w:t>接受上级部门及社会公众监督。</w:t>
      </w:r>
    </w:p>
    <w:p w14:paraId="7BDC002F">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rPr>
      </w:pPr>
    </w:p>
    <w:p w14:paraId="3F9CF7F8">
      <w:pPr>
        <w:pageBreakBefore w:val="0"/>
        <w:widowControl w:val="0"/>
        <w:kinsoku/>
        <w:wordWrap/>
        <w:topLinePunct w:val="0"/>
        <w:autoSpaceDE/>
        <w:autoSpaceDN/>
        <w:bidi w:val="0"/>
        <w:adjustRightInd/>
        <w:snapToGrid/>
        <w:spacing w:line="360" w:lineRule="auto"/>
        <w:ind w:left="1436" w:leftChars="170" w:hanging="960" w:hangingChars="400"/>
        <w:jc w:val="both"/>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附件1：专项资金-和地财教【2023】73号：2024年新疆西藏等地区教育特殊补助资金-学前三年免费保障经费-公用经费-洛财教【2024】22号</w:t>
      </w:r>
    </w:p>
    <w:p w14:paraId="42F93551">
      <w:pPr>
        <w:pageBreakBefore w:val="0"/>
        <w:widowControl w:val="0"/>
        <w:kinsoku/>
        <w:wordWrap/>
        <w:topLinePunct w:val="0"/>
        <w:autoSpaceDE/>
        <w:autoSpaceDN/>
        <w:bidi w:val="0"/>
        <w:adjustRightInd/>
        <w:snapToGrid/>
        <w:spacing w:line="360" w:lineRule="auto"/>
        <w:ind w:left="1428" w:leftChars="510" w:firstLine="0" w:firstLineChars="0"/>
        <w:jc w:val="both"/>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项目绩效评价指标体系</w:t>
      </w:r>
    </w:p>
    <w:p w14:paraId="2B4BBFCB">
      <w:pPr>
        <w:pageBreakBefore w:val="0"/>
        <w:widowControl w:val="0"/>
        <w:kinsoku/>
        <w:wordWrap/>
        <w:topLinePunct w:val="0"/>
        <w:autoSpaceDE/>
        <w:autoSpaceDN/>
        <w:bidi w:val="0"/>
        <w:adjustRightInd/>
        <w:snapToGrid/>
        <w:spacing w:line="360" w:lineRule="auto"/>
        <w:ind w:left="1436" w:leftChars="170" w:hanging="960" w:hangingChars="400"/>
        <w:jc w:val="both"/>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附件2：专项资金-和地财教【2023】73号：2024年新疆西藏等地区教育特殊补助资金-学前三年免费保障经费-公用经费-洛财教【2024】22号</w:t>
      </w:r>
    </w:p>
    <w:p w14:paraId="702EFBEC">
      <w:pPr>
        <w:pageBreakBefore w:val="0"/>
        <w:widowControl w:val="0"/>
        <w:kinsoku/>
        <w:wordWrap/>
        <w:topLinePunct w:val="0"/>
        <w:autoSpaceDE/>
        <w:autoSpaceDN/>
        <w:bidi w:val="0"/>
        <w:adjustRightInd/>
        <w:snapToGrid/>
        <w:spacing w:line="360" w:lineRule="auto"/>
        <w:ind w:left="1428" w:leftChars="510" w:firstLine="0" w:firstLineChars="0"/>
        <w:jc w:val="both"/>
        <w:textAlignment w:val="auto"/>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项目绩效评价指标体系综合得分表</w:t>
      </w:r>
    </w:p>
    <w:p w14:paraId="49F12F44">
      <w:pPr>
        <w:pageBreakBefore w:val="0"/>
        <w:widowControl w:val="0"/>
        <w:kinsoku/>
        <w:wordWrap/>
        <w:topLinePunct w:val="0"/>
        <w:autoSpaceDE/>
        <w:autoSpaceDN/>
        <w:bidi w:val="0"/>
        <w:adjustRightInd/>
        <w:snapToGrid/>
        <w:spacing w:line="360" w:lineRule="auto"/>
        <w:ind w:left="1436" w:leftChars="170" w:hanging="960" w:hangingChars="400"/>
        <w:jc w:val="both"/>
        <w:textAlignment w:val="auto"/>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附件3：专项资金-和地财教【2023】73号：2024年新疆西藏等地区教育特殊补助资金-学前三年免费保障经费-公用经费-洛财教【2024】22号</w:t>
      </w:r>
    </w:p>
    <w:p w14:paraId="6E5A85F2">
      <w:pPr>
        <w:pageBreakBefore w:val="0"/>
        <w:widowControl w:val="0"/>
        <w:kinsoku/>
        <w:wordWrap/>
        <w:topLinePunct w:val="0"/>
        <w:autoSpaceDE/>
        <w:autoSpaceDN/>
        <w:bidi w:val="0"/>
        <w:adjustRightInd/>
        <w:snapToGrid/>
        <w:spacing w:line="360" w:lineRule="auto"/>
        <w:ind w:left="1428" w:leftChars="510" w:firstLine="0" w:firstLineChars="0"/>
        <w:jc w:val="both"/>
        <w:textAlignment w:val="auto"/>
        <w:rPr>
          <w:rFonts w:hint="default"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lang w:val="en-US" w:eastAsia="zh-CN" w:bidi="ar-SA"/>
        </w:rPr>
        <w:t>项目绩效评价指标体系满意度调查问分析情况</w:t>
      </w:r>
    </w:p>
    <w:p w14:paraId="271E743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5A9302C8">
      <w:pPr>
        <w:pStyle w:val="10"/>
        <w:ind w:left="0" w:leftChars="0" w:firstLine="0" w:firstLineChars="0"/>
        <w:jc w:val="both"/>
        <w:rPr>
          <w:rFonts w:hint="eastAsia" w:ascii="宋体" w:hAnsi="宋体" w:eastAsia="宋体" w:cs="宋体"/>
          <w:sz w:val="24"/>
          <w:szCs w:val="24"/>
        </w:rPr>
      </w:pPr>
    </w:p>
    <w:p w14:paraId="182FA481">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346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00"/>
        <w:gridCol w:w="642"/>
        <w:gridCol w:w="658"/>
        <w:gridCol w:w="551"/>
        <w:gridCol w:w="666"/>
        <w:gridCol w:w="551"/>
        <w:gridCol w:w="2650"/>
        <w:gridCol w:w="1010"/>
        <w:gridCol w:w="4586"/>
        <w:gridCol w:w="746"/>
        <w:gridCol w:w="602"/>
      </w:tblGrid>
      <w:tr w14:paraId="3FC5D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100" w:type="dxa"/>
            <w:gridSpan w:val="3"/>
            <w:tcBorders>
              <w:top w:val="nil"/>
              <w:left w:val="nil"/>
              <w:bottom w:val="nil"/>
              <w:right w:val="nil"/>
            </w:tcBorders>
            <w:noWrap/>
            <w:vAlign w:val="center"/>
          </w:tcPr>
          <w:p w14:paraId="6327D6C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附件1：</w:t>
            </w:r>
          </w:p>
        </w:tc>
        <w:tc>
          <w:tcPr>
            <w:tcW w:w="551" w:type="dxa"/>
            <w:tcBorders>
              <w:top w:val="nil"/>
              <w:left w:val="nil"/>
              <w:bottom w:val="nil"/>
              <w:right w:val="nil"/>
            </w:tcBorders>
            <w:noWrap/>
            <w:vAlign w:val="center"/>
          </w:tcPr>
          <w:p w14:paraId="7C39C8D6">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666" w:type="dxa"/>
            <w:tcBorders>
              <w:top w:val="nil"/>
              <w:left w:val="nil"/>
              <w:bottom w:val="nil"/>
              <w:right w:val="nil"/>
            </w:tcBorders>
            <w:noWrap/>
            <w:vAlign w:val="center"/>
          </w:tcPr>
          <w:p w14:paraId="51CDDAB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51" w:type="dxa"/>
            <w:tcBorders>
              <w:top w:val="nil"/>
              <w:left w:val="nil"/>
              <w:bottom w:val="nil"/>
              <w:right w:val="nil"/>
            </w:tcBorders>
            <w:noWrap/>
            <w:vAlign w:val="center"/>
          </w:tcPr>
          <w:p w14:paraId="749E46F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2650" w:type="dxa"/>
            <w:tcBorders>
              <w:top w:val="nil"/>
              <w:left w:val="nil"/>
              <w:bottom w:val="nil"/>
              <w:right w:val="nil"/>
            </w:tcBorders>
            <w:noWrap/>
            <w:vAlign w:val="center"/>
          </w:tcPr>
          <w:p w14:paraId="0817AFE7">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1010" w:type="dxa"/>
            <w:tcBorders>
              <w:top w:val="nil"/>
              <w:left w:val="nil"/>
              <w:bottom w:val="nil"/>
              <w:right w:val="nil"/>
            </w:tcBorders>
            <w:noWrap/>
            <w:vAlign w:val="center"/>
          </w:tcPr>
          <w:p w14:paraId="5D673CD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4586" w:type="dxa"/>
            <w:tcBorders>
              <w:top w:val="nil"/>
              <w:left w:val="nil"/>
              <w:bottom w:val="nil"/>
              <w:right w:val="nil"/>
            </w:tcBorders>
            <w:noWrap/>
            <w:vAlign w:val="center"/>
          </w:tcPr>
          <w:p w14:paraId="06E996C0">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746" w:type="dxa"/>
            <w:tcBorders>
              <w:top w:val="nil"/>
              <w:left w:val="nil"/>
              <w:bottom w:val="nil"/>
              <w:right w:val="nil"/>
            </w:tcBorders>
            <w:noWrap/>
            <w:vAlign w:val="center"/>
          </w:tcPr>
          <w:p w14:paraId="1E9E4628">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602" w:type="dxa"/>
            <w:tcBorders>
              <w:top w:val="nil"/>
              <w:left w:val="nil"/>
              <w:bottom w:val="nil"/>
              <w:right w:val="nil"/>
            </w:tcBorders>
            <w:noWrap/>
            <w:vAlign w:val="center"/>
          </w:tcPr>
          <w:p w14:paraId="0722454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r>
      <w:tr w14:paraId="5D02D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3462" w:type="dxa"/>
            <w:gridSpan w:val="11"/>
            <w:tcBorders>
              <w:top w:val="nil"/>
              <w:left w:val="nil"/>
              <w:bottom w:val="nil"/>
              <w:right w:val="nil"/>
            </w:tcBorders>
            <w:noWrap w:val="0"/>
            <w:vAlign w:val="center"/>
          </w:tcPr>
          <w:p w14:paraId="3770E3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Style w:val="43"/>
                <w:rFonts w:hint="eastAsia" w:ascii="宋体" w:hAnsi="宋体" w:eastAsia="宋体" w:cs="宋体"/>
                <w:sz w:val="21"/>
                <w:szCs w:val="21"/>
                <w:lang w:val="en-US" w:eastAsia="zh-CN"/>
              </w:rPr>
            </w:pPr>
            <w:r>
              <w:rPr>
                <w:rStyle w:val="43"/>
                <w:rFonts w:hint="eastAsia" w:ascii="宋体" w:hAnsi="宋体" w:eastAsia="宋体" w:cs="宋体"/>
                <w:sz w:val="21"/>
                <w:szCs w:val="21"/>
                <w:lang w:val="en-US" w:eastAsia="zh-CN"/>
              </w:rPr>
              <w:t>专项资金-和地财教【2023】73号：2024年新疆西藏等地区教育特殊补助资金-学前三年免费保障经费-公用经费</w:t>
            </w:r>
          </w:p>
          <w:p w14:paraId="40203E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FF0000"/>
                <w:sz w:val="21"/>
                <w:szCs w:val="21"/>
                <w:u w:val="none"/>
              </w:rPr>
            </w:pPr>
            <w:r>
              <w:rPr>
                <w:rStyle w:val="43"/>
                <w:rFonts w:hint="eastAsia" w:ascii="宋体" w:hAnsi="宋体" w:eastAsia="宋体" w:cs="宋体"/>
                <w:sz w:val="21"/>
                <w:szCs w:val="21"/>
                <w:lang w:val="en-US" w:eastAsia="zh-CN"/>
              </w:rPr>
              <w:t>-洛财教【2024】22号项目绩效评价指标体系综合评分表</w:t>
            </w:r>
          </w:p>
        </w:tc>
      </w:tr>
      <w:tr w14:paraId="4AAEE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00" w:type="dxa"/>
            <w:tcBorders>
              <w:top w:val="single" w:color="auto" w:sz="4" w:space="0"/>
              <w:left w:val="single" w:color="auto" w:sz="4" w:space="0"/>
              <w:bottom w:val="single" w:color="auto" w:sz="4" w:space="0"/>
              <w:right w:val="single" w:color="auto" w:sz="4" w:space="0"/>
            </w:tcBorders>
            <w:noWrap w:val="0"/>
            <w:vAlign w:val="center"/>
          </w:tcPr>
          <w:p w14:paraId="3303E2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642" w:type="dxa"/>
            <w:tcBorders>
              <w:top w:val="single" w:color="auto" w:sz="4" w:space="0"/>
              <w:left w:val="single" w:color="auto" w:sz="4" w:space="0"/>
              <w:bottom w:val="single" w:color="auto" w:sz="4" w:space="0"/>
              <w:right w:val="single" w:color="auto" w:sz="4" w:space="0"/>
            </w:tcBorders>
            <w:noWrap w:val="0"/>
            <w:vAlign w:val="center"/>
          </w:tcPr>
          <w:p w14:paraId="633811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658" w:type="dxa"/>
            <w:tcBorders>
              <w:top w:val="single" w:color="auto" w:sz="4" w:space="0"/>
              <w:left w:val="single" w:color="auto" w:sz="4" w:space="0"/>
              <w:bottom w:val="single" w:color="auto" w:sz="4" w:space="0"/>
              <w:right w:val="single" w:color="auto" w:sz="4" w:space="0"/>
            </w:tcBorders>
            <w:noWrap w:val="0"/>
            <w:vAlign w:val="center"/>
          </w:tcPr>
          <w:p w14:paraId="64F8FC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39D85E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4A19EA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6FB1EA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10994D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27D5D6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6BA37A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3B9A6D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56D325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10578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7"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28A714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642" w:type="dxa"/>
            <w:vMerge w:val="restart"/>
            <w:tcBorders>
              <w:top w:val="single" w:color="auto" w:sz="4" w:space="0"/>
              <w:left w:val="single" w:color="auto" w:sz="4" w:space="0"/>
              <w:bottom w:val="single" w:color="auto" w:sz="4" w:space="0"/>
              <w:right w:val="single" w:color="auto" w:sz="4" w:space="0"/>
            </w:tcBorders>
            <w:noWrap w:val="0"/>
            <w:vAlign w:val="center"/>
          </w:tcPr>
          <w:p w14:paraId="1CF84C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23</w:t>
            </w:r>
          </w:p>
        </w:tc>
        <w:tc>
          <w:tcPr>
            <w:tcW w:w="658" w:type="dxa"/>
            <w:vMerge w:val="restart"/>
            <w:tcBorders>
              <w:top w:val="single" w:color="auto" w:sz="4" w:space="0"/>
              <w:left w:val="single" w:color="auto" w:sz="4" w:space="0"/>
              <w:bottom w:val="single" w:color="auto" w:sz="4" w:space="0"/>
              <w:right w:val="single" w:color="auto" w:sz="4" w:space="0"/>
            </w:tcBorders>
            <w:noWrap w:val="0"/>
            <w:vAlign w:val="center"/>
          </w:tcPr>
          <w:p w14:paraId="3C0359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659450D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4D451D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634E28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53D629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60A970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705F0E8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45F0A84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5395FCB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5A2948AC">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69B6FCDE">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09DBE11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71A107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13E77B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4D5495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33ACA7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1856B6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5DCFC28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6E8DB2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004998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753830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390B4A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3B1C0D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488056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7651F7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6121CF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6486B8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4B6CA2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692A3A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64146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5D8D23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08C59F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restart"/>
            <w:tcBorders>
              <w:top w:val="single" w:color="auto" w:sz="4" w:space="0"/>
              <w:left w:val="single" w:color="auto" w:sz="4" w:space="0"/>
              <w:bottom w:val="single" w:color="auto" w:sz="4" w:space="0"/>
              <w:right w:val="single" w:color="auto" w:sz="4" w:space="0"/>
            </w:tcBorders>
            <w:noWrap w:val="0"/>
            <w:vAlign w:val="center"/>
          </w:tcPr>
          <w:p w14:paraId="324EF8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44B80E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63A212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710078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179A8A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1E8B36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15480B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430AC0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3D864F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4A1B4A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035463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6226A4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53F58B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69A76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28"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47CCCB3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7BCD66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30A0337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446F720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786290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6DEB27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50E6A6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2F3849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47840C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311822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0DF2CD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152BCF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3FB280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75E0F7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7FE2E2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8"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D6A43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3D9A29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restart"/>
            <w:tcBorders>
              <w:top w:val="single" w:color="auto" w:sz="4" w:space="0"/>
              <w:left w:val="single" w:color="auto" w:sz="4" w:space="0"/>
              <w:bottom w:val="single" w:color="auto" w:sz="4" w:space="0"/>
              <w:right w:val="single" w:color="auto" w:sz="4" w:space="0"/>
            </w:tcBorders>
            <w:noWrap w:val="0"/>
            <w:vAlign w:val="center"/>
          </w:tcPr>
          <w:p w14:paraId="269541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07FFF5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8</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043F84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3DB594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6C45C4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34655D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6D2E28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26F2C3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4F3DAE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2300BB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35F5EA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4240A5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2C88B3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73ECB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1891408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47E35C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2527EA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2DBE04E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67B2D9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677D0E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0DD1F4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7A7C01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7AF1C6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0BEEB7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1000E6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0E71BF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7EF072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2AF118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5"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1E8021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642" w:type="dxa"/>
            <w:vMerge w:val="restart"/>
            <w:tcBorders>
              <w:top w:val="single" w:color="auto" w:sz="4" w:space="0"/>
              <w:left w:val="single" w:color="auto" w:sz="4" w:space="0"/>
              <w:bottom w:val="single" w:color="auto" w:sz="4" w:space="0"/>
              <w:right w:val="single" w:color="auto" w:sz="4" w:space="0"/>
            </w:tcBorders>
            <w:noWrap w:val="0"/>
            <w:vAlign w:val="center"/>
          </w:tcPr>
          <w:p w14:paraId="03B6BF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12</w:t>
            </w:r>
          </w:p>
        </w:tc>
        <w:tc>
          <w:tcPr>
            <w:tcW w:w="658" w:type="dxa"/>
            <w:vMerge w:val="restart"/>
            <w:tcBorders>
              <w:top w:val="single" w:color="auto" w:sz="4" w:space="0"/>
              <w:left w:val="single" w:color="auto" w:sz="4" w:space="0"/>
              <w:bottom w:val="single" w:color="auto" w:sz="4" w:space="0"/>
              <w:right w:val="single" w:color="auto" w:sz="4" w:space="0"/>
            </w:tcBorders>
            <w:noWrap w:val="0"/>
            <w:vAlign w:val="center"/>
          </w:tcPr>
          <w:p w14:paraId="7DA331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4B1829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6A5D56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2073D7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504C604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510CFB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741E11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79D888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23E507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115811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w:t>
            </w:r>
          </w:p>
        </w:tc>
      </w:tr>
      <w:tr w14:paraId="08313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060566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297C22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5DAE07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0A1FCBB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5DC479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42D68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2DDFBE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6A52EB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60204D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09193F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1C73FE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rPr>
              <w:t>100%</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342C98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315E0B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3"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0EC1FA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6117CE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00BF37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1DCCA80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06CD1C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005E2F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211EB4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68650A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5D8C74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636650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7045B92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4709C2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4B0475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1E9E49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46FE02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1ECA6A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8"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4BF928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2C6AD73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restart"/>
            <w:tcBorders>
              <w:top w:val="single" w:color="auto" w:sz="4" w:space="0"/>
              <w:left w:val="single" w:color="auto" w:sz="4" w:space="0"/>
              <w:bottom w:val="single" w:color="auto" w:sz="4" w:space="0"/>
              <w:right w:val="single" w:color="auto" w:sz="4" w:space="0"/>
            </w:tcBorders>
            <w:noWrap w:val="0"/>
            <w:vAlign w:val="center"/>
          </w:tcPr>
          <w:p w14:paraId="3D9FB2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3CB178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7AD16A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304B3C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69A4A9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1420B2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2D5B5D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7C594C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04C718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302F47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680793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618987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67EEF2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74622B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5F936E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50CDBB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0BFFC2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46665B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58EDCD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0DA583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24CE03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407DC9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479566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74C214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50D09A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56CEC6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0C3542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70"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7F8FD5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642" w:type="dxa"/>
            <w:vMerge w:val="restart"/>
            <w:tcBorders>
              <w:top w:val="single" w:color="auto" w:sz="4" w:space="0"/>
              <w:left w:val="single" w:color="auto" w:sz="4" w:space="0"/>
              <w:bottom w:val="single" w:color="auto" w:sz="4" w:space="0"/>
              <w:right w:val="single" w:color="auto" w:sz="4" w:space="0"/>
            </w:tcBorders>
            <w:noWrap w:val="0"/>
            <w:vAlign w:val="center"/>
          </w:tcPr>
          <w:p w14:paraId="046E2F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658" w:type="dxa"/>
            <w:tcBorders>
              <w:top w:val="single" w:color="auto" w:sz="4" w:space="0"/>
              <w:left w:val="single" w:color="auto" w:sz="4" w:space="0"/>
              <w:bottom w:val="single" w:color="auto" w:sz="4" w:space="0"/>
              <w:right w:val="single" w:color="auto" w:sz="4" w:space="0"/>
            </w:tcBorders>
            <w:noWrap w:val="0"/>
            <w:vAlign w:val="center"/>
          </w:tcPr>
          <w:p w14:paraId="7279E4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239B42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686FBB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6EA850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723EF2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学前教育保障经费收益学生数量</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7CA415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=190人</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52E1C9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实际完成率=（实际完成/预期完成）×100%。</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①实际完成率≥100%，且偏离程度＜20%，得满分；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②实际完成率≥100%，偏离程度≥20%，得0分；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③实际完成率×100%＜100%，得分=实际完成率×指标分值。</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292BD0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190人</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7F6073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w:t>
            </w:r>
          </w:p>
        </w:tc>
      </w:tr>
      <w:tr w14:paraId="52F41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449242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02FE17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tcBorders>
              <w:top w:val="single" w:color="auto" w:sz="4" w:space="0"/>
              <w:left w:val="single" w:color="auto" w:sz="4" w:space="0"/>
              <w:bottom w:val="single" w:color="auto" w:sz="4" w:space="0"/>
              <w:right w:val="single" w:color="auto" w:sz="4" w:space="0"/>
            </w:tcBorders>
            <w:noWrap w:val="0"/>
            <w:vAlign w:val="center"/>
          </w:tcPr>
          <w:p w14:paraId="668780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2FD7C7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03314F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质量达标率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2466A2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46255D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资金到位率</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540061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=100%</w:t>
            </w:r>
          </w:p>
        </w:tc>
        <w:tc>
          <w:tcPr>
            <w:tcW w:w="4586" w:type="dxa"/>
            <w:tcBorders>
              <w:top w:val="single" w:color="auto" w:sz="4" w:space="0"/>
              <w:left w:val="single" w:color="auto" w:sz="4" w:space="0"/>
              <w:right w:val="single" w:color="auto" w:sz="4" w:space="0"/>
            </w:tcBorders>
            <w:noWrap w:val="0"/>
            <w:vAlign w:val="center"/>
          </w:tcPr>
          <w:p w14:paraId="1A5F01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若指标达到标杆值，则得100%权重分；否则，得分=（实际完成/预期完成）×100%×指标分值。</w:t>
            </w:r>
          </w:p>
          <w:p w14:paraId="1ACD91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若指标完成值达到标杆值，则得100%权重分；否则，不得分。</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4B81A4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100%</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2B7AA6E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w:t>
            </w:r>
          </w:p>
        </w:tc>
      </w:tr>
      <w:tr w14:paraId="784DC3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141881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1B06D05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tcBorders>
              <w:top w:val="single" w:color="auto" w:sz="4" w:space="0"/>
              <w:left w:val="single" w:color="auto" w:sz="4" w:space="0"/>
              <w:bottom w:val="single" w:color="auto" w:sz="4" w:space="0"/>
              <w:right w:val="single" w:color="auto" w:sz="4" w:space="0"/>
            </w:tcBorders>
            <w:noWrap w:val="0"/>
            <w:vAlign w:val="center"/>
          </w:tcPr>
          <w:p w14:paraId="3B3825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461E37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7F1736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完成及时率</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3F1AE3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797EE1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资金拨付及时性</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401DEE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=100%</w:t>
            </w:r>
          </w:p>
        </w:tc>
        <w:tc>
          <w:tcPr>
            <w:tcW w:w="4586" w:type="dxa"/>
            <w:tcBorders>
              <w:top w:val="single" w:color="auto" w:sz="4" w:space="0"/>
              <w:left w:val="single" w:color="auto" w:sz="4" w:space="0"/>
              <w:right w:val="single" w:color="auto" w:sz="4" w:space="0"/>
            </w:tcBorders>
            <w:noWrap w:val="0"/>
            <w:vAlign w:val="center"/>
          </w:tcPr>
          <w:p w14:paraId="763178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kern w:val="0"/>
                <w:sz w:val="21"/>
                <w:szCs w:val="21"/>
                <w:u w:val="none"/>
                <w:lang w:val="en-US" w:eastAsia="zh-CN"/>
              </w:rPr>
            </w:pPr>
            <w:r>
              <w:rPr>
                <w:rFonts w:hint="eastAsia" w:ascii="宋体" w:hAnsi="宋体" w:eastAsia="宋体" w:cs="宋体"/>
                <w:i w:val="0"/>
                <w:iCs w:val="0"/>
                <w:color w:val="auto"/>
                <w:kern w:val="0"/>
                <w:sz w:val="21"/>
                <w:szCs w:val="21"/>
                <w:u w:val="none"/>
                <w:lang w:val="en-US" w:eastAsia="zh-CN"/>
              </w:rPr>
              <w:t>若指标完成值达到标杆值，则得100%权重分；否则，得分=（实际完成/预期完成）×100%×指标分值。</w:t>
            </w:r>
          </w:p>
          <w:p w14:paraId="5C60D8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若在规定时间内完成，得100%权重分；若未在规定的时间内完成，得分=（1-未在规定时间内完成工作数/实际完成工作总数）×分值。</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5947A11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100%</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5C3C02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10</w:t>
            </w:r>
          </w:p>
        </w:tc>
      </w:tr>
      <w:tr w14:paraId="49B8D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0AA83C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64FB97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restart"/>
            <w:tcBorders>
              <w:top w:val="single" w:color="auto" w:sz="4" w:space="0"/>
              <w:left w:val="single" w:color="auto" w:sz="4" w:space="0"/>
              <w:right w:val="single" w:color="auto" w:sz="4" w:space="0"/>
            </w:tcBorders>
            <w:noWrap w:val="0"/>
            <w:vAlign w:val="center"/>
          </w:tcPr>
          <w:p w14:paraId="09A0E9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551" w:type="dxa"/>
            <w:vMerge w:val="restart"/>
            <w:tcBorders>
              <w:top w:val="single" w:color="auto" w:sz="4" w:space="0"/>
              <w:left w:val="single" w:color="auto" w:sz="4" w:space="0"/>
              <w:right w:val="single" w:color="auto" w:sz="4" w:space="0"/>
            </w:tcBorders>
            <w:noWrap w:val="0"/>
            <w:vAlign w:val="center"/>
          </w:tcPr>
          <w:p w14:paraId="1CBBE3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666" w:type="dxa"/>
            <w:vMerge w:val="restart"/>
            <w:tcBorders>
              <w:top w:val="single" w:color="auto" w:sz="4" w:space="0"/>
              <w:left w:val="single" w:color="auto" w:sz="4" w:space="0"/>
              <w:right w:val="single" w:color="auto" w:sz="4" w:space="0"/>
            </w:tcBorders>
            <w:noWrap w:val="0"/>
            <w:vAlign w:val="center"/>
          </w:tcPr>
          <w:p w14:paraId="0F53B6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成本节约率</w:t>
            </w:r>
          </w:p>
        </w:tc>
        <w:tc>
          <w:tcPr>
            <w:tcW w:w="551" w:type="dxa"/>
            <w:vMerge w:val="restart"/>
            <w:tcBorders>
              <w:top w:val="single" w:color="auto" w:sz="4" w:space="0"/>
              <w:left w:val="single" w:color="auto" w:sz="4" w:space="0"/>
              <w:right w:val="single" w:color="auto" w:sz="4" w:space="0"/>
            </w:tcBorders>
            <w:noWrap w:val="0"/>
            <w:vAlign w:val="center"/>
          </w:tcPr>
          <w:p w14:paraId="65E725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299F99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取暖费</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0056E92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=2.24万元</w:t>
            </w:r>
          </w:p>
        </w:tc>
        <w:tc>
          <w:tcPr>
            <w:tcW w:w="4586" w:type="dxa"/>
            <w:vMerge w:val="restart"/>
            <w:tcBorders>
              <w:top w:val="single" w:color="auto" w:sz="4" w:space="0"/>
              <w:left w:val="single" w:color="auto" w:sz="4" w:space="0"/>
              <w:right w:val="single" w:color="auto" w:sz="4" w:space="0"/>
            </w:tcBorders>
            <w:noWrap w:val="0"/>
            <w:vAlign w:val="center"/>
          </w:tcPr>
          <w:p w14:paraId="70162D7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实际完成率=（实际支付资金数/计划应支付资金数）×100%。</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①实际完成率＞年度指标值，得0得分；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②实际完成率≤年度指标值，且偏离程度＜20%，得满分；</w:t>
            </w:r>
            <w:r>
              <w:rPr>
                <w:rFonts w:hint="eastAsia" w:ascii="宋体" w:hAnsi="宋体" w:eastAsia="宋体" w:cs="宋体"/>
                <w:i w:val="0"/>
                <w:iCs w:val="0"/>
                <w:color w:val="auto"/>
                <w:kern w:val="0"/>
                <w:sz w:val="21"/>
                <w:szCs w:val="21"/>
                <w:u w:val="none"/>
                <w:lang w:val="en-US" w:eastAsia="zh-CN"/>
              </w:rPr>
              <w:br w:type="textWrapping"/>
            </w:r>
            <w:r>
              <w:rPr>
                <w:rFonts w:hint="eastAsia" w:ascii="宋体" w:hAnsi="宋体" w:eastAsia="宋体" w:cs="宋体"/>
                <w:i w:val="0"/>
                <w:iCs w:val="0"/>
                <w:color w:val="auto"/>
                <w:kern w:val="0"/>
                <w:sz w:val="21"/>
                <w:szCs w:val="21"/>
                <w:u w:val="none"/>
                <w:lang w:val="en-US" w:eastAsia="zh-CN"/>
              </w:rPr>
              <w:t>③实际完成率＜年度指标值，且偏离程度≥20%，得分=实际完成率×分值。</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3EA5DE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2.21万元</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2298A9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w:t>
            </w:r>
          </w:p>
        </w:tc>
      </w:tr>
      <w:tr w14:paraId="1139E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10019FE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0CC146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658" w:type="dxa"/>
            <w:vMerge w:val="continue"/>
            <w:tcBorders>
              <w:left w:val="single" w:color="auto" w:sz="4" w:space="0"/>
              <w:right w:val="single" w:color="auto" w:sz="4" w:space="0"/>
            </w:tcBorders>
            <w:noWrap w:val="0"/>
            <w:vAlign w:val="center"/>
          </w:tcPr>
          <w:p w14:paraId="02183C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551" w:type="dxa"/>
            <w:vMerge w:val="continue"/>
            <w:tcBorders>
              <w:left w:val="single" w:color="auto" w:sz="4" w:space="0"/>
              <w:right w:val="single" w:color="auto" w:sz="4" w:space="0"/>
            </w:tcBorders>
            <w:noWrap w:val="0"/>
            <w:vAlign w:val="center"/>
          </w:tcPr>
          <w:p w14:paraId="776CD5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666" w:type="dxa"/>
            <w:vMerge w:val="continue"/>
            <w:tcBorders>
              <w:left w:val="single" w:color="auto" w:sz="4" w:space="0"/>
              <w:right w:val="single" w:color="auto" w:sz="4" w:space="0"/>
            </w:tcBorders>
            <w:noWrap w:val="0"/>
            <w:vAlign w:val="center"/>
          </w:tcPr>
          <w:p w14:paraId="339692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color w:val="auto"/>
              </w:rPr>
            </w:pPr>
          </w:p>
        </w:tc>
        <w:tc>
          <w:tcPr>
            <w:tcW w:w="551" w:type="dxa"/>
            <w:vMerge w:val="continue"/>
            <w:tcBorders>
              <w:left w:val="single" w:color="auto" w:sz="4" w:space="0"/>
              <w:right w:val="single" w:color="auto" w:sz="4" w:space="0"/>
            </w:tcBorders>
            <w:noWrap w:val="0"/>
            <w:vAlign w:val="center"/>
          </w:tcPr>
          <w:p w14:paraId="7FDABE3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color w:val="auto"/>
              </w:rPr>
            </w:pPr>
          </w:p>
        </w:tc>
        <w:tc>
          <w:tcPr>
            <w:tcW w:w="2650" w:type="dxa"/>
            <w:tcBorders>
              <w:top w:val="single" w:color="auto" w:sz="4" w:space="0"/>
              <w:left w:val="single" w:color="auto" w:sz="4" w:space="0"/>
              <w:bottom w:val="single" w:color="auto" w:sz="4" w:space="0"/>
              <w:right w:val="single" w:color="auto" w:sz="4" w:space="0"/>
            </w:tcBorders>
            <w:noWrap w:val="0"/>
            <w:vAlign w:val="center"/>
          </w:tcPr>
          <w:p w14:paraId="19752B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公用经费</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19259F2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=32.51万元</w:t>
            </w:r>
          </w:p>
        </w:tc>
        <w:tc>
          <w:tcPr>
            <w:tcW w:w="4586" w:type="dxa"/>
            <w:vMerge w:val="continue"/>
            <w:tcBorders>
              <w:left w:val="single" w:color="auto" w:sz="4" w:space="0"/>
              <w:right w:val="single" w:color="auto" w:sz="4" w:space="0"/>
            </w:tcBorders>
            <w:noWrap w:val="0"/>
            <w:vAlign w:val="center"/>
          </w:tcPr>
          <w:p w14:paraId="42C7CA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7F4C60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32.51万元</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7D1246D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w:t>
            </w:r>
          </w:p>
        </w:tc>
      </w:tr>
      <w:tr w14:paraId="1ABC2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800" w:type="dxa"/>
            <w:vMerge w:val="continue"/>
            <w:tcBorders>
              <w:left w:val="single" w:color="auto" w:sz="4" w:space="0"/>
              <w:bottom w:val="single" w:color="auto" w:sz="4" w:space="0"/>
              <w:right w:val="single" w:color="auto" w:sz="4" w:space="0"/>
            </w:tcBorders>
            <w:noWrap w:val="0"/>
            <w:vAlign w:val="center"/>
          </w:tcPr>
          <w:p w14:paraId="0A454EC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left w:val="single" w:color="auto" w:sz="4" w:space="0"/>
              <w:bottom w:val="single" w:color="auto" w:sz="4" w:space="0"/>
              <w:right w:val="single" w:color="auto" w:sz="4" w:space="0"/>
            </w:tcBorders>
            <w:noWrap w:val="0"/>
            <w:vAlign w:val="center"/>
          </w:tcPr>
          <w:p w14:paraId="4492A68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continue"/>
            <w:tcBorders>
              <w:left w:val="single" w:color="auto" w:sz="4" w:space="0"/>
              <w:bottom w:val="single" w:color="auto" w:sz="4" w:space="0"/>
              <w:right w:val="single" w:color="auto" w:sz="4" w:space="0"/>
            </w:tcBorders>
            <w:noWrap w:val="0"/>
            <w:vAlign w:val="center"/>
          </w:tcPr>
          <w:p w14:paraId="7F10578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vMerge w:val="continue"/>
            <w:tcBorders>
              <w:left w:val="single" w:color="auto" w:sz="4" w:space="0"/>
              <w:bottom w:val="single" w:color="auto" w:sz="4" w:space="0"/>
              <w:right w:val="single" w:color="auto" w:sz="4" w:space="0"/>
            </w:tcBorders>
            <w:noWrap w:val="0"/>
            <w:vAlign w:val="center"/>
          </w:tcPr>
          <w:p w14:paraId="4A81248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6" w:type="dxa"/>
            <w:vMerge w:val="continue"/>
            <w:tcBorders>
              <w:left w:val="single" w:color="auto" w:sz="4" w:space="0"/>
              <w:bottom w:val="single" w:color="auto" w:sz="4" w:space="0"/>
              <w:right w:val="single" w:color="auto" w:sz="4" w:space="0"/>
            </w:tcBorders>
            <w:noWrap w:val="0"/>
            <w:vAlign w:val="center"/>
          </w:tcPr>
          <w:p w14:paraId="46960E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551" w:type="dxa"/>
            <w:vMerge w:val="continue"/>
            <w:tcBorders>
              <w:left w:val="single" w:color="auto" w:sz="4" w:space="0"/>
              <w:bottom w:val="single" w:color="auto" w:sz="4" w:space="0"/>
              <w:right w:val="single" w:color="auto" w:sz="4" w:space="0"/>
            </w:tcBorders>
            <w:noWrap w:val="0"/>
            <w:vAlign w:val="center"/>
          </w:tcPr>
          <w:p w14:paraId="102FAD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2650" w:type="dxa"/>
            <w:tcBorders>
              <w:top w:val="single" w:color="auto" w:sz="4" w:space="0"/>
              <w:left w:val="single" w:color="auto" w:sz="4" w:space="0"/>
              <w:bottom w:val="single" w:color="auto" w:sz="4" w:space="0"/>
              <w:right w:val="single" w:color="auto" w:sz="4" w:space="0"/>
            </w:tcBorders>
            <w:noWrap w:val="0"/>
            <w:vAlign w:val="center"/>
          </w:tcPr>
          <w:p w14:paraId="48515B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lang w:val="en-US" w:eastAsia="zh-CN"/>
              </w:rPr>
              <w:t>伙食费</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578ED8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=32.01万元</w:t>
            </w:r>
          </w:p>
        </w:tc>
        <w:tc>
          <w:tcPr>
            <w:tcW w:w="4586" w:type="dxa"/>
            <w:vMerge w:val="continue"/>
            <w:tcBorders>
              <w:left w:val="single" w:color="auto" w:sz="4" w:space="0"/>
              <w:bottom w:val="single" w:color="auto" w:sz="4" w:space="0"/>
              <w:right w:val="single" w:color="auto" w:sz="4" w:space="0"/>
            </w:tcBorders>
            <w:noWrap w:val="0"/>
            <w:vAlign w:val="center"/>
          </w:tcPr>
          <w:p w14:paraId="541D00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29BFDAD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32.01万元</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0DFD9F2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4</w:t>
            </w:r>
          </w:p>
        </w:tc>
      </w:tr>
      <w:tr w14:paraId="770AE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0" w:hRule="atLeast"/>
        </w:trPr>
        <w:tc>
          <w:tcPr>
            <w:tcW w:w="800" w:type="dxa"/>
            <w:vMerge w:val="restart"/>
            <w:tcBorders>
              <w:top w:val="single" w:color="auto" w:sz="4" w:space="0"/>
              <w:left w:val="single" w:color="auto" w:sz="4" w:space="0"/>
              <w:bottom w:val="single" w:color="auto" w:sz="4" w:space="0"/>
              <w:right w:val="single" w:color="auto" w:sz="4" w:space="0"/>
            </w:tcBorders>
            <w:noWrap w:val="0"/>
            <w:vAlign w:val="center"/>
          </w:tcPr>
          <w:p w14:paraId="3CC637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642" w:type="dxa"/>
            <w:vMerge w:val="restart"/>
            <w:tcBorders>
              <w:top w:val="single" w:color="auto" w:sz="4" w:space="0"/>
              <w:left w:val="single" w:color="auto" w:sz="4" w:space="0"/>
              <w:bottom w:val="single" w:color="auto" w:sz="4" w:space="0"/>
              <w:right w:val="single" w:color="auto" w:sz="4" w:space="0"/>
            </w:tcBorders>
            <w:noWrap w:val="0"/>
            <w:vAlign w:val="center"/>
          </w:tcPr>
          <w:p w14:paraId="674DB4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658" w:type="dxa"/>
            <w:vMerge w:val="restart"/>
            <w:tcBorders>
              <w:top w:val="single" w:color="auto" w:sz="4" w:space="0"/>
              <w:left w:val="single" w:color="auto" w:sz="4" w:space="0"/>
              <w:bottom w:val="single" w:color="auto" w:sz="4" w:space="0"/>
              <w:right w:val="single" w:color="auto" w:sz="4" w:space="0"/>
            </w:tcBorders>
            <w:noWrap w:val="0"/>
            <w:vAlign w:val="center"/>
          </w:tcPr>
          <w:p w14:paraId="2A0984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551" w:type="dxa"/>
            <w:vMerge w:val="restart"/>
            <w:tcBorders>
              <w:top w:val="single" w:color="auto" w:sz="4" w:space="0"/>
              <w:left w:val="single" w:color="auto" w:sz="4" w:space="0"/>
              <w:bottom w:val="single" w:color="auto" w:sz="4" w:space="0"/>
              <w:right w:val="single" w:color="auto" w:sz="4" w:space="0"/>
            </w:tcBorders>
            <w:noWrap w:val="0"/>
            <w:vAlign w:val="center"/>
          </w:tcPr>
          <w:p w14:paraId="470693C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2B157A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社会效益</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78D165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15</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1AA709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改善教育教学质量</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6F8F3E5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有效改善</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120362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519B6E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有效改善</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4D68BB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15</w:t>
            </w:r>
          </w:p>
        </w:tc>
      </w:tr>
      <w:tr w14:paraId="5CF98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800" w:type="dxa"/>
            <w:vMerge w:val="continue"/>
            <w:tcBorders>
              <w:top w:val="single" w:color="auto" w:sz="4" w:space="0"/>
              <w:left w:val="single" w:color="auto" w:sz="4" w:space="0"/>
              <w:bottom w:val="single" w:color="auto" w:sz="4" w:space="0"/>
              <w:right w:val="single" w:color="auto" w:sz="4" w:space="0"/>
            </w:tcBorders>
            <w:noWrap w:val="0"/>
            <w:vAlign w:val="center"/>
          </w:tcPr>
          <w:p w14:paraId="510B8E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42" w:type="dxa"/>
            <w:vMerge w:val="continue"/>
            <w:tcBorders>
              <w:top w:val="single" w:color="auto" w:sz="4" w:space="0"/>
              <w:left w:val="single" w:color="auto" w:sz="4" w:space="0"/>
              <w:bottom w:val="single" w:color="auto" w:sz="4" w:space="0"/>
              <w:right w:val="single" w:color="auto" w:sz="4" w:space="0"/>
            </w:tcBorders>
            <w:noWrap w:val="0"/>
            <w:vAlign w:val="center"/>
          </w:tcPr>
          <w:p w14:paraId="260B21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58" w:type="dxa"/>
            <w:vMerge w:val="continue"/>
            <w:tcBorders>
              <w:top w:val="single" w:color="auto" w:sz="4" w:space="0"/>
              <w:left w:val="single" w:color="auto" w:sz="4" w:space="0"/>
              <w:bottom w:val="single" w:color="auto" w:sz="4" w:space="0"/>
              <w:right w:val="single" w:color="auto" w:sz="4" w:space="0"/>
            </w:tcBorders>
            <w:noWrap w:val="0"/>
            <w:vAlign w:val="center"/>
          </w:tcPr>
          <w:p w14:paraId="48FC6D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vMerge w:val="continue"/>
            <w:tcBorders>
              <w:top w:val="single" w:color="auto" w:sz="4" w:space="0"/>
              <w:left w:val="single" w:color="auto" w:sz="4" w:space="0"/>
              <w:bottom w:val="single" w:color="auto" w:sz="4" w:space="0"/>
              <w:right w:val="single" w:color="auto" w:sz="4" w:space="0"/>
            </w:tcBorders>
            <w:noWrap w:val="0"/>
            <w:vAlign w:val="center"/>
          </w:tcPr>
          <w:p w14:paraId="275204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66" w:type="dxa"/>
            <w:tcBorders>
              <w:top w:val="single" w:color="auto" w:sz="4" w:space="0"/>
              <w:left w:val="single" w:color="auto" w:sz="4" w:space="0"/>
              <w:bottom w:val="single" w:color="auto" w:sz="4" w:space="0"/>
              <w:right w:val="single" w:color="auto" w:sz="4" w:space="0"/>
            </w:tcBorders>
            <w:noWrap w:val="0"/>
            <w:vAlign w:val="center"/>
          </w:tcPr>
          <w:p w14:paraId="25D723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服务对象满意度</w:t>
            </w:r>
          </w:p>
        </w:tc>
        <w:tc>
          <w:tcPr>
            <w:tcW w:w="551" w:type="dxa"/>
            <w:tcBorders>
              <w:top w:val="single" w:color="auto" w:sz="4" w:space="0"/>
              <w:left w:val="single" w:color="auto" w:sz="4" w:space="0"/>
              <w:bottom w:val="single" w:color="auto" w:sz="4" w:space="0"/>
              <w:right w:val="single" w:color="auto" w:sz="4" w:space="0"/>
            </w:tcBorders>
            <w:noWrap w:val="0"/>
            <w:vAlign w:val="center"/>
          </w:tcPr>
          <w:p w14:paraId="0B3533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522CEC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学生满意度</w:t>
            </w:r>
          </w:p>
        </w:tc>
        <w:tc>
          <w:tcPr>
            <w:tcW w:w="1010" w:type="dxa"/>
            <w:tcBorders>
              <w:top w:val="single" w:color="auto" w:sz="4" w:space="0"/>
              <w:left w:val="single" w:color="auto" w:sz="4" w:space="0"/>
              <w:bottom w:val="single" w:color="auto" w:sz="4" w:space="0"/>
              <w:right w:val="single" w:color="auto" w:sz="4" w:space="0"/>
            </w:tcBorders>
            <w:noWrap w:val="0"/>
            <w:vAlign w:val="center"/>
          </w:tcPr>
          <w:p w14:paraId="1402AB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sz w:val="21"/>
                <w:szCs w:val="21"/>
                <w:u w:val="none"/>
              </w:rPr>
              <w:t>≥95%</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7E403C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根据问卷调查，满意度达到标杆值，得权重分的100%；否则低于95%，得分=实际满意度*指标分值。</w:t>
            </w:r>
          </w:p>
        </w:tc>
        <w:tc>
          <w:tcPr>
            <w:tcW w:w="746" w:type="dxa"/>
            <w:tcBorders>
              <w:top w:val="single" w:color="auto" w:sz="4" w:space="0"/>
              <w:left w:val="single" w:color="auto" w:sz="4" w:space="0"/>
              <w:bottom w:val="single" w:color="auto" w:sz="4" w:space="0"/>
              <w:right w:val="single" w:color="auto" w:sz="4" w:space="0"/>
            </w:tcBorders>
            <w:noWrap w:val="0"/>
            <w:vAlign w:val="center"/>
          </w:tcPr>
          <w:p w14:paraId="1D0BCBB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auto"/>
                <w:sz w:val="21"/>
                <w:szCs w:val="21"/>
                <w:u w:val="none"/>
                <w:lang w:val="en-US" w:eastAsia="zh-CN"/>
              </w:rPr>
            </w:pPr>
            <w:r>
              <w:rPr>
                <w:rFonts w:hint="eastAsia" w:ascii="宋体" w:hAnsi="宋体" w:eastAsia="宋体" w:cs="宋体"/>
                <w:i w:val="0"/>
                <w:iCs w:val="0"/>
                <w:color w:val="auto"/>
                <w:sz w:val="21"/>
                <w:szCs w:val="21"/>
                <w:u w:val="none"/>
                <w:lang w:val="en-US" w:eastAsia="zh-CN"/>
              </w:rPr>
              <w:t>100%</w:t>
            </w:r>
          </w:p>
        </w:tc>
        <w:tc>
          <w:tcPr>
            <w:tcW w:w="602" w:type="dxa"/>
            <w:tcBorders>
              <w:top w:val="single" w:color="auto" w:sz="4" w:space="0"/>
              <w:left w:val="single" w:color="auto" w:sz="4" w:space="0"/>
              <w:bottom w:val="single" w:color="auto" w:sz="4" w:space="0"/>
              <w:right w:val="single" w:color="auto" w:sz="4" w:space="0"/>
            </w:tcBorders>
            <w:noWrap w:val="0"/>
            <w:vAlign w:val="center"/>
          </w:tcPr>
          <w:p w14:paraId="746408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auto"/>
                <w:kern w:val="0"/>
                <w:sz w:val="21"/>
                <w:szCs w:val="21"/>
                <w:u w:val="none"/>
                <w:lang w:val="en-US" w:eastAsia="zh-CN"/>
              </w:rPr>
              <w:t>10</w:t>
            </w:r>
          </w:p>
        </w:tc>
      </w:tr>
      <w:tr w14:paraId="6EFF8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00" w:type="dxa"/>
            <w:tcBorders>
              <w:top w:val="single" w:color="auto" w:sz="4" w:space="0"/>
              <w:left w:val="single" w:color="auto" w:sz="4" w:space="0"/>
              <w:bottom w:val="single" w:color="auto" w:sz="4" w:space="0"/>
              <w:right w:val="single" w:color="auto" w:sz="4" w:space="0"/>
            </w:tcBorders>
            <w:noWrap w:val="0"/>
            <w:vAlign w:val="center"/>
          </w:tcPr>
          <w:p w14:paraId="65B5DF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642" w:type="dxa"/>
            <w:tcBorders>
              <w:top w:val="single" w:color="auto" w:sz="4" w:space="0"/>
              <w:left w:val="single" w:color="auto" w:sz="4" w:space="0"/>
              <w:bottom w:val="single" w:color="auto" w:sz="4" w:space="0"/>
              <w:right w:val="single" w:color="auto" w:sz="4" w:space="0"/>
            </w:tcBorders>
            <w:noWrap w:val="0"/>
            <w:vAlign w:val="center"/>
          </w:tcPr>
          <w:p w14:paraId="393199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58" w:type="dxa"/>
            <w:tcBorders>
              <w:top w:val="single" w:color="auto" w:sz="4" w:space="0"/>
              <w:left w:val="single" w:color="auto" w:sz="4" w:space="0"/>
              <w:bottom w:val="single" w:color="auto" w:sz="4" w:space="0"/>
              <w:right w:val="single" w:color="auto" w:sz="4" w:space="0"/>
            </w:tcBorders>
            <w:noWrap w:val="0"/>
            <w:vAlign w:val="center"/>
          </w:tcPr>
          <w:p w14:paraId="46E0EE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tcBorders>
              <w:top w:val="single" w:color="auto" w:sz="4" w:space="0"/>
              <w:left w:val="single" w:color="auto" w:sz="4" w:space="0"/>
              <w:bottom w:val="single" w:color="auto" w:sz="4" w:space="0"/>
              <w:right w:val="single" w:color="auto" w:sz="4" w:space="0"/>
            </w:tcBorders>
            <w:noWrap w:val="0"/>
            <w:vAlign w:val="center"/>
          </w:tcPr>
          <w:p w14:paraId="0CD760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5EC666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551" w:type="dxa"/>
            <w:tcBorders>
              <w:top w:val="single" w:color="auto" w:sz="4" w:space="0"/>
              <w:left w:val="single" w:color="auto" w:sz="4" w:space="0"/>
              <w:bottom w:val="single" w:color="auto" w:sz="4" w:space="0"/>
              <w:right w:val="single" w:color="auto" w:sz="4" w:space="0"/>
            </w:tcBorders>
            <w:noWrap w:val="0"/>
            <w:vAlign w:val="center"/>
          </w:tcPr>
          <w:p w14:paraId="3A0516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650" w:type="dxa"/>
            <w:tcBorders>
              <w:top w:val="single" w:color="auto" w:sz="4" w:space="0"/>
              <w:left w:val="single" w:color="auto" w:sz="4" w:space="0"/>
              <w:bottom w:val="single" w:color="auto" w:sz="4" w:space="0"/>
              <w:right w:val="single" w:color="auto" w:sz="4" w:space="0"/>
            </w:tcBorders>
            <w:noWrap w:val="0"/>
            <w:vAlign w:val="center"/>
          </w:tcPr>
          <w:p w14:paraId="6053AAB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1010" w:type="dxa"/>
            <w:tcBorders>
              <w:top w:val="single" w:color="auto" w:sz="4" w:space="0"/>
              <w:left w:val="single" w:color="auto" w:sz="4" w:space="0"/>
              <w:bottom w:val="single" w:color="auto" w:sz="4" w:space="0"/>
              <w:right w:val="single" w:color="auto" w:sz="4" w:space="0"/>
            </w:tcBorders>
            <w:noWrap w:val="0"/>
            <w:vAlign w:val="center"/>
          </w:tcPr>
          <w:p w14:paraId="2DBA5C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4586" w:type="dxa"/>
            <w:tcBorders>
              <w:top w:val="single" w:color="auto" w:sz="4" w:space="0"/>
              <w:left w:val="single" w:color="auto" w:sz="4" w:space="0"/>
              <w:bottom w:val="single" w:color="auto" w:sz="4" w:space="0"/>
              <w:right w:val="single" w:color="auto" w:sz="4" w:space="0"/>
            </w:tcBorders>
            <w:noWrap w:val="0"/>
            <w:vAlign w:val="center"/>
          </w:tcPr>
          <w:p w14:paraId="4C7CE0E0">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746" w:type="dxa"/>
            <w:tcBorders>
              <w:top w:val="single" w:color="auto" w:sz="4" w:space="0"/>
              <w:left w:val="single" w:color="auto" w:sz="4" w:space="0"/>
              <w:bottom w:val="single" w:color="auto" w:sz="4" w:space="0"/>
              <w:right w:val="single" w:color="auto" w:sz="4" w:space="0"/>
            </w:tcBorders>
            <w:noWrap w:val="0"/>
            <w:vAlign w:val="center"/>
          </w:tcPr>
          <w:p w14:paraId="0FDF22A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602" w:type="dxa"/>
            <w:tcBorders>
              <w:top w:val="single" w:color="auto" w:sz="4" w:space="0"/>
              <w:left w:val="single" w:color="auto" w:sz="4" w:space="0"/>
              <w:bottom w:val="single" w:color="auto" w:sz="4" w:space="0"/>
              <w:right w:val="single" w:color="auto" w:sz="4" w:space="0"/>
            </w:tcBorders>
            <w:noWrap w:val="0"/>
            <w:vAlign w:val="center"/>
          </w:tcPr>
          <w:p w14:paraId="1792FE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100</w:t>
            </w:r>
          </w:p>
        </w:tc>
      </w:tr>
    </w:tbl>
    <w:p w14:paraId="48E4350F">
      <w:pPr>
        <w:pStyle w:val="10"/>
        <w:rPr>
          <w:rFonts w:hint="eastAsia" w:ascii="宋体" w:hAnsi="宋体" w:eastAsia="宋体" w:cs="宋体"/>
          <w:sz w:val="24"/>
          <w:szCs w:val="24"/>
          <w:lang w:eastAsia="zh-CN"/>
        </w:rPr>
      </w:pPr>
    </w:p>
    <w:p w14:paraId="2BFE3789">
      <w:pPr>
        <w:pStyle w:val="10"/>
        <w:rPr>
          <w:rFonts w:hint="eastAsia" w:ascii="宋体" w:hAnsi="宋体" w:eastAsia="宋体" w:cs="宋体"/>
          <w:sz w:val="24"/>
          <w:szCs w:val="24"/>
          <w:lang w:eastAsia="zh-CN"/>
        </w:rPr>
      </w:pPr>
    </w:p>
    <w:p w14:paraId="3AED3393">
      <w:pPr>
        <w:pStyle w:val="10"/>
        <w:ind w:left="0" w:leftChars="0" w:firstLine="0" w:firstLineChars="0"/>
        <w:jc w:val="both"/>
        <w:rPr>
          <w:rFonts w:hint="eastAsia" w:ascii="宋体" w:hAnsi="宋体" w:eastAsia="宋体" w:cs="宋体"/>
          <w:sz w:val="24"/>
          <w:szCs w:val="24"/>
          <w:lang w:val="en-US" w:eastAsia="zh-CN"/>
        </w:rPr>
      </w:pPr>
    </w:p>
    <w:p w14:paraId="4F10DA9E">
      <w:pPr>
        <w:pStyle w:val="10"/>
        <w:ind w:left="0" w:leftChars="0" w:firstLine="0" w:firstLineChars="0"/>
        <w:jc w:val="both"/>
        <w:rPr>
          <w:rFonts w:hint="eastAsia" w:ascii="宋体" w:hAnsi="宋体" w:eastAsia="宋体" w:cs="宋体"/>
          <w:sz w:val="24"/>
          <w:szCs w:val="24"/>
          <w:lang w:val="en-US" w:eastAsia="zh-CN"/>
        </w:rPr>
      </w:pPr>
    </w:p>
    <w:p w14:paraId="3B6F6D6E">
      <w:pPr>
        <w:pStyle w:val="10"/>
        <w:ind w:left="0" w:leftChars="0" w:firstLine="0" w:firstLineChars="0"/>
        <w:jc w:val="both"/>
        <w:rPr>
          <w:rFonts w:hint="eastAsia" w:ascii="宋体" w:hAnsi="宋体" w:eastAsia="宋体" w:cs="宋体"/>
          <w:sz w:val="24"/>
          <w:szCs w:val="24"/>
          <w:lang w:val="en-US" w:eastAsia="zh-CN"/>
        </w:rPr>
      </w:pPr>
    </w:p>
    <w:p w14:paraId="3D281F35">
      <w:pPr>
        <w:pStyle w:val="10"/>
        <w:ind w:left="0" w:leftChars="0" w:firstLine="0" w:firstLineChars="0"/>
        <w:jc w:val="both"/>
        <w:rPr>
          <w:rFonts w:hint="eastAsia" w:ascii="宋体" w:hAnsi="宋体" w:eastAsia="宋体" w:cs="宋体"/>
          <w:sz w:val="24"/>
          <w:szCs w:val="24"/>
          <w:lang w:val="en-US" w:eastAsia="zh-CN"/>
        </w:rPr>
      </w:pPr>
    </w:p>
    <w:p w14:paraId="11B62EA9">
      <w:pPr>
        <w:pStyle w:val="10"/>
        <w:ind w:left="0" w:leftChars="0" w:firstLine="0" w:firstLineChars="0"/>
        <w:jc w:val="both"/>
        <w:rPr>
          <w:rFonts w:hint="eastAsia" w:ascii="宋体" w:hAnsi="宋体" w:eastAsia="宋体" w:cs="宋体"/>
          <w:sz w:val="24"/>
          <w:szCs w:val="24"/>
          <w:lang w:val="en-US" w:eastAsia="zh-CN"/>
        </w:rPr>
      </w:pPr>
    </w:p>
    <w:p w14:paraId="1150E0A2">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4F1F9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0BC759B1">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33254B2D">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431B95A7">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75D78046">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508F3AF1">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1E85AD95">
            <w:pPr>
              <w:rPr>
                <w:rFonts w:hint="eastAsia" w:ascii="宋体" w:hAnsi="宋体" w:eastAsia="宋体" w:cs="宋体"/>
                <w:i w:val="0"/>
                <w:iCs w:val="0"/>
                <w:color w:val="000000"/>
                <w:sz w:val="22"/>
                <w:szCs w:val="22"/>
                <w:u w:val="none"/>
              </w:rPr>
            </w:pPr>
          </w:p>
        </w:tc>
      </w:tr>
      <w:tr w14:paraId="6B48B3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3D6050E1">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u w:val="none"/>
                <w:lang w:val="en-US" w:eastAsia="zh-CN"/>
              </w:rPr>
            </w:pPr>
            <w:r>
              <w:rPr>
                <w:rFonts w:hint="eastAsia" w:ascii="宋体" w:hAnsi="宋体" w:eastAsia="宋体" w:cs="宋体"/>
                <w:b w:val="0"/>
                <w:bCs w:val="0"/>
                <w:i w:val="0"/>
                <w:iCs w:val="0"/>
                <w:color w:val="auto"/>
                <w:kern w:val="0"/>
                <w:sz w:val="21"/>
                <w:szCs w:val="21"/>
                <w:u w:val="none"/>
                <w:lang w:val="en-US" w:eastAsia="zh-CN"/>
              </w:rPr>
              <w:t>专项资金-和地财教【2023】73号：2024年新疆西藏等地区教育特殊补助资金-学前三年免费保障经费</w:t>
            </w:r>
          </w:p>
          <w:p w14:paraId="533026F7">
            <w:pPr>
              <w:keepNext w:val="0"/>
              <w:keepLines w:val="0"/>
              <w:widowControl/>
              <w:suppressLineNumbers w:val="0"/>
              <w:jc w:val="center"/>
              <w:textAlignment w:val="center"/>
              <w:rPr>
                <w:rFonts w:hint="eastAsia" w:ascii="宋体" w:hAnsi="宋体" w:eastAsia="宋体" w:cs="宋体"/>
                <w:b/>
                <w:bCs/>
                <w:i w:val="0"/>
                <w:iCs w:val="0"/>
                <w:color w:val="FF0000"/>
                <w:sz w:val="36"/>
                <w:szCs w:val="36"/>
                <w:u w:val="none"/>
              </w:rPr>
            </w:pPr>
            <w:r>
              <w:rPr>
                <w:rFonts w:hint="eastAsia" w:ascii="宋体" w:hAnsi="宋体" w:eastAsia="宋体" w:cs="宋体"/>
                <w:b w:val="0"/>
                <w:bCs w:val="0"/>
                <w:i w:val="0"/>
                <w:iCs w:val="0"/>
                <w:color w:val="auto"/>
                <w:kern w:val="0"/>
                <w:sz w:val="21"/>
                <w:szCs w:val="21"/>
                <w:u w:val="none"/>
                <w:lang w:val="en-US" w:eastAsia="zh-CN"/>
              </w:rPr>
              <w:t>-公用经费-洛财教【2024】22号项目综合得分表</w:t>
            </w:r>
          </w:p>
        </w:tc>
      </w:tr>
      <w:tr w14:paraId="22668F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16B20F2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62A9A88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507203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A0D3FF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3AC37457">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470BC0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合计</w:t>
            </w:r>
          </w:p>
        </w:tc>
      </w:tr>
      <w:tr w14:paraId="586F99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220EFED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7362DA6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3B9E380">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06F3F01A">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83356D3">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82035D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 xml:space="preserve">100.00 </w:t>
            </w:r>
          </w:p>
        </w:tc>
      </w:tr>
      <w:tr w14:paraId="220BD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428DEC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4DAD5B9">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8D210B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B52E01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3E8858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BDE425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r w14:paraId="68F25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098B6B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4"/>
                <w:szCs w:val="24"/>
                <w:u w:val="none"/>
                <w:lang w:val="en-US" w:eastAsia="zh-CN"/>
              </w:rPr>
            </w:pPr>
            <w:r>
              <w:rPr>
                <w:rFonts w:hint="eastAsia" w:ascii="宋体" w:hAnsi="宋体" w:eastAsia="宋体" w:cs="宋体"/>
                <w:b/>
                <w:bCs/>
                <w:i w:val="0"/>
                <w:iCs w:val="0"/>
                <w:color w:val="auto"/>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0EE5A1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C965BE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A07768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0797811">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303803F">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i w:val="0"/>
                <w:iCs w:val="0"/>
                <w:color w:val="auto"/>
                <w:kern w:val="0"/>
                <w:sz w:val="24"/>
                <w:szCs w:val="24"/>
                <w:u w:val="none"/>
                <w:lang w:val="en-US" w:eastAsia="zh-CN"/>
              </w:rPr>
            </w:pPr>
            <w:r>
              <w:rPr>
                <w:rFonts w:hint="eastAsia" w:ascii="宋体" w:hAnsi="宋体" w:eastAsia="宋体" w:cs="宋体"/>
                <w:i w:val="0"/>
                <w:iCs w:val="0"/>
                <w:color w:val="auto"/>
                <w:kern w:val="0"/>
                <w:sz w:val="24"/>
                <w:szCs w:val="24"/>
                <w:u w:val="none"/>
                <w:lang w:val="en-US" w:eastAsia="zh-CN"/>
              </w:rPr>
              <w:t>100.00%</w:t>
            </w:r>
          </w:p>
        </w:tc>
      </w:tr>
    </w:tbl>
    <w:p w14:paraId="7A6E358D">
      <w:pPr>
        <w:pStyle w:val="10"/>
        <w:ind w:left="0" w:leftChars="0" w:firstLine="0" w:firstLineChars="0"/>
        <w:jc w:val="both"/>
        <w:rPr>
          <w:rFonts w:hint="default" w:ascii="宋体" w:hAnsi="宋体" w:eastAsia="宋体" w:cs="宋体"/>
          <w:sz w:val="24"/>
          <w:szCs w:val="24"/>
          <w:lang w:val="en-US" w:eastAsia="zh-CN"/>
        </w:rPr>
      </w:pPr>
    </w:p>
    <w:p w14:paraId="286AEB10">
      <w:pPr>
        <w:pStyle w:val="10"/>
        <w:ind w:left="0" w:leftChars="0" w:firstLine="0" w:firstLineChars="0"/>
        <w:jc w:val="both"/>
        <w:rPr>
          <w:rFonts w:hint="default" w:ascii="宋体" w:hAnsi="宋体" w:eastAsia="宋体" w:cs="宋体"/>
          <w:sz w:val="24"/>
          <w:szCs w:val="24"/>
          <w:lang w:val="en-US" w:eastAsia="zh-CN"/>
        </w:rPr>
        <w:sectPr>
          <w:pgSz w:w="16838" w:h="11906" w:orient="landscape"/>
          <w:pgMar w:top="1531" w:right="1985" w:bottom="1531" w:left="1701" w:header="851" w:footer="992" w:gutter="0"/>
          <w:pgNumType w:start="1"/>
          <w:cols w:space="720" w:num="1"/>
          <w:docGrid w:type="linesAndChars" w:linePitch="386" w:charSpace="0"/>
        </w:sectPr>
      </w:pPr>
      <w:r>
        <w:rPr>
          <w:rFonts w:hint="eastAsia" w:ascii="宋体" w:hAnsi="宋体" w:eastAsia="宋体" w:cs="宋体"/>
          <w:sz w:val="24"/>
          <w:szCs w:val="24"/>
          <w:lang w:val="en-US" w:eastAsia="zh-CN"/>
        </w:rPr>
        <w:t xml:space="preserve">  </w:t>
      </w:r>
    </w:p>
    <w:p w14:paraId="7CCE25D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附件3：</w:t>
      </w:r>
    </w:p>
    <w:p w14:paraId="706A48EC">
      <w:pPr>
        <w:keepNext w:val="0"/>
        <w:keepLines w:val="0"/>
        <w:pageBreakBefore w:val="0"/>
        <w:widowControl w:val="0"/>
        <w:kinsoku/>
        <w:wordWrap/>
        <w:overflowPunct/>
        <w:topLinePunct w:val="0"/>
        <w:autoSpaceDE/>
        <w:autoSpaceDN/>
        <w:bidi w:val="0"/>
        <w:adjustRightInd w:val="0"/>
        <w:snapToGrid w:val="0"/>
        <w:spacing w:line="360" w:lineRule="auto"/>
        <w:ind w:left="716" w:leftChars="170" w:hanging="240" w:hangingChars="10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专项资金-和地财教[2023]73号：2024年新疆西藏等地区教育特殊补助资金-学前三年免费保障经费-公用经费、伙食费-洛财教【2024】22号</w:t>
      </w:r>
    </w:p>
    <w:p w14:paraId="17CFB13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default" w:ascii="宋体" w:hAnsi="宋体" w:eastAsia="宋体" w:cs="宋体"/>
          <w:sz w:val="24"/>
          <w:szCs w:val="24"/>
          <w:highlight w:val="none"/>
          <w:lang w:val="en-US"/>
        </w:rPr>
      </w:pPr>
      <w:r>
        <w:rPr>
          <w:rFonts w:hint="eastAsia" w:ascii="宋体" w:hAnsi="宋体" w:eastAsia="宋体" w:cs="宋体"/>
          <w:sz w:val="24"/>
          <w:szCs w:val="24"/>
          <w:highlight w:val="none"/>
          <w:lang w:val="en-US" w:eastAsia="zh-CN"/>
        </w:rPr>
        <w:t>满意度</w:t>
      </w:r>
      <w:r>
        <w:rPr>
          <w:rFonts w:hint="eastAsia" w:ascii="宋体" w:hAnsi="宋体" w:eastAsia="宋体" w:cs="宋体"/>
          <w:sz w:val="24"/>
          <w:szCs w:val="24"/>
          <w:highlight w:val="none"/>
        </w:rPr>
        <w:t>调查问卷</w:t>
      </w:r>
      <w:r>
        <w:rPr>
          <w:rFonts w:hint="eastAsia" w:ascii="宋体" w:hAnsi="宋体" w:eastAsia="宋体" w:cs="宋体"/>
          <w:sz w:val="24"/>
          <w:szCs w:val="24"/>
          <w:highlight w:val="none"/>
          <w:lang w:val="en-US" w:eastAsia="zh-CN"/>
        </w:rPr>
        <w:t>分析报告项目</w:t>
      </w:r>
    </w:p>
    <w:p w14:paraId="73B56E6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sz w:val="28"/>
          <w:szCs w:val="28"/>
          <w:highlight w:val="none"/>
        </w:rPr>
      </w:pPr>
    </w:p>
    <w:p w14:paraId="6A69C07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val="0"/>
          <w:bCs w:val="0"/>
          <w:sz w:val="24"/>
          <w:szCs w:val="24"/>
          <w:highlight w:val="none"/>
          <w:lang w:eastAsia="zh-CN"/>
        </w:rPr>
      </w:pPr>
      <w:r>
        <w:rPr>
          <w:rFonts w:hint="eastAsia" w:ascii="宋体" w:hAnsi="宋体" w:eastAsia="宋体" w:cs="宋体"/>
          <w:sz w:val="24"/>
          <w:szCs w:val="24"/>
          <w:highlight w:val="none"/>
        </w:rPr>
        <w:t>为客观评价该项目的社会效果，了解</w:t>
      </w:r>
      <w:r>
        <w:rPr>
          <w:rFonts w:hint="eastAsia" w:ascii="宋体" w:hAnsi="宋体" w:eastAsia="宋体" w:cs="宋体"/>
          <w:sz w:val="24"/>
          <w:szCs w:val="24"/>
          <w:highlight w:val="none"/>
          <w:lang w:val="en-US" w:eastAsia="zh-CN"/>
        </w:rPr>
        <w:t>项目受益群体</w:t>
      </w:r>
      <w:r>
        <w:rPr>
          <w:rFonts w:hint="eastAsia" w:ascii="宋体" w:hAnsi="宋体" w:eastAsia="宋体" w:cs="宋体"/>
          <w:sz w:val="24"/>
          <w:szCs w:val="24"/>
          <w:highlight w:val="none"/>
        </w:rPr>
        <w:t>对项目</w:t>
      </w:r>
      <w:r>
        <w:rPr>
          <w:rFonts w:hint="eastAsia" w:ascii="宋体" w:hAnsi="宋体" w:eastAsia="宋体" w:cs="宋体"/>
          <w:sz w:val="24"/>
          <w:szCs w:val="24"/>
          <w:highlight w:val="none"/>
          <w:lang w:val="en-US" w:eastAsia="zh-CN"/>
        </w:rPr>
        <w:t>实施后</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真实</w:t>
      </w:r>
      <w:r>
        <w:rPr>
          <w:rFonts w:hint="eastAsia" w:ascii="宋体" w:hAnsi="宋体" w:eastAsia="宋体" w:cs="宋体"/>
          <w:sz w:val="24"/>
          <w:szCs w:val="24"/>
          <w:highlight w:val="none"/>
        </w:rPr>
        <w:t>评价情况，对本项目</w:t>
      </w:r>
      <w:r>
        <w:rPr>
          <w:rFonts w:hint="eastAsia" w:ascii="宋体" w:hAnsi="宋体" w:eastAsia="宋体" w:cs="宋体"/>
          <w:sz w:val="24"/>
          <w:szCs w:val="24"/>
          <w:highlight w:val="none"/>
          <w:lang w:eastAsia="zh-CN"/>
        </w:rPr>
        <w:t>开展</w:t>
      </w:r>
      <w:r>
        <w:rPr>
          <w:rFonts w:hint="eastAsia" w:ascii="宋体" w:hAnsi="宋体" w:eastAsia="宋体" w:cs="宋体"/>
          <w:sz w:val="24"/>
          <w:szCs w:val="24"/>
          <w:highlight w:val="none"/>
        </w:rPr>
        <w:t>满意度问卷调查。问卷调查工作情况如下。问卷调查工作情况如下：</w:t>
      </w:r>
    </w:p>
    <w:p w14:paraId="45ED1B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一、该问卷调查从2025年3月5日开始至2025年3月15日结束，调查问卷共设置3道题目。</w:t>
      </w:r>
    </w:p>
    <w:p w14:paraId="2E39960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1.调查对象</w:t>
      </w:r>
    </w:p>
    <w:p w14:paraId="435A599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本次调查的受益对象为家长。</w:t>
      </w:r>
    </w:p>
    <w:p w14:paraId="2E187F8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2.调查内容</w:t>
      </w:r>
    </w:p>
    <w:p w14:paraId="297A0ED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kern w:val="0"/>
          <w:sz w:val="24"/>
          <w:szCs w:val="24"/>
          <w:highlight w:val="none"/>
          <w:lang w:val="en-US" w:eastAsia="zh-CN" w:bidi="zh-CN"/>
        </w:rPr>
      </w:pPr>
      <w:r>
        <w:rPr>
          <w:rFonts w:hint="eastAsia" w:ascii="宋体" w:hAnsi="宋体" w:eastAsia="宋体" w:cs="宋体"/>
          <w:kern w:val="0"/>
          <w:sz w:val="24"/>
          <w:szCs w:val="24"/>
          <w:highlight w:val="none"/>
          <w:lang w:val="en-US" w:eastAsia="zh-CN" w:bidi="zh-CN"/>
        </w:rPr>
        <w:t>①您对专项资金-和地财教[2023]73号：2024年新疆西藏等地区教育特殊补助资金-学前三年免费保障经费-公用经费-洛财教【2024】22号是否满意?</w:t>
      </w:r>
    </w:p>
    <w:p w14:paraId="0B48F31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kern w:val="0"/>
          <w:sz w:val="24"/>
          <w:szCs w:val="24"/>
          <w:highlight w:val="none"/>
          <w:lang w:val="en-US" w:eastAsia="zh-CN" w:bidi="zh-CN"/>
        </w:rPr>
      </w:pPr>
      <w:r>
        <w:rPr>
          <w:rFonts w:hint="eastAsia" w:ascii="宋体" w:hAnsi="宋体" w:eastAsia="宋体" w:cs="宋体"/>
          <w:kern w:val="0"/>
          <w:sz w:val="24"/>
          <w:szCs w:val="24"/>
          <w:highlight w:val="none"/>
          <w:lang w:val="en-US" w:eastAsia="zh-CN" w:bidi="zh-CN"/>
        </w:rPr>
        <w:t>②您专项资金-和地财教[2023]73号：2024年新疆西藏等地区教育特殊补助资金-学前三年免费保障经费-伙食费-洛财教【2024】22号是否满意？</w:t>
      </w:r>
    </w:p>
    <w:p w14:paraId="5ADE743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③总的来说，您对目前</w:t>
      </w:r>
      <w:r>
        <w:rPr>
          <w:rFonts w:hint="eastAsia" w:ascii="宋体" w:hAnsi="宋体" w:eastAsia="宋体" w:cs="宋体"/>
          <w:kern w:val="0"/>
          <w:sz w:val="24"/>
          <w:szCs w:val="24"/>
          <w:highlight w:val="none"/>
          <w:lang w:val="en-US" w:eastAsia="zh-CN" w:bidi="zh-CN"/>
        </w:rPr>
        <w:t>专项资金-和地财教[2023]73号：2024年新疆西藏等地区教育特殊补助资金-学前三年免费保障经费-公用经费-洛财教【2024】22号</w:t>
      </w:r>
      <w:r>
        <w:rPr>
          <w:rFonts w:hint="eastAsia" w:ascii="宋体" w:hAnsi="宋体" w:eastAsia="宋体" w:cs="宋体"/>
          <w:sz w:val="24"/>
          <w:szCs w:val="24"/>
          <w:highlight w:val="none"/>
          <w:lang w:val="en-US" w:eastAsia="zh-CN"/>
        </w:rPr>
        <w:t>实施后的整体满意程度如何？</w:t>
      </w:r>
    </w:p>
    <w:p w14:paraId="137C578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3.调查方法</w:t>
      </w:r>
    </w:p>
    <w:p w14:paraId="4416433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问卷调查采取</w:t>
      </w:r>
      <w:r>
        <w:rPr>
          <w:rFonts w:hint="eastAsia" w:cs="宋体"/>
          <w:sz w:val="24"/>
          <w:szCs w:val="24"/>
          <w:highlight w:val="none"/>
          <w:lang w:val="en-US" w:eastAsia="zh-CN"/>
        </w:rPr>
        <w:t>分层</w:t>
      </w:r>
      <w:r>
        <w:rPr>
          <w:rFonts w:hint="eastAsia" w:ascii="宋体" w:hAnsi="宋体" w:eastAsia="宋体" w:cs="宋体"/>
          <w:sz w:val="24"/>
          <w:szCs w:val="24"/>
          <w:highlight w:val="none"/>
        </w:rPr>
        <w:t>抽样和</w:t>
      </w:r>
      <w:r>
        <w:rPr>
          <w:rFonts w:hint="eastAsia" w:cs="宋体"/>
          <w:sz w:val="24"/>
          <w:szCs w:val="24"/>
          <w:highlight w:val="none"/>
          <w:lang w:val="en-US" w:eastAsia="zh-CN"/>
        </w:rPr>
        <w:t>随机抽样相结合</w:t>
      </w:r>
      <w:r>
        <w:rPr>
          <w:rFonts w:hint="eastAsia" w:ascii="宋体" w:hAnsi="宋体" w:eastAsia="宋体" w:cs="宋体"/>
          <w:sz w:val="24"/>
          <w:szCs w:val="24"/>
          <w:highlight w:val="none"/>
        </w:rPr>
        <w:t>的方式进行。在全面</w:t>
      </w:r>
      <w:r>
        <w:rPr>
          <w:rFonts w:hint="eastAsia" w:cs="宋体"/>
          <w:sz w:val="24"/>
          <w:szCs w:val="24"/>
          <w:highlight w:val="none"/>
          <w:lang w:eastAsia="zh-CN"/>
        </w:rPr>
        <w:t>调查</w:t>
      </w:r>
      <w:r>
        <w:rPr>
          <w:rFonts w:hint="eastAsia" w:ascii="宋体" w:hAnsi="宋体" w:eastAsia="宋体" w:cs="宋体"/>
          <w:sz w:val="24"/>
          <w:szCs w:val="24"/>
          <w:highlight w:val="none"/>
        </w:rPr>
        <w:t>开展之前会先进行论证，依据论证结果对问卷和抽样方案再进行一次修改和调整</w:t>
      </w:r>
      <w:r>
        <w:rPr>
          <w:rFonts w:hint="eastAsia" w:cs="宋体"/>
          <w:sz w:val="24"/>
          <w:szCs w:val="24"/>
          <w:highlight w:val="none"/>
          <w:lang w:val="en-US" w:eastAsia="zh-CN"/>
        </w:rPr>
        <w:t>之后再付诸实施</w:t>
      </w:r>
      <w:r>
        <w:rPr>
          <w:rFonts w:hint="eastAsia" w:ascii="宋体" w:hAnsi="宋体" w:eastAsia="宋体" w:cs="宋体"/>
          <w:sz w:val="24"/>
          <w:szCs w:val="24"/>
          <w:highlight w:val="none"/>
        </w:rPr>
        <w:t>。</w:t>
      </w:r>
    </w:p>
    <w:p w14:paraId="1C47206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4.抽样方式</w:t>
      </w:r>
    </w:p>
    <w:p w14:paraId="12A7623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sz w:val="24"/>
          <w:szCs w:val="24"/>
          <w:highlight w:val="none"/>
        </w:rPr>
        <w:t>为确保问卷</w:t>
      </w:r>
      <w:r>
        <w:rPr>
          <w:rFonts w:hint="eastAsia" w:cs="宋体"/>
          <w:sz w:val="24"/>
          <w:szCs w:val="24"/>
          <w:highlight w:val="none"/>
          <w:lang w:eastAsia="zh-CN"/>
        </w:rPr>
        <w:t>调查</w:t>
      </w:r>
      <w:r>
        <w:rPr>
          <w:rFonts w:hint="eastAsia" w:ascii="宋体" w:hAnsi="宋体" w:eastAsia="宋体" w:cs="宋体"/>
          <w:sz w:val="24"/>
          <w:szCs w:val="24"/>
          <w:highlight w:val="none"/>
        </w:rPr>
        <w:t>的全面性和代表性，本次</w:t>
      </w:r>
      <w:r>
        <w:rPr>
          <w:rFonts w:hint="eastAsia" w:cs="宋体"/>
          <w:sz w:val="24"/>
          <w:szCs w:val="24"/>
          <w:highlight w:val="none"/>
          <w:lang w:eastAsia="zh-CN"/>
        </w:rPr>
        <w:t>调查</w:t>
      </w:r>
      <w:r>
        <w:rPr>
          <w:rFonts w:hint="eastAsia" w:ascii="宋体" w:hAnsi="宋体" w:eastAsia="宋体" w:cs="宋体"/>
          <w:sz w:val="24"/>
          <w:szCs w:val="24"/>
          <w:highlight w:val="none"/>
        </w:rPr>
        <w:t>问卷调查采取</w:t>
      </w:r>
      <w:r>
        <w:rPr>
          <w:rFonts w:hint="eastAsia" w:cs="宋体"/>
          <w:sz w:val="24"/>
          <w:szCs w:val="24"/>
          <w:highlight w:val="none"/>
          <w:lang w:val="en-US" w:eastAsia="zh-CN"/>
        </w:rPr>
        <w:t>随机</w:t>
      </w:r>
      <w:r>
        <w:rPr>
          <w:rFonts w:hint="eastAsia" w:ascii="宋体" w:hAnsi="宋体" w:eastAsia="宋体" w:cs="宋体"/>
          <w:sz w:val="24"/>
          <w:szCs w:val="24"/>
          <w:highlight w:val="none"/>
        </w:rPr>
        <w:t>抽样和</w:t>
      </w:r>
      <w:r>
        <w:rPr>
          <w:rFonts w:hint="eastAsia" w:cs="宋体"/>
          <w:sz w:val="24"/>
          <w:szCs w:val="24"/>
          <w:highlight w:val="none"/>
          <w:lang w:val="en-US" w:eastAsia="zh-CN"/>
        </w:rPr>
        <w:t>分层抽样相结合</w:t>
      </w:r>
      <w:r>
        <w:rPr>
          <w:rFonts w:hint="eastAsia" w:ascii="宋体" w:hAnsi="宋体" w:eastAsia="宋体" w:cs="宋体"/>
          <w:sz w:val="24"/>
          <w:szCs w:val="24"/>
          <w:highlight w:val="none"/>
        </w:rPr>
        <w:t>方式进行。</w:t>
      </w:r>
    </w:p>
    <w:p w14:paraId="5D63DB2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rPr>
        <w:t>5.问卷的发放和回收</w:t>
      </w:r>
    </w:p>
    <w:p w14:paraId="1BA35F03">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为了给</w:t>
      </w:r>
      <w:r>
        <w:rPr>
          <w:rFonts w:hint="eastAsia" w:cs="宋体"/>
          <w:sz w:val="24"/>
          <w:szCs w:val="24"/>
          <w:highlight w:val="none"/>
          <w:lang w:val="en-US" w:eastAsia="zh-CN"/>
        </w:rPr>
        <w:t>调查</w:t>
      </w:r>
      <w:r>
        <w:rPr>
          <w:rFonts w:hint="eastAsia" w:ascii="宋体" w:hAnsi="宋体" w:eastAsia="宋体" w:cs="宋体"/>
          <w:sz w:val="24"/>
          <w:szCs w:val="24"/>
          <w:highlight w:val="none"/>
          <w:lang w:val="en-US" w:eastAsia="zh-CN"/>
        </w:rPr>
        <w:t>对象营造良好的作答环境，保证</w:t>
      </w:r>
      <w:r>
        <w:rPr>
          <w:rFonts w:hint="eastAsia" w:cs="宋体"/>
          <w:sz w:val="24"/>
          <w:szCs w:val="24"/>
          <w:highlight w:val="none"/>
          <w:lang w:val="en-US" w:eastAsia="zh-CN"/>
        </w:rPr>
        <w:t>调查</w:t>
      </w:r>
      <w:r>
        <w:rPr>
          <w:rFonts w:hint="eastAsia" w:ascii="宋体" w:hAnsi="宋体" w:eastAsia="宋体" w:cs="宋体"/>
          <w:sz w:val="24"/>
          <w:szCs w:val="24"/>
          <w:highlight w:val="none"/>
          <w:lang w:val="en-US" w:eastAsia="zh-CN"/>
        </w:rPr>
        <w:t>的科学性和严谨性，由我单位工作人员在线下发放问卷，邀请</w:t>
      </w:r>
      <w:r>
        <w:rPr>
          <w:rFonts w:hint="eastAsia" w:cs="宋体"/>
          <w:sz w:val="24"/>
          <w:szCs w:val="24"/>
          <w:highlight w:val="none"/>
          <w:lang w:val="en-US" w:eastAsia="zh-CN"/>
        </w:rPr>
        <w:t>相应</w:t>
      </w:r>
      <w:r>
        <w:rPr>
          <w:rFonts w:hint="eastAsia" w:ascii="宋体" w:hAnsi="宋体" w:eastAsia="宋体" w:cs="宋体"/>
          <w:sz w:val="24"/>
          <w:szCs w:val="24"/>
          <w:highlight w:val="none"/>
          <w:lang w:val="en-US" w:eastAsia="zh-CN"/>
        </w:rPr>
        <w:t>的调查对象填写问卷。到目前为止共回收问卷</w:t>
      </w:r>
      <w:r>
        <w:rPr>
          <w:rFonts w:hint="eastAsia" w:cs="宋体"/>
          <w:sz w:val="24"/>
          <w:szCs w:val="24"/>
          <w:highlight w:val="none"/>
          <w:lang w:val="en-US" w:eastAsia="zh-CN"/>
        </w:rPr>
        <w:t>2</w:t>
      </w:r>
      <w:r>
        <w:rPr>
          <w:rFonts w:hint="eastAsia" w:ascii="宋体" w:hAnsi="宋体" w:eastAsia="宋体" w:cs="宋体"/>
          <w:sz w:val="24"/>
          <w:szCs w:val="24"/>
          <w:highlight w:val="none"/>
          <w:lang w:val="en-US" w:eastAsia="zh-CN"/>
        </w:rPr>
        <w:t>0份，其中有效问卷</w:t>
      </w:r>
      <w:r>
        <w:rPr>
          <w:rFonts w:hint="eastAsia" w:cs="宋体"/>
          <w:sz w:val="24"/>
          <w:szCs w:val="24"/>
          <w:highlight w:val="none"/>
          <w:lang w:val="en-US" w:eastAsia="zh-CN"/>
        </w:rPr>
        <w:t>2</w:t>
      </w:r>
      <w:r>
        <w:rPr>
          <w:rFonts w:hint="eastAsia" w:ascii="宋体" w:hAnsi="宋体" w:eastAsia="宋体" w:cs="宋体"/>
          <w:sz w:val="24"/>
          <w:szCs w:val="24"/>
          <w:highlight w:val="none"/>
          <w:lang w:val="en-US" w:eastAsia="zh-CN"/>
        </w:rPr>
        <w:t>0份，有效问卷回收率为100%。</w:t>
      </w:r>
    </w:p>
    <w:p w14:paraId="21C23FE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6.问卷调查分析结果</w:t>
      </w:r>
    </w:p>
    <w:p w14:paraId="27C3BE8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本次</w:t>
      </w:r>
      <w:r>
        <w:rPr>
          <w:rFonts w:hint="eastAsia" w:cs="宋体"/>
          <w:sz w:val="24"/>
          <w:szCs w:val="24"/>
          <w:highlight w:val="none"/>
          <w:lang w:val="en-US" w:eastAsia="zh-CN"/>
        </w:rPr>
        <w:t>调查</w:t>
      </w:r>
      <w:r>
        <w:rPr>
          <w:rFonts w:hint="eastAsia" w:ascii="宋体" w:hAnsi="宋体" w:eastAsia="宋体" w:cs="宋体"/>
          <w:sz w:val="24"/>
          <w:szCs w:val="24"/>
          <w:highlight w:val="none"/>
          <w:lang w:val="en-US" w:eastAsia="zh-CN"/>
        </w:rPr>
        <w:t>过程中，评价小组实际发放问卷</w:t>
      </w:r>
      <w:r>
        <w:rPr>
          <w:rFonts w:hint="eastAsia" w:cs="宋体"/>
          <w:sz w:val="24"/>
          <w:szCs w:val="24"/>
          <w:highlight w:val="none"/>
          <w:lang w:val="en-US" w:eastAsia="zh-CN"/>
        </w:rPr>
        <w:t>20</w:t>
      </w:r>
      <w:r>
        <w:rPr>
          <w:rFonts w:hint="eastAsia" w:ascii="宋体" w:hAnsi="宋体" w:eastAsia="宋体" w:cs="宋体"/>
          <w:sz w:val="24"/>
          <w:szCs w:val="24"/>
          <w:highlight w:val="none"/>
          <w:lang w:val="en-US" w:eastAsia="zh-CN"/>
        </w:rPr>
        <w:t>份，回收问卷</w:t>
      </w:r>
      <w:r>
        <w:rPr>
          <w:rFonts w:hint="eastAsia" w:cs="宋体"/>
          <w:sz w:val="24"/>
          <w:szCs w:val="24"/>
          <w:highlight w:val="none"/>
          <w:lang w:val="en-US" w:eastAsia="zh-CN"/>
        </w:rPr>
        <w:t>20</w:t>
      </w:r>
      <w:r>
        <w:rPr>
          <w:rFonts w:hint="eastAsia" w:ascii="宋体" w:hAnsi="宋体" w:eastAsia="宋体" w:cs="宋体"/>
          <w:sz w:val="24"/>
          <w:szCs w:val="24"/>
          <w:highlight w:val="none"/>
          <w:lang w:val="en-US" w:eastAsia="zh-CN"/>
        </w:rPr>
        <w:t>份，问卷回收率为</w:t>
      </w:r>
      <w:r>
        <w:rPr>
          <w:rFonts w:hint="eastAsia" w:cs="宋体"/>
          <w:sz w:val="24"/>
          <w:szCs w:val="24"/>
          <w:highlight w:val="none"/>
          <w:lang w:val="en-US" w:eastAsia="zh-CN"/>
        </w:rPr>
        <w:t>100</w:t>
      </w:r>
      <w:r>
        <w:rPr>
          <w:rFonts w:hint="eastAsia" w:ascii="宋体" w:hAnsi="宋体" w:eastAsia="宋体" w:cs="宋体"/>
          <w:sz w:val="24"/>
          <w:szCs w:val="24"/>
          <w:highlight w:val="none"/>
          <w:lang w:val="en-US" w:eastAsia="zh-CN"/>
        </w:rPr>
        <w:t>.00%，有效问卷</w:t>
      </w:r>
      <w:r>
        <w:rPr>
          <w:rFonts w:hint="eastAsia" w:cs="宋体"/>
          <w:sz w:val="24"/>
          <w:szCs w:val="24"/>
          <w:highlight w:val="none"/>
          <w:lang w:val="en-US" w:eastAsia="zh-CN"/>
        </w:rPr>
        <w:t>2</w:t>
      </w:r>
      <w:r>
        <w:rPr>
          <w:rFonts w:hint="eastAsia" w:ascii="宋体" w:hAnsi="宋体" w:eastAsia="宋体" w:cs="宋体"/>
          <w:sz w:val="24"/>
          <w:szCs w:val="24"/>
          <w:highlight w:val="none"/>
          <w:lang w:val="en-US" w:eastAsia="zh-CN"/>
        </w:rPr>
        <w:t>0份，有效回收率100.00%，本次</w:t>
      </w:r>
      <w:r>
        <w:rPr>
          <w:rFonts w:hint="eastAsia" w:cs="宋体"/>
          <w:sz w:val="24"/>
          <w:szCs w:val="24"/>
          <w:highlight w:val="none"/>
          <w:lang w:val="en-US" w:eastAsia="zh-CN"/>
        </w:rPr>
        <w:t>调查</w:t>
      </w:r>
      <w:r>
        <w:rPr>
          <w:rFonts w:hint="eastAsia" w:ascii="宋体" w:hAnsi="宋体" w:eastAsia="宋体" w:cs="宋体"/>
          <w:sz w:val="24"/>
          <w:szCs w:val="24"/>
          <w:highlight w:val="none"/>
          <w:lang w:val="en-US" w:eastAsia="zh-CN"/>
        </w:rPr>
        <w:t>的整体情况如下：</w:t>
      </w:r>
    </w:p>
    <w:p w14:paraId="4A1BE15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第一个问题：该项统计有效问卷数量</w:t>
      </w:r>
      <w:r>
        <w:rPr>
          <w:rFonts w:hint="eastAsia" w:cs="宋体"/>
          <w:sz w:val="24"/>
          <w:szCs w:val="24"/>
          <w:highlight w:val="none"/>
          <w:lang w:val="en-US" w:eastAsia="zh-CN"/>
        </w:rPr>
        <w:t>20</w:t>
      </w:r>
      <w:r>
        <w:rPr>
          <w:rFonts w:hint="eastAsia" w:ascii="宋体" w:hAnsi="宋体" w:eastAsia="宋体" w:cs="宋体"/>
          <w:sz w:val="24"/>
          <w:szCs w:val="24"/>
          <w:highlight w:val="none"/>
          <w:lang w:val="en-US" w:eastAsia="zh-CN"/>
        </w:rPr>
        <w:t>份，选择非常满意的人数为</w:t>
      </w:r>
      <w:r>
        <w:rPr>
          <w:rFonts w:hint="eastAsia" w:cs="宋体"/>
          <w:sz w:val="24"/>
          <w:szCs w:val="24"/>
          <w:highlight w:val="none"/>
          <w:lang w:val="en-US" w:eastAsia="zh-CN"/>
        </w:rPr>
        <w:t>20</w:t>
      </w:r>
      <w:r>
        <w:rPr>
          <w:rFonts w:hint="eastAsia" w:ascii="宋体" w:hAnsi="宋体" w:eastAsia="宋体" w:cs="宋体"/>
          <w:sz w:val="24"/>
          <w:szCs w:val="24"/>
          <w:highlight w:val="none"/>
          <w:lang w:val="en-US" w:eastAsia="zh-CN"/>
        </w:rPr>
        <w:t>人。选择比较满意的人数为0人，选择一般的人数0人，选择不满意的人数0人，选择非常不满意的人数0人。</w:t>
      </w:r>
    </w:p>
    <w:p w14:paraId="75F1992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第二个问题：该项统计有效问卷数量</w:t>
      </w:r>
      <w:r>
        <w:rPr>
          <w:rFonts w:hint="eastAsia" w:cs="宋体"/>
          <w:sz w:val="24"/>
          <w:szCs w:val="24"/>
          <w:highlight w:val="none"/>
          <w:lang w:val="en-US" w:eastAsia="zh-CN"/>
        </w:rPr>
        <w:t>20</w:t>
      </w:r>
      <w:r>
        <w:rPr>
          <w:rFonts w:hint="eastAsia" w:ascii="宋体" w:hAnsi="宋体" w:eastAsia="宋体" w:cs="宋体"/>
          <w:sz w:val="24"/>
          <w:szCs w:val="24"/>
          <w:highlight w:val="none"/>
          <w:lang w:val="en-US" w:eastAsia="zh-CN"/>
        </w:rPr>
        <w:t>份，选择非常满意的人数为</w:t>
      </w:r>
      <w:r>
        <w:rPr>
          <w:rFonts w:hint="eastAsia" w:cs="宋体"/>
          <w:sz w:val="24"/>
          <w:szCs w:val="24"/>
          <w:highlight w:val="none"/>
          <w:lang w:val="en-US" w:eastAsia="zh-CN"/>
        </w:rPr>
        <w:t>20</w:t>
      </w:r>
      <w:r>
        <w:rPr>
          <w:rFonts w:hint="eastAsia" w:ascii="宋体" w:hAnsi="宋体" w:eastAsia="宋体" w:cs="宋体"/>
          <w:sz w:val="24"/>
          <w:szCs w:val="24"/>
          <w:highlight w:val="none"/>
          <w:lang w:val="en-US" w:eastAsia="zh-CN"/>
        </w:rPr>
        <w:t>人。选择比较满意的人数为0人，选择一般的人数0人，选择不满意的人数0人，选择非常不满意的人数0人。</w:t>
      </w:r>
    </w:p>
    <w:p w14:paraId="2D4CDFB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第三个问题：该项统计有效问卷数量</w:t>
      </w:r>
      <w:r>
        <w:rPr>
          <w:rFonts w:hint="eastAsia" w:cs="宋体"/>
          <w:sz w:val="24"/>
          <w:szCs w:val="24"/>
          <w:highlight w:val="none"/>
          <w:lang w:val="en-US" w:eastAsia="zh-CN"/>
        </w:rPr>
        <w:t>20</w:t>
      </w:r>
      <w:r>
        <w:rPr>
          <w:rFonts w:hint="eastAsia" w:ascii="宋体" w:hAnsi="宋体" w:eastAsia="宋体" w:cs="宋体"/>
          <w:sz w:val="24"/>
          <w:szCs w:val="24"/>
          <w:highlight w:val="none"/>
          <w:lang w:val="en-US" w:eastAsia="zh-CN"/>
        </w:rPr>
        <w:t>份，选择非常满意的人数为</w:t>
      </w:r>
      <w:r>
        <w:rPr>
          <w:rFonts w:hint="eastAsia" w:cs="宋体"/>
          <w:sz w:val="24"/>
          <w:szCs w:val="24"/>
          <w:highlight w:val="none"/>
          <w:lang w:val="en-US" w:eastAsia="zh-CN"/>
        </w:rPr>
        <w:t>20</w:t>
      </w:r>
      <w:r>
        <w:rPr>
          <w:rFonts w:hint="eastAsia" w:ascii="宋体" w:hAnsi="宋体" w:eastAsia="宋体" w:cs="宋体"/>
          <w:sz w:val="24"/>
          <w:szCs w:val="24"/>
          <w:highlight w:val="none"/>
          <w:lang w:val="en-US" w:eastAsia="zh-CN"/>
        </w:rPr>
        <w:t>人。选择比较满意的人数为0人，选择一般的人数0人，选择不满意的人数0人，选择非常不满意的人数0人。</w:t>
      </w:r>
    </w:p>
    <w:p w14:paraId="63EE2CC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二、调查结果统计</w:t>
      </w:r>
    </w:p>
    <w:p w14:paraId="132072B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kern w:val="0"/>
          <w:sz w:val="24"/>
          <w:szCs w:val="24"/>
          <w:highlight w:val="none"/>
          <w:lang w:val="en-US" w:eastAsia="zh-CN" w:bidi="zh-CN"/>
        </w:rPr>
        <w:t>专项资金-和地财教[2023]73号：2024年新疆西藏等地区教育特殊补助资金-学前三年免费保障经费-公用经费、伙食费-洛财教【2024】22号</w:t>
      </w:r>
      <w:r>
        <w:rPr>
          <w:rFonts w:hint="eastAsia" w:ascii="宋体" w:hAnsi="宋体" w:eastAsia="宋体" w:cs="宋体"/>
          <w:sz w:val="24"/>
          <w:szCs w:val="24"/>
          <w:highlight w:val="none"/>
          <w:lang w:val="en-US" w:eastAsia="zh-CN"/>
        </w:rPr>
        <w:t>针对受益人员发放20份调查问卷，最终统计受益人群满意度为100%。</w:t>
      </w:r>
    </w:p>
    <w:p w14:paraId="0912C83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2D56D1E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洛浦县第四幼儿园</w:t>
      </w:r>
    </w:p>
    <w:p w14:paraId="6631297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2025年3月15日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977DC">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12EF7">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1"/>
      <w:numFmt w:val="decimal"/>
      <w:suff w:val="nothing"/>
      <w:lvlText w:val="（%1）"/>
      <w:lvlJc w:val="left"/>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59ADCABA"/>
    <w:multiLevelType w:val="singleLevel"/>
    <w:tmpl w:val="59ADCABA"/>
    <w:lvl w:ilvl="0" w:tentative="0">
      <w:start w:val="1"/>
      <w:numFmt w:val="decimal"/>
      <w:suff w:val="nothing"/>
      <w:lvlText w:val="%1）"/>
      <w:lvlJc w:val="left"/>
      <w:pPr>
        <w:ind w:left="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DU0YWEyOWRmMzBjYWEwOTYxNzE3MDE4OTczN2UwYTIifQ=="/>
  </w:docVars>
  <w:rsids>
    <w:rsidRoot w:val="00000000"/>
    <w:rsid w:val="568A510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font71"/>
    <w:basedOn w:val="25"/>
    <w:uiPriority w:val="0"/>
    <w:rPr>
      <w:rFonts w:hint="eastAsia" w:ascii="微软雅黑" w:hAnsi="微软雅黑" w:eastAsia="微软雅黑" w:cs="微软雅黑"/>
      <w:b/>
      <w:bCs/>
      <w:color w:val="000000"/>
      <w:sz w:val="32"/>
      <w:szCs w:val="32"/>
      <w:u w:val="none"/>
    </w:rPr>
  </w:style>
  <w:style w:type="character" w:customStyle="1" w:styleId="44">
    <w:name w:val="闻政-正文一级标题 Char"/>
    <w:link w:val="45"/>
    <w:uiPriority w:val="3"/>
    <w:rPr>
      <w:rFonts w:ascii="黑体" w:hAnsi="黑体" w:eastAsia="黑体"/>
      <w:bCs/>
      <w:sz w:val="32"/>
      <w:szCs w:val="32"/>
    </w:rPr>
  </w:style>
  <w:style w:type="paragraph" w:customStyle="1" w:styleId="45">
    <w:name w:val="闻政-正文一级标题"/>
    <w:basedOn w:val="6"/>
    <w:next w:val="46"/>
    <w:link w:val="44"/>
    <w:qFormat/>
    <w:uiPriority w:val="3"/>
    <w:pPr>
      <w:spacing w:before="120" w:after="60" w:line="500" w:lineRule="exact"/>
      <w:ind w:firstLine="0" w:firstLineChars="0"/>
      <w:outlineLvl w:val="0"/>
    </w:pPr>
    <w:rPr>
      <w:rFonts w:ascii="黑体" w:hAnsi="黑体" w:eastAsia="黑体"/>
      <w:sz w:val="32"/>
    </w:rPr>
  </w:style>
  <w:style w:type="paragraph" w:customStyle="1" w:styleId="46">
    <w:name w:val="闻政-正文段落文字"/>
    <w:basedOn w:val="1"/>
    <w:link w:val="47"/>
    <w:qFormat/>
    <w:uiPriority w:val="3"/>
    <w:pPr>
      <w:spacing w:line="500" w:lineRule="exact"/>
      <w:ind w:firstLine="200"/>
    </w:pPr>
    <w:rPr>
      <w:rFonts w:ascii="Times New Roman" w:hAnsi="Times New Roman" w:cs="Times New Roman"/>
      <w:kern w:val="0"/>
      <w:szCs w:val="28"/>
    </w:rPr>
  </w:style>
  <w:style w:type="character" w:customStyle="1" w:styleId="47">
    <w:name w:val="闻政-正文段落文字 Char"/>
    <w:link w:val="46"/>
    <w:uiPriority w:val="3"/>
    <w:rPr>
      <w:rFonts w:ascii="Times New Roman" w:hAnsi="Times New Roman" w:eastAsia="仿宋_GB2312"/>
      <w:sz w:val="28"/>
      <w:szCs w:val="28"/>
    </w:rPr>
  </w:style>
  <w:style w:type="character" w:customStyle="1" w:styleId="48">
    <w:name w:val="闻政-正文二级标题 Char"/>
    <w:link w:val="49"/>
    <w:uiPriority w:val="3"/>
    <w:rPr>
      <w:rFonts w:ascii="Times New Roman" w:hAnsi="Times New Roman" w:eastAsia="仿宋_GB2312"/>
      <w:b/>
      <w:bCs/>
      <w:sz w:val="28"/>
      <w:szCs w:val="32"/>
    </w:rPr>
  </w:style>
  <w:style w:type="paragraph" w:customStyle="1" w:styleId="49">
    <w:name w:val="闻政-正文二级标题"/>
    <w:basedOn w:val="5"/>
    <w:next w:val="46"/>
    <w:link w:val="48"/>
    <w:qFormat/>
    <w:uiPriority w:val="3"/>
    <w:pPr>
      <w:spacing w:before="120" w:after="60" w:line="500" w:lineRule="exact"/>
      <w:ind w:left="200" w:leftChars="200" w:firstLine="0" w:firstLineChars="0"/>
    </w:pPr>
    <w:rPr>
      <w:rFonts w:ascii="Times New Roman" w:hAnsi="Times New Roman"/>
      <w:sz w:val="28"/>
    </w:rPr>
  </w:style>
  <w:style w:type="character" w:customStyle="1" w:styleId="50">
    <w:name w:val="50"/>
    <w:qFormat/>
    <w:uiPriority w:val="0"/>
    <w:rPr>
      <w:b/>
      <w:bCs/>
      <w:smallCaps/>
      <w:color w:val="C0504D"/>
      <w:spacing w:val="5"/>
      <w:u w:val="single"/>
    </w:rPr>
  </w:style>
  <w:style w:type="character" w:customStyle="1" w:styleId="51">
    <w:name w:val="无间隔 Char"/>
    <w:link w:val="52"/>
    <w:uiPriority w:val="1"/>
    <w:rPr>
      <w:rFonts w:eastAsia="仿宋_GB2312" w:cs="黑体"/>
      <w:kern w:val="2"/>
      <w:sz w:val="28"/>
      <w:szCs w:val="22"/>
      <w:lang w:val="en-US" w:eastAsia="zh-CN" w:bidi="ar-SA"/>
    </w:rPr>
  </w:style>
  <w:style w:type="paragraph" w:styleId="52">
    <w:name w:val="No Spacing"/>
    <w:link w:val="51"/>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闻政-正文三级标题 Char"/>
    <w:link w:val="55"/>
    <w:uiPriority w:val="3"/>
    <w:rPr>
      <w:rFonts w:ascii="Times New Roman" w:hAnsi="Times New Roman" w:eastAsia="仿宋_GB2312"/>
      <w:b/>
      <w:snapToGrid w:val="0"/>
      <w:sz w:val="28"/>
      <w:szCs w:val="28"/>
    </w:rPr>
  </w:style>
  <w:style w:type="paragraph" w:customStyle="1" w:styleId="55">
    <w:name w:val="闻政-正文三级标题"/>
    <w:basedOn w:val="1"/>
    <w:next w:val="46"/>
    <w:link w:val="54"/>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6">
    <w:name w:val="font11"/>
    <w:uiPriority w:val="0"/>
    <w:rPr>
      <w:rFonts w:hint="eastAsia" w:ascii="方正仿宋_GBK" w:hAnsi="方正仿宋_GBK" w:eastAsia="方正仿宋_GBK" w:cs="方正仿宋_GBK"/>
      <w:color w:val="000000"/>
      <w:sz w:val="24"/>
      <w:szCs w:val="24"/>
      <w:u w:val="none"/>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EA82F584731540FB8BC6D854542EABF5_13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8a52cd2-b8f3-4d5d-9d0d-41b3e559689e}">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27</Pages>
  <Words>10787</Words>
  <Characters>11367</Characters>
  <Lines>44</Lines>
  <Paragraphs>12</Paragraphs>
  <TotalTime>16</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2025-10-10T07:47:28Z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EA82F584731540FB8BC6D854542EABF5_13</vt:lpwstr>
  </property>
  <property fmtid="{D5CDD505-2E9C-101B-9397-08002B2CF9AE}" pid="4" name="KSOTemplateDocerSaveRecord">
    <vt:lpwstr>eyJoZGlkIjoiZDE5MGZhMTJhZDM2OTQwYzkzYWVjM2FhZDUxN2Q0M2IiLCJ1c2VySWQiOiI2NTE5NDIwMjYifQ_x003D__x003D_</vt:lpwstr>
  </property>
</Properties>
</file>