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C1358">
      <w:bookmarkStart w:id="20" w:name="_GoBack"/>
      <w:bookmarkEnd w:id="20"/>
    </w:p>
    <w:p w14:paraId="0466FFE5">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072EFFCA">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和田地区2024年新疆西藏等地区教育特殊补助资金-</w:t>
      </w:r>
    </w:p>
    <w:p w14:paraId="480EBD3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rPr>
      </w:pPr>
      <w:r>
        <w:rPr>
          <w:rFonts w:hint="eastAsia" w:ascii="黑体" w:hAnsi="黑体" w:eastAsia="黑体" w:cs="黑体"/>
          <w:b/>
          <w:sz w:val="36"/>
          <w:szCs w:val="36"/>
          <w:lang w:val="en-US" w:eastAsia="zh-CN"/>
        </w:rPr>
        <w:t>学前三年免费保障经费</w:t>
      </w:r>
      <w:r>
        <w:rPr>
          <w:rFonts w:hint="eastAsia" w:ascii="黑体" w:hAnsi="黑体" w:eastAsia="黑体" w:cs="黑体"/>
          <w:b/>
          <w:sz w:val="36"/>
          <w:szCs w:val="36"/>
        </w:rPr>
        <w:t>支出绩效评价报告</w:t>
      </w:r>
    </w:p>
    <w:p w14:paraId="223A449E">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kern w:val="2"/>
          <w:sz w:val="36"/>
          <w:szCs w:val="36"/>
          <w:lang w:val="en-US" w:eastAsia="zh-CN" w:bidi="ar-SA"/>
        </w:rPr>
      </w:pPr>
    </w:p>
    <w:p w14:paraId="57093EB4">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kern w:val="2"/>
          <w:sz w:val="36"/>
          <w:szCs w:val="36"/>
          <w:lang w:val="en-US" w:eastAsia="zh-CN" w:bidi="ar-SA"/>
        </w:rPr>
      </w:pPr>
      <w:r>
        <w:rPr>
          <w:rFonts w:hint="eastAsia" w:ascii="黑体" w:hAnsi="黑体" w:eastAsia="黑体" w:cs="黑体"/>
          <w:b w:val="0"/>
          <w:bCs/>
          <w:kern w:val="2"/>
          <w:sz w:val="36"/>
          <w:szCs w:val="36"/>
          <w:lang w:val="en-US" w:eastAsia="zh-CN" w:bidi="ar-SA"/>
        </w:rPr>
        <w:t>（2024年度）</w:t>
      </w:r>
    </w:p>
    <w:p w14:paraId="66E9501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57EC161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0CDFC88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38076A7A">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017F376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6FEAD8A8">
      <w:pPr>
        <w:pageBreakBefore w:val="0"/>
        <w:widowControl w:val="0"/>
        <w:kinsoku/>
        <w:wordWrap/>
        <w:topLinePunct w:val="0"/>
        <w:autoSpaceDE/>
        <w:autoSpaceDN/>
        <w:bidi w:val="0"/>
        <w:spacing w:line="560" w:lineRule="exact"/>
        <w:ind w:left="0" w:leftChars="0" w:firstLine="0" w:firstLineChars="0"/>
        <w:jc w:val="left"/>
        <w:textAlignment w:val="auto"/>
        <w:rPr>
          <w:rFonts w:hint="eastAsia" w:ascii="宋体" w:hAnsi="宋体" w:eastAsia="宋体" w:cs="宋体"/>
          <w:kern w:val="0"/>
          <w:sz w:val="28"/>
          <w:szCs w:val="28"/>
          <w:lang w:bidi="en-US"/>
        </w:rPr>
      </w:pPr>
    </w:p>
    <w:p w14:paraId="05C44F88">
      <w:pPr>
        <w:pageBreakBefore w:val="0"/>
        <w:widowControl w:val="0"/>
        <w:kinsoku/>
        <w:wordWrap/>
        <w:topLinePunct w:val="0"/>
        <w:autoSpaceDE/>
        <w:autoSpaceDN/>
        <w:bidi w:val="0"/>
        <w:spacing w:line="560" w:lineRule="exact"/>
        <w:ind w:left="0" w:leftChars="0" w:firstLine="960" w:firstLineChars="400"/>
        <w:jc w:val="left"/>
        <w:textAlignment w:val="auto"/>
        <w:rPr>
          <w:rFonts w:hint="eastAsia" w:ascii="宋体" w:hAnsi="宋体" w:eastAsia="宋体" w:cs="宋体"/>
          <w:b w:val="0"/>
          <w:bCs w:val="0"/>
          <w:color w:val="auto"/>
          <w:kern w:val="0"/>
          <w:sz w:val="24"/>
          <w:szCs w:val="24"/>
          <w:lang w:bidi="en-US"/>
        </w:rPr>
      </w:pPr>
      <w:r>
        <w:rPr>
          <w:rFonts w:hint="eastAsia" w:ascii="宋体" w:hAnsi="宋体" w:eastAsia="宋体" w:cs="宋体"/>
          <w:b w:val="0"/>
          <w:bCs w:val="0"/>
          <w:color w:val="auto"/>
          <w:kern w:val="0"/>
          <w:sz w:val="24"/>
          <w:szCs w:val="24"/>
          <w:lang w:bidi="en-US"/>
        </w:rPr>
        <w:t>项目名称：2024年新疆西藏等地区教育特殊补助资金-</w:t>
      </w:r>
    </w:p>
    <w:p w14:paraId="5E4801BE">
      <w:pPr>
        <w:pageBreakBefore w:val="0"/>
        <w:widowControl w:val="0"/>
        <w:kinsoku/>
        <w:wordWrap/>
        <w:topLinePunct w:val="0"/>
        <w:autoSpaceDE/>
        <w:autoSpaceDN/>
        <w:bidi w:val="0"/>
        <w:spacing w:line="560" w:lineRule="exact"/>
        <w:ind w:left="0" w:leftChars="0" w:firstLine="2160" w:firstLineChars="900"/>
        <w:jc w:val="left"/>
        <w:textAlignment w:val="auto"/>
        <w:rPr>
          <w:rFonts w:hint="eastAsia" w:ascii="宋体" w:hAnsi="宋体" w:eastAsia="宋体" w:cs="宋体"/>
          <w:b w:val="0"/>
          <w:bCs w:val="0"/>
          <w:color w:val="auto"/>
          <w:kern w:val="0"/>
          <w:sz w:val="24"/>
          <w:szCs w:val="24"/>
          <w:lang w:bidi="en-US"/>
        </w:rPr>
      </w:pPr>
      <w:r>
        <w:rPr>
          <w:rFonts w:hint="eastAsia" w:ascii="宋体" w:hAnsi="宋体" w:eastAsia="宋体" w:cs="宋体"/>
          <w:b w:val="0"/>
          <w:bCs w:val="0"/>
          <w:color w:val="auto"/>
          <w:kern w:val="0"/>
          <w:sz w:val="24"/>
          <w:szCs w:val="24"/>
          <w:lang w:bidi="en-US"/>
        </w:rPr>
        <w:t>学前三年免费保障经费</w:t>
      </w:r>
    </w:p>
    <w:p w14:paraId="39BF4D43">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val="en-US" w:eastAsia="zh-CN" w:bidi="en-US"/>
        </w:rPr>
      </w:pPr>
      <w:r>
        <w:rPr>
          <w:rFonts w:hint="eastAsia" w:ascii="宋体" w:hAnsi="宋体" w:eastAsia="宋体" w:cs="宋体"/>
          <w:b w:val="0"/>
          <w:bCs w:val="0"/>
          <w:color w:val="auto"/>
          <w:kern w:val="0"/>
          <w:sz w:val="24"/>
          <w:szCs w:val="24"/>
          <w:lang w:bidi="en-US"/>
        </w:rPr>
        <w:t>项目单位：</w:t>
      </w:r>
      <w:r>
        <w:rPr>
          <w:rFonts w:hint="eastAsia" w:ascii="宋体" w:hAnsi="宋体" w:eastAsia="宋体" w:cs="宋体"/>
          <w:b w:val="0"/>
          <w:bCs w:val="0"/>
          <w:color w:val="auto"/>
          <w:kern w:val="0"/>
          <w:sz w:val="24"/>
          <w:szCs w:val="24"/>
          <w:lang w:val="en-US" w:eastAsia="zh-CN" w:bidi="en-US"/>
        </w:rPr>
        <w:t>洛浦县第一幼儿园</w:t>
      </w:r>
    </w:p>
    <w:p w14:paraId="44B6484C">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val="en-US" w:eastAsia="zh-CN" w:bidi="en-US"/>
        </w:rPr>
      </w:pPr>
      <w:r>
        <w:rPr>
          <w:rFonts w:hint="eastAsia" w:ascii="宋体" w:hAnsi="宋体" w:eastAsia="宋体" w:cs="宋体"/>
          <w:b w:val="0"/>
          <w:bCs w:val="0"/>
          <w:color w:val="auto"/>
          <w:kern w:val="0"/>
          <w:sz w:val="24"/>
          <w:szCs w:val="24"/>
          <w:lang w:bidi="en-US"/>
        </w:rPr>
        <w:t>主管部门：</w:t>
      </w:r>
      <w:r>
        <w:rPr>
          <w:rFonts w:hint="eastAsia" w:ascii="宋体" w:hAnsi="宋体" w:eastAsia="宋体" w:cs="宋体"/>
          <w:b w:val="0"/>
          <w:bCs w:val="0"/>
          <w:color w:val="auto"/>
          <w:kern w:val="0"/>
          <w:sz w:val="24"/>
          <w:szCs w:val="24"/>
          <w:lang w:val="en-US" w:eastAsia="zh-CN" w:bidi="en-US"/>
        </w:rPr>
        <w:t>洛浦县教育局</w:t>
      </w:r>
    </w:p>
    <w:p w14:paraId="501EC37D">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val="en-US" w:eastAsia="zh-CN" w:bidi="en-US"/>
        </w:rPr>
      </w:pPr>
      <w:r>
        <w:rPr>
          <w:rFonts w:hint="eastAsia" w:ascii="宋体" w:hAnsi="宋体" w:eastAsia="宋体" w:cs="宋体"/>
          <w:b w:val="0"/>
          <w:bCs w:val="0"/>
          <w:color w:val="auto"/>
          <w:kern w:val="0"/>
          <w:sz w:val="24"/>
          <w:szCs w:val="24"/>
          <w:lang w:bidi="en-US"/>
        </w:rPr>
        <w:t>项目负责人：</w:t>
      </w:r>
      <w:r>
        <w:rPr>
          <w:rFonts w:hint="eastAsia" w:ascii="宋体" w:hAnsi="宋体" w:eastAsia="宋体" w:cs="宋体"/>
          <w:b w:val="0"/>
          <w:bCs w:val="0"/>
          <w:color w:val="auto"/>
          <w:kern w:val="0"/>
          <w:sz w:val="24"/>
          <w:szCs w:val="24"/>
          <w:lang w:val="en-US" w:eastAsia="zh-CN" w:bidi="en-US"/>
        </w:rPr>
        <w:t>丁晓晖</w:t>
      </w:r>
    </w:p>
    <w:p w14:paraId="67692135">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黑体" w:hAnsi="黑体" w:eastAsia="黑体" w:cs="黑体"/>
          <w:sz w:val="24"/>
          <w:szCs w:val="24"/>
          <w:lang w:val="en-US" w:eastAsia="zh-CN"/>
        </w:rPr>
      </w:pPr>
      <w:r>
        <w:rPr>
          <w:rFonts w:hint="eastAsia" w:ascii="宋体" w:hAnsi="宋体" w:eastAsia="宋体" w:cs="宋体"/>
          <w:b w:val="0"/>
          <w:bCs w:val="0"/>
          <w:color w:val="auto"/>
          <w:kern w:val="0"/>
          <w:sz w:val="24"/>
          <w:szCs w:val="24"/>
          <w:lang w:bidi="en-US"/>
        </w:rPr>
        <w:t>填报时间：</w:t>
      </w:r>
      <w:r>
        <w:rPr>
          <w:rFonts w:hint="eastAsia" w:ascii="宋体" w:hAnsi="宋体" w:eastAsia="宋体" w:cs="宋体"/>
          <w:b w:val="0"/>
          <w:bCs w:val="0"/>
          <w:color w:val="auto"/>
          <w:kern w:val="0"/>
          <w:sz w:val="24"/>
          <w:szCs w:val="24"/>
          <w:lang w:val="en-US" w:eastAsia="zh-CN" w:bidi="en-US"/>
        </w:rPr>
        <w:t>2025</w:t>
      </w:r>
      <w:r>
        <w:rPr>
          <w:rFonts w:hint="eastAsia" w:ascii="宋体" w:hAnsi="宋体" w:eastAsia="宋体" w:cs="宋体"/>
          <w:b w:val="0"/>
          <w:bCs w:val="0"/>
          <w:color w:val="auto"/>
          <w:kern w:val="0"/>
          <w:sz w:val="24"/>
          <w:szCs w:val="24"/>
          <w:lang w:bidi="en-US"/>
        </w:rPr>
        <w:t>年</w:t>
      </w:r>
      <w:r>
        <w:rPr>
          <w:rFonts w:hint="eastAsia" w:ascii="宋体" w:hAnsi="宋体" w:eastAsia="宋体" w:cs="宋体"/>
          <w:b w:val="0"/>
          <w:bCs w:val="0"/>
          <w:color w:val="auto"/>
          <w:kern w:val="0"/>
          <w:sz w:val="24"/>
          <w:szCs w:val="24"/>
          <w:lang w:val="en-US" w:eastAsia="zh-CN" w:bidi="en-US"/>
        </w:rPr>
        <w:t>3</w:t>
      </w:r>
      <w:r>
        <w:rPr>
          <w:rFonts w:hint="eastAsia" w:ascii="宋体" w:hAnsi="宋体" w:eastAsia="宋体" w:cs="宋体"/>
          <w:b w:val="0"/>
          <w:bCs w:val="0"/>
          <w:color w:val="auto"/>
          <w:kern w:val="0"/>
          <w:sz w:val="24"/>
          <w:szCs w:val="24"/>
          <w:lang w:bidi="en-US"/>
        </w:rPr>
        <w:t>月</w:t>
      </w:r>
      <w:r>
        <w:rPr>
          <w:rFonts w:hint="eastAsia" w:ascii="宋体" w:hAnsi="宋体" w:eastAsia="宋体" w:cs="宋体"/>
          <w:b w:val="0"/>
          <w:bCs w:val="0"/>
          <w:color w:val="auto"/>
          <w:kern w:val="0"/>
          <w:sz w:val="24"/>
          <w:szCs w:val="24"/>
          <w:lang w:val="en-US" w:eastAsia="zh-CN" w:bidi="en-US"/>
        </w:rPr>
        <w:t>31</w:t>
      </w:r>
      <w:r>
        <w:rPr>
          <w:rFonts w:hint="eastAsia" w:ascii="宋体" w:hAnsi="宋体" w:eastAsia="宋体" w:cs="宋体"/>
          <w:b w:val="0"/>
          <w:bCs w:val="0"/>
          <w:color w:val="auto"/>
          <w:kern w:val="0"/>
          <w:sz w:val="24"/>
          <w:szCs w:val="24"/>
          <w:lang w:bidi="en-US"/>
        </w:rPr>
        <w:t>日</w:t>
      </w:r>
      <w:bookmarkStart w:id="0" w:name="_Toc68364657"/>
    </w:p>
    <w:p w14:paraId="72E6D1F1">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lang w:val="en-US" w:eastAsia="zh-CN"/>
        </w:rPr>
      </w:pPr>
    </w:p>
    <w:p w14:paraId="3F275B9C">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lang w:val="en-US" w:eastAsia="zh-CN"/>
        </w:rPr>
      </w:pPr>
    </w:p>
    <w:p w14:paraId="381BBE92">
      <w:pPr>
        <w:pStyle w:val="2"/>
        <w:rPr>
          <w:rFonts w:hint="eastAsia"/>
          <w:lang w:val="en-US" w:eastAsia="zh-CN"/>
        </w:rPr>
      </w:pPr>
    </w:p>
    <w:p w14:paraId="1352069C">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2461CA7A">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3979A2A5">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3D1382D4">
      <w:pPr>
        <w:pStyle w:val="58"/>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根据党的教育方针及教学大纲，组织三年制全日制初中教学，通过实施素质教育，为小学输送合格的毕业生，为社会培养合格接班人，在上级主管部门的领导下，加强对全校师生的管理和教育，加强政治思想、道德素养、法制观念、爱国主义、集体主义，无神论的教育，培养德、智、体、美、劳全面发展，招收适龄儿童，安排班级，组织教学；执行上级教育部门有关教育教学工作的安排布置，计划、办法和措施；在当地党政部门的指导下，做好当地幼儿教育。</w:t>
      </w:r>
    </w:p>
    <w:p w14:paraId="2B66DB5C">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主要内容及实施情况</w:t>
      </w:r>
    </w:p>
    <w:p w14:paraId="644917E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7D2B5BB5">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为保障幼儿园日常工作正常运行，本项目正常性项目，资金总额为181.39万元，将在2024年12月之前完成。通过实施本项目可以有效提高幼儿园工作效率。保障幼儿园日常工作正常运行</w:t>
      </w:r>
    </w:p>
    <w:p w14:paraId="7F95D3F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3.实施情况</w:t>
      </w:r>
    </w:p>
    <w:p w14:paraId="0D79C83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54F788F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sz w:val="24"/>
          <w:szCs w:val="24"/>
          <w:lang w:val="en-US" w:eastAsia="zh-CN"/>
        </w:rPr>
        <w:t>本项目主管部门为洛浦县教</w:t>
      </w:r>
      <w:r>
        <w:rPr>
          <w:rFonts w:hint="eastAsia" w:ascii="宋体" w:hAnsi="宋体" w:eastAsia="宋体" w:cs="宋体"/>
          <w:b w:val="0"/>
          <w:bCs w:val="0"/>
          <w:color w:val="auto"/>
          <w:sz w:val="24"/>
          <w:szCs w:val="24"/>
          <w:lang w:val="en-US" w:eastAsia="zh-CN"/>
        </w:rPr>
        <w:t>育局，实施单位为洛浦县第一幼儿园。</w:t>
      </w:r>
    </w:p>
    <w:p w14:paraId="6A2B51D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12289E1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（3）项目实施情况</w:t>
      </w:r>
    </w:p>
    <w:p w14:paraId="4E75C75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截止到2024年12月31日，我单位已完成学前教育保障经费受益学生数量695人。资金总额为178.54万元，已在2024年12月之前完成。通过实施本项目有效改善教育教学质量。保障幼儿园日常工作正常运行。</w:t>
      </w:r>
    </w:p>
    <w:p w14:paraId="39DEA19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 资金投入和使用情况</w:t>
      </w:r>
    </w:p>
    <w:p w14:paraId="489F6B8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6FF9EC1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181.39</w:t>
      </w:r>
      <w:r>
        <w:rPr>
          <w:rFonts w:hint="eastAsia" w:ascii="宋体" w:hAnsi="宋体" w:eastAsia="宋体" w:cs="宋体"/>
          <w:color w:val="auto"/>
          <w:sz w:val="24"/>
          <w:szCs w:val="24"/>
          <w:highlight w:val="none"/>
        </w:rPr>
        <w:t>万元，资金来源为部门预算自治区专项资金，其中：财政资金</w:t>
      </w:r>
      <w:r>
        <w:rPr>
          <w:rFonts w:hint="eastAsia" w:ascii="宋体" w:hAnsi="宋体" w:eastAsia="宋体" w:cs="宋体"/>
          <w:color w:val="auto"/>
          <w:sz w:val="24"/>
          <w:szCs w:val="24"/>
          <w:highlight w:val="none"/>
          <w:lang w:val="en-US" w:eastAsia="zh-CN"/>
        </w:rPr>
        <w:t>181.39</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181.39</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0E9E33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1EEA925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178.54</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98.43%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eastAsia="zh-CN"/>
        </w:rPr>
        <w:t>公用</w:t>
      </w:r>
      <w:r>
        <w:rPr>
          <w:rFonts w:hint="eastAsia" w:ascii="宋体" w:hAnsi="宋体" w:eastAsia="宋体" w:cs="宋体"/>
          <w:color w:val="auto"/>
          <w:sz w:val="24"/>
          <w:szCs w:val="24"/>
        </w:rPr>
        <w:t>经费费用</w:t>
      </w:r>
      <w:r>
        <w:rPr>
          <w:rFonts w:hint="eastAsia" w:ascii="宋体" w:hAnsi="宋体" w:eastAsia="宋体" w:cs="宋体"/>
          <w:color w:val="auto"/>
          <w:sz w:val="24"/>
          <w:szCs w:val="24"/>
          <w:lang w:val="en-US" w:eastAsia="zh-CN"/>
        </w:rPr>
        <w:t>76.45</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取暖</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8.34</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营养餐</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93.75</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p>
    <w:p w14:paraId="0A87C7E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15995EB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1C8A939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3AABCD7">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outlineLvl w:val="2"/>
        <w:rPr>
          <w:rFonts w:hint="default" w:ascii="宋体" w:hAnsi="宋体" w:eastAsia="宋体" w:cs="宋体"/>
          <w:b/>
          <w:bCs/>
          <w:sz w:val="24"/>
          <w:szCs w:val="24"/>
          <w:lang w:val="en-US"/>
        </w:rPr>
      </w:pPr>
      <w:r>
        <w:rPr>
          <w:rFonts w:hint="eastAsia" w:ascii="宋体" w:hAnsi="宋体" w:eastAsia="宋体" w:cs="宋体"/>
          <w:color w:val="auto"/>
          <w:sz w:val="24"/>
          <w:szCs w:val="24"/>
          <w:lang w:eastAsia="zh-CN"/>
        </w:rPr>
        <w:t>为保障幼儿园日常工作正常运行，本项目正常性项目，资金总额为181.39万元，将在2024年12月之前完成。通过实施本项目可以有效提高幼儿园工作效率。保障幼儿园日常工作正常运行。</w:t>
      </w:r>
    </w:p>
    <w:p w14:paraId="6D6AA0A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p>
    <w:p w14:paraId="2103143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lang w:eastAsia="zh-CN"/>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w:t>
      </w:r>
      <w:r>
        <w:rPr>
          <w:rFonts w:hint="eastAsia" w:ascii="宋体" w:hAnsi="宋体" w:eastAsia="宋体" w:cs="宋体"/>
          <w:color w:val="auto"/>
          <w:sz w:val="24"/>
          <w:szCs w:val="24"/>
        </w:rPr>
        <w:t>目标如下：</w:t>
      </w:r>
    </w:p>
    <w:p w14:paraId="75BC9BF8">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5658C7DA">
      <w:pPr>
        <w:pStyle w:val="46"/>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64D2CA9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指标1：学前教育保障经费收益学生数量，预期指标值：“=6</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人</w:t>
      </w:r>
      <w:r>
        <w:rPr>
          <w:rFonts w:hint="eastAsia" w:ascii="宋体" w:hAnsi="宋体" w:eastAsia="宋体" w:cs="宋体"/>
          <w:color w:val="auto"/>
          <w:sz w:val="24"/>
          <w:szCs w:val="24"/>
          <w:lang w:eastAsia="zh-CN"/>
        </w:rPr>
        <w:t>”；</w:t>
      </w:r>
    </w:p>
    <w:p w14:paraId="0CE174BF">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1E60D2A2">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指标1：补助</w:t>
      </w:r>
      <w:r>
        <w:rPr>
          <w:rFonts w:hint="eastAsia" w:ascii="宋体" w:hAnsi="宋体" w:eastAsia="宋体" w:cs="宋体"/>
          <w:color w:val="auto"/>
          <w:sz w:val="24"/>
          <w:szCs w:val="24"/>
          <w:lang w:val="en-US" w:eastAsia="zh-CN"/>
        </w:rPr>
        <w:t>覆盖</w:t>
      </w:r>
      <w:r>
        <w:rPr>
          <w:rFonts w:hint="eastAsia" w:ascii="宋体" w:hAnsi="宋体" w:eastAsia="宋体" w:cs="宋体"/>
          <w:color w:val="auto"/>
          <w:sz w:val="24"/>
          <w:szCs w:val="24"/>
        </w:rPr>
        <w:t>率，预期指标值：“=100%</w:t>
      </w:r>
      <w:r>
        <w:rPr>
          <w:rFonts w:hint="eastAsia" w:ascii="宋体" w:hAnsi="宋体" w:eastAsia="宋体" w:cs="宋体"/>
          <w:color w:val="auto"/>
          <w:sz w:val="24"/>
          <w:szCs w:val="24"/>
          <w:lang w:eastAsia="zh-CN"/>
        </w:rPr>
        <w:t>”；</w:t>
      </w:r>
    </w:p>
    <w:p w14:paraId="5CC86798">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指标2：补助资金发放率，预期指标值：“=100%</w:t>
      </w:r>
      <w:r>
        <w:rPr>
          <w:rFonts w:hint="eastAsia" w:ascii="宋体" w:hAnsi="宋体" w:eastAsia="宋体" w:cs="宋体"/>
          <w:color w:val="auto"/>
          <w:sz w:val="24"/>
          <w:szCs w:val="24"/>
          <w:lang w:eastAsia="zh-CN"/>
        </w:rPr>
        <w:t>”；</w:t>
      </w:r>
    </w:p>
    <w:p w14:paraId="0D22B3F3">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：补助资金</w:t>
      </w:r>
      <w:r>
        <w:rPr>
          <w:rFonts w:hint="eastAsia" w:ascii="宋体" w:hAnsi="宋体" w:eastAsia="宋体" w:cs="宋体"/>
          <w:color w:val="auto"/>
          <w:sz w:val="24"/>
          <w:szCs w:val="24"/>
          <w:lang w:val="en-US" w:eastAsia="zh-CN"/>
        </w:rPr>
        <w:t>到位率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p>
    <w:p w14:paraId="549B33D5">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4728081F">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项目</w:t>
      </w:r>
      <w:r>
        <w:rPr>
          <w:rFonts w:hint="eastAsia" w:ascii="宋体" w:hAnsi="宋体" w:eastAsia="宋体" w:cs="宋体"/>
          <w:color w:val="auto"/>
          <w:sz w:val="24"/>
          <w:szCs w:val="24"/>
          <w:lang w:val="en-US" w:eastAsia="zh-CN"/>
        </w:rPr>
        <w:t>开始</w:t>
      </w:r>
      <w:r>
        <w:rPr>
          <w:rFonts w:hint="eastAsia" w:ascii="宋体" w:hAnsi="宋体" w:eastAsia="宋体" w:cs="宋体"/>
          <w:color w:val="auto"/>
          <w:sz w:val="24"/>
          <w:szCs w:val="24"/>
        </w:rPr>
        <w:t>时间，预期指标值：“2024年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eastAsia="zh-CN"/>
        </w:rPr>
        <w:t>”；</w:t>
      </w:r>
    </w:p>
    <w:p w14:paraId="7A900CC3">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：项目结束时间，预期指标值：“2024年12月</w:t>
      </w:r>
      <w:r>
        <w:rPr>
          <w:rFonts w:hint="eastAsia" w:ascii="宋体" w:hAnsi="宋体" w:eastAsia="宋体" w:cs="宋体"/>
          <w:color w:val="auto"/>
          <w:sz w:val="24"/>
          <w:szCs w:val="24"/>
          <w:lang w:eastAsia="zh-CN"/>
        </w:rPr>
        <w:t>”；</w:t>
      </w:r>
    </w:p>
    <w:p w14:paraId="3A558872">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：资金拨付及时率，预期指标值：“=100%</w:t>
      </w:r>
      <w:r>
        <w:rPr>
          <w:rFonts w:hint="eastAsia" w:ascii="宋体" w:hAnsi="宋体" w:eastAsia="宋体" w:cs="宋体"/>
          <w:color w:val="auto"/>
          <w:sz w:val="24"/>
          <w:szCs w:val="24"/>
          <w:lang w:eastAsia="zh-CN"/>
        </w:rPr>
        <w:t>”；</w:t>
      </w:r>
    </w:p>
    <w:p w14:paraId="6E105D0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44ADED0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5508842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指标1：保障经费支出成本，预期指标值：“</w:t>
      </w:r>
      <w:r>
        <w:rPr>
          <w:rFonts w:hint="eastAsia" w:ascii="宋体" w:hAnsi="宋体" w:eastAsia="宋体" w:cs="宋体"/>
          <w:color w:val="auto"/>
          <w:sz w:val="24"/>
          <w:szCs w:val="24"/>
          <w:lang w:val="en-US" w:eastAsia="zh-CN"/>
        </w:rPr>
        <w:t>≤181.39</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p>
    <w:p w14:paraId="2DE5542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效益指标：</w:t>
      </w:r>
    </w:p>
    <w:p w14:paraId="31282C7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324E2A0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指标1：改善教育教学质量，预期指标值：“有效改善</w:t>
      </w:r>
      <w:r>
        <w:rPr>
          <w:rFonts w:hint="eastAsia" w:ascii="宋体" w:hAnsi="宋体" w:eastAsia="宋体" w:cs="宋体"/>
          <w:color w:val="auto"/>
          <w:sz w:val="24"/>
          <w:szCs w:val="24"/>
          <w:lang w:eastAsia="zh-CN"/>
        </w:rPr>
        <w:t>”；</w:t>
      </w:r>
    </w:p>
    <w:p w14:paraId="7EA7995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47A71EB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黑体" w:hAnsi="黑体" w:eastAsia="黑体" w:cs="黑体"/>
          <w:sz w:val="24"/>
          <w:szCs w:val="24"/>
        </w:rPr>
      </w:pPr>
      <w:r>
        <w:rPr>
          <w:rFonts w:hint="eastAsia" w:ascii="宋体" w:hAnsi="宋体" w:eastAsia="宋体" w:cs="宋体"/>
          <w:b w:val="0"/>
          <w:bCs w:val="0"/>
          <w:color w:val="auto"/>
          <w:sz w:val="24"/>
          <w:szCs w:val="24"/>
        </w:rPr>
        <w:t>指标1：学生满意度，预期指标值：“</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95%</w:t>
      </w:r>
      <w:r>
        <w:rPr>
          <w:rFonts w:hint="eastAsia" w:ascii="宋体" w:hAnsi="宋体" w:eastAsia="宋体" w:cs="宋体"/>
          <w:color w:val="auto"/>
          <w:sz w:val="24"/>
          <w:szCs w:val="24"/>
          <w:lang w:eastAsia="zh-CN"/>
        </w:rPr>
        <w:t>”。</w:t>
      </w:r>
    </w:p>
    <w:p w14:paraId="1898A5E2">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0021A9F6">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27AE1C8C">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2A6695CE">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7DE96BE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w:t>
      </w:r>
      <w:r>
        <w:rPr>
          <w:rFonts w:hint="eastAsia" w:ascii="宋体" w:hAnsi="宋体" w:eastAsia="宋体" w:cs="宋体"/>
          <w:color w:val="auto"/>
          <w:sz w:val="24"/>
          <w:szCs w:val="24"/>
          <w:lang w:eastAsia="zh-CN"/>
        </w:rPr>
        <w:t>2024年新疆西藏等地区教育特殊补助资金-学前三年免费保障经费</w:t>
      </w:r>
      <w:r>
        <w:rPr>
          <w:rFonts w:hint="eastAsia" w:ascii="宋体" w:hAnsi="宋体" w:eastAsia="宋体" w:cs="宋体"/>
          <w:color w:val="auto"/>
          <w:sz w:val="24"/>
          <w:szCs w:val="24"/>
        </w:rPr>
        <w:t>项目开展本次部门项目支出绩效评价工作。全面了解</w:t>
      </w:r>
      <w:r>
        <w:rPr>
          <w:rFonts w:hint="eastAsia" w:ascii="宋体" w:hAnsi="宋体" w:eastAsia="宋体" w:cs="宋体"/>
          <w:color w:val="auto"/>
          <w:sz w:val="24"/>
          <w:szCs w:val="24"/>
          <w:lang w:val="en-US" w:eastAsia="zh-CN"/>
        </w:rPr>
        <w:t>2024年新疆西藏等地区教育特殊补助资金-学前三年免费保障经费</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3610FB2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w:t>
      </w:r>
      <w:r>
        <w:rPr>
          <w:rFonts w:hint="eastAsia" w:ascii="宋体" w:hAnsi="宋体" w:eastAsia="宋体" w:cs="宋体"/>
          <w:sz w:val="24"/>
          <w:szCs w:val="24"/>
          <w:lang w:val="en-US" w:eastAsia="zh-CN"/>
        </w:rPr>
        <w:t>治区党委自治区人民政府关于全面实施预算绩效管理的实施意见》（新党发〔2018〕30号）政策文件的指示精神，有助于建立健全“花钱必问效、无效必问责”的绩效预算管理机制</w:t>
      </w:r>
    </w:p>
    <w:p w14:paraId="4703C3F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7F9F6B3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6D3D7B3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6A47622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2024年新疆西藏等地区教育特殊补助资金-学前三年免费保障经费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3366D223">
      <w:pPr>
        <w:pStyle w:val="46"/>
        <w:pageBreakBefore w:val="0"/>
        <w:widowControl w:val="0"/>
        <w:kinsoku/>
        <w:wordWrap/>
        <w:topLinePunct w:val="0"/>
        <w:autoSpaceDE/>
        <w:autoSpaceDN/>
        <w:bidi w:val="0"/>
        <w:adjustRightInd/>
        <w:snapToGrid/>
        <w:spacing w:line="360" w:lineRule="auto"/>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77C5EA2F">
      <w:pPr>
        <w:pStyle w:val="46"/>
        <w:pageBreakBefore w:val="0"/>
        <w:widowControl w:val="0"/>
        <w:kinsoku/>
        <w:wordWrap/>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w:t>
      </w:r>
      <w:r>
        <w:rPr>
          <w:rFonts w:hint="eastAsia" w:ascii="宋体" w:hAnsi="宋体" w:eastAsia="宋体" w:cs="宋体"/>
          <w:color w:val="auto"/>
          <w:sz w:val="24"/>
          <w:szCs w:val="24"/>
          <w:lang w:eastAsia="zh-CN"/>
        </w:rPr>
        <w:t>2024年新疆西藏等地区教育特殊补助资金-学前三年免费保障经费</w:t>
      </w:r>
      <w:r>
        <w:rPr>
          <w:rFonts w:hint="eastAsia" w:ascii="宋体" w:hAnsi="宋体" w:eastAsia="宋体" w:cs="宋体"/>
          <w:color w:val="auto"/>
          <w:sz w:val="24"/>
          <w:szCs w:val="24"/>
        </w:rPr>
        <w:t>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6E78D181">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36D7735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49653F70">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03C2A3FD">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58E76CA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4E3B86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1169B80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00BEB06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4AD89A0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6382F9E0">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581DE56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0C77F72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71F36511">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13993EB9">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4C78AF9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3626C4A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7F446E7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551FB3A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1EB752A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14305F4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0D9340A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5C9F8ED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6335649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008C942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14FE850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4292770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0978358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5308E31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349B4D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22DF435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7BCD0698">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w:t>
      </w:r>
      <w:r>
        <w:rPr>
          <w:rFonts w:hint="eastAsia" w:ascii="宋体" w:hAnsi="宋体" w:eastAsia="宋体" w:cs="宋体"/>
          <w:color w:val="auto"/>
          <w:sz w:val="24"/>
          <w:szCs w:val="24"/>
        </w:rPr>
        <w:t>成情况进行比较、分析、评价。本次评价主要采用了</w:t>
      </w:r>
      <w:r>
        <w:rPr>
          <w:rFonts w:hint="eastAsia" w:ascii="宋体" w:hAnsi="宋体" w:eastAsia="宋体" w:cs="宋体"/>
          <w:color w:val="auto"/>
          <w:sz w:val="24"/>
          <w:szCs w:val="24"/>
          <w:lang w:val="en-US" w:eastAsia="zh-CN"/>
        </w:rPr>
        <w:t>计划</w:t>
      </w:r>
      <w:r>
        <w:rPr>
          <w:rFonts w:hint="eastAsia" w:ascii="宋体" w:hAnsi="宋体" w:eastAsia="宋体" w:cs="宋体"/>
          <w:color w:val="auto"/>
          <w:sz w:val="24"/>
          <w:szCs w:val="24"/>
        </w:rPr>
        <w:t>标准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行业标准</w:t>
      </w:r>
      <w:r>
        <w:rPr>
          <w:rFonts w:hint="eastAsia" w:ascii="宋体" w:hAnsi="宋体" w:eastAsia="宋体" w:cs="宋体"/>
          <w:color w:val="auto"/>
          <w:sz w:val="24"/>
          <w:szCs w:val="24"/>
        </w:rPr>
        <w:t>。</w:t>
      </w:r>
    </w:p>
    <w:p w14:paraId="67C7B35C">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7" w:name="_Toc31464"/>
      <w:bookmarkStart w:id="8"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3B12DD64">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9" w:name="_Toc5633"/>
      <w:bookmarkStart w:id="10" w:name="_Toc2318"/>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9"/>
      <w:bookmarkEnd w:id="10"/>
    </w:p>
    <w:p w14:paraId="5E6D4FC8">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507AD779">
      <w:pPr>
        <w:pStyle w:val="6"/>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bookmarkStart w:id="11" w:name="_Toc68364664"/>
      <w:r>
        <w:rPr>
          <w:rFonts w:hint="eastAsia" w:ascii="宋体" w:hAnsi="宋体" w:eastAsia="宋体" w:cs="宋体"/>
          <w:sz w:val="24"/>
          <w:szCs w:val="24"/>
        </w:rPr>
        <w:t>1.前期准备</w:t>
      </w:r>
    </w:p>
    <w:p w14:paraId="54FC093C">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550A8467">
      <w:pPr>
        <w:pStyle w:val="58"/>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丁晓晖（书记 园长）（评价小组组长）：主要负责绩效评价工作职责为负责全盘工作。</w:t>
      </w:r>
    </w:p>
    <w:p w14:paraId="04C55CF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李慧（副书记）（评价小组组员）：主要负责绩效评价工作职责为为对项目实施情况进行实地调查。</w:t>
      </w:r>
    </w:p>
    <w:p w14:paraId="25DDA0D6">
      <w:pPr>
        <w:pStyle w:val="58"/>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教务主任滕建梅 、总务主任李艳华、后勤主任金菊平  、报账员田盛梅（评价小组组员）：主要负责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F88BA2B">
      <w:pPr>
        <w:pStyle w:val="6"/>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6EB56636">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24504DF2">
      <w:pPr>
        <w:pStyle w:val="6"/>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1C43FAF7">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5AB0CAFA">
      <w:pPr>
        <w:pStyle w:val="6"/>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72A323A8">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1762818D">
      <w:pPr>
        <w:pStyle w:val="6"/>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6A0039F1">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A94B1A6">
      <w:pPr>
        <w:pStyle w:val="6"/>
        <w:pageBreakBefore w:val="0"/>
        <w:widowControl w:val="0"/>
        <w:kinsoku/>
        <w:wordWrap/>
        <w:overflowPunct/>
        <w:topLinePunct w:val="0"/>
        <w:autoSpaceDE/>
        <w:autoSpaceDN/>
        <w:bidi w:val="0"/>
        <w:adjustRightInd/>
        <w:snapToGrid/>
        <w:spacing w:before="0" w:after="0" w:line="360" w:lineRule="auto"/>
        <w:ind w:left="0" w:leftChars="0" w:firstLine="562"/>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3139C66A">
      <w:pPr>
        <w:pageBreakBefore w:val="0"/>
        <w:widowControl w:val="0"/>
        <w:kinsoku/>
        <w:wordWrap/>
        <w:overflowPunct/>
        <w:topLinePunct w:val="0"/>
        <w:autoSpaceDE/>
        <w:autoSpaceDN/>
        <w:bidi w:val="0"/>
        <w:adjustRightInd/>
        <w:snapToGrid/>
        <w:spacing w:line="360" w:lineRule="auto"/>
        <w:ind w:left="0" w:leftChars="0"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62D8787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664F0FA6">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1"/>
    </w:p>
    <w:p w14:paraId="574DE98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2" w:name="_Toc68364665"/>
      <w:r>
        <w:rPr>
          <w:rFonts w:hint="eastAsia" w:ascii="宋体" w:hAnsi="宋体" w:eastAsia="宋体" w:cs="宋体"/>
          <w:color w:val="auto"/>
          <w:sz w:val="24"/>
          <w:szCs w:val="24"/>
          <w:highlight w:val="none"/>
        </w:rPr>
        <w:t>（一）综合评价情况</w:t>
      </w:r>
      <w:bookmarkEnd w:id="12"/>
    </w:p>
    <w:p w14:paraId="3BB14F19">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13" w:name="_Toc68364666"/>
      <w:r>
        <w:rPr>
          <w:rFonts w:hint="eastAsia" w:ascii="宋体" w:hAnsi="宋体" w:eastAsia="宋体" w:cs="宋体"/>
          <w:color w:val="auto"/>
          <w:sz w:val="24"/>
          <w:szCs w:val="24"/>
          <w:highlight w:val="none"/>
        </w:rPr>
        <w:t>通过实施</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产生</w:t>
      </w:r>
      <w:r>
        <w:rPr>
          <w:rFonts w:hint="eastAsia" w:ascii="宋体" w:hAnsi="宋体" w:eastAsia="宋体" w:cs="宋体"/>
          <w:color w:val="auto"/>
          <w:sz w:val="24"/>
          <w:szCs w:val="24"/>
          <w:highlight w:val="none"/>
          <w:lang w:val="en-US" w:eastAsia="zh-CN"/>
        </w:rPr>
        <w:t>改</w:t>
      </w:r>
      <w:r>
        <w:rPr>
          <w:rFonts w:hint="eastAsia" w:ascii="宋体" w:hAnsi="宋体" w:eastAsia="宋体" w:cs="宋体"/>
          <w:color w:val="auto"/>
          <w:sz w:val="24"/>
          <w:szCs w:val="24"/>
          <w:highlight w:val="none"/>
        </w:rPr>
        <w:t>善教育教学质量效益。项目实施主要通过项目决策、项目过程、项目产出以及项目效益等方面进行评价，其中：</w:t>
      </w:r>
    </w:p>
    <w:p w14:paraId="4BE6BDA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项目决策：该项目主要通过专项资金-和地财教【2023】73号立项，项目实施符合法律法规、相关政策、发展规划以及部门职责</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 xml:space="preserve">要求，项目立项依据充分，立项程序规范。 </w:t>
      </w:r>
    </w:p>
    <w:p w14:paraId="330E7C87">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预算安排</w:t>
      </w:r>
      <w:r>
        <w:rPr>
          <w:rFonts w:hint="eastAsia" w:ascii="宋体" w:hAnsi="宋体" w:eastAsia="宋体" w:cs="宋体"/>
          <w:color w:val="auto"/>
          <w:sz w:val="24"/>
          <w:szCs w:val="24"/>
          <w:highlight w:val="none"/>
          <w:lang w:val="en-US" w:eastAsia="zh-CN"/>
        </w:rPr>
        <w:t>181.39</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178.54</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98.43</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108EB10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项目效益：通过实施本项目有效改善教育教学质量。保障幼儿园日常工作正常运行。</w:t>
      </w:r>
    </w:p>
    <w:p w14:paraId="5E37543E">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50F23587">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进行客观评价，最终评分结果：评价总分</w:t>
      </w:r>
      <w:r>
        <w:rPr>
          <w:rFonts w:hint="eastAsia" w:ascii="宋体" w:hAnsi="宋体" w:eastAsia="宋体" w:cs="宋体"/>
          <w:color w:val="auto"/>
          <w:sz w:val="24"/>
          <w:szCs w:val="24"/>
          <w:highlight w:val="none"/>
          <w:lang w:val="en-US" w:eastAsia="zh-CN"/>
        </w:rPr>
        <w:t>99.97</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优秀</w:t>
      </w:r>
      <w:r>
        <w:rPr>
          <w:rFonts w:hint="eastAsia" w:ascii="宋体" w:hAnsi="宋体" w:eastAsia="宋体" w:cs="宋体"/>
          <w:color w:val="auto"/>
          <w:sz w:val="24"/>
          <w:szCs w:val="24"/>
          <w:highlight w:val="none"/>
        </w:rPr>
        <w:t>”。</w:t>
      </w:r>
      <w:bookmarkEnd w:id="13"/>
    </w:p>
    <w:p w14:paraId="49FFA890">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bookmarkStart w:id="14" w:name="_Toc68364667"/>
    </w:p>
    <w:p w14:paraId="53231F18">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4"/>
    </w:p>
    <w:p w14:paraId="4CDF88E2">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5" w:name="_Toc68364668"/>
      <w:r>
        <w:rPr>
          <w:rFonts w:hint="eastAsia" w:ascii="宋体" w:hAnsi="宋体" w:eastAsia="宋体" w:cs="宋体"/>
          <w:color w:val="auto"/>
          <w:sz w:val="24"/>
          <w:szCs w:val="24"/>
          <w:highlight w:val="none"/>
        </w:rPr>
        <w:t>（一）项目决策情况</w:t>
      </w:r>
    </w:p>
    <w:p w14:paraId="4FEC1D17">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801C6ED">
      <w:pPr>
        <w:keepNext w:val="0"/>
        <w:keepLines w:val="0"/>
        <w:pageBreakBefore w:val="0"/>
        <w:widowControl w:val="0"/>
        <w:numPr>
          <w:ilvl w:val="0"/>
          <w:numId w:val="3"/>
        </w:numPr>
        <w:kinsoku/>
        <w:wordWrap/>
        <w:topLinePunct w:val="0"/>
        <w:autoSpaceDE/>
        <w:autoSpaceDN/>
        <w:bidi w:val="0"/>
        <w:adjustRightInd/>
        <w:snapToGrid/>
        <w:spacing w:line="360" w:lineRule="auto"/>
        <w:ind w:left="0" w:leftChars="0" w:firstLine="56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1802DA7A">
      <w:pPr>
        <w:keepNext w:val="0"/>
        <w:keepLines w:val="0"/>
        <w:pageBreakBefore w:val="0"/>
        <w:widowControl w:val="0"/>
        <w:kinsoku/>
        <w:wordWrap/>
        <w:topLinePunct w:val="0"/>
        <w:autoSpaceDE/>
        <w:autoSpaceDN/>
        <w:bidi w:val="0"/>
        <w:adjustRightInd/>
        <w:snapToGrid/>
        <w:spacing w:line="360" w:lineRule="auto"/>
        <w:ind w:left="0" w:leftChars="0" w:firstLine="56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rPr>
        <w:t>颁发的《2024年新疆西藏等地区教育特殊补助资金-学前三年免费保障经费》（和地财教【2023】73号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文件</w:t>
      </w:r>
      <w:r>
        <w:rPr>
          <w:rFonts w:hint="eastAsia" w:ascii="宋体" w:hAnsi="宋体" w:eastAsia="宋体" w:cs="宋体"/>
          <w:color w:val="auto"/>
          <w:sz w:val="24"/>
          <w:szCs w:val="24"/>
          <w:highlight w:val="none"/>
        </w:rPr>
        <w:t>；合行业发展规划和政策要求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29F01DDB">
      <w:pPr>
        <w:keepNext w:val="0"/>
        <w:keepLines w:val="0"/>
        <w:pageBreakBefore w:val="0"/>
        <w:widowControl w:val="0"/>
        <w:kinsoku/>
        <w:wordWrap/>
        <w:topLinePunct w:val="0"/>
        <w:autoSpaceDE/>
        <w:autoSpaceDN/>
        <w:bidi w:val="0"/>
        <w:adjustRightInd/>
        <w:snapToGrid/>
        <w:spacing w:line="360" w:lineRule="auto"/>
        <w:ind w:left="0" w:leftChars="0"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1A07B802">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2272ED5C">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一般公共预算</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181.39</w:t>
      </w:r>
      <w:r>
        <w:rPr>
          <w:rFonts w:hint="eastAsia" w:ascii="宋体" w:hAnsi="宋体" w:eastAsia="宋体" w:cs="宋体"/>
          <w:color w:val="auto"/>
          <w:sz w:val="24"/>
          <w:szCs w:val="24"/>
          <w:highlight w:val="none"/>
        </w:rPr>
        <w:t>万元，不涉及事前绩效评估和风险评估，并经过专家论证。</w:t>
      </w:r>
    </w:p>
    <w:p w14:paraId="31CCC6C7">
      <w:pPr>
        <w:keepNext w:val="0"/>
        <w:keepLines w:val="0"/>
        <w:pageBreakBefore w:val="0"/>
        <w:widowControl w:val="0"/>
        <w:kinsoku/>
        <w:wordWrap/>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2AC2D98D">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（3）绩效目标合理性：</w:t>
      </w:r>
    </w:p>
    <w:p w14:paraId="4BCE7D9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①该项目已设置年度绩效目标，具体内容为“学前教育保障经费受益学生数量”。</w:t>
      </w:r>
    </w:p>
    <w:p w14:paraId="030D02F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②该项目实际工作内容为：学前教育保障经费受益学生数量</w:t>
      </w:r>
      <w:r>
        <w:rPr>
          <w:rFonts w:hint="eastAsia" w:ascii="宋体" w:hAnsi="宋体" w:eastAsia="宋体" w:cs="宋体"/>
          <w:color w:val="auto"/>
          <w:sz w:val="24"/>
          <w:szCs w:val="24"/>
          <w:highlight w:val="none"/>
          <w:lang w:val="en-US" w:eastAsia="zh-CN"/>
        </w:rPr>
        <w:t>695人</w:t>
      </w:r>
      <w:r>
        <w:rPr>
          <w:rFonts w:hint="eastAsia" w:ascii="宋体" w:hAnsi="宋体" w:eastAsia="宋体" w:cs="宋体"/>
          <w:color w:val="auto"/>
          <w:sz w:val="24"/>
          <w:szCs w:val="24"/>
          <w:highlight w:val="none"/>
        </w:rPr>
        <w:t>。绩效目标与实际工作内容一致，两者具有相关性。</w:t>
      </w:r>
    </w:p>
    <w:p w14:paraId="54C2C5A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预期值</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改善教育教学质量</w:t>
      </w:r>
      <w:r>
        <w:rPr>
          <w:rFonts w:hint="eastAsia" w:ascii="宋体" w:hAnsi="宋体" w:eastAsia="宋体" w:cs="宋体"/>
          <w:color w:val="auto"/>
          <w:sz w:val="24"/>
          <w:szCs w:val="24"/>
          <w:highlight w:val="none"/>
        </w:rPr>
        <w:t>效益，预期产出效益和效果是否符合正常的业绩水平。</w:t>
      </w:r>
    </w:p>
    <w:p w14:paraId="3DE770E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181.39</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181,39</w:t>
      </w:r>
      <w:r>
        <w:rPr>
          <w:rFonts w:hint="eastAsia" w:ascii="宋体" w:hAnsi="宋体" w:eastAsia="宋体" w:cs="宋体"/>
          <w:color w:val="auto"/>
          <w:sz w:val="24"/>
          <w:szCs w:val="24"/>
          <w:highlight w:val="none"/>
        </w:rPr>
        <w:t>万元，预算确定的项目资金与预算确定的项目投资额相匹配。</w:t>
      </w:r>
    </w:p>
    <w:p w14:paraId="2367943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3F1AC6C6">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3D3A870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学前教育保障经费收益学生数量695人</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88ADAA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，即预算编制较科学且经过论证；预算申请内容为</w:t>
      </w:r>
      <w:r>
        <w:rPr>
          <w:rFonts w:hint="eastAsia" w:ascii="宋体" w:hAnsi="宋体" w:eastAsia="宋体" w:cs="宋体"/>
          <w:color w:val="auto"/>
          <w:sz w:val="24"/>
          <w:szCs w:val="24"/>
          <w:highlight w:val="none"/>
          <w:lang w:val="en-US" w:eastAsia="zh-CN"/>
        </w:rPr>
        <w:t>181.39万元</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181.39万元</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项目实施方案》中涉及的项目内容匹配；</w:t>
      </w:r>
    </w:p>
    <w:p w14:paraId="0296675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181.39</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lang w:eastAsia="zh-CN"/>
        </w:rPr>
        <w:t>公用</w:t>
      </w:r>
      <w:r>
        <w:rPr>
          <w:rFonts w:hint="eastAsia" w:ascii="宋体" w:hAnsi="宋体" w:eastAsia="宋体" w:cs="宋体"/>
          <w:color w:val="auto"/>
          <w:sz w:val="24"/>
          <w:szCs w:val="24"/>
        </w:rPr>
        <w:t>经费费用</w:t>
      </w:r>
      <w:r>
        <w:rPr>
          <w:rFonts w:hint="eastAsia" w:ascii="宋体" w:hAnsi="宋体" w:eastAsia="宋体" w:cs="宋体"/>
          <w:color w:val="auto"/>
          <w:sz w:val="24"/>
          <w:szCs w:val="24"/>
          <w:lang w:val="en-US" w:eastAsia="zh-CN"/>
        </w:rPr>
        <w:t>76.45</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取暖</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8.34</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营养餐</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93.75</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w:t>
      </w:r>
    </w:p>
    <w:p w14:paraId="4CC1B4E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5907793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资金的请示》和《XX项目实施方案》为依据进行资金分配，预算资金分配依据充分。根据《</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文件》（和地财教【2023】73号），本项目实际到位资金</w:t>
      </w:r>
      <w:r>
        <w:rPr>
          <w:rFonts w:hint="eastAsia" w:ascii="宋体" w:hAnsi="宋体" w:eastAsia="宋体" w:cs="宋体"/>
          <w:color w:val="auto"/>
          <w:sz w:val="24"/>
          <w:szCs w:val="24"/>
          <w:highlight w:val="none"/>
          <w:lang w:val="en-US" w:eastAsia="zh-CN"/>
        </w:rPr>
        <w:t>181.39</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2C616809">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6362659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11.97</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99.8</w:t>
      </w:r>
      <w:r>
        <w:rPr>
          <w:rFonts w:hint="eastAsia" w:ascii="宋体" w:hAnsi="宋体" w:eastAsia="宋体" w:cs="宋体"/>
          <w:color w:val="auto"/>
          <w:sz w:val="24"/>
          <w:szCs w:val="24"/>
          <w:highlight w:val="none"/>
        </w:rPr>
        <w:t>%。</w:t>
      </w:r>
    </w:p>
    <w:p w14:paraId="371B701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181.39</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181.39</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181.39</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7CB1069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b w:val="0"/>
          <w:bCs w:val="0"/>
          <w:color w:val="auto"/>
          <w:sz w:val="24"/>
          <w:szCs w:val="24"/>
          <w:highlight w:val="none"/>
        </w:rPr>
        <w:t>本项目实际支出资金</w:t>
      </w:r>
      <w:r>
        <w:rPr>
          <w:rFonts w:hint="eastAsia" w:ascii="宋体" w:hAnsi="宋体" w:eastAsia="宋体" w:cs="宋体"/>
          <w:b w:val="0"/>
          <w:bCs w:val="0"/>
          <w:color w:val="auto"/>
          <w:sz w:val="24"/>
          <w:szCs w:val="24"/>
          <w:highlight w:val="none"/>
          <w:lang w:val="en-US" w:eastAsia="zh-CN"/>
        </w:rPr>
        <w:t>178.54</w:t>
      </w:r>
      <w:r>
        <w:rPr>
          <w:rFonts w:hint="eastAsia" w:ascii="宋体" w:hAnsi="宋体" w:eastAsia="宋体" w:cs="宋体"/>
          <w:b w:val="0"/>
          <w:bCs w:val="0"/>
          <w:color w:val="auto"/>
          <w:sz w:val="24"/>
          <w:szCs w:val="24"/>
          <w:highlight w:val="none"/>
        </w:rPr>
        <w:t>万元，预算执行率=（</w:t>
      </w:r>
      <w:r>
        <w:rPr>
          <w:rFonts w:hint="eastAsia" w:ascii="宋体" w:hAnsi="宋体" w:eastAsia="宋体" w:cs="宋体"/>
          <w:b w:val="0"/>
          <w:bCs w:val="0"/>
          <w:color w:val="auto"/>
          <w:sz w:val="24"/>
          <w:szCs w:val="24"/>
          <w:highlight w:val="none"/>
          <w:lang w:val="en-US" w:eastAsia="zh-CN"/>
        </w:rPr>
        <w:t>178.54</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181.39</w:t>
      </w:r>
      <w:r>
        <w:rPr>
          <w:rFonts w:hint="eastAsia" w:ascii="宋体" w:hAnsi="宋体" w:eastAsia="宋体" w:cs="宋体"/>
          <w:b w:val="0"/>
          <w:bCs w:val="0"/>
          <w:color w:val="auto"/>
          <w:sz w:val="24"/>
          <w:szCs w:val="24"/>
          <w:highlight w:val="none"/>
        </w:rPr>
        <w:t>）×100.0%=</w:t>
      </w:r>
      <w:r>
        <w:rPr>
          <w:rFonts w:hint="eastAsia" w:ascii="宋体" w:hAnsi="宋体" w:eastAsia="宋体" w:cs="宋体"/>
          <w:b w:val="0"/>
          <w:bCs w:val="0"/>
          <w:color w:val="auto"/>
          <w:sz w:val="24"/>
          <w:szCs w:val="24"/>
          <w:highlight w:val="none"/>
          <w:lang w:val="en-US" w:eastAsia="zh-CN"/>
        </w:rPr>
        <w:t>98.43</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预算编制较为详细，项目资金支出总体能够按照预算执行，根据评分标准，该指标扣</w:t>
      </w:r>
      <w:r>
        <w:rPr>
          <w:rFonts w:hint="eastAsia" w:ascii="宋体" w:hAnsi="宋体" w:eastAsia="宋体" w:cs="宋体"/>
          <w:b w:val="0"/>
          <w:bCs w:val="0"/>
          <w:color w:val="auto"/>
          <w:sz w:val="24"/>
          <w:szCs w:val="24"/>
          <w:highlight w:val="none"/>
          <w:lang w:val="en-US" w:eastAsia="zh-CN"/>
        </w:rPr>
        <w:t>0.03</w:t>
      </w:r>
      <w:r>
        <w:rPr>
          <w:rFonts w:hint="eastAsia" w:ascii="宋体" w:hAnsi="宋体" w:eastAsia="宋体" w:cs="宋体"/>
          <w:b w:val="0"/>
          <w:bCs w:val="0"/>
          <w:color w:val="auto"/>
          <w:sz w:val="24"/>
          <w:szCs w:val="24"/>
          <w:highlight w:val="none"/>
        </w:rPr>
        <w:t>分，得</w:t>
      </w:r>
      <w:r>
        <w:rPr>
          <w:rFonts w:hint="eastAsia" w:ascii="宋体" w:hAnsi="宋体" w:eastAsia="宋体" w:cs="宋体"/>
          <w:b w:val="0"/>
          <w:bCs w:val="0"/>
          <w:color w:val="auto"/>
          <w:sz w:val="24"/>
          <w:szCs w:val="24"/>
          <w:highlight w:val="none"/>
          <w:lang w:val="en-US" w:eastAsia="zh-CN"/>
        </w:rPr>
        <w:t>1.97</w:t>
      </w:r>
      <w:r>
        <w:rPr>
          <w:rFonts w:hint="eastAsia" w:ascii="宋体" w:hAnsi="宋体" w:eastAsia="宋体" w:cs="宋体"/>
          <w:b w:val="0"/>
          <w:bCs w:val="0"/>
          <w:color w:val="auto"/>
          <w:sz w:val="24"/>
          <w:szCs w:val="24"/>
          <w:highlight w:val="none"/>
        </w:rPr>
        <w:t>分。</w:t>
      </w:r>
    </w:p>
    <w:p w14:paraId="0CF9A8B0">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47185A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32C9A57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洛浦县第一幼儿园</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4550BDD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783CA78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③该项目实施过程中不存在调整事项。</w:t>
      </w:r>
    </w:p>
    <w:p w14:paraId="220B1A6C">
      <w:pPr>
        <w:pStyle w:val="58"/>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eastAsia="zh-CN"/>
        </w:rPr>
        <w:t>2024年新疆西藏等地区教育特殊补助资金-学前三年免费保障经费</w:t>
      </w:r>
      <w:r>
        <w:rPr>
          <w:rFonts w:hint="eastAsia" w:ascii="宋体" w:hAnsi="宋体" w:eastAsia="宋体" w:cs="宋体"/>
          <w:color w:val="auto"/>
          <w:sz w:val="24"/>
          <w:szCs w:val="24"/>
          <w:highlight w:val="none"/>
        </w:rPr>
        <w:t>工作领导小组</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由</w:t>
      </w:r>
      <w:r>
        <w:rPr>
          <w:rFonts w:hint="eastAsia" w:ascii="宋体" w:hAnsi="宋体" w:eastAsia="宋体" w:cs="宋体"/>
          <w:kern w:val="2"/>
          <w:sz w:val="24"/>
          <w:szCs w:val="24"/>
          <w:highlight w:val="none"/>
          <w:lang w:val="en-US" w:eastAsia="zh-CN" w:bidi="ar-SA"/>
        </w:rPr>
        <w:t>丁晓晖（书记 园长）</w:t>
      </w:r>
      <w:r>
        <w:rPr>
          <w:rFonts w:hint="eastAsia" w:ascii="宋体" w:hAnsi="宋体" w:eastAsia="宋体" w:cs="宋体"/>
          <w:color w:val="auto"/>
          <w:sz w:val="24"/>
          <w:szCs w:val="24"/>
          <w:highlight w:val="none"/>
        </w:rPr>
        <w:t>组长，负责项目的组织工作；</w:t>
      </w:r>
      <w:r>
        <w:rPr>
          <w:rFonts w:hint="eastAsia" w:ascii="宋体" w:hAnsi="宋体" w:eastAsia="宋体" w:cs="宋体"/>
          <w:kern w:val="2"/>
          <w:sz w:val="24"/>
          <w:szCs w:val="24"/>
          <w:highlight w:val="none"/>
          <w:lang w:val="en-US" w:eastAsia="zh-CN" w:bidi="ar-SA"/>
        </w:rPr>
        <w:t>李慧（副书记）</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kern w:val="2"/>
          <w:sz w:val="24"/>
          <w:szCs w:val="24"/>
          <w:highlight w:val="none"/>
          <w:lang w:val="en-US" w:eastAsia="zh-CN" w:bidi="ar-SA"/>
        </w:rPr>
        <w:t>李艳华</w:t>
      </w:r>
      <w:r>
        <w:rPr>
          <w:rFonts w:hint="eastAsia" w:ascii="宋体" w:hAnsi="宋体" w:eastAsia="宋体" w:cs="宋体"/>
          <w:color w:val="FF0000"/>
          <w:sz w:val="24"/>
          <w:szCs w:val="24"/>
          <w:highlight w:val="none"/>
          <w:lang w:val="en-US" w:eastAsia="zh-CN"/>
        </w:rPr>
        <w:t>、</w:t>
      </w:r>
      <w:r>
        <w:rPr>
          <w:rFonts w:hint="eastAsia" w:ascii="宋体" w:hAnsi="宋体" w:eastAsia="宋体" w:cs="宋体"/>
          <w:kern w:val="2"/>
          <w:sz w:val="24"/>
          <w:szCs w:val="24"/>
          <w:highlight w:val="none"/>
          <w:lang w:val="en-US" w:eastAsia="zh-CN" w:bidi="ar-SA"/>
        </w:rPr>
        <w:t>金菊平</w:t>
      </w:r>
      <w:r>
        <w:rPr>
          <w:rFonts w:hint="eastAsia" w:ascii="宋体" w:hAnsi="宋体" w:eastAsia="宋体" w:cs="宋体"/>
          <w:color w:val="auto"/>
          <w:sz w:val="24"/>
          <w:szCs w:val="24"/>
          <w:highlight w:val="none"/>
        </w:rPr>
        <w:t>和</w:t>
      </w:r>
      <w:r>
        <w:rPr>
          <w:rFonts w:hint="eastAsia" w:ascii="宋体" w:hAnsi="宋体" w:eastAsia="宋体" w:cs="宋体"/>
          <w:kern w:val="2"/>
          <w:sz w:val="24"/>
          <w:szCs w:val="24"/>
          <w:highlight w:val="none"/>
          <w:lang w:val="en-US" w:eastAsia="zh-CN" w:bidi="ar-SA"/>
        </w:rPr>
        <w:t>田盛梅</w:t>
      </w:r>
      <w:r>
        <w:rPr>
          <w:rFonts w:hint="eastAsia" w:ascii="宋体" w:hAnsi="宋体" w:eastAsia="宋体" w:cs="宋体"/>
          <w:color w:val="auto"/>
          <w:sz w:val="24"/>
          <w:szCs w:val="24"/>
          <w:highlight w:val="none"/>
        </w:rPr>
        <w:t>，主要负责项目监督管理、验收以及资金核拨等工作。根据评分标准，该指标不扣分，得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5624163">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311F29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项目产出类指标包括产出数量、产出质量、产出时效、产出成本四方面的内容，由4个三级指标构成，权重分为45分，实际得分</w:t>
      </w:r>
      <w:r>
        <w:rPr>
          <w:rFonts w:hint="eastAsia" w:ascii="宋体" w:hAnsi="宋体" w:eastAsia="宋体" w:cs="宋体"/>
          <w:color w:val="auto"/>
          <w:sz w:val="24"/>
          <w:szCs w:val="24"/>
          <w:highlight w:val="none"/>
          <w:lang w:val="en-US" w:eastAsia="zh-CN"/>
        </w:rPr>
        <w:t>45</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8A84942">
      <w:pPr>
        <w:pageBreakBefore w:val="0"/>
        <w:widowControl w:val="0"/>
        <w:numPr>
          <w:ilvl w:val="0"/>
          <w:numId w:val="4"/>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4B1EB4C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学前教育保障经费受益学生数量指标，</w:t>
      </w:r>
      <w:r>
        <w:rPr>
          <w:rFonts w:hint="eastAsia" w:ascii="宋体" w:hAnsi="宋体" w:eastAsia="宋体" w:cs="宋体"/>
          <w:color w:val="auto"/>
          <w:sz w:val="24"/>
          <w:szCs w:val="24"/>
        </w:rPr>
        <w:t>预期指标值：“=6</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人</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lang w:val="en-US" w:eastAsia="zh-CN" w:bidi="ar-SA"/>
        </w:rPr>
        <w:t>，实际完成值为695人，指标完成率为100%，与预期目标一致，根据评分标准，该指标不扣分，得10分。</w:t>
      </w:r>
    </w:p>
    <w:p w14:paraId="7A31BAC0">
      <w:pPr>
        <w:pageBreakBefore w:val="0"/>
        <w:widowControl w:val="0"/>
        <w:numPr>
          <w:ilvl w:val="0"/>
          <w:numId w:val="4"/>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0D55684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lang w:val="en-US" w:eastAsia="zh-CN"/>
        </w:rPr>
        <w:t>补助覆盖率产出质量</w:t>
      </w: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kern w:val="0"/>
          <w:sz w:val="24"/>
          <w:szCs w:val="24"/>
          <w:lang w:val="en-US" w:eastAsia="zh-CN" w:bidi="ar-SA"/>
        </w:rPr>
        <w:t>实际完成值为</w:t>
      </w:r>
      <w:r>
        <w:rPr>
          <w:rFonts w:hint="eastAsia" w:ascii="宋体" w:hAnsi="宋体" w:eastAsia="宋体" w:cs="宋体"/>
          <w:color w:val="auto"/>
          <w:sz w:val="24"/>
          <w:szCs w:val="24"/>
        </w:rPr>
        <w:t>100%</w:t>
      </w:r>
      <w:r>
        <w:rPr>
          <w:rFonts w:hint="eastAsia" w:ascii="宋体" w:hAnsi="宋体" w:eastAsia="宋体" w:cs="宋体"/>
          <w:color w:val="auto"/>
          <w:kern w:val="0"/>
          <w:sz w:val="24"/>
          <w:szCs w:val="24"/>
          <w:lang w:val="en-US" w:eastAsia="zh-CN" w:bidi="ar-SA"/>
        </w:rPr>
        <w:t>，指标完成率为100%，与预期目标一致，根据评分标准，该指标不扣分，得3分。</w:t>
      </w:r>
    </w:p>
    <w:p w14:paraId="7AD4BEE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补助资金</w:t>
      </w:r>
      <w:r>
        <w:rPr>
          <w:rFonts w:hint="eastAsia" w:ascii="宋体" w:hAnsi="宋体" w:eastAsia="宋体" w:cs="宋体"/>
          <w:color w:val="auto"/>
          <w:sz w:val="24"/>
          <w:szCs w:val="24"/>
          <w:lang w:val="en-US" w:eastAsia="zh-CN"/>
        </w:rPr>
        <w:t>发放</w:t>
      </w:r>
      <w:r>
        <w:rPr>
          <w:rFonts w:hint="eastAsia" w:ascii="宋体" w:hAnsi="宋体" w:eastAsia="宋体" w:cs="宋体"/>
          <w:color w:val="auto"/>
          <w:sz w:val="24"/>
          <w:szCs w:val="24"/>
        </w:rPr>
        <w:t>率</w:t>
      </w:r>
      <w:r>
        <w:rPr>
          <w:rFonts w:hint="eastAsia" w:ascii="宋体" w:hAnsi="宋体" w:eastAsia="宋体" w:cs="宋体"/>
          <w:color w:val="auto"/>
          <w:sz w:val="24"/>
          <w:szCs w:val="24"/>
          <w:lang w:val="en-US" w:eastAsia="zh-CN"/>
        </w:rPr>
        <w:t>产出质量</w:t>
      </w: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kern w:val="0"/>
          <w:sz w:val="24"/>
          <w:szCs w:val="24"/>
          <w:lang w:val="en-US" w:eastAsia="zh-CN" w:bidi="ar-SA"/>
        </w:rPr>
        <w:t>实际完成值为</w:t>
      </w:r>
      <w:r>
        <w:rPr>
          <w:rFonts w:hint="eastAsia" w:ascii="宋体" w:hAnsi="宋体" w:eastAsia="宋体" w:cs="宋体"/>
          <w:color w:val="auto"/>
          <w:sz w:val="24"/>
          <w:szCs w:val="24"/>
        </w:rPr>
        <w:t>100%</w:t>
      </w:r>
      <w:r>
        <w:rPr>
          <w:rFonts w:hint="eastAsia" w:ascii="宋体" w:hAnsi="宋体" w:eastAsia="宋体" w:cs="宋体"/>
          <w:color w:val="auto"/>
          <w:kern w:val="0"/>
          <w:sz w:val="24"/>
          <w:szCs w:val="24"/>
          <w:lang w:val="en-US" w:eastAsia="zh-CN" w:bidi="ar-SA"/>
        </w:rPr>
        <w:t>，指标完成率为100%，与预期目标一致，根据评分标准，该指标不扣分，得3分。</w:t>
      </w:r>
    </w:p>
    <w:p w14:paraId="665E8B6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补助资金到位率</w:t>
      </w:r>
      <w:r>
        <w:rPr>
          <w:rFonts w:hint="eastAsia" w:ascii="宋体" w:hAnsi="宋体" w:eastAsia="宋体" w:cs="宋体"/>
          <w:color w:val="auto"/>
          <w:sz w:val="24"/>
          <w:szCs w:val="24"/>
          <w:lang w:val="en-US" w:eastAsia="zh-CN"/>
        </w:rPr>
        <w:t>产出质量</w:t>
      </w: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kern w:val="0"/>
          <w:sz w:val="24"/>
          <w:szCs w:val="24"/>
          <w:lang w:val="en-US" w:eastAsia="zh-CN" w:bidi="ar-SA"/>
        </w:rPr>
        <w:t>实际完成值为</w:t>
      </w:r>
      <w:r>
        <w:rPr>
          <w:rFonts w:hint="eastAsia" w:ascii="宋体" w:hAnsi="宋体" w:eastAsia="宋体" w:cs="宋体"/>
          <w:color w:val="auto"/>
          <w:sz w:val="24"/>
          <w:szCs w:val="24"/>
        </w:rPr>
        <w:t>100%</w:t>
      </w:r>
      <w:r>
        <w:rPr>
          <w:rFonts w:hint="eastAsia" w:ascii="宋体" w:hAnsi="宋体" w:eastAsia="宋体" w:cs="宋体"/>
          <w:color w:val="auto"/>
          <w:kern w:val="0"/>
          <w:sz w:val="24"/>
          <w:szCs w:val="24"/>
          <w:lang w:val="en-US" w:eastAsia="zh-CN" w:bidi="ar-SA"/>
        </w:rPr>
        <w:t>，指标完成率为100%，与预期目标一致，根据评分标准，该指标不扣分，得4分。</w:t>
      </w:r>
    </w:p>
    <w:p w14:paraId="3E060B6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05A2189C">
      <w:pPr>
        <w:pStyle w:val="10"/>
        <w:pageBreakBefore w:val="0"/>
        <w:widowControl w:val="0"/>
        <w:numPr>
          <w:ilvl w:val="0"/>
          <w:numId w:val="4"/>
        </w:numPr>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1186C5A0">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项目开始时间产出时效指标，预期指标值为2024年12月，实际完成值为2024年1月，指标完成率为100%，与预期目标一致，根据评分标准，该指标不扣分，得3分。</w:t>
      </w:r>
    </w:p>
    <w:p w14:paraId="50C88A22">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项目结束时间产出时效指标，预期指标值为2024年12月，实际完成值为2024年12月，指标完成率为100%，与预期目标一致，根据评分标准，该指标不扣分，得3分。</w:t>
      </w:r>
    </w:p>
    <w:p w14:paraId="4943D62A">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资金拨付及时率产出时效指标，预期指标值为“=100%”，实际完成值为“=100%”，指标完成率为100%，与预期目标一致，根据评分标准，该指标不扣分，得4分。</w:t>
      </w:r>
    </w:p>
    <w:p w14:paraId="2696D762">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3EC15EDF">
      <w:pPr>
        <w:pStyle w:val="46"/>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7543F2A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保障经费支出成本产出成本指标，预期指标值为“≤181.39万元”，实际完成值为178.54万元，指标完成率为98.43%，项目经费都能控制绩效目标范围内，根据评分标准，该指标不扣分，得10分。</w:t>
      </w:r>
    </w:p>
    <w:p w14:paraId="12543437">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47CB484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个方面的内容，由2个三级指标构成，权重分为2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p>
    <w:p w14:paraId="3CF139E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6337B26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改善教育教学质量指标，该指标预期指标值为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5分。</w:t>
      </w:r>
    </w:p>
    <w:p w14:paraId="4BEECD40">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（4）满意度指标分析</w:t>
      </w:r>
    </w:p>
    <w:p w14:paraId="2A549769">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黑体" w:hAnsi="黑体" w:eastAsia="黑体" w:cs="黑体"/>
          <w:sz w:val="24"/>
          <w:szCs w:val="24"/>
        </w:rPr>
      </w:pPr>
      <w:r>
        <w:rPr>
          <w:rFonts w:hint="eastAsia" w:ascii="宋体" w:hAnsi="宋体" w:eastAsia="宋体" w:cs="宋体"/>
          <w:b w:val="0"/>
          <w:color w:val="auto"/>
          <w:kern w:val="2"/>
          <w:sz w:val="24"/>
          <w:szCs w:val="24"/>
          <w:lang w:val="en-US" w:eastAsia="zh-CN" w:bidi="ar-SA"/>
        </w:rPr>
        <w:t>对于</w:t>
      </w:r>
      <w:bookmarkEnd w:id="15"/>
      <w:r>
        <w:rPr>
          <w:rFonts w:hint="eastAsia" w:ascii="宋体" w:hAnsi="宋体" w:eastAsia="宋体" w:cs="宋体"/>
          <w:b w:val="0"/>
          <w:color w:val="auto"/>
          <w:kern w:val="2"/>
          <w:sz w:val="24"/>
          <w:szCs w:val="24"/>
          <w:lang w:val="en-US" w:eastAsia="zh-CN" w:bidi="ar-SA"/>
        </w:rPr>
        <w:t>学生满意度指标，该指标预期指标值为≥95%，实际完成值为95%，指标完成率为100%，与预期指标一致，根据评分标准，该指标不扣分，得10分。</w:t>
      </w:r>
    </w:p>
    <w:p w14:paraId="2C99509B">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41E5DE82">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181.39</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181.39</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178.54</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98.43%</w:t>
      </w:r>
      <w:r>
        <w:rPr>
          <w:rFonts w:hint="eastAsia" w:ascii="宋体" w:hAnsi="宋体" w:eastAsia="宋体" w:cs="宋体"/>
          <w:color w:val="auto"/>
          <w:sz w:val="24"/>
          <w:szCs w:val="24"/>
        </w:rPr>
        <w:t>。</w:t>
      </w:r>
    </w:p>
    <w:p w14:paraId="755BA5BB">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99.61</w:t>
      </w:r>
      <w:r>
        <w:rPr>
          <w:rFonts w:hint="eastAsia" w:ascii="宋体" w:hAnsi="宋体" w:eastAsia="宋体" w:cs="宋体"/>
          <w:color w:val="auto"/>
          <w:sz w:val="24"/>
          <w:szCs w:val="24"/>
        </w:rPr>
        <w:t>%。</w:t>
      </w:r>
    </w:p>
    <w:p w14:paraId="668DB439">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1.18</w:t>
      </w:r>
      <w:r>
        <w:rPr>
          <w:rFonts w:hint="eastAsia" w:ascii="宋体" w:hAnsi="宋体" w:eastAsia="宋体" w:cs="宋体"/>
          <w:color w:val="auto"/>
          <w:sz w:val="24"/>
          <w:szCs w:val="24"/>
        </w:rPr>
        <w:t>%。</w:t>
      </w:r>
    </w:p>
    <w:p w14:paraId="74B6F951">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bookmarkStart w:id="16" w:name="_Toc68364673"/>
    </w:p>
    <w:p w14:paraId="61A27D0D">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六、主要经验及做法、存在的问题及原因分析</w:t>
      </w:r>
    </w:p>
    <w:p w14:paraId="6ED50E9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r>
        <w:rPr>
          <w:rFonts w:hint="eastAsia" w:ascii="宋体" w:hAnsi="宋体" w:eastAsia="宋体" w:cs="宋体"/>
          <w:sz w:val="24"/>
          <w:szCs w:val="24"/>
        </w:rPr>
        <w:t>（一）主要经验及做法</w:t>
      </w:r>
      <w:bookmarkEnd w:id="16"/>
    </w:p>
    <w:p w14:paraId="6B9C481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p>
    <w:p w14:paraId="33C05BC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6CDA6D6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三是加强沟通协调，我单位及时向领导汇报项目建设进度，加强与施工单位的沟通，确保项目按期完工。</w:t>
      </w:r>
    </w:p>
    <w:p w14:paraId="10762B8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bookmarkStart w:id="17" w:name="_Toc68364674"/>
      <w:r>
        <w:rPr>
          <w:rFonts w:hint="eastAsia" w:ascii="宋体" w:hAnsi="宋体" w:eastAsia="宋体" w:cs="宋体"/>
          <w:sz w:val="24"/>
          <w:szCs w:val="24"/>
        </w:rPr>
        <w:t>（二）存在问题及原因分析</w:t>
      </w:r>
      <w:bookmarkEnd w:id="17"/>
    </w:p>
    <w:p w14:paraId="143473A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1.项目资金管理环节：</w:t>
      </w:r>
    </w:p>
    <w:p w14:paraId="1D88056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问题：项目科目设置不合理，预算未及时调整。</w:t>
      </w:r>
    </w:p>
    <w:p w14:paraId="2474D20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原因分析：财务人员专业能力不足缺乏项目核算经验，今后将定期核算。</w:t>
      </w:r>
    </w:p>
    <w:p w14:paraId="3DBBB78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2.项目管理环节：</w:t>
      </w:r>
    </w:p>
    <w:p w14:paraId="0FDCC2C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问题：计划缺乏前瞻性和灵活性，没有考虑到潜在的变化因素。</w:t>
      </w:r>
    </w:p>
    <w:p w14:paraId="7251F19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原因分析：在制定计划时，缺乏充分的调研和分析。</w:t>
      </w:r>
    </w:p>
    <w:p w14:paraId="639AB4BD">
      <w:pPr>
        <w:pStyle w:val="58"/>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黑体" w:hAnsi="黑体" w:eastAsia="黑体" w:cs="黑体"/>
          <w:sz w:val="24"/>
          <w:szCs w:val="24"/>
        </w:rPr>
      </w:pPr>
      <w:bookmarkStart w:id="18" w:name="_Toc68364675"/>
    </w:p>
    <w:p w14:paraId="2D71A1EA">
      <w:pPr>
        <w:pStyle w:val="58"/>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pPr>
      <w:r>
        <w:rPr>
          <w:rFonts w:hint="eastAsia" w:ascii="黑体" w:hAnsi="黑体" w:eastAsia="黑体" w:cs="黑体"/>
          <w:sz w:val="24"/>
          <w:szCs w:val="24"/>
        </w:rPr>
        <w:t>七、有关建议</w:t>
      </w:r>
      <w:bookmarkEnd w:id="18"/>
    </w:p>
    <w:p w14:paraId="4CB3FBE9">
      <w:pPr>
        <w:pStyle w:val="58"/>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1.加大绩效工作宣传力度，强化绩效理念充分，与上级沟通，力争科学安排审计项目，做好预算编制，积极加强绩效管理。</w:t>
      </w:r>
    </w:p>
    <w:p w14:paraId="2ED101F2">
      <w:pPr>
        <w:pStyle w:val="58"/>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2、完善绩效指标，提高整体绩效目标质量。提升预算精细化管理水平。</w:t>
      </w:r>
    </w:p>
    <w:p w14:paraId="37892B77">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bookmarkStart w:id="19" w:name="_Toc68364676"/>
    </w:p>
    <w:p w14:paraId="29C7C12A">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r>
        <w:rPr>
          <w:rFonts w:hint="eastAsia" w:ascii="宋体" w:hAnsi="宋体" w:eastAsia="宋体" w:cs="宋体"/>
          <w:sz w:val="24"/>
          <w:szCs w:val="24"/>
        </w:rPr>
        <w:t>八、其他需要说明的问题</w:t>
      </w:r>
      <w:bookmarkEnd w:id="19"/>
    </w:p>
    <w:p w14:paraId="2A74B05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15C97A41">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p>
    <w:p w14:paraId="54936242">
      <w:pPr>
        <w:pageBreakBefore w:val="0"/>
        <w:widowControl w:val="0"/>
        <w:kinsoku/>
        <w:wordWrap/>
        <w:topLinePunct w:val="0"/>
        <w:autoSpaceDE/>
        <w:autoSpaceDN/>
        <w:bidi w:val="0"/>
        <w:adjustRightInd/>
        <w:snapToGrid/>
        <w:spacing w:line="360" w:lineRule="auto"/>
        <w:ind w:left="0" w:leftChars="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附件1：2024年新疆西藏等地区教育特殊补助资金-学前三年免费</w:t>
      </w:r>
    </w:p>
    <w:p w14:paraId="34F29E2B">
      <w:pPr>
        <w:pageBreakBefore w:val="0"/>
        <w:widowControl w:val="0"/>
        <w:kinsoku/>
        <w:wordWrap/>
        <w:topLinePunct w:val="0"/>
        <w:autoSpaceDE/>
        <w:autoSpaceDN/>
        <w:bidi w:val="0"/>
        <w:adjustRightInd/>
        <w:snapToGrid/>
        <w:spacing w:line="360" w:lineRule="auto"/>
        <w:ind w:firstLine="1440" w:firstLineChars="6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保障经费绩效项目评价指标体系</w:t>
      </w:r>
    </w:p>
    <w:p w14:paraId="7B4C21B3">
      <w:pPr>
        <w:pageBreakBefore w:val="0"/>
        <w:widowControl w:val="0"/>
        <w:kinsoku/>
        <w:wordWrap/>
        <w:topLinePunct w:val="0"/>
        <w:autoSpaceDE/>
        <w:autoSpaceDN/>
        <w:bidi w:val="0"/>
        <w:adjustRightInd/>
        <w:snapToGrid/>
        <w:spacing w:line="360" w:lineRule="auto"/>
        <w:ind w:left="0" w:leftChars="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附件2：2024年新疆西藏等地区教育特殊补助资金-学前三年免费</w:t>
      </w:r>
    </w:p>
    <w:p w14:paraId="146D515B">
      <w:pPr>
        <w:pageBreakBefore w:val="0"/>
        <w:widowControl w:val="0"/>
        <w:kinsoku/>
        <w:wordWrap/>
        <w:topLinePunct w:val="0"/>
        <w:autoSpaceDE/>
        <w:autoSpaceDN/>
        <w:bidi w:val="0"/>
        <w:adjustRightInd/>
        <w:snapToGrid/>
        <w:spacing w:line="360" w:lineRule="auto"/>
        <w:ind w:left="0" w:leftChars="0" w:firstLine="1440" w:firstLineChars="600"/>
        <w:textAlignment w:val="auto"/>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保障经费项目综合得分表</w:t>
      </w:r>
    </w:p>
    <w:p w14:paraId="74E67E26">
      <w:pPr>
        <w:keepNext w:val="0"/>
        <w:keepLines w:val="0"/>
        <w:pageBreakBefore w:val="0"/>
        <w:widowControl w:val="0"/>
        <w:kinsoku/>
        <w:wordWrap/>
        <w:overflowPunct/>
        <w:topLinePunct w:val="0"/>
        <w:autoSpaceDE/>
        <w:autoSpaceDN/>
        <w:bidi w:val="0"/>
        <w:adjustRightInd/>
        <w:snapToGrid/>
        <w:spacing w:line="360" w:lineRule="auto"/>
        <w:ind w:left="1196" w:leftChars="170" w:hanging="720" w:hangingChars="300"/>
        <w:jc w:val="both"/>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bidi="ar-SA"/>
        </w:rPr>
        <w:t>附件3：专项资金-和地财教[2023]73号：2024年新疆西藏等地区教育特殊补助资金-学前三年免费保障经费-公用经费、伙食费-洛财教【2024】22号满意度调查问卷分析报告</w:t>
      </w:r>
    </w:p>
    <w:p w14:paraId="204B53ED">
      <w:pPr>
        <w:pStyle w:val="10"/>
        <w:ind w:left="0" w:leftChars="0" w:firstLine="0" w:firstLineChars="0"/>
        <w:jc w:val="both"/>
        <w:rPr>
          <w:rFonts w:hint="eastAsia" w:ascii="宋体" w:hAnsi="宋体" w:eastAsia="宋体" w:cs="宋体"/>
          <w:sz w:val="24"/>
          <w:szCs w:val="24"/>
        </w:rPr>
      </w:pPr>
    </w:p>
    <w:p w14:paraId="6E537918">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4865" w:type="dxa"/>
        <w:tblInd w:w="-69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5"/>
        <w:gridCol w:w="825"/>
        <w:gridCol w:w="705"/>
        <w:gridCol w:w="660"/>
        <w:gridCol w:w="705"/>
        <w:gridCol w:w="555"/>
        <w:gridCol w:w="2490"/>
        <w:gridCol w:w="1155"/>
        <w:gridCol w:w="5400"/>
        <w:gridCol w:w="870"/>
        <w:gridCol w:w="855"/>
      </w:tblGrid>
      <w:tr w14:paraId="2DB01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470" w:type="dxa"/>
            <w:gridSpan w:val="2"/>
            <w:tcBorders>
              <w:top w:val="nil"/>
              <w:left w:val="nil"/>
              <w:bottom w:val="nil"/>
              <w:right w:val="nil"/>
            </w:tcBorders>
            <w:noWrap/>
            <w:vAlign w:val="center"/>
          </w:tcPr>
          <w:p w14:paraId="4133B16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705" w:type="dxa"/>
            <w:tcBorders>
              <w:top w:val="nil"/>
              <w:left w:val="nil"/>
              <w:bottom w:val="nil"/>
              <w:right w:val="nil"/>
            </w:tcBorders>
            <w:noWrap/>
            <w:vAlign w:val="center"/>
          </w:tcPr>
          <w:p w14:paraId="5910EB0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660" w:type="dxa"/>
            <w:tcBorders>
              <w:top w:val="nil"/>
              <w:left w:val="nil"/>
              <w:bottom w:val="nil"/>
              <w:right w:val="nil"/>
            </w:tcBorders>
            <w:noWrap/>
            <w:vAlign w:val="center"/>
          </w:tcPr>
          <w:p w14:paraId="73CB245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705" w:type="dxa"/>
            <w:tcBorders>
              <w:top w:val="nil"/>
              <w:left w:val="nil"/>
              <w:bottom w:val="nil"/>
              <w:right w:val="nil"/>
            </w:tcBorders>
            <w:noWrap/>
            <w:vAlign w:val="center"/>
          </w:tcPr>
          <w:p w14:paraId="26CA930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55" w:type="dxa"/>
            <w:tcBorders>
              <w:top w:val="nil"/>
              <w:left w:val="nil"/>
              <w:bottom w:val="nil"/>
              <w:right w:val="nil"/>
            </w:tcBorders>
            <w:noWrap/>
            <w:vAlign w:val="center"/>
          </w:tcPr>
          <w:p w14:paraId="2A22544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490" w:type="dxa"/>
            <w:tcBorders>
              <w:top w:val="nil"/>
              <w:left w:val="nil"/>
              <w:bottom w:val="nil"/>
              <w:right w:val="nil"/>
            </w:tcBorders>
            <w:noWrap/>
            <w:vAlign w:val="center"/>
          </w:tcPr>
          <w:p w14:paraId="754696F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1155" w:type="dxa"/>
            <w:tcBorders>
              <w:top w:val="nil"/>
              <w:left w:val="nil"/>
              <w:bottom w:val="nil"/>
              <w:right w:val="nil"/>
            </w:tcBorders>
            <w:noWrap/>
            <w:vAlign w:val="center"/>
          </w:tcPr>
          <w:p w14:paraId="38DA46A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400" w:type="dxa"/>
            <w:tcBorders>
              <w:top w:val="nil"/>
              <w:left w:val="nil"/>
              <w:bottom w:val="nil"/>
              <w:right w:val="nil"/>
            </w:tcBorders>
            <w:noWrap/>
            <w:vAlign w:val="center"/>
          </w:tcPr>
          <w:p w14:paraId="5CB08B22">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870" w:type="dxa"/>
            <w:tcBorders>
              <w:top w:val="nil"/>
              <w:left w:val="nil"/>
              <w:bottom w:val="nil"/>
              <w:right w:val="nil"/>
            </w:tcBorders>
            <w:noWrap/>
            <w:vAlign w:val="center"/>
          </w:tcPr>
          <w:p w14:paraId="481071D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855" w:type="dxa"/>
            <w:tcBorders>
              <w:top w:val="nil"/>
              <w:left w:val="nil"/>
              <w:bottom w:val="nil"/>
              <w:right w:val="nil"/>
            </w:tcBorders>
            <w:noWrap/>
            <w:vAlign w:val="center"/>
          </w:tcPr>
          <w:p w14:paraId="09030A0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r>
      <w:tr w14:paraId="1FA9B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4865" w:type="dxa"/>
            <w:gridSpan w:val="11"/>
            <w:tcBorders>
              <w:top w:val="nil"/>
              <w:left w:val="nil"/>
              <w:bottom w:val="nil"/>
              <w:right w:val="nil"/>
            </w:tcBorders>
            <w:noWrap w:val="0"/>
            <w:vAlign w:val="center"/>
          </w:tcPr>
          <w:p w14:paraId="72615F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FF0000"/>
                <w:sz w:val="21"/>
                <w:szCs w:val="21"/>
                <w:u w:val="none"/>
              </w:rPr>
            </w:pPr>
            <w:r>
              <w:rPr>
                <w:rStyle w:val="43"/>
                <w:rFonts w:hint="eastAsia" w:ascii="宋体" w:hAnsi="宋体" w:eastAsia="宋体" w:cs="宋体"/>
                <w:sz w:val="21"/>
                <w:szCs w:val="21"/>
                <w:lang w:val="en-US" w:eastAsia="zh-CN"/>
              </w:rPr>
              <w:t>2024年新疆西藏等地区教育特殊补助资金-学前三年免费保障经费绩效评价指标体系综合评分表</w:t>
            </w:r>
          </w:p>
        </w:tc>
      </w:tr>
      <w:tr w14:paraId="4B56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45" w:type="dxa"/>
            <w:tcBorders>
              <w:top w:val="single" w:color="auto" w:sz="4" w:space="0"/>
              <w:left w:val="single" w:color="auto" w:sz="4" w:space="0"/>
              <w:bottom w:val="single" w:color="auto" w:sz="4" w:space="0"/>
              <w:right w:val="single" w:color="auto" w:sz="4" w:space="0"/>
            </w:tcBorders>
            <w:noWrap w:val="0"/>
            <w:vAlign w:val="center"/>
          </w:tcPr>
          <w:p w14:paraId="31AAD1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15F70B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0170E1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50FC28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7F6622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554FB9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3349E2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4DD734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69C9BB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077C06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1CF98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712BB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2" w:hRule="atLeast"/>
        </w:trPr>
        <w:tc>
          <w:tcPr>
            <w:tcW w:w="645" w:type="dxa"/>
            <w:vMerge w:val="restart"/>
            <w:tcBorders>
              <w:top w:val="single" w:color="auto" w:sz="4" w:space="0"/>
              <w:left w:val="single" w:color="auto" w:sz="4" w:space="0"/>
              <w:bottom w:val="single" w:color="auto" w:sz="4" w:space="0"/>
              <w:right w:val="single" w:color="auto" w:sz="4" w:space="0"/>
            </w:tcBorders>
            <w:noWrap w:val="0"/>
            <w:vAlign w:val="center"/>
          </w:tcPr>
          <w:p w14:paraId="1CFBCE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825" w:type="dxa"/>
            <w:vMerge w:val="restart"/>
            <w:tcBorders>
              <w:top w:val="single" w:color="auto" w:sz="4" w:space="0"/>
              <w:left w:val="single" w:color="auto" w:sz="4" w:space="0"/>
              <w:bottom w:val="single" w:color="auto" w:sz="4" w:space="0"/>
              <w:right w:val="single" w:color="auto" w:sz="4" w:space="0"/>
            </w:tcBorders>
            <w:noWrap w:val="0"/>
            <w:vAlign w:val="center"/>
          </w:tcPr>
          <w:p w14:paraId="05F42B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705" w:type="dxa"/>
            <w:vMerge w:val="restart"/>
            <w:tcBorders>
              <w:top w:val="single" w:color="auto" w:sz="4" w:space="0"/>
              <w:left w:val="single" w:color="auto" w:sz="4" w:space="0"/>
              <w:bottom w:val="single" w:color="auto" w:sz="4" w:space="0"/>
              <w:right w:val="single" w:color="auto" w:sz="4" w:space="0"/>
            </w:tcBorders>
            <w:noWrap w:val="0"/>
            <w:vAlign w:val="center"/>
          </w:tcPr>
          <w:p w14:paraId="6C2CC5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660" w:type="dxa"/>
            <w:vMerge w:val="restart"/>
            <w:tcBorders>
              <w:top w:val="single" w:color="auto" w:sz="4" w:space="0"/>
              <w:left w:val="single" w:color="auto" w:sz="4" w:space="0"/>
              <w:bottom w:val="single" w:color="auto" w:sz="4" w:space="0"/>
              <w:right w:val="single" w:color="auto" w:sz="4" w:space="0"/>
            </w:tcBorders>
            <w:noWrap w:val="0"/>
            <w:vAlign w:val="center"/>
          </w:tcPr>
          <w:p w14:paraId="7E3F11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6E6581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014124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1545C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8F3BE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3065460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36F4722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68B8A63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2BBB934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3D1AD71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6182448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7DF245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63F5D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6199F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588A31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3E8FFC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top w:val="single" w:color="auto" w:sz="4" w:space="0"/>
              <w:left w:val="single" w:color="auto" w:sz="4" w:space="0"/>
              <w:bottom w:val="single" w:color="auto" w:sz="4" w:space="0"/>
              <w:right w:val="single" w:color="auto" w:sz="4" w:space="0"/>
            </w:tcBorders>
            <w:noWrap w:val="0"/>
            <w:vAlign w:val="center"/>
          </w:tcPr>
          <w:p w14:paraId="2917CC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vMerge w:val="continue"/>
            <w:tcBorders>
              <w:top w:val="single" w:color="auto" w:sz="4" w:space="0"/>
              <w:left w:val="single" w:color="auto" w:sz="4" w:space="0"/>
              <w:bottom w:val="single" w:color="auto" w:sz="4" w:space="0"/>
              <w:right w:val="single" w:color="auto" w:sz="4" w:space="0"/>
            </w:tcBorders>
            <w:noWrap w:val="0"/>
            <w:vAlign w:val="center"/>
          </w:tcPr>
          <w:p w14:paraId="5DA5EE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tcBorders>
              <w:top w:val="single" w:color="auto" w:sz="4" w:space="0"/>
              <w:left w:val="single" w:color="auto" w:sz="4" w:space="0"/>
              <w:bottom w:val="single" w:color="auto" w:sz="4" w:space="0"/>
              <w:right w:val="single" w:color="auto" w:sz="4" w:space="0"/>
            </w:tcBorders>
            <w:noWrap w:val="0"/>
            <w:vAlign w:val="center"/>
          </w:tcPr>
          <w:p w14:paraId="67F7A3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617B9D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377A15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068EA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4A8540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488B31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71E98F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13DC12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177B90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B4ABA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6B042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1BD31D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42BC70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restart"/>
            <w:tcBorders>
              <w:top w:val="single" w:color="auto" w:sz="4" w:space="0"/>
              <w:left w:val="single" w:color="auto" w:sz="4" w:space="0"/>
              <w:bottom w:val="single" w:color="auto" w:sz="4" w:space="0"/>
              <w:right w:val="single" w:color="auto" w:sz="4" w:space="0"/>
            </w:tcBorders>
            <w:noWrap w:val="0"/>
            <w:vAlign w:val="center"/>
          </w:tcPr>
          <w:p w14:paraId="45343F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660" w:type="dxa"/>
            <w:vMerge w:val="restart"/>
            <w:tcBorders>
              <w:top w:val="single" w:color="auto" w:sz="4" w:space="0"/>
              <w:left w:val="single" w:color="auto" w:sz="4" w:space="0"/>
              <w:bottom w:val="single" w:color="auto" w:sz="4" w:space="0"/>
              <w:right w:val="single" w:color="auto" w:sz="4" w:space="0"/>
            </w:tcBorders>
            <w:noWrap w:val="0"/>
            <w:vAlign w:val="center"/>
          </w:tcPr>
          <w:p w14:paraId="7A4C99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34CAD7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357824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20A3F2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869DF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49D352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124DDF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4B5646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2B6A93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1EA52F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2CC679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E5BE2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4FC13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09AE29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437BF0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top w:val="single" w:color="auto" w:sz="4" w:space="0"/>
              <w:left w:val="single" w:color="auto" w:sz="4" w:space="0"/>
              <w:bottom w:val="single" w:color="auto" w:sz="4" w:space="0"/>
              <w:right w:val="single" w:color="auto" w:sz="4" w:space="0"/>
            </w:tcBorders>
            <w:noWrap w:val="0"/>
            <w:vAlign w:val="center"/>
          </w:tcPr>
          <w:p w14:paraId="471883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vMerge w:val="continue"/>
            <w:tcBorders>
              <w:top w:val="single" w:color="auto" w:sz="4" w:space="0"/>
              <w:left w:val="single" w:color="auto" w:sz="4" w:space="0"/>
              <w:bottom w:val="single" w:color="auto" w:sz="4" w:space="0"/>
              <w:right w:val="single" w:color="auto" w:sz="4" w:space="0"/>
            </w:tcBorders>
            <w:noWrap w:val="0"/>
            <w:vAlign w:val="center"/>
          </w:tcPr>
          <w:p w14:paraId="13DB20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tcBorders>
              <w:top w:val="single" w:color="auto" w:sz="4" w:space="0"/>
              <w:left w:val="single" w:color="auto" w:sz="4" w:space="0"/>
              <w:bottom w:val="single" w:color="auto" w:sz="4" w:space="0"/>
              <w:right w:val="single" w:color="auto" w:sz="4" w:space="0"/>
            </w:tcBorders>
            <w:noWrap w:val="0"/>
            <w:vAlign w:val="center"/>
          </w:tcPr>
          <w:p w14:paraId="6B41CF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3FC244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46611F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397C4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67D523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5EB978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763F04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14108B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588E10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158B3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392F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36D840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78417B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restart"/>
            <w:tcBorders>
              <w:top w:val="single" w:color="auto" w:sz="4" w:space="0"/>
              <w:left w:val="single" w:color="auto" w:sz="4" w:space="0"/>
              <w:bottom w:val="single" w:color="auto" w:sz="4" w:space="0"/>
              <w:right w:val="single" w:color="auto" w:sz="4" w:space="0"/>
            </w:tcBorders>
            <w:noWrap w:val="0"/>
            <w:vAlign w:val="center"/>
          </w:tcPr>
          <w:p w14:paraId="5487D0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660" w:type="dxa"/>
            <w:vMerge w:val="restart"/>
            <w:tcBorders>
              <w:top w:val="single" w:color="auto" w:sz="4" w:space="0"/>
              <w:left w:val="single" w:color="auto" w:sz="4" w:space="0"/>
              <w:bottom w:val="single" w:color="auto" w:sz="4" w:space="0"/>
              <w:right w:val="single" w:color="auto" w:sz="4" w:space="0"/>
            </w:tcBorders>
            <w:noWrap w:val="0"/>
            <w:vAlign w:val="center"/>
          </w:tcPr>
          <w:p w14:paraId="33DE7B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2B81D1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64DCE4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2A204D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C3906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7E345C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722A64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16B3BD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298604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5ECF43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574023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065D5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147B5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3D1FDC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076226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top w:val="single" w:color="auto" w:sz="4" w:space="0"/>
              <w:left w:val="single" w:color="auto" w:sz="4" w:space="0"/>
              <w:bottom w:val="single" w:color="auto" w:sz="4" w:space="0"/>
              <w:right w:val="single" w:color="auto" w:sz="4" w:space="0"/>
            </w:tcBorders>
            <w:noWrap w:val="0"/>
            <w:vAlign w:val="center"/>
          </w:tcPr>
          <w:p w14:paraId="7E0274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vMerge w:val="continue"/>
            <w:tcBorders>
              <w:top w:val="single" w:color="auto" w:sz="4" w:space="0"/>
              <w:left w:val="single" w:color="auto" w:sz="4" w:space="0"/>
              <w:bottom w:val="single" w:color="auto" w:sz="4" w:space="0"/>
              <w:right w:val="single" w:color="auto" w:sz="4" w:space="0"/>
            </w:tcBorders>
            <w:noWrap w:val="0"/>
            <w:vAlign w:val="center"/>
          </w:tcPr>
          <w:p w14:paraId="108CAA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tcBorders>
              <w:top w:val="single" w:color="auto" w:sz="4" w:space="0"/>
              <w:left w:val="single" w:color="auto" w:sz="4" w:space="0"/>
              <w:bottom w:val="single" w:color="auto" w:sz="4" w:space="0"/>
              <w:right w:val="single" w:color="auto" w:sz="4" w:space="0"/>
            </w:tcBorders>
            <w:noWrap w:val="0"/>
            <w:vAlign w:val="center"/>
          </w:tcPr>
          <w:p w14:paraId="1DC727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7E0260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0F9534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BF754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0DC2AB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76ECED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4ED941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5B50A1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3E2AE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2DAC6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645" w:type="dxa"/>
            <w:vMerge w:val="restart"/>
            <w:tcBorders>
              <w:top w:val="single" w:color="auto" w:sz="4" w:space="0"/>
              <w:left w:val="single" w:color="auto" w:sz="4" w:space="0"/>
              <w:bottom w:val="single" w:color="auto" w:sz="4" w:space="0"/>
              <w:right w:val="single" w:color="auto" w:sz="4" w:space="0"/>
            </w:tcBorders>
            <w:noWrap w:val="0"/>
            <w:vAlign w:val="center"/>
          </w:tcPr>
          <w:p w14:paraId="3DC90D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825" w:type="dxa"/>
            <w:vMerge w:val="restart"/>
            <w:tcBorders>
              <w:top w:val="single" w:color="auto" w:sz="4" w:space="0"/>
              <w:left w:val="single" w:color="auto" w:sz="4" w:space="0"/>
              <w:bottom w:val="single" w:color="auto" w:sz="4" w:space="0"/>
              <w:right w:val="single" w:color="auto" w:sz="4" w:space="0"/>
            </w:tcBorders>
            <w:noWrap w:val="0"/>
            <w:vAlign w:val="center"/>
          </w:tcPr>
          <w:p w14:paraId="2A26B6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705" w:type="dxa"/>
            <w:vMerge w:val="restart"/>
            <w:tcBorders>
              <w:top w:val="single" w:color="auto" w:sz="4" w:space="0"/>
              <w:left w:val="single" w:color="auto" w:sz="4" w:space="0"/>
              <w:bottom w:val="single" w:color="auto" w:sz="4" w:space="0"/>
              <w:right w:val="single" w:color="auto" w:sz="4" w:space="0"/>
            </w:tcBorders>
            <w:noWrap w:val="0"/>
            <w:vAlign w:val="center"/>
          </w:tcPr>
          <w:p w14:paraId="7D468C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660" w:type="dxa"/>
            <w:vMerge w:val="restart"/>
            <w:tcBorders>
              <w:top w:val="single" w:color="auto" w:sz="4" w:space="0"/>
              <w:left w:val="single" w:color="auto" w:sz="4" w:space="0"/>
              <w:bottom w:val="single" w:color="auto" w:sz="4" w:space="0"/>
              <w:right w:val="single" w:color="auto" w:sz="4" w:space="0"/>
            </w:tcBorders>
            <w:noWrap w:val="0"/>
            <w:vAlign w:val="center"/>
          </w:tcPr>
          <w:p w14:paraId="532DC5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227392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7EEA07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614171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D7F82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24DEC1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049E5D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401494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ED657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r>
      <w:tr w14:paraId="24C7F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687861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7AC6A7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top w:val="single" w:color="auto" w:sz="4" w:space="0"/>
              <w:left w:val="single" w:color="auto" w:sz="4" w:space="0"/>
              <w:bottom w:val="single" w:color="auto" w:sz="4" w:space="0"/>
              <w:right w:val="single" w:color="auto" w:sz="4" w:space="0"/>
            </w:tcBorders>
            <w:noWrap w:val="0"/>
            <w:vAlign w:val="center"/>
          </w:tcPr>
          <w:p w14:paraId="351099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vMerge w:val="continue"/>
            <w:tcBorders>
              <w:top w:val="single" w:color="auto" w:sz="4" w:space="0"/>
              <w:left w:val="single" w:color="auto" w:sz="4" w:space="0"/>
              <w:bottom w:val="single" w:color="auto" w:sz="4" w:space="0"/>
              <w:right w:val="single" w:color="auto" w:sz="4" w:space="0"/>
            </w:tcBorders>
            <w:noWrap w:val="0"/>
            <w:vAlign w:val="center"/>
          </w:tcPr>
          <w:p w14:paraId="3319B6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tcBorders>
              <w:top w:val="single" w:color="auto" w:sz="4" w:space="0"/>
              <w:left w:val="single" w:color="auto" w:sz="4" w:space="0"/>
              <w:bottom w:val="single" w:color="auto" w:sz="4" w:space="0"/>
              <w:right w:val="single" w:color="auto" w:sz="4" w:space="0"/>
            </w:tcBorders>
            <w:noWrap w:val="0"/>
            <w:vAlign w:val="center"/>
          </w:tcPr>
          <w:p w14:paraId="005781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4BECA1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449C6B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C8A5A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039AC7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4B2090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1FE5F1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98.43%</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B4E62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1.97</w:t>
            </w:r>
          </w:p>
        </w:tc>
      </w:tr>
      <w:tr w14:paraId="664B8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061BA1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1FE5B5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top w:val="single" w:color="auto" w:sz="4" w:space="0"/>
              <w:left w:val="single" w:color="auto" w:sz="4" w:space="0"/>
              <w:bottom w:val="single" w:color="auto" w:sz="4" w:space="0"/>
              <w:right w:val="single" w:color="auto" w:sz="4" w:space="0"/>
            </w:tcBorders>
            <w:noWrap w:val="0"/>
            <w:vAlign w:val="center"/>
          </w:tcPr>
          <w:p w14:paraId="18F7A2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vMerge w:val="continue"/>
            <w:tcBorders>
              <w:top w:val="single" w:color="auto" w:sz="4" w:space="0"/>
              <w:left w:val="single" w:color="auto" w:sz="4" w:space="0"/>
              <w:bottom w:val="single" w:color="auto" w:sz="4" w:space="0"/>
              <w:right w:val="single" w:color="auto" w:sz="4" w:space="0"/>
            </w:tcBorders>
            <w:noWrap w:val="0"/>
            <w:vAlign w:val="center"/>
          </w:tcPr>
          <w:p w14:paraId="150D80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tcBorders>
              <w:top w:val="single" w:color="auto" w:sz="4" w:space="0"/>
              <w:left w:val="single" w:color="auto" w:sz="4" w:space="0"/>
              <w:bottom w:val="single" w:color="auto" w:sz="4" w:space="0"/>
              <w:right w:val="single" w:color="auto" w:sz="4" w:space="0"/>
            </w:tcBorders>
            <w:noWrap w:val="0"/>
            <w:vAlign w:val="center"/>
          </w:tcPr>
          <w:p w14:paraId="51FD28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26CCED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DF4F0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A6B6B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47C406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7F55D1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31FD7A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228249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326C56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00C4F4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14C33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24DC9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2"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230DB6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59293D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restart"/>
            <w:tcBorders>
              <w:top w:val="single" w:color="auto" w:sz="4" w:space="0"/>
              <w:left w:val="single" w:color="auto" w:sz="4" w:space="0"/>
              <w:bottom w:val="single" w:color="auto" w:sz="4" w:space="0"/>
              <w:right w:val="single" w:color="auto" w:sz="4" w:space="0"/>
            </w:tcBorders>
            <w:noWrap w:val="0"/>
            <w:vAlign w:val="center"/>
          </w:tcPr>
          <w:p w14:paraId="53D5B8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660" w:type="dxa"/>
            <w:vMerge w:val="restart"/>
            <w:tcBorders>
              <w:top w:val="single" w:color="auto" w:sz="4" w:space="0"/>
              <w:left w:val="single" w:color="auto" w:sz="4" w:space="0"/>
              <w:bottom w:val="single" w:color="auto" w:sz="4" w:space="0"/>
              <w:right w:val="single" w:color="auto" w:sz="4" w:space="0"/>
            </w:tcBorders>
            <w:noWrap w:val="0"/>
            <w:vAlign w:val="center"/>
          </w:tcPr>
          <w:p w14:paraId="63EADB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05A3A5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441A41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601CFD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9CB79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0AD96B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4E3734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55B6EB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320F02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A90B6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6F2EF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361B8B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04A8B4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top w:val="single" w:color="auto" w:sz="4" w:space="0"/>
              <w:left w:val="single" w:color="auto" w:sz="4" w:space="0"/>
              <w:bottom w:val="single" w:color="auto" w:sz="4" w:space="0"/>
              <w:right w:val="single" w:color="auto" w:sz="4" w:space="0"/>
            </w:tcBorders>
            <w:noWrap w:val="0"/>
            <w:vAlign w:val="center"/>
          </w:tcPr>
          <w:p w14:paraId="7F2599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vMerge w:val="continue"/>
            <w:tcBorders>
              <w:top w:val="single" w:color="auto" w:sz="4" w:space="0"/>
              <w:left w:val="single" w:color="auto" w:sz="4" w:space="0"/>
              <w:bottom w:val="single" w:color="auto" w:sz="4" w:space="0"/>
              <w:right w:val="single" w:color="auto" w:sz="4" w:space="0"/>
            </w:tcBorders>
            <w:noWrap w:val="0"/>
            <w:vAlign w:val="center"/>
          </w:tcPr>
          <w:p w14:paraId="1AEC53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tcBorders>
              <w:top w:val="single" w:color="auto" w:sz="4" w:space="0"/>
              <w:left w:val="single" w:color="auto" w:sz="4" w:space="0"/>
              <w:bottom w:val="single" w:color="auto" w:sz="4" w:space="0"/>
              <w:right w:val="single" w:color="auto" w:sz="4" w:space="0"/>
            </w:tcBorders>
            <w:noWrap w:val="0"/>
            <w:vAlign w:val="center"/>
          </w:tcPr>
          <w:p w14:paraId="6CB117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0F0E8F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261D61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32A78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076162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2CEF70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0FEDF4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1B1D8F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2805BC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3FAAC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378F2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5" w:hRule="atLeast"/>
        </w:trPr>
        <w:tc>
          <w:tcPr>
            <w:tcW w:w="645" w:type="dxa"/>
            <w:vMerge w:val="restart"/>
            <w:tcBorders>
              <w:top w:val="single" w:color="auto" w:sz="4" w:space="0"/>
              <w:left w:val="single" w:color="auto" w:sz="4" w:space="0"/>
              <w:bottom w:val="single" w:color="auto" w:sz="4" w:space="0"/>
              <w:right w:val="single" w:color="auto" w:sz="4" w:space="0"/>
            </w:tcBorders>
            <w:noWrap w:val="0"/>
            <w:vAlign w:val="center"/>
          </w:tcPr>
          <w:p w14:paraId="571FC5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825" w:type="dxa"/>
            <w:vMerge w:val="restart"/>
            <w:tcBorders>
              <w:top w:val="single" w:color="auto" w:sz="4" w:space="0"/>
              <w:left w:val="single" w:color="auto" w:sz="4" w:space="0"/>
              <w:bottom w:val="single" w:color="auto" w:sz="4" w:space="0"/>
              <w:right w:val="single" w:color="auto" w:sz="4" w:space="0"/>
            </w:tcBorders>
            <w:noWrap w:val="0"/>
            <w:vAlign w:val="center"/>
          </w:tcPr>
          <w:p w14:paraId="0998C6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05EC83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43D312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119746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755235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836DC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学前教育保障经费受益学生数量</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03079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=695人</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58DF60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①实际完成率≥100%，且偏离程度＜20%，得满分；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②实际完成率≥100%，偏离程度≥20%，得0分；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23DB38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=695人</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AF40C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5A402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320622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757538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restart"/>
            <w:tcBorders>
              <w:top w:val="single" w:color="auto" w:sz="4" w:space="0"/>
              <w:left w:val="single" w:color="auto" w:sz="4" w:space="0"/>
              <w:right w:val="single" w:color="auto" w:sz="4" w:space="0"/>
            </w:tcBorders>
            <w:noWrap w:val="0"/>
            <w:vAlign w:val="center"/>
          </w:tcPr>
          <w:p w14:paraId="484057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660" w:type="dxa"/>
            <w:vMerge w:val="restart"/>
            <w:tcBorders>
              <w:top w:val="single" w:color="auto" w:sz="4" w:space="0"/>
              <w:left w:val="single" w:color="auto" w:sz="4" w:space="0"/>
              <w:right w:val="single" w:color="auto" w:sz="4" w:space="0"/>
            </w:tcBorders>
            <w:noWrap w:val="0"/>
            <w:vAlign w:val="center"/>
          </w:tcPr>
          <w:p w14:paraId="08526E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05" w:type="dxa"/>
            <w:vMerge w:val="restart"/>
            <w:tcBorders>
              <w:top w:val="single" w:color="auto" w:sz="4" w:space="0"/>
              <w:left w:val="single" w:color="auto" w:sz="4" w:space="0"/>
              <w:right w:val="single" w:color="auto" w:sz="4" w:space="0"/>
            </w:tcBorders>
            <w:noWrap w:val="0"/>
            <w:vAlign w:val="center"/>
          </w:tcPr>
          <w:p w14:paraId="42F6B6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555" w:type="dxa"/>
            <w:vMerge w:val="restart"/>
            <w:tcBorders>
              <w:top w:val="single" w:color="auto" w:sz="4" w:space="0"/>
              <w:left w:val="single" w:color="auto" w:sz="4" w:space="0"/>
              <w:right w:val="single" w:color="auto" w:sz="4" w:space="0"/>
            </w:tcBorders>
            <w:noWrap w:val="0"/>
            <w:vAlign w:val="center"/>
          </w:tcPr>
          <w:p w14:paraId="599F48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5A4F3B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补助覆盖率</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295CF9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5400" w:type="dxa"/>
            <w:vMerge w:val="restart"/>
            <w:tcBorders>
              <w:top w:val="single" w:color="auto" w:sz="4" w:space="0"/>
              <w:left w:val="single" w:color="auto" w:sz="4" w:space="0"/>
              <w:right w:val="single" w:color="auto" w:sz="4" w:space="0"/>
            </w:tcBorders>
            <w:noWrap w:val="0"/>
            <w:vAlign w:val="center"/>
          </w:tcPr>
          <w:p w14:paraId="6D5BAE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p w14:paraId="48C77A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120095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7B7EB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378FD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0C0551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033614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705" w:type="dxa"/>
            <w:vMerge w:val="continue"/>
            <w:tcBorders>
              <w:left w:val="single" w:color="auto" w:sz="4" w:space="0"/>
              <w:right w:val="single" w:color="auto" w:sz="4" w:space="0"/>
            </w:tcBorders>
            <w:noWrap w:val="0"/>
            <w:vAlign w:val="center"/>
          </w:tcPr>
          <w:p w14:paraId="68FEC4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660" w:type="dxa"/>
            <w:vMerge w:val="continue"/>
            <w:tcBorders>
              <w:left w:val="single" w:color="auto" w:sz="4" w:space="0"/>
              <w:right w:val="single" w:color="auto" w:sz="4" w:space="0"/>
            </w:tcBorders>
            <w:noWrap w:val="0"/>
            <w:vAlign w:val="center"/>
          </w:tcPr>
          <w:p w14:paraId="532508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705" w:type="dxa"/>
            <w:vMerge w:val="continue"/>
            <w:tcBorders>
              <w:left w:val="single" w:color="auto" w:sz="4" w:space="0"/>
              <w:right w:val="single" w:color="auto" w:sz="4" w:space="0"/>
            </w:tcBorders>
            <w:noWrap w:val="0"/>
            <w:vAlign w:val="center"/>
          </w:tcPr>
          <w:p w14:paraId="50958C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555" w:type="dxa"/>
            <w:vMerge w:val="continue"/>
            <w:tcBorders>
              <w:left w:val="single" w:color="auto" w:sz="4" w:space="0"/>
              <w:right w:val="single" w:color="auto" w:sz="4" w:space="0"/>
            </w:tcBorders>
            <w:noWrap w:val="0"/>
            <w:vAlign w:val="center"/>
          </w:tcPr>
          <w:p w14:paraId="242CF5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575894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补助金发放率</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4F880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5400" w:type="dxa"/>
            <w:vMerge w:val="continue"/>
            <w:tcBorders>
              <w:left w:val="single" w:color="auto" w:sz="4" w:space="0"/>
              <w:right w:val="single" w:color="auto" w:sz="4" w:space="0"/>
            </w:tcBorders>
            <w:noWrap w:val="0"/>
            <w:vAlign w:val="center"/>
          </w:tcPr>
          <w:p w14:paraId="5E889A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90D85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BD404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1DE1C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645" w:type="dxa"/>
            <w:vMerge w:val="continue"/>
            <w:tcBorders>
              <w:left w:val="single" w:color="auto" w:sz="4" w:space="0"/>
              <w:bottom w:val="single" w:color="auto" w:sz="4" w:space="0"/>
              <w:right w:val="single" w:color="auto" w:sz="4" w:space="0"/>
            </w:tcBorders>
            <w:noWrap w:val="0"/>
            <w:vAlign w:val="center"/>
          </w:tcPr>
          <w:p w14:paraId="35A495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left w:val="single" w:color="auto" w:sz="4" w:space="0"/>
              <w:bottom w:val="single" w:color="auto" w:sz="4" w:space="0"/>
              <w:right w:val="single" w:color="auto" w:sz="4" w:space="0"/>
            </w:tcBorders>
            <w:noWrap w:val="0"/>
            <w:vAlign w:val="center"/>
          </w:tcPr>
          <w:p w14:paraId="4629F6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left w:val="single" w:color="auto" w:sz="4" w:space="0"/>
              <w:bottom w:val="single" w:color="auto" w:sz="4" w:space="0"/>
              <w:right w:val="single" w:color="auto" w:sz="4" w:space="0"/>
            </w:tcBorders>
            <w:noWrap w:val="0"/>
            <w:vAlign w:val="center"/>
          </w:tcPr>
          <w:p w14:paraId="22C97D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vMerge w:val="continue"/>
            <w:tcBorders>
              <w:left w:val="single" w:color="auto" w:sz="4" w:space="0"/>
              <w:bottom w:val="single" w:color="auto" w:sz="4" w:space="0"/>
              <w:right w:val="single" w:color="auto" w:sz="4" w:space="0"/>
            </w:tcBorders>
            <w:noWrap w:val="0"/>
            <w:vAlign w:val="center"/>
          </w:tcPr>
          <w:p w14:paraId="52ACF8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left w:val="single" w:color="auto" w:sz="4" w:space="0"/>
              <w:bottom w:val="single" w:color="auto" w:sz="4" w:space="0"/>
              <w:right w:val="single" w:color="auto" w:sz="4" w:space="0"/>
            </w:tcBorders>
            <w:noWrap w:val="0"/>
            <w:vAlign w:val="center"/>
          </w:tcPr>
          <w:p w14:paraId="2D05E2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5" w:type="dxa"/>
            <w:vMerge w:val="continue"/>
            <w:tcBorders>
              <w:left w:val="single" w:color="auto" w:sz="4" w:space="0"/>
              <w:bottom w:val="single" w:color="auto" w:sz="4" w:space="0"/>
              <w:right w:val="single" w:color="auto" w:sz="4" w:space="0"/>
            </w:tcBorders>
            <w:noWrap w:val="0"/>
            <w:vAlign w:val="center"/>
          </w:tcPr>
          <w:p w14:paraId="3C6168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69FF11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补助资金到位率</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6D306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5400" w:type="dxa"/>
            <w:vMerge w:val="continue"/>
            <w:tcBorders>
              <w:left w:val="single" w:color="auto" w:sz="4" w:space="0"/>
              <w:right w:val="single" w:color="auto" w:sz="4" w:space="0"/>
            </w:tcBorders>
            <w:noWrap w:val="0"/>
            <w:vAlign w:val="center"/>
          </w:tcPr>
          <w:p w14:paraId="54DFA4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AAA71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CA9AF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2891A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0AF179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64575B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restart"/>
            <w:tcBorders>
              <w:top w:val="single" w:color="auto" w:sz="4" w:space="0"/>
              <w:left w:val="single" w:color="auto" w:sz="4" w:space="0"/>
              <w:right w:val="single" w:color="auto" w:sz="4" w:space="0"/>
            </w:tcBorders>
            <w:noWrap w:val="0"/>
            <w:vAlign w:val="center"/>
          </w:tcPr>
          <w:p w14:paraId="7D64AE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660" w:type="dxa"/>
            <w:vMerge w:val="restart"/>
            <w:tcBorders>
              <w:top w:val="single" w:color="auto" w:sz="4" w:space="0"/>
              <w:left w:val="single" w:color="auto" w:sz="4" w:space="0"/>
              <w:right w:val="single" w:color="auto" w:sz="4" w:space="0"/>
            </w:tcBorders>
            <w:noWrap w:val="0"/>
            <w:vAlign w:val="center"/>
          </w:tcPr>
          <w:p w14:paraId="2179AC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05" w:type="dxa"/>
            <w:vMerge w:val="restart"/>
            <w:tcBorders>
              <w:top w:val="single" w:color="auto" w:sz="4" w:space="0"/>
              <w:left w:val="single" w:color="auto" w:sz="4" w:space="0"/>
              <w:right w:val="single" w:color="auto" w:sz="4" w:space="0"/>
            </w:tcBorders>
            <w:noWrap w:val="0"/>
            <w:vAlign w:val="center"/>
          </w:tcPr>
          <w:p w14:paraId="05D68B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555" w:type="dxa"/>
            <w:vMerge w:val="restart"/>
            <w:tcBorders>
              <w:top w:val="single" w:color="auto" w:sz="4" w:space="0"/>
              <w:left w:val="single" w:color="auto" w:sz="4" w:space="0"/>
              <w:right w:val="single" w:color="auto" w:sz="4" w:space="0"/>
            </w:tcBorders>
            <w:noWrap w:val="0"/>
            <w:vAlign w:val="center"/>
          </w:tcPr>
          <w:p w14:paraId="67CF6A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1103BE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项目开始时间</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DE3FA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2024年1月</w:t>
            </w:r>
          </w:p>
        </w:tc>
        <w:tc>
          <w:tcPr>
            <w:tcW w:w="5400" w:type="dxa"/>
            <w:vMerge w:val="restart"/>
            <w:tcBorders>
              <w:top w:val="single" w:color="auto" w:sz="4" w:space="0"/>
              <w:left w:val="single" w:color="auto" w:sz="4" w:space="0"/>
              <w:right w:val="single" w:color="auto" w:sz="4" w:space="0"/>
            </w:tcBorders>
            <w:noWrap w:val="0"/>
            <w:vAlign w:val="center"/>
          </w:tcPr>
          <w:p w14:paraId="2087E6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73D075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094689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=2024年1月</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E1C18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538C9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4A93A2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64F321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705" w:type="dxa"/>
            <w:vMerge w:val="continue"/>
            <w:tcBorders>
              <w:left w:val="single" w:color="auto" w:sz="4" w:space="0"/>
              <w:right w:val="single" w:color="auto" w:sz="4" w:space="0"/>
            </w:tcBorders>
            <w:noWrap w:val="0"/>
            <w:vAlign w:val="center"/>
          </w:tcPr>
          <w:p w14:paraId="16B22E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660" w:type="dxa"/>
            <w:vMerge w:val="continue"/>
            <w:tcBorders>
              <w:left w:val="single" w:color="auto" w:sz="4" w:space="0"/>
              <w:right w:val="single" w:color="auto" w:sz="4" w:space="0"/>
            </w:tcBorders>
            <w:noWrap w:val="0"/>
            <w:vAlign w:val="center"/>
          </w:tcPr>
          <w:p w14:paraId="621040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705" w:type="dxa"/>
            <w:vMerge w:val="continue"/>
            <w:tcBorders>
              <w:left w:val="single" w:color="auto" w:sz="4" w:space="0"/>
              <w:right w:val="single" w:color="auto" w:sz="4" w:space="0"/>
            </w:tcBorders>
            <w:noWrap w:val="0"/>
            <w:vAlign w:val="center"/>
          </w:tcPr>
          <w:p w14:paraId="21FED6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555" w:type="dxa"/>
            <w:vMerge w:val="continue"/>
            <w:tcBorders>
              <w:left w:val="single" w:color="auto" w:sz="4" w:space="0"/>
              <w:right w:val="single" w:color="auto" w:sz="4" w:space="0"/>
            </w:tcBorders>
            <w:noWrap w:val="0"/>
            <w:vAlign w:val="center"/>
          </w:tcPr>
          <w:p w14:paraId="4E610C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0E71DF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项目结束时间</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88A35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2024年12月</w:t>
            </w:r>
          </w:p>
        </w:tc>
        <w:tc>
          <w:tcPr>
            <w:tcW w:w="5400" w:type="dxa"/>
            <w:vMerge w:val="continue"/>
            <w:tcBorders>
              <w:left w:val="single" w:color="auto" w:sz="4" w:space="0"/>
              <w:right w:val="single" w:color="auto" w:sz="4" w:space="0"/>
            </w:tcBorders>
            <w:noWrap w:val="0"/>
            <w:vAlign w:val="center"/>
          </w:tcPr>
          <w:p w14:paraId="2A78E3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1E7D5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=2024年12月</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AE739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35FB4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5" w:type="dxa"/>
            <w:vMerge w:val="continue"/>
            <w:tcBorders>
              <w:left w:val="single" w:color="auto" w:sz="4" w:space="0"/>
              <w:bottom w:val="single" w:color="auto" w:sz="4" w:space="0"/>
              <w:right w:val="single" w:color="auto" w:sz="4" w:space="0"/>
            </w:tcBorders>
            <w:noWrap w:val="0"/>
            <w:vAlign w:val="center"/>
          </w:tcPr>
          <w:p w14:paraId="47CA7E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left w:val="single" w:color="auto" w:sz="4" w:space="0"/>
              <w:bottom w:val="single" w:color="auto" w:sz="4" w:space="0"/>
              <w:right w:val="single" w:color="auto" w:sz="4" w:space="0"/>
            </w:tcBorders>
            <w:noWrap w:val="0"/>
            <w:vAlign w:val="center"/>
          </w:tcPr>
          <w:p w14:paraId="0AD189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left w:val="single" w:color="auto" w:sz="4" w:space="0"/>
              <w:bottom w:val="single" w:color="auto" w:sz="4" w:space="0"/>
              <w:right w:val="single" w:color="auto" w:sz="4" w:space="0"/>
            </w:tcBorders>
            <w:noWrap w:val="0"/>
            <w:vAlign w:val="center"/>
          </w:tcPr>
          <w:p w14:paraId="28BC9B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vMerge w:val="continue"/>
            <w:tcBorders>
              <w:left w:val="single" w:color="auto" w:sz="4" w:space="0"/>
              <w:bottom w:val="single" w:color="auto" w:sz="4" w:space="0"/>
              <w:right w:val="single" w:color="auto" w:sz="4" w:space="0"/>
            </w:tcBorders>
            <w:noWrap w:val="0"/>
            <w:vAlign w:val="center"/>
          </w:tcPr>
          <w:p w14:paraId="7F78DF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left w:val="single" w:color="auto" w:sz="4" w:space="0"/>
              <w:bottom w:val="single" w:color="auto" w:sz="4" w:space="0"/>
              <w:right w:val="single" w:color="auto" w:sz="4" w:space="0"/>
            </w:tcBorders>
            <w:noWrap w:val="0"/>
            <w:vAlign w:val="center"/>
          </w:tcPr>
          <w:p w14:paraId="5DACD6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5" w:type="dxa"/>
            <w:vMerge w:val="continue"/>
            <w:tcBorders>
              <w:left w:val="single" w:color="auto" w:sz="4" w:space="0"/>
              <w:bottom w:val="single" w:color="auto" w:sz="4" w:space="0"/>
              <w:right w:val="single" w:color="auto" w:sz="4" w:space="0"/>
            </w:tcBorders>
            <w:noWrap w:val="0"/>
            <w:vAlign w:val="center"/>
          </w:tcPr>
          <w:p w14:paraId="54756D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0" w:type="dxa"/>
            <w:tcBorders>
              <w:top w:val="single" w:color="auto" w:sz="4" w:space="0"/>
              <w:left w:val="single" w:color="auto" w:sz="4" w:space="0"/>
              <w:bottom w:val="single" w:color="auto" w:sz="4" w:space="0"/>
              <w:right w:val="single" w:color="auto" w:sz="4" w:space="0"/>
            </w:tcBorders>
            <w:noWrap w:val="0"/>
            <w:vAlign w:val="center"/>
          </w:tcPr>
          <w:p w14:paraId="663C23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资金拨付及时率</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EEDFB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5400" w:type="dxa"/>
            <w:vMerge w:val="continue"/>
            <w:tcBorders>
              <w:left w:val="single" w:color="auto" w:sz="4" w:space="0"/>
              <w:right w:val="single" w:color="auto" w:sz="4" w:space="0"/>
            </w:tcBorders>
            <w:noWrap w:val="0"/>
            <w:vAlign w:val="center"/>
          </w:tcPr>
          <w:p w14:paraId="018EF7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5EF22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A2C83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56C8F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5"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166EB7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0AF94B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tcBorders>
              <w:top w:val="single" w:color="auto" w:sz="4" w:space="0"/>
              <w:left w:val="single" w:color="auto" w:sz="4" w:space="0"/>
              <w:bottom w:val="single" w:color="auto" w:sz="4" w:space="0"/>
              <w:right w:val="single" w:color="auto" w:sz="4" w:space="0"/>
            </w:tcBorders>
            <w:noWrap w:val="0"/>
            <w:vAlign w:val="center"/>
          </w:tcPr>
          <w:p w14:paraId="33F260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660" w:type="dxa"/>
            <w:tcBorders>
              <w:top w:val="single" w:color="auto" w:sz="4" w:space="0"/>
              <w:left w:val="single" w:color="auto" w:sz="4" w:space="0"/>
              <w:bottom w:val="single" w:color="auto" w:sz="4" w:space="0"/>
              <w:right w:val="single" w:color="auto" w:sz="4" w:space="0"/>
            </w:tcBorders>
            <w:noWrap w:val="0"/>
            <w:vAlign w:val="center"/>
          </w:tcPr>
          <w:p w14:paraId="47D959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09D7F6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1BCA8B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278413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保障经费支出成本</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A1E0E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≤181.39万元</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388EC5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①实际完成率＞年度指标值，得0得分；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②实际完成率≤年度指标值，且偏离程度＜20%，得满分；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1B2702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=178.54万元</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1F4A01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500C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5" w:hRule="atLeast"/>
        </w:trPr>
        <w:tc>
          <w:tcPr>
            <w:tcW w:w="645" w:type="dxa"/>
            <w:vMerge w:val="restart"/>
            <w:tcBorders>
              <w:top w:val="single" w:color="auto" w:sz="4" w:space="0"/>
              <w:left w:val="single" w:color="auto" w:sz="4" w:space="0"/>
              <w:bottom w:val="single" w:color="auto" w:sz="4" w:space="0"/>
              <w:right w:val="single" w:color="auto" w:sz="4" w:space="0"/>
            </w:tcBorders>
            <w:noWrap w:val="0"/>
            <w:vAlign w:val="center"/>
          </w:tcPr>
          <w:p w14:paraId="6D28D3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825" w:type="dxa"/>
            <w:vMerge w:val="restart"/>
            <w:tcBorders>
              <w:top w:val="single" w:color="auto" w:sz="4" w:space="0"/>
              <w:left w:val="single" w:color="auto" w:sz="4" w:space="0"/>
              <w:bottom w:val="single" w:color="auto" w:sz="4" w:space="0"/>
              <w:right w:val="single" w:color="auto" w:sz="4" w:space="0"/>
            </w:tcBorders>
            <w:noWrap w:val="0"/>
            <w:vAlign w:val="center"/>
          </w:tcPr>
          <w:p w14:paraId="4FE849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705" w:type="dxa"/>
            <w:vMerge w:val="restart"/>
            <w:tcBorders>
              <w:top w:val="single" w:color="auto" w:sz="4" w:space="0"/>
              <w:left w:val="single" w:color="auto" w:sz="4" w:space="0"/>
              <w:bottom w:val="single" w:color="auto" w:sz="4" w:space="0"/>
              <w:right w:val="single" w:color="auto" w:sz="4" w:space="0"/>
            </w:tcBorders>
            <w:noWrap w:val="0"/>
            <w:vAlign w:val="center"/>
          </w:tcPr>
          <w:p w14:paraId="317D58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660" w:type="dxa"/>
            <w:vMerge w:val="restart"/>
            <w:tcBorders>
              <w:top w:val="single" w:color="auto" w:sz="4" w:space="0"/>
              <w:left w:val="single" w:color="auto" w:sz="4" w:space="0"/>
              <w:bottom w:val="single" w:color="auto" w:sz="4" w:space="0"/>
              <w:right w:val="single" w:color="auto" w:sz="4" w:space="0"/>
            </w:tcBorders>
            <w:noWrap w:val="0"/>
            <w:vAlign w:val="center"/>
          </w:tcPr>
          <w:p w14:paraId="557E56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67C094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14D2EA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69835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改善教育教学质量</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0D42923C">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1"/>
                <w:szCs w:val="21"/>
                <w:u w:val="none"/>
                <w:lang w:val="en-US" w:eastAsia="zh-CN"/>
              </w:rPr>
              <w:t>有效改善</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40A037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418CD9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p>
          <w:p w14:paraId="3BE302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有效改善</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65C0D7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15</w:t>
            </w:r>
          </w:p>
        </w:tc>
      </w:tr>
      <w:tr w14:paraId="468FA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45" w:type="dxa"/>
            <w:vMerge w:val="continue"/>
            <w:tcBorders>
              <w:top w:val="single" w:color="auto" w:sz="4" w:space="0"/>
              <w:left w:val="single" w:color="auto" w:sz="4" w:space="0"/>
              <w:bottom w:val="single" w:color="auto" w:sz="4" w:space="0"/>
              <w:right w:val="single" w:color="auto" w:sz="4" w:space="0"/>
            </w:tcBorders>
            <w:noWrap w:val="0"/>
            <w:vAlign w:val="center"/>
          </w:tcPr>
          <w:p w14:paraId="18F175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25" w:type="dxa"/>
            <w:vMerge w:val="continue"/>
            <w:tcBorders>
              <w:top w:val="single" w:color="auto" w:sz="4" w:space="0"/>
              <w:left w:val="single" w:color="auto" w:sz="4" w:space="0"/>
              <w:bottom w:val="single" w:color="auto" w:sz="4" w:space="0"/>
              <w:right w:val="single" w:color="auto" w:sz="4" w:space="0"/>
            </w:tcBorders>
            <w:noWrap w:val="0"/>
            <w:vAlign w:val="center"/>
          </w:tcPr>
          <w:p w14:paraId="53A289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vMerge w:val="continue"/>
            <w:tcBorders>
              <w:top w:val="single" w:color="auto" w:sz="4" w:space="0"/>
              <w:left w:val="single" w:color="auto" w:sz="4" w:space="0"/>
              <w:bottom w:val="single" w:color="auto" w:sz="4" w:space="0"/>
              <w:right w:val="single" w:color="auto" w:sz="4" w:space="0"/>
            </w:tcBorders>
            <w:noWrap w:val="0"/>
            <w:vAlign w:val="center"/>
          </w:tcPr>
          <w:p w14:paraId="604946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vMerge w:val="continue"/>
            <w:tcBorders>
              <w:top w:val="single" w:color="auto" w:sz="4" w:space="0"/>
              <w:left w:val="single" w:color="auto" w:sz="4" w:space="0"/>
              <w:bottom w:val="single" w:color="auto" w:sz="4" w:space="0"/>
              <w:right w:val="single" w:color="auto" w:sz="4" w:space="0"/>
            </w:tcBorders>
            <w:noWrap w:val="0"/>
            <w:vAlign w:val="center"/>
          </w:tcPr>
          <w:p w14:paraId="352CD6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05" w:type="dxa"/>
            <w:tcBorders>
              <w:top w:val="single" w:color="auto" w:sz="4" w:space="0"/>
              <w:left w:val="single" w:color="auto" w:sz="4" w:space="0"/>
              <w:bottom w:val="single" w:color="auto" w:sz="4" w:space="0"/>
              <w:right w:val="single" w:color="auto" w:sz="4" w:space="0"/>
            </w:tcBorders>
            <w:noWrap w:val="0"/>
            <w:vAlign w:val="center"/>
          </w:tcPr>
          <w:p w14:paraId="417F0F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54290C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78A23A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学生满意度</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43787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≥95%</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08F56F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20B13C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100%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64AC35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r>
      <w:tr w14:paraId="20A2B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45" w:type="dxa"/>
            <w:tcBorders>
              <w:top w:val="single" w:color="auto" w:sz="4" w:space="0"/>
              <w:left w:val="single" w:color="auto" w:sz="4" w:space="0"/>
              <w:bottom w:val="single" w:color="auto" w:sz="4" w:space="0"/>
              <w:right w:val="single" w:color="auto" w:sz="4" w:space="0"/>
            </w:tcBorders>
            <w:noWrap w:val="0"/>
            <w:vAlign w:val="center"/>
          </w:tcPr>
          <w:p w14:paraId="0AD96A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6A5C51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022179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14:paraId="73C9DB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05" w:type="dxa"/>
            <w:tcBorders>
              <w:top w:val="single" w:color="auto" w:sz="4" w:space="0"/>
              <w:left w:val="single" w:color="auto" w:sz="4" w:space="0"/>
              <w:bottom w:val="single" w:color="auto" w:sz="4" w:space="0"/>
              <w:right w:val="single" w:color="auto" w:sz="4" w:space="0"/>
            </w:tcBorders>
            <w:noWrap w:val="0"/>
            <w:vAlign w:val="center"/>
          </w:tcPr>
          <w:p w14:paraId="4EA18F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7C39C2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490" w:type="dxa"/>
            <w:tcBorders>
              <w:top w:val="single" w:color="auto" w:sz="4" w:space="0"/>
              <w:left w:val="single" w:color="auto" w:sz="4" w:space="0"/>
              <w:bottom w:val="single" w:color="auto" w:sz="4" w:space="0"/>
              <w:right w:val="single" w:color="auto" w:sz="4" w:space="0"/>
            </w:tcBorders>
            <w:noWrap w:val="0"/>
            <w:vAlign w:val="center"/>
          </w:tcPr>
          <w:p w14:paraId="38FB57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F0475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5400" w:type="dxa"/>
            <w:tcBorders>
              <w:top w:val="single" w:color="auto" w:sz="4" w:space="0"/>
              <w:left w:val="single" w:color="auto" w:sz="4" w:space="0"/>
              <w:bottom w:val="single" w:color="auto" w:sz="4" w:space="0"/>
              <w:right w:val="single" w:color="auto" w:sz="4" w:space="0"/>
            </w:tcBorders>
            <w:noWrap w:val="0"/>
            <w:vAlign w:val="center"/>
          </w:tcPr>
          <w:p w14:paraId="235DBFF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AEC4F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249348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99.97</w:t>
            </w:r>
          </w:p>
        </w:tc>
      </w:tr>
    </w:tbl>
    <w:p w14:paraId="4B879B25">
      <w:pPr>
        <w:pStyle w:val="10"/>
        <w:rPr>
          <w:rFonts w:hint="eastAsia" w:ascii="宋体" w:hAnsi="宋体" w:eastAsia="宋体" w:cs="宋体"/>
          <w:sz w:val="24"/>
          <w:szCs w:val="24"/>
          <w:lang w:eastAsia="zh-CN"/>
        </w:rPr>
      </w:pPr>
    </w:p>
    <w:p w14:paraId="4014D3FE">
      <w:pPr>
        <w:pStyle w:val="10"/>
        <w:rPr>
          <w:rFonts w:hint="eastAsia" w:ascii="宋体" w:hAnsi="宋体" w:eastAsia="宋体" w:cs="宋体"/>
          <w:sz w:val="24"/>
          <w:szCs w:val="24"/>
          <w:lang w:eastAsia="zh-CN"/>
        </w:rPr>
      </w:pPr>
    </w:p>
    <w:p w14:paraId="7C221D7B">
      <w:pPr>
        <w:pStyle w:val="10"/>
        <w:ind w:left="0" w:leftChars="0" w:firstLine="0" w:firstLineChars="0"/>
        <w:jc w:val="both"/>
        <w:rPr>
          <w:rFonts w:hint="eastAsia" w:ascii="宋体" w:hAnsi="宋体" w:eastAsia="宋体" w:cs="宋体"/>
          <w:sz w:val="24"/>
          <w:szCs w:val="24"/>
          <w:lang w:val="en-US" w:eastAsia="zh-CN"/>
        </w:rPr>
      </w:pPr>
    </w:p>
    <w:p w14:paraId="5C9C4ACA">
      <w:pPr>
        <w:pStyle w:val="10"/>
        <w:ind w:left="0" w:leftChars="0" w:firstLine="0" w:firstLineChars="0"/>
        <w:jc w:val="both"/>
        <w:rPr>
          <w:rFonts w:hint="eastAsia" w:ascii="宋体" w:hAnsi="宋体" w:eastAsia="宋体" w:cs="宋体"/>
          <w:sz w:val="24"/>
          <w:szCs w:val="24"/>
          <w:lang w:val="en-US" w:eastAsia="zh-CN"/>
        </w:rPr>
      </w:pPr>
    </w:p>
    <w:p w14:paraId="24890787">
      <w:pPr>
        <w:pStyle w:val="10"/>
        <w:ind w:left="0" w:leftChars="0" w:firstLine="0" w:firstLineChars="0"/>
        <w:jc w:val="both"/>
        <w:rPr>
          <w:rFonts w:hint="eastAsia" w:ascii="宋体" w:hAnsi="宋体" w:eastAsia="宋体" w:cs="宋体"/>
          <w:sz w:val="24"/>
          <w:szCs w:val="24"/>
          <w:lang w:val="en-US" w:eastAsia="zh-CN"/>
        </w:rPr>
      </w:pPr>
    </w:p>
    <w:p w14:paraId="2D53C37A">
      <w:pPr>
        <w:pStyle w:val="10"/>
        <w:ind w:left="0" w:leftChars="0" w:firstLine="0" w:firstLineChars="0"/>
        <w:jc w:val="both"/>
        <w:rPr>
          <w:rFonts w:hint="eastAsia" w:ascii="宋体" w:hAnsi="宋体" w:eastAsia="宋体" w:cs="宋体"/>
          <w:sz w:val="24"/>
          <w:szCs w:val="24"/>
          <w:lang w:val="en-US" w:eastAsia="zh-CN"/>
        </w:rPr>
      </w:pPr>
    </w:p>
    <w:p w14:paraId="73FE53A5">
      <w:pPr>
        <w:pStyle w:val="10"/>
        <w:ind w:left="0" w:leftChars="0" w:firstLine="0" w:firstLineChars="0"/>
        <w:jc w:val="both"/>
        <w:rPr>
          <w:rFonts w:hint="eastAsia" w:ascii="宋体" w:hAnsi="宋体" w:eastAsia="宋体" w:cs="宋体"/>
          <w:sz w:val="24"/>
          <w:szCs w:val="24"/>
          <w:lang w:val="en-US" w:eastAsia="zh-CN"/>
        </w:rPr>
      </w:pPr>
    </w:p>
    <w:p w14:paraId="237B6BE4">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5EEEC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72D1896A">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01487A2A">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1720BFD4">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4956D879">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699834D3">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68A140AB">
            <w:pPr>
              <w:rPr>
                <w:rFonts w:hint="eastAsia" w:ascii="宋体" w:hAnsi="宋体" w:eastAsia="宋体" w:cs="宋体"/>
                <w:i w:val="0"/>
                <w:iCs w:val="0"/>
                <w:color w:val="000000"/>
                <w:sz w:val="22"/>
                <w:szCs w:val="22"/>
                <w:u w:val="none"/>
              </w:rPr>
            </w:pPr>
          </w:p>
        </w:tc>
      </w:tr>
      <w:tr w14:paraId="4E0F3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39F4AF14">
            <w:pPr>
              <w:keepNext w:val="0"/>
              <w:keepLines w:val="0"/>
              <w:widowControl/>
              <w:suppressLineNumbers w:val="0"/>
              <w:jc w:val="center"/>
              <w:textAlignment w:val="center"/>
              <w:rPr>
                <w:rFonts w:hint="eastAsia" w:ascii="宋体" w:hAnsi="宋体" w:eastAsia="宋体" w:cs="宋体"/>
                <w:b/>
                <w:bCs/>
                <w:i w:val="0"/>
                <w:iCs w:val="0"/>
                <w:color w:val="auto"/>
                <w:kern w:val="0"/>
                <w:sz w:val="28"/>
                <w:szCs w:val="28"/>
                <w:u w:val="none"/>
                <w:lang w:val="en-US" w:eastAsia="zh-CN"/>
              </w:rPr>
            </w:pPr>
            <w:r>
              <w:rPr>
                <w:rFonts w:hint="eastAsia" w:ascii="宋体" w:hAnsi="宋体" w:eastAsia="宋体" w:cs="宋体"/>
                <w:b/>
                <w:bCs/>
                <w:i w:val="0"/>
                <w:iCs w:val="0"/>
                <w:color w:val="auto"/>
                <w:kern w:val="0"/>
                <w:sz w:val="28"/>
                <w:szCs w:val="28"/>
                <w:u w:val="none"/>
                <w:lang w:val="en-US" w:eastAsia="zh-CN"/>
              </w:rPr>
              <w:t>2024年新疆西藏等地区教育特殊补助资金-学前三年</w:t>
            </w:r>
          </w:p>
          <w:p w14:paraId="0E0B7999">
            <w:pPr>
              <w:keepNext w:val="0"/>
              <w:keepLines w:val="0"/>
              <w:widowControl/>
              <w:suppressLineNumbers w:val="0"/>
              <w:jc w:val="center"/>
              <w:textAlignment w:val="center"/>
              <w:rPr>
                <w:rFonts w:hint="eastAsia" w:ascii="宋体" w:hAnsi="宋体" w:eastAsia="宋体" w:cs="宋体"/>
                <w:b/>
                <w:bCs/>
                <w:i w:val="0"/>
                <w:iCs w:val="0"/>
                <w:color w:val="FF0000"/>
                <w:sz w:val="36"/>
                <w:szCs w:val="36"/>
                <w:u w:val="none"/>
              </w:rPr>
            </w:pPr>
            <w:r>
              <w:rPr>
                <w:rFonts w:hint="eastAsia" w:ascii="宋体" w:hAnsi="宋体" w:eastAsia="宋体" w:cs="宋体"/>
                <w:b/>
                <w:bCs/>
                <w:i w:val="0"/>
                <w:iCs w:val="0"/>
                <w:color w:val="auto"/>
                <w:kern w:val="0"/>
                <w:sz w:val="28"/>
                <w:szCs w:val="28"/>
                <w:u w:val="none"/>
                <w:lang w:val="en-US" w:eastAsia="zh-CN"/>
              </w:rPr>
              <w:t>免费保障经费综合得分表</w:t>
            </w:r>
          </w:p>
        </w:tc>
      </w:tr>
      <w:tr w14:paraId="3B196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3C339C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FC197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69639D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6DE49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EF5D6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414030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0054E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3FA89F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2B9D5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029753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ACF87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BD436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CE41DE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100.00 </w:t>
            </w:r>
          </w:p>
        </w:tc>
      </w:tr>
      <w:tr w14:paraId="1AADB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C51DC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76E86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736B6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11.97</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7F7A1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2F8B8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74796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r w14:paraId="5DDEE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355B39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C3717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256E6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99.8%</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129DB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1F921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72F543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bl>
    <w:p w14:paraId="59976C93">
      <w:pPr>
        <w:pStyle w:val="10"/>
        <w:ind w:left="0" w:leftChars="0" w:firstLine="0" w:firstLineChars="0"/>
        <w:jc w:val="both"/>
        <w:rPr>
          <w:rFonts w:hint="default" w:ascii="宋体" w:hAnsi="宋体" w:eastAsia="宋体" w:cs="宋体"/>
          <w:sz w:val="24"/>
          <w:szCs w:val="24"/>
          <w:lang w:val="en-US" w:eastAsia="zh-CN"/>
        </w:rPr>
      </w:pPr>
    </w:p>
    <w:p w14:paraId="5F0F2454">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2A704AB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55A4C2F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p>
    <w:p w14:paraId="794969A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专项资金-和地财教[2023]73号：2024年新疆西藏等地区教育特殊补助资金-学前三年免费保障经费-公用经费、伙食费-洛财教【2024】22号</w:t>
      </w:r>
    </w:p>
    <w:p w14:paraId="06792FD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满意度调查问卷分析报告</w:t>
      </w:r>
    </w:p>
    <w:p w14:paraId="2112B99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0258325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一、该问卷调查从2025年3月1日开始至2025年3月10日结束，调查问卷共设置3道题目。</w:t>
      </w:r>
    </w:p>
    <w:p w14:paraId="7105504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1.调查对象</w:t>
      </w:r>
    </w:p>
    <w:p w14:paraId="1E3BD9F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本次调查的受益对象为家长。</w:t>
      </w:r>
    </w:p>
    <w:p w14:paraId="00D75CF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2.调查内容</w:t>
      </w:r>
    </w:p>
    <w:p w14:paraId="3997BB8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①您对专项资金-和地财教[2023]73号：2024年新疆西藏等地区教育特殊补助资金-学前三年免费保障经费-公用经费-洛财教【2024】22号是否满意?</w:t>
      </w:r>
    </w:p>
    <w:p w14:paraId="1652AEE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②您专项资金-和地财教[2023]73号：2024年新疆西藏等地区教育特殊补助资金-学前三年免费保障经费-伙食费-洛财教【2024】22号是否满意？</w:t>
      </w:r>
    </w:p>
    <w:p w14:paraId="4BE8D48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③总的来说，您对目前专项资金-和地财教[2023]73号：2024年新疆西藏等地区教育特殊补助资金-学前三年免费保障经费-公用经费-洛财教【2024】22号实施后的整体满意程度如何？</w:t>
      </w:r>
    </w:p>
    <w:p w14:paraId="40E2415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3.调查方法</w:t>
      </w:r>
    </w:p>
    <w:p w14:paraId="586F355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问卷调查采取分层抽样和随机抽样相结合的方式进行。在全面调查开展之前会先进行论证，依据论证结果对问卷和抽样方案再进行一次修改和调整之后再付诸实施。</w:t>
      </w:r>
    </w:p>
    <w:p w14:paraId="32475EA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4.抽样方式</w:t>
      </w:r>
    </w:p>
    <w:p w14:paraId="5751E3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为确保问卷调查的全面性和代表性，本次调查问卷调查采取随机抽样和分层抽样相结合方式进行。</w:t>
      </w:r>
    </w:p>
    <w:p w14:paraId="61580CE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5.问卷的发放和回收</w:t>
      </w:r>
    </w:p>
    <w:p w14:paraId="4FD3E54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C2F4C1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4926B8A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069BE38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4B9E751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6EE355B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482F04D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082A9B3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专项资金-和地财教[2023]73号：2024年新疆西藏等地区教育特殊补助资金-学前三年免费保障经费-公用经费、伙食费-洛财教【2024】22号针对受益人员发放30份调查问卷，最终统计受益人群满意度为100%。</w:t>
      </w:r>
    </w:p>
    <w:p w14:paraId="18409EB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42AFA3A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cs="宋体"/>
          <w:sz w:val="24"/>
          <w:szCs w:val="24"/>
          <w:highlight w:val="none"/>
          <w:lang w:val="en-US" w:eastAsia="zh-CN"/>
        </w:rPr>
      </w:pPr>
      <w:r>
        <w:rPr>
          <w:rFonts w:hint="eastAsia" w:cs="宋体"/>
          <w:sz w:val="24"/>
          <w:szCs w:val="24"/>
          <w:highlight w:val="none"/>
          <w:lang w:val="en-US" w:eastAsia="zh-CN"/>
        </w:rPr>
        <w:t>洛浦</w:t>
      </w:r>
      <w:r>
        <w:rPr>
          <w:rFonts w:hint="eastAsia" w:ascii="宋体" w:hAnsi="宋体" w:eastAsia="宋体" w:cs="宋体"/>
          <w:sz w:val="24"/>
          <w:szCs w:val="24"/>
          <w:highlight w:val="none"/>
          <w:lang w:val="en-US" w:eastAsia="zh-CN"/>
        </w:rPr>
        <w:t>县</w:t>
      </w:r>
      <w:r>
        <w:rPr>
          <w:rFonts w:hint="eastAsia" w:cs="宋体"/>
          <w:sz w:val="24"/>
          <w:szCs w:val="24"/>
          <w:highlight w:val="none"/>
          <w:lang w:val="en-US" w:eastAsia="zh-CN"/>
        </w:rPr>
        <w:t>第一幼儿园</w:t>
      </w:r>
    </w:p>
    <w:p w14:paraId="09AE5F9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2025年</w:t>
      </w:r>
      <w:r>
        <w:rPr>
          <w:rFonts w:hint="eastAsia" w:cs="宋体"/>
          <w:sz w:val="24"/>
          <w:szCs w:val="24"/>
          <w:highlight w:val="none"/>
          <w:lang w:val="en-US" w:eastAsia="zh-CN"/>
        </w:rPr>
        <w:t>3</w:t>
      </w:r>
      <w:r>
        <w:rPr>
          <w:rFonts w:hint="eastAsia" w:ascii="宋体" w:hAnsi="宋体" w:eastAsia="宋体" w:cs="宋体"/>
          <w:sz w:val="24"/>
          <w:szCs w:val="24"/>
          <w:highlight w:val="none"/>
          <w:lang w:val="en-US" w:eastAsia="zh-CN"/>
        </w:rPr>
        <w:t>月</w:t>
      </w:r>
      <w:r>
        <w:rPr>
          <w:rFonts w:hint="eastAsia" w:cs="宋体"/>
          <w:sz w:val="24"/>
          <w:szCs w:val="24"/>
          <w:highlight w:val="none"/>
          <w:lang w:val="en-US" w:eastAsia="zh-CN"/>
        </w:rPr>
        <w:t>10</w:t>
      </w:r>
      <w:r>
        <w:rPr>
          <w:rFonts w:hint="eastAsia" w:ascii="宋体" w:hAnsi="宋体" w:eastAsia="宋体" w:cs="宋体"/>
          <w:sz w:val="24"/>
          <w:szCs w:val="24"/>
          <w:highlight w:val="none"/>
          <w:lang w:val="en-US" w:eastAsia="zh-CN"/>
        </w:rPr>
        <w:t>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91448">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454D1">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suff w:val="nothing"/>
      <w:lvlText w:val="（%1）"/>
      <w:lvlJc w:val="left"/>
    </w:lvl>
  </w:abstractNum>
  <w:abstractNum w:abstractNumId="1">
    <w:nsid w:val="CF092B84"/>
    <w:multiLevelType w:val="singleLevel"/>
    <w:tmpl w:val="CF092B84"/>
    <w:lvl w:ilvl="0" w:tentative="0">
      <w:start w:val="1"/>
      <w:numFmt w:val="decimal"/>
      <w:suff w:val="nothing"/>
      <w:lvlText w:val="%1）"/>
      <w:lvlJc w:val="left"/>
      <w:pPr>
        <w:ind w:left="80"/>
      </w:pPr>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4EF695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font71"/>
    <w:basedOn w:val="25"/>
    <w:uiPriority w:val="0"/>
    <w:rPr>
      <w:rFonts w:hint="eastAsia" w:ascii="微软雅黑" w:hAnsi="微软雅黑" w:eastAsia="微软雅黑" w:cs="微软雅黑"/>
      <w:b/>
      <w:bCs/>
      <w:color w:val="000000"/>
      <w:sz w:val="32"/>
      <w:szCs w:val="32"/>
      <w:u w:val="none"/>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50"/>
    <w:qFormat/>
    <w:uiPriority w:val="0"/>
    <w:rPr>
      <w:b/>
      <w:bCs/>
      <w:smallCaps/>
      <w:color w:val="C0504D"/>
      <w:spacing w:val="5"/>
      <w:u w:val="single"/>
    </w:rPr>
  </w:style>
  <w:style w:type="character" w:customStyle="1" w:styleId="51">
    <w:name w:val="无间隔 Char"/>
    <w:link w:val="52"/>
    <w:uiPriority w:val="1"/>
    <w:rPr>
      <w:rFonts w:eastAsia="仿宋_GB2312" w:cs="黑体"/>
      <w:kern w:val="2"/>
      <w:sz w:val="28"/>
      <w:szCs w:val="22"/>
      <w:lang w:val="en-US" w:eastAsia="zh-CN" w:bidi="ar-SA"/>
    </w:rPr>
  </w:style>
  <w:style w:type="paragraph" w:styleId="52">
    <w:name w:val="No Spacing"/>
    <w:link w:val="51"/>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闻政-正文三级标题 Char"/>
    <w:link w:val="55"/>
    <w:uiPriority w:val="3"/>
    <w:rPr>
      <w:rFonts w:ascii="Times New Roman" w:hAnsi="Times New Roman" w:eastAsia="仿宋_GB2312"/>
      <w:b/>
      <w:snapToGrid w:val="0"/>
      <w:sz w:val="28"/>
      <w:szCs w:val="28"/>
    </w:rPr>
  </w:style>
  <w:style w:type="paragraph" w:customStyle="1" w:styleId="55">
    <w:name w:val="闻政-正文三级标题"/>
    <w:basedOn w:val="1"/>
    <w:next w:val="46"/>
    <w:link w:val="54"/>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6">
    <w:name w:val="font11"/>
    <w:uiPriority w:val="0"/>
    <w:rPr>
      <w:rFonts w:hint="eastAsia" w:ascii="方正仿宋_GBK" w:hAnsi="方正仿宋_GBK" w:eastAsia="方正仿宋_GBK" w:cs="方正仿宋_GBK"/>
      <w:color w:val="000000"/>
      <w:sz w:val="24"/>
      <w:szCs w:val="24"/>
      <w:u w:val="none"/>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F73B8FE8C1BC4AFD82943EAAE9AD8D68_13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91a86e89-4389-4049-a3f3-51685b334ac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10291</Words>
  <Characters>10919</Characters>
  <Lines>44</Lines>
  <Paragraphs>12</Paragraphs>
  <TotalTime>7</TotalTime>
  <ScaleCrop>false</ScaleCrop>
  <LinksUpToDate>false</LinksUpToDate>
  <CharactersWithSpaces>10938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2025-10-10T05:47:22Z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F73B8FE8C1BC4AFD82943EAAE9AD8D68_13</vt:lpwstr>
  </property>
  <property fmtid="{D5CDD505-2E9C-101B-9397-08002B2CF9AE}" pid="4" name="KSOTemplateDocerSaveRecord">
    <vt:lpwstr>eyJoZGlkIjoiMDljYzUzMWQ4OWI0YzBkYjYzMDRhZTY5ZjZkYmFmYTgiLCJ1c2VySWQiOiI2NTE5NDIwMjYifQ_x003D__x003D_</vt:lpwstr>
  </property>
</Properties>
</file>