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09202">
      <w:bookmarkStart w:id="22" w:name="_GoBack"/>
      <w:bookmarkEnd w:id="22"/>
    </w:p>
    <w:p w14:paraId="33A00FC6">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color w:val="auto"/>
          <w:kern w:val="0"/>
          <w:sz w:val="32"/>
          <w:szCs w:val="32"/>
          <w:highlight w:val="none"/>
          <w:lang w:val="en-US" w:eastAsia="zh-CN" w:bidi="en-US"/>
        </w:rPr>
      </w:pPr>
    </w:p>
    <w:p w14:paraId="590D3953">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黑体" w:hAnsi="黑体" w:eastAsia="黑体" w:cs="黑体"/>
          <w:b/>
          <w:color w:val="auto"/>
          <w:sz w:val="36"/>
          <w:szCs w:val="36"/>
          <w:highlight w:val="none"/>
          <w:lang w:val="en-US" w:eastAsia="zh-CN"/>
        </w:rPr>
      </w:pPr>
      <w:r>
        <w:rPr>
          <w:rFonts w:hint="eastAsia" w:ascii="黑体" w:hAnsi="黑体" w:eastAsia="黑体" w:cs="黑体"/>
          <w:b/>
          <w:color w:val="auto"/>
          <w:sz w:val="36"/>
          <w:szCs w:val="36"/>
          <w:highlight w:val="none"/>
        </w:rPr>
        <w:t>2024年中央农业主体能力提升资金</w:t>
      </w:r>
      <w:r>
        <w:rPr>
          <w:rFonts w:hint="eastAsia" w:ascii="黑体" w:hAnsi="黑体" w:eastAsia="黑体" w:cs="黑体"/>
          <w:b/>
          <w:color w:val="auto"/>
          <w:sz w:val="36"/>
          <w:szCs w:val="36"/>
          <w:highlight w:val="none"/>
          <w:lang w:val="en-US" w:eastAsia="zh-CN"/>
        </w:rPr>
        <w:t>项目</w:t>
      </w:r>
    </w:p>
    <w:p w14:paraId="69941DA9">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color w:val="auto"/>
          <w:highlight w:val="none"/>
        </w:rPr>
      </w:pPr>
      <w:r>
        <w:rPr>
          <w:rFonts w:hint="eastAsia" w:ascii="黑体" w:hAnsi="黑体" w:eastAsia="黑体" w:cs="黑体"/>
          <w:b/>
          <w:color w:val="auto"/>
          <w:sz w:val="36"/>
          <w:szCs w:val="36"/>
          <w:highlight w:val="none"/>
        </w:rPr>
        <w:t>支出绩效评价报告</w:t>
      </w:r>
    </w:p>
    <w:p w14:paraId="1C0041F1">
      <w:pPr>
        <w:pStyle w:val="6"/>
        <w:ind w:left="0" w:leftChars="0" w:firstLine="0" w:firstLineChars="0"/>
        <w:jc w:val="center"/>
        <w:rPr>
          <w:rFonts w:hint="eastAsia" w:ascii="黑体" w:hAnsi="黑体" w:eastAsia="黑体" w:cs="黑体"/>
          <w:b/>
          <w:bCs w:val="0"/>
          <w:color w:val="auto"/>
          <w:sz w:val="28"/>
          <w:szCs w:val="28"/>
          <w:highlight w:val="none"/>
          <w:lang w:eastAsia="zh-CN"/>
        </w:rPr>
      </w:pPr>
      <w:r>
        <w:rPr>
          <w:rFonts w:hint="eastAsia" w:ascii="黑体" w:hAnsi="黑体" w:eastAsia="黑体" w:cs="黑体"/>
          <w:b/>
          <w:bCs w:val="0"/>
          <w:color w:val="auto"/>
          <w:sz w:val="28"/>
          <w:szCs w:val="28"/>
          <w:highlight w:val="none"/>
          <w:lang w:eastAsia="zh-CN"/>
        </w:rPr>
        <w:t>（</w:t>
      </w:r>
      <w:r>
        <w:rPr>
          <w:rFonts w:hint="eastAsia" w:ascii="黑体" w:hAnsi="黑体" w:eastAsia="黑体" w:cs="黑体"/>
          <w:b/>
          <w:bCs w:val="0"/>
          <w:color w:val="auto"/>
          <w:sz w:val="28"/>
          <w:szCs w:val="28"/>
          <w:highlight w:val="none"/>
          <w:lang w:val="en-US" w:eastAsia="zh-CN"/>
        </w:rPr>
        <w:t>2024年度</w:t>
      </w:r>
      <w:r>
        <w:rPr>
          <w:rFonts w:hint="eastAsia" w:ascii="黑体" w:hAnsi="黑体" w:eastAsia="黑体" w:cs="黑体"/>
          <w:b/>
          <w:bCs w:val="0"/>
          <w:color w:val="auto"/>
          <w:sz w:val="28"/>
          <w:szCs w:val="28"/>
          <w:highlight w:val="none"/>
          <w:lang w:eastAsia="zh-CN"/>
        </w:rPr>
        <w:t>）</w:t>
      </w:r>
    </w:p>
    <w:p w14:paraId="5F001A97">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highlight w:val="none"/>
          <w:lang w:bidi="en-US"/>
        </w:rPr>
      </w:pPr>
    </w:p>
    <w:p w14:paraId="0663B6B5">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highlight w:val="none"/>
          <w:lang w:bidi="en-US"/>
        </w:rPr>
      </w:pPr>
    </w:p>
    <w:p w14:paraId="50E43C0A">
      <w:pPr>
        <w:pStyle w:val="6"/>
        <w:rPr>
          <w:rFonts w:hint="eastAsia" w:eastAsia="方正仿宋_GBK" w:cs="方正仿宋_GBK"/>
          <w:b/>
          <w:color w:val="auto"/>
          <w:kern w:val="0"/>
          <w:sz w:val="32"/>
          <w:szCs w:val="32"/>
          <w:highlight w:val="none"/>
          <w:lang w:bidi="en-US"/>
        </w:rPr>
      </w:pPr>
    </w:p>
    <w:p w14:paraId="24D36406">
      <w:pPr>
        <w:rPr>
          <w:rFonts w:hint="eastAsia" w:eastAsia="方正仿宋_GBK" w:cs="方正仿宋_GBK"/>
          <w:b/>
          <w:color w:val="auto"/>
          <w:kern w:val="0"/>
          <w:sz w:val="32"/>
          <w:szCs w:val="32"/>
          <w:highlight w:val="none"/>
          <w:lang w:bidi="en-US"/>
        </w:rPr>
      </w:pPr>
    </w:p>
    <w:p w14:paraId="4217286D">
      <w:pPr>
        <w:pStyle w:val="6"/>
        <w:rPr>
          <w:rFonts w:hint="eastAsia"/>
          <w:color w:val="auto"/>
          <w:highlight w:val="none"/>
        </w:rPr>
      </w:pPr>
    </w:p>
    <w:p w14:paraId="6D45377B">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color w:val="auto"/>
          <w:sz w:val="32"/>
          <w:highlight w:val="none"/>
          <w:lang w:bidi="en-US"/>
        </w:rPr>
      </w:pPr>
    </w:p>
    <w:p w14:paraId="56A99B15">
      <w:pPr>
        <w:pageBreakBefore w:val="0"/>
        <w:widowControl w:val="0"/>
        <w:kinsoku/>
        <w:wordWrap/>
        <w:topLinePunct w:val="0"/>
        <w:autoSpaceDE/>
        <w:autoSpaceDN/>
        <w:bidi w:val="0"/>
        <w:spacing w:line="560" w:lineRule="exact"/>
        <w:ind w:left="0" w:leftChars="0" w:firstLine="560"/>
        <w:textAlignment w:val="auto"/>
        <w:rPr>
          <w:rFonts w:hint="eastAsia"/>
          <w:color w:val="auto"/>
          <w:highlight w:val="none"/>
        </w:rPr>
      </w:pPr>
    </w:p>
    <w:p w14:paraId="48350372">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color w:val="auto"/>
          <w:kern w:val="0"/>
          <w:sz w:val="32"/>
          <w:szCs w:val="32"/>
          <w:highlight w:val="none"/>
          <w:lang w:bidi="en-US"/>
        </w:rPr>
      </w:pPr>
    </w:p>
    <w:p w14:paraId="39B4E3AE">
      <w:pPr>
        <w:pStyle w:val="2"/>
        <w:rPr>
          <w:rFonts w:hint="eastAsia"/>
          <w:color w:val="auto"/>
          <w:highlight w:val="none"/>
        </w:rPr>
      </w:pPr>
    </w:p>
    <w:p w14:paraId="0C5C6773">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auto"/>
          <w:kern w:val="0"/>
          <w:sz w:val="28"/>
          <w:szCs w:val="28"/>
          <w:highlight w:val="none"/>
          <w:lang w:bidi="en-US"/>
        </w:rPr>
      </w:pPr>
      <w:r>
        <w:rPr>
          <w:rFonts w:hint="eastAsia" w:ascii="宋体" w:hAnsi="宋体" w:eastAsia="宋体" w:cs="宋体"/>
          <w:b/>
          <w:bCs/>
          <w:color w:val="auto"/>
          <w:kern w:val="0"/>
          <w:sz w:val="28"/>
          <w:szCs w:val="28"/>
          <w:highlight w:val="none"/>
          <w:lang w:bidi="en-US"/>
        </w:rPr>
        <w:t>项目名称：2024年中央农业主体能力提升资金项目</w:t>
      </w:r>
    </w:p>
    <w:p w14:paraId="4224D316">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auto"/>
          <w:kern w:val="0"/>
          <w:sz w:val="28"/>
          <w:szCs w:val="28"/>
          <w:highlight w:val="none"/>
          <w:lang w:eastAsia="zh-CN" w:bidi="en-US"/>
        </w:rPr>
      </w:pPr>
      <w:r>
        <w:rPr>
          <w:rFonts w:hint="eastAsia" w:ascii="宋体" w:hAnsi="宋体" w:eastAsia="宋体" w:cs="宋体"/>
          <w:b/>
          <w:bCs/>
          <w:color w:val="auto"/>
          <w:kern w:val="0"/>
          <w:sz w:val="28"/>
          <w:szCs w:val="28"/>
          <w:highlight w:val="none"/>
          <w:lang w:bidi="en-US"/>
        </w:rPr>
        <w:t>项目单位：</w:t>
      </w:r>
      <w:r>
        <w:rPr>
          <w:rFonts w:hint="eastAsia" w:ascii="宋体" w:hAnsi="宋体" w:eastAsia="宋体" w:cs="宋体"/>
          <w:b/>
          <w:bCs/>
          <w:color w:val="auto"/>
          <w:kern w:val="0"/>
          <w:sz w:val="28"/>
          <w:szCs w:val="28"/>
          <w:highlight w:val="none"/>
          <w:lang w:eastAsia="zh-CN" w:bidi="en-US"/>
        </w:rPr>
        <w:t>洛浦县供销合作社联合社</w:t>
      </w:r>
    </w:p>
    <w:p w14:paraId="3D0444CE">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auto"/>
          <w:kern w:val="0"/>
          <w:sz w:val="28"/>
          <w:szCs w:val="28"/>
          <w:highlight w:val="none"/>
          <w:lang w:eastAsia="zh-CN" w:bidi="en-US"/>
        </w:rPr>
      </w:pPr>
      <w:r>
        <w:rPr>
          <w:rFonts w:hint="eastAsia" w:ascii="宋体" w:hAnsi="宋体" w:eastAsia="宋体" w:cs="宋体"/>
          <w:b/>
          <w:bCs/>
          <w:color w:val="auto"/>
          <w:kern w:val="0"/>
          <w:sz w:val="28"/>
          <w:szCs w:val="28"/>
          <w:highlight w:val="none"/>
          <w:lang w:bidi="en-US"/>
        </w:rPr>
        <w:t>主管部门：</w:t>
      </w:r>
      <w:r>
        <w:rPr>
          <w:rFonts w:hint="eastAsia" w:ascii="宋体" w:hAnsi="宋体" w:eastAsia="宋体" w:cs="宋体"/>
          <w:b/>
          <w:bCs/>
          <w:color w:val="auto"/>
          <w:kern w:val="0"/>
          <w:sz w:val="28"/>
          <w:szCs w:val="28"/>
          <w:highlight w:val="none"/>
          <w:lang w:eastAsia="zh-CN" w:bidi="en-US"/>
        </w:rPr>
        <w:t>洛浦县供销合作社联合社</w:t>
      </w:r>
    </w:p>
    <w:p w14:paraId="16861B12">
      <w:pPr>
        <w:pageBreakBefore w:val="0"/>
        <w:widowControl w:val="0"/>
        <w:kinsoku/>
        <w:wordWrap/>
        <w:topLinePunct w:val="0"/>
        <w:autoSpaceDE/>
        <w:autoSpaceDN/>
        <w:bidi w:val="0"/>
        <w:spacing w:line="560" w:lineRule="exact"/>
        <w:ind w:left="0" w:leftChars="0" w:firstLine="1234" w:firstLineChars="441"/>
        <w:jc w:val="left"/>
        <w:textAlignment w:val="auto"/>
        <w:rPr>
          <w:rFonts w:hint="default" w:ascii="宋体" w:hAnsi="宋体" w:eastAsia="宋体" w:cs="宋体"/>
          <w:b/>
          <w:bCs/>
          <w:color w:val="auto"/>
          <w:kern w:val="0"/>
          <w:sz w:val="28"/>
          <w:szCs w:val="28"/>
          <w:highlight w:val="none"/>
          <w:lang w:val="en-US" w:eastAsia="zh-CN" w:bidi="en-US"/>
        </w:rPr>
      </w:pPr>
      <w:r>
        <w:rPr>
          <w:rFonts w:hint="eastAsia" w:ascii="宋体" w:hAnsi="宋体" w:eastAsia="宋体" w:cs="宋体"/>
          <w:b/>
          <w:bCs/>
          <w:color w:val="auto"/>
          <w:kern w:val="0"/>
          <w:sz w:val="28"/>
          <w:szCs w:val="28"/>
          <w:highlight w:val="none"/>
          <w:lang w:bidi="en-US"/>
        </w:rPr>
        <w:t>项目负责人：</w:t>
      </w:r>
      <w:r>
        <w:rPr>
          <w:rFonts w:hint="eastAsia" w:ascii="宋体" w:hAnsi="宋体" w:eastAsia="宋体" w:cs="宋体"/>
          <w:b/>
          <w:bCs/>
          <w:color w:val="auto"/>
          <w:kern w:val="0"/>
          <w:sz w:val="28"/>
          <w:szCs w:val="28"/>
          <w:highlight w:val="none"/>
          <w:lang w:eastAsia="zh-CN" w:bidi="en-US"/>
        </w:rPr>
        <w:t>阿卜杜艾海提</w:t>
      </w:r>
      <w:r>
        <w:rPr>
          <w:rFonts w:hint="eastAsia" w:ascii="宋体" w:hAnsi="宋体" w:eastAsia="宋体" w:cs="宋体"/>
          <w:b/>
          <w:bCs/>
          <w:color w:val="auto"/>
          <w:kern w:val="0"/>
          <w:sz w:val="28"/>
          <w:szCs w:val="28"/>
          <w:highlight w:val="none"/>
          <w:lang w:val="en-US" w:eastAsia="zh-CN" w:bidi="en-US"/>
        </w:rPr>
        <w:t>·艾则孜</w:t>
      </w:r>
    </w:p>
    <w:p w14:paraId="516041B1">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auto"/>
          <w:kern w:val="0"/>
          <w:sz w:val="28"/>
          <w:szCs w:val="28"/>
          <w:highlight w:val="none"/>
          <w:lang w:bidi="en-US"/>
        </w:rPr>
      </w:pPr>
      <w:r>
        <w:rPr>
          <w:rFonts w:hint="eastAsia" w:ascii="宋体" w:hAnsi="宋体" w:eastAsia="宋体" w:cs="宋体"/>
          <w:b/>
          <w:bCs/>
          <w:color w:val="auto"/>
          <w:kern w:val="0"/>
          <w:sz w:val="28"/>
          <w:szCs w:val="28"/>
          <w:highlight w:val="none"/>
          <w:lang w:bidi="en-US"/>
        </w:rPr>
        <w:t>填报时间：</w:t>
      </w:r>
      <w:r>
        <w:rPr>
          <w:rFonts w:hint="eastAsia" w:ascii="宋体" w:hAnsi="宋体" w:eastAsia="宋体" w:cs="宋体"/>
          <w:b/>
          <w:bCs/>
          <w:color w:val="auto"/>
          <w:kern w:val="0"/>
          <w:sz w:val="28"/>
          <w:szCs w:val="28"/>
          <w:highlight w:val="none"/>
          <w:lang w:val="en-US" w:eastAsia="zh-CN" w:bidi="en-US"/>
        </w:rPr>
        <w:t>2025</w:t>
      </w:r>
      <w:r>
        <w:rPr>
          <w:rFonts w:hint="eastAsia" w:ascii="宋体" w:hAnsi="宋体" w:eastAsia="宋体" w:cs="宋体"/>
          <w:b/>
          <w:bCs/>
          <w:color w:val="auto"/>
          <w:kern w:val="0"/>
          <w:sz w:val="28"/>
          <w:szCs w:val="28"/>
          <w:highlight w:val="none"/>
          <w:lang w:bidi="en-US"/>
        </w:rPr>
        <w:t>年</w:t>
      </w:r>
      <w:r>
        <w:rPr>
          <w:rFonts w:hint="eastAsia" w:ascii="宋体" w:hAnsi="宋体" w:eastAsia="宋体" w:cs="宋体"/>
          <w:b/>
          <w:bCs/>
          <w:color w:val="auto"/>
          <w:kern w:val="0"/>
          <w:sz w:val="28"/>
          <w:szCs w:val="28"/>
          <w:highlight w:val="none"/>
          <w:lang w:val="en-US" w:eastAsia="zh-CN" w:bidi="en-US"/>
        </w:rPr>
        <w:t>3</w:t>
      </w:r>
      <w:r>
        <w:rPr>
          <w:rFonts w:hint="eastAsia" w:ascii="宋体" w:hAnsi="宋体" w:eastAsia="宋体" w:cs="宋体"/>
          <w:b/>
          <w:bCs/>
          <w:color w:val="auto"/>
          <w:kern w:val="0"/>
          <w:sz w:val="28"/>
          <w:szCs w:val="28"/>
          <w:highlight w:val="none"/>
          <w:lang w:bidi="en-US"/>
        </w:rPr>
        <w:t>月</w:t>
      </w:r>
      <w:r>
        <w:rPr>
          <w:rFonts w:hint="eastAsia" w:ascii="宋体" w:hAnsi="宋体" w:eastAsia="宋体" w:cs="宋体"/>
          <w:b/>
          <w:bCs/>
          <w:color w:val="auto"/>
          <w:kern w:val="0"/>
          <w:sz w:val="28"/>
          <w:szCs w:val="28"/>
          <w:highlight w:val="none"/>
          <w:lang w:val="en-US" w:eastAsia="zh-CN" w:bidi="en-US"/>
        </w:rPr>
        <w:t>31</w:t>
      </w:r>
      <w:r>
        <w:rPr>
          <w:rFonts w:hint="eastAsia" w:ascii="宋体" w:hAnsi="宋体" w:eastAsia="宋体" w:cs="宋体"/>
          <w:b/>
          <w:bCs/>
          <w:color w:val="auto"/>
          <w:kern w:val="0"/>
          <w:sz w:val="28"/>
          <w:szCs w:val="28"/>
          <w:highlight w:val="none"/>
          <w:lang w:bidi="en-US"/>
        </w:rPr>
        <w:t>日</w:t>
      </w:r>
    </w:p>
    <w:p w14:paraId="3301674E">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color w:val="auto"/>
          <w:kern w:val="0"/>
          <w:sz w:val="28"/>
          <w:szCs w:val="28"/>
          <w:highlight w:val="none"/>
          <w:lang w:bidi="en-US"/>
        </w:rPr>
      </w:pPr>
    </w:p>
    <w:p w14:paraId="5D10FEE3">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color w:val="auto"/>
          <w:sz w:val="24"/>
          <w:szCs w:val="24"/>
          <w:highlight w:val="none"/>
        </w:rPr>
      </w:pPr>
      <w:bookmarkStart w:id="0" w:name="_Toc68364657"/>
      <w:r>
        <w:rPr>
          <w:rFonts w:hint="eastAsia" w:ascii="黑体" w:hAnsi="黑体" w:eastAsia="黑体" w:cs="黑体"/>
          <w:color w:val="auto"/>
          <w:sz w:val="24"/>
          <w:szCs w:val="24"/>
          <w:highlight w:val="none"/>
          <w:lang w:val="en-US" w:eastAsia="zh-CN"/>
        </w:rPr>
        <w:t>一、</w:t>
      </w:r>
      <w:r>
        <w:rPr>
          <w:rFonts w:hint="eastAsia" w:ascii="黑体" w:hAnsi="黑体" w:eastAsia="黑体" w:cs="黑体"/>
          <w:color w:val="auto"/>
          <w:sz w:val="24"/>
          <w:szCs w:val="24"/>
          <w:highlight w:val="none"/>
        </w:rPr>
        <w:t>基本情况</w:t>
      </w:r>
      <w:bookmarkEnd w:id="0"/>
    </w:p>
    <w:p w14:paraId="390782A3">
      <w:pPr>
        <w:pStyle w:val="4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 w:name="_Toc68364658"/>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项目概况</w:t>
      </w:r>
      <w:bookmarkEnd w:id="1"/>
    </w:p>
    <w:p w14:paraId="06CC874A">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1.项目背景</w:t>
      </w:r>
    </w:p>
    <w:p w14:paraId="7C6E40ED">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坚持以习近平新时代中国特色社会主义思想为指导，深入学习贯彻党的二十大和习近平总书记对供销合作社工作重要指示批示精神，围绕服务乡村振兴大局，通过支持供销合作社为农服务主体开展农业社会化服务，推进适度规模经营和绿色高效农业生产，破解“谁来种地”“地怎么中”的问题，不断提高农业综合效益，助理保障国家粮食安全，构建我区供销合作社农业社会化服务体系。2024年中央财政资金支持供销合作社开展农业社会化服务试点坚持市场化原则，坚持在供销合作社系统内闭环运行，优先选在服务基础好、服务能力强、管理运作规范的8地州、市15县（市）开展，各试点县要在前期摸底调研基础上，在当地农业农村部门指导下完成农业社会化服务绩效任务面积22.41万亩。</w:t>
      </w:r>
    </w:p>
    <w:p w14:paraId="1CE4D12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主要内容及实施情况</w:t>
      </w:r>
    </w:p>
    <w:p w14:paraId="0BB9268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1）主要内容</w:t>
      </w:r>
    </w:p>
    <w:p w14:paraId="5BB4DBE6">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根据《关于下达2024年中央农业经营主体能力提升资金预算的通知》（和地财农【2024】8号）文件实施该项目。项目主要内容：为洛浦县杭桂镇皮凉艾日克村1336.5亩地涉及的2024年冬小麦收割脱粒环节、2024年冬小麦耕地环节和2024年冬小麦播种环节的农民进行补助发放。通过项目的实施，促进农业绿色发展，资源可持续利用；进一步增加农民的非农收入</w:t>
      </w:r>
      <w:r>
        <w:rPr>
          <w:rFonts w:hint="eastAsia" w:ascii="宋体" w:hAnsi="宋体" w:eastAsia="宋体" w:cs="宋体"/>
          <w:color w:val="auto"/>
          <w:sz w:val="24"/>
          <w:szCs w:val="24"/>
          <w:highlight w:val="none"/>
          <w:lang w:val="en-US" w:eastAsia="zh-CN"/>
        </w:rPr>
        <w:t>。</w:t>
      </w:r>
    </w:p>
    <w:p w14:paraId="64D1C90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（2）实施情况</w:t>
      </w:r>
    </w:p>
    <w:p w14:paraId="3C2190F4">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1）项目实施主体</w:t>
      </w:r>
    </w:p>
    <w:p w14:paraId="65F2C5E3">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本项目主管部门为洛浦县供销合作社联合社，实施单位为洛浦县供销合作社联合社。</w:t>
      </w:r>
    </w:p>
    <w:p w14:paraId="096E86C9">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2）项目实施时间</w:t>
      </w:r>
    </w:p>
    <w:p w14:paraId="0980B595">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2024年1月-2024年12月</w:t>
      </w:r>
    </w:p>
    <w:p w14:paraId="47080DE9">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3）项目实施情况</w:t>
      </w:r>
    </w:p>
    <w:p w14:paraId="5BFCB5CE">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本</w:t>
      </w:r>
      <w:r>
        <w:rPr>
          <w:rFonts w:hint="eastAsia" w:ascii="宋体" w:hAnsi="宋体" w:eastAsia="宋体" w:cs="宋体"/>
          <w:color w:val="auto"/>
          <w:sz w:val="24"/>
          <w:szCs w:val="24"/>
          <w:highlight w:val="none"/>
          <w:lang w:val="en-US" w:eastAsia="zh-CN"/>
        </w:rPr>
        <w:t>项目</w:t>
      </w:r>
      <w:r>
        <w:rPr>
          <w:rFonts w:hint="default" w:ascii="宋体" w:hAnsi="宋体" w:eastAsia="宋体" w:cs="宋体"/>
          <w:color w:val="auto"/>
          <w:sz w:val="24"/>
          <w:szCs w:val="24"/>
          <w:highlight w:val="none"/>
          <w:lang w:val="en-US" w:eastAsia="zh-CN"/>
        </w:rPr>
        <w:t>于202</w:t>
      </w:r>
      <w:r>
        <w:rPr>
          <w:rFonts w:hint="eastAsia" w:ascii="宋体" w:hAnsi="宋体" w:eastAsia="宋体" w:cs="宋体"/>
          <w:color w:val="auto"/>
          <w:sz w:val="24"/>
          <w:szCs w:val="24"/>
          <w:highlight w:val="none"/>
          <w:lang w:val="en-US" w:eastAsia="zh-CN"/>
        </w:rPr>
        <w:t>4</w:t>
      </w:r>
      <w:r>
        <w:rPr>
          <w:rFonts w:hint="default" w:ascii="宋体" w:hAnsi="宋体" w:eastAsia="宋体" w:cs="宋体"/>
          <w:color w:val="auto"/>
          <w:sz w:val="24"/>
          <w:szCs w:val="24"/>
          <w:highlight w:val="none"/>
          <w:lang w:val="en-US" w:eastAsia="zh-CN"/>
        </w:rPr>
        <w:t>年12月25日前全部完工。</w:t>
      </w:r>
    </w:p>
    <w:p w14:paraId="5A0E3BA9">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本项</w:t>
      </w:r>
      <w:r>
        <w:rPr>
          <w:rFonts w:hint="eastAsia" w:ascii="宋体" w:hAnsi="宋体" w:eastAsia="宋体" w:cs="宋体"/>
          <w:color w:val="auto"/>
          <w:sz w:val="24"/>
          <w:szCs w:val="24"/>
          <w:highlight w:val="none"/>
          <w:lang w:val="en-US" w:eastAsia="zh-CN"/>
        </w:rPr>
        <w:t>目</w:t>
      </w:r>
      <w:r>
        <w:rPr>
          <w:rFonts w:hint="default" w:ascii="宋体" w:hAnsi="宋体" w:eastAsia="宋体" w:cs="宋体"/>
          <w:color w:val="auto"/>
          <w:sz w:val="24"/>
          <w:szCs w:val="24"/>
          <w:highlight w:val="none"/>
          <w:lang w:val="en-US" w:eastAsia="zh-CN"/>
        </w:rPr>
        <w:t>202</w:t>
      </w:r>
      <w:r>
        <w:rPr>
          <w:rFonts w:hint="eastAsia" w:ascii="宋体" w:hAnsi="宋体" w:eastAsia="宋体" w:cs="宋体"/>
          <w:color w:val="auto"/>
          <w:sz w:val="24"/>
          <w:szCs w:val="24"/>
          <w:highlight w:val="none"/>
          <w:lang w:val="en-US" w:eastAsia="zh-CN"/>
        </w:rPr>
        <w:t>4</w:t>
      </w:r>
      <w:r>
        <w:rPr>
          <w:rFonts w:hint="default" w:ascii="宋体" w:hAnsi="宋体" w:eastAsia="宋体" w:cs="宋体"/>
          <w:color w:val="auto"/>
          <w:sz w:val="24"/>
          <w:szCs w:val="24"/>
          <w:highlight w:val="none"/>
          <w:lang w:val="en-US" w:eastAsia="zh-CN"/>
        </w:rPr>
        <w:t>年</w:t>
      </w:r>
      <w:r>
        <w:rPr>
          <w:rFonts w:hint="eastAsia" w:ascii="宋体" w:hAnsi="宋体" w:eastAsia="宋体" w:cs="宋体"/>
          <w:color w:val="auto"/>
          <w:sz w:val="24"/>
          <w:szCs w:val="24"/>
          <w:highlight w:val="none"/>
          <w:lang w:val="en-US" w:eastAsia="zh-CN"/>
        </w:rPr>
        <w:t>08</w:t>
      </w:r>
      <w:r>
        <w:rPr>
          <w:rFonts w:hint="default" w:ascii="宋体" w:hAnsi="宋体" w:eastAsia="宋体" w:cs="宋体"/>
          <w:color w:val="auto"/>
          <w:sz w:val="24"/>
          <w:szCs w:val="24"/>
          <w:highlight w:val="none"/>
          <w:lang w:val="en-US" w:eastAsia="zh-CN"/>
        </w:rPr>
        <w:t>月2</w:t>
      </w:r>
      <w:r>
        <w:rPr>
          <w:rFonts w:hint="eastAsia" w:ascii="宋体" w:hAnsi="宋体" w:eastAsia="宋体" w:cs="宋体"/>
          <w:color w:val="auto"/>
          <w:sz w:val="24"/>
          <w:szCs w:val="24"/>
          <w:highlight w:val="none"/>
          <w:lang w:val="en-US" w:eastAsia="zh-CN"/>
        </w:rPr>
        <w:t>4</w:t>
      </w:r>
      <w:r>
        <w:rPr>
          <w:rFonts w:hint="default" w:ascii="宋体" w:hAnsi="宋体" w:eastAsia="宋体" w:cs="宋体"/>
          <w:color w:val="auto"/>
          <w:sz w:val="24"/>
          <w:szCs w:val="24"/>
          <w:highlight w:val="none"/>
          <w:lang w:val="en-US" w:eastAsia="zh-CN"/>
        </w:rPr>
        <w:t>日经</w:t>
      </w:r>
      <w:r>
        <w:rPr>
          <w:rFonts w:hint="eastAsia" w:ascii="宋体" w:hAnsi="宋体" w:eastAsia="宋体" w:cs="宋体"/>
          <w:color w:val="auto"/>
          <w:sz w:val="24"/>
          <w:szCs w:val="24"/>
          <w:highlight w:val="none"/>
          <w:lang w:val="en-US" w:eastAsia="zh-CN"/>
        </w:rPr>
        <w:t>自治区</w:t>
      </w:r>
      <w:r>
        <w:rPr>
          <w:rFonts w:hint="default" w:ascii="宋体" w:hAnsi="宋体" w:eastAsia="宋体" w:cs="宋体"/>
          <w:color w:val="auto"/>
          <w:sz w:val="24"/>
          <w:szCs w:val="24"/>
          <w:highlight w:val="none"/>
          <w:lang w:val="en-US" w:eastAsia="zh-CN"/>
        </w:rPr>
        <w:t>下达《</w:t>
      </w:r>
      <w:r>
        <w:rPr>
          <w:rFonts w:hint="eastAsia" w:ascii="宋体" w:hAnsi="宋体" w:eastAsia="宋体" w:cs="宋体"/>
          <w:color w:val="auto"/>
          <w:sz w:val="24"/>
          <w:szCs w:val="24"/>
          <w:highlight w:val="none"/>
          <w:lang w:val="en-US" w:eastAsia="zh-CN"/>
        </w:rPr>
        <w:t>关于做好2024年中央财政资金支持供销合作社开展农业社会化服务试点工作的通知</w:t>
      </w:r>
      <w:r>
        <w:rPr>
          <w:rFonts w:hint="default"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202</w:t>
      </w:r>
      <w:r>
        <w:rPr>
          <w:rFonts w:hint="eastAsia" w:ascii="宋体" w:hAnsi="宋体" w:eastAsia="宋体" w:cs="宋体"/>
          <w:color w:val="auto"/>
          <w:sz w:val="24"/>
          <w:szCs w:val="24"/>
          <w:highlight w:val="none"/>
          <w:lang w:val="en-US" w:eastAsia="zh-CN"/>
        </w:rPr>
        <w:t>4</w:t>
      </w:r>
      <w:r>
        <w:rPr>
          <w:rFonts w:hint="default" w:ascii="宋体" w:hAnsi="宋体" w:eastAsia="宋体" w:cs="宋体"/>
          <w:color w:val="auto"/>
          <w:sz w:val="24"/>
          <w:szCs w:val="24"/>
          <w:highlight w:val="none"/>
          <w:lang w:val="en-US" w:eastAsia="zh-CN"/>
        </w:rPr>
        <w:t>年</w:t>
      </w:r>
      <w:r>
        <w:rPr>
          <w:rFonts w:hint="eastAsia" w:ascii="宋体" w:hAnsi="宋体" w:eastAsia="宋体" w:cs="宋体"/>
          <w:color w:val="auto"/>
          <w:sz w:val="24"/>
          <w:szCs w:val="24"/>
          <w:highlight w:val="none"/>
          <w:lang w:val="en-US" w:eastAsia="zh-CN"/>
        </w:rPr>
        <w:t>05</w:t>
      </w:r>
      <w:r>
        <w:rPr>
          <w:rFonts w:hint="default" w:ascii="宋体" w:hAnsi="宋体" w:eastAsia="宋体" w:cs="宋体"/>
          <w:color w:val="auto"/>
          <w:sz w:val="24"/>
          <w:szCs w:val="24"/>
          <w:highlight w:val="none"/>
          <w:lang w:val="en-US" w:eastAsia="zh-CN"/>
        </w:rPr>
        <w:t>月2</w:t>
      </w:r>
      <w:r>
        <w:rPr>
          <w:rFonts w:hint="eastAsia" w:ascii="宋体" w:hAnsi="宋体" w:eastAsia="宋体" w:cs="宋体"/>
          <w:color w:val="auto"/>
          <w:sz w:val="24"/>
          <w:szCs w:val="24"/>
          <w:highlight w:val="none"/>
          <w:lang w:val="en-US" w:eastAsia="zh-CN"/>
        </w:rPr>
        <w:t>8</w:t>
      </w:r>
      <w:r>
        <w:rPr>
          <w:rFonts w:hint="default" w:ascii="宋体" w:hAnsi="宋体" w:eastAsia="宋体" w:cs="宋体"/>
          <w:color w:val="auto"/>
          <w:sz w:val="24"/>
          <w:szCs w:val="24"/>
          <w:highlight w:val="none"/>
          <w:lang w:val="en-US" w:eastAsia="zh-CN"/>
        </w:rPr>
        <w:t>日</w:t>
      </w:r>
      <w:r>
        <w:rPr>
          <w:rFonts w:hint="eastAsia" w:ascii="宋体" w:hAnsi="宋体" w:eastAsia="宋体" w:cs="宋体"/>
          <w:color w:val="auto"/>
          <w:sz w:val="24"/>
          <w:szCs w:val="24"/>
          <w:highlight w:val="none"/>
          <w:lang w:val="en-US" w:eastAsia="zh-CN"/>
        </w:rPr>
        <w:t>新疆维吾尔自治区和田地区财政局文件</w:t>
      </w:r>
      <w:r>
        <w:rPr>
          <w:rFonts w:hint="default" w:ascii="宋体" w:hAnsi="宋体" w:eastAsia="宋体" w:cs="宋体"/>
          <w:color w:val="auto"/>
          <w:sz w:val="24"/>
          <w:szCs w:val="24"/>
          <w:highlight w:val="none"/>
          <w:lang w:val="en-US" w:eastAsia="zh-CN"/>
        </w:rPr>
        <w:t>《关于</w:t>
      </w:r>
      <w:r>
        <w:rPr>
          <w:rFonts w:hint="eastAsia" w:ascii="宋体" w:hAnsi="宋体" w:eastAsia="宋体" w:cs="宋体"/>
          <w:color w:val="auto"/>
          <w:sz w:val="24"/>
          <w:szCs w:val="24"/>
          <w:highlight w:val="none"/>
          <w:lang w:val="en-US" w:eastAsia="zh-CN"/>
        </w:rPr>
        <w:t>下达2024年中央农业经营主体能力提升资金预算的通知</w:t>
      </w:r>
      <w:r>
        <w:rPr>
          <w:rFonts w:hint="default"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lang w:val="en-US" w:eastAsia="zh-CN"/>
        </w:rPr>
        <w:t>洛浦县沙漠抗源农业科技开发</w:t>
      </w:r>
      <w:r>
        <w:rPr>
          <w:rFonts w:hint="default" w:ascii="宋体" w:hAnsi="宋体" w:eastAsia="宋体" w:cs="宋体"/>
          <w:color w:val="auto"/>
          <w:sz w:val="24"/>
          <w:szCs w:val="24"/>
          <w:highlight w:val="none"/>
          <w:lang w:val="en-US" w:eastAsia="zh-CN"/>
        </w:rPr>
        <w:t>有限公司签订</w:t>
      </w:r>
      <w:r>
        <w:rPr>
          <w:rFonts w:hint="eastAsia" w:ascii="宋体" w:hAnsi="宋体" w:eastAsia="宋体" w:cs="宋体"/>
          <w:color w:val="auto"/>
          <w:sz w:val="24"/>
          <w:szCs w:val="24"/>
          <w:highlight w:val="none"/>
          <w:lang w:val="en-US" w:eastAsia="zh-CN"/>
        </w:rPr>
        <w:t>小麦、玉米等作物的“耕、中、防、收”等全程托管服务和三个环节及以上的多环节托管服务</w:t>
      </w:r>
      <w:r>
        <w:rPr>
          <w:rFonts w:hint="default" w:ascii="宋体" w:hAnsi="宋体" w:eastAsia="宋体" w:cs="宋体"/>
          <w:color w:val="auto"/>
          <w:sz w:val="24"/>
          <w:szCs w:val="24"/>
          <w:highlight w:val="none"/>
          <w:lang w:val="en-US" w:eastAsia="zh-CN"/>
        </w:rPr>
        <w:t>合同。项目</w:t>
      </w:r>
      <w:r>
        <w:rPr>
          <w:rFonts w:hint="eastAsia" w:ascii="宋体" w:hAnsi="宋体" w:eastAsia="宋体" w:cs="宋体"/>
          <w:color w:val="auto"/>
          <w:sz w:val="24"/>
          <w:szCs w:val="24"/>
          <w:highlight w:val="none"/>
          <w:lang w:val="en-US" w:eastAsia="zh-CN"/>
        </w:rPr>
        <w:t>由洛浦县农业农村局、洛浦县供销合作社联合社</w:t>
      </w:r>
      <w:r>
        <w:rPr>
          <w:rFonts w:hint="default" w:ascii="宋体" w:hAnsi="宋体" w:eastAsia="宋体" w:cs="宋体"/>
          <w:color w:val="auto"/>
          <w:sz w:val="24"/>
          <w:szCs w:val="24"/>
          <w:highlight w:val="none"/>
          <w:lang w:val="en-US" w:eastAsia="zh-CN"/>
        </w:rPr>
        <w:t>进行验收</w:t>
      </w:r>
      <w:r>
        <w:rPr>
          <w:rFonts w:hint="eastAsia" w:ascii="宋体" w:hAnsi="宋体" w:eastAsia="宋体" w:cs="宋体"/>
          <w:color w:val="auto"/>
          <w:sz w:val="24"/>
          <w:szCs w:val="24"/>
          <w:highlight w:val="none"/>
          <w:lang w:val="en-US" w:eastAsia="zh-CN"/>
        </w:rPr>
        <w:t>合格并支付资金完成</w:t>
      </w:r>
      <w:r>
        <w:rPr>
          <w:rFonts w:hint="default" w:ascii="宋体" w:hAnsi="宋体" w:eastAsia="宋体" w:cs="宋体"/>
          <w:color w:val="auto"/>
          <w:sz w:val="24"/>
          <w:szCs w:val="24"/>
          <w:highlight w:val="none"/>
          <w:lang w:val="en-US" w:eastAsia="zh-CN"/>
        </w:rPr>
        <w:t>。</w:t>
      </w:r>
    </w:p>
    <w:p w14:paraId="1B75165E">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.资金投入和使用情况</w:t>
      </w:r>
    </w:p>
    <w:p w14:paraId="4AFA4E63">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（1）项目资金安排</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投入情况</w:t>
      </w:r>
    </w:p>
    <w:p w14:paraId="6493AF80">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本项目预算安排总额为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万元，资金来源为部门预算（中央专项资金），其中：财政资金</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万元，202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年实际收到预算资金</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万元，预算资金到位率为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4AF0B085">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（2）项目资金实际使用情况分析</w:t>
      </w:r>
    </w:p>
    <w:p w14:paraId="3A7E8D31">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本项目实际支付资金</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本项目资金主要用于支付2024年中央农业主体能力提升资金项目保障冬小麦耕地亩数1336.5亩；保障冬小麦生产环节3个</w:t>
      </w:r>
      <w:r>
        <w:rPr>
          <w:rFonts w:hint="eastAsia" w:ascii="宋体" w:hAnsi="宋体" w:eastAsia="宋体" w:cs="宋体"/>
          <w:color w:val="auto"/>
          <w:sz w:val="24"/>
          <w:szCs w:val="24"/>
          <w:highlight w:val="none"/>
          <w:lang w:eastAsia="zh-CN"/>
        </w:rPr>
        <w:t>托管费</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万元。</w:t>
      </w:r>
    </w:p>
    <w:p w14:paraId="7E781E08">
      <w:pPr>
        <w:pStyle w:val="4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2" w:name="_Toc68364659"/>
      <w:r>
        <w:rPr>
          <w:rFonts w:hint="eastAsia" w:ascii="宋体" w:hAnsi="宋体" w:eastAsia="宋体" w:cs="宋体"/>
          <w:color w:val="auto"/>
          <w:sz w:val="24"/>
          <w:szCs w:val="24"/>
          <w:highlight w:val="none"/>
        </w:rPr>
        <w:t>（二）项目绩效目标</w:t>
      </w:r>
      <w:bookmarkEnd w:id="2"/>
    </w:p>
    <w:p w14:paraId="7921AD9D">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项目绩效目标包括项目总</w:t>
      </w:r>
      <w:r>
        <w:rPr>
          <w:rFonts w:hint="eastAsia" w:ascii="宋体" w:hAnsi="宋体" w:eastAsia="宋体" w:cs="宋体"/>
          <w:color w:val="auto"/>
          <w:sz w:val="24"/>
          <w:szCs w:val="24"/>
          <w:highlight w:val="none"/>
          <w:lang w:val="en-US" w:eastAsia="zh-CN"/>
        </w:rPr>
        <w:t>体</w:t>
      </w:r>
      <w:r>
        <w:rPr>
          <w:rFonts w:hint="eastAsia" w:ascii="宋体" w:hAnsi="宋体" w:eastAsia="宋体" w:cs="宋体"/>
          <w:color w:val="auto"/>
          <w:sz w:val="24"/>
          <w:szCs w:val="24"/>
          <w:highlight w:val="none"/>
        </w:rPr>
        <w:t>目标和阶段性目标。</w:t>
      </w:r>
    </w:p>
    <w:p w14:paraId="41461818">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1.总</w:t>
      </w:r>
      <w:r>
        <w:rPr>
          <w:rFonts w:hint="eastAsia" w:ascii="宋体" w:hAnsi="宋体" w:eastAsia="宋体" w:cs="宋体"/>
          <w:b/>
          <w:bCs/>
          <w:color w:val="auto"/>
          <w:sz w:val="24"/>
          <w:szCs w:val="24"/>
          <w:highlight w:val="none"/>
          <w:lang w:val="en-US" w:eastAsia="zh-CN"/>
        </w:rPr>
        <w:t>体</w:t>
      </w:r>
      <w:r>
        <w:rPr>
          <w:rFonts w:hint="eastAsia" w:ascii="宋体" w:hAnsi="宋体" w:eastAsia="宋体" w:cs="宋体"/>
          <w:b/>
          <w:bCs/>
          <w:color w:val="auto"/>
          <w:sz w:val="24"/>
          <w:szCs w:val="24"/>
          <w:highlight w:val="none"/>
        </w:rPr>
        <w:t>目标</w:t>
      </w:r>
    </w:p>
    <w:p w14:paraId="4EDBCA05">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根据《关于下达2024年中央农业经营主体能力提升资金预算的通知》（和地财农【2024】8号）文件实施该项目。项目主要内容：为洛浦县杭桂镇皮凉艾日克村1336.5亩地涉及的2024年冬小麦收割脱粒环节、2024年冬小麦耕地环节和2024年冬小麦播种环节的农民进行补助发放。通过项目的实施，促进农业绿色发展，资源可持续利用；进一步增加农民的非农收入。</w:t>
      </w:r>
    </w:p>
    <w:p w14:paraId="3D8EEDE6">
      <w:pPr>
        <w:pStyle w:val="46"/>
        <w:pageBreakBefore w:val="0"/>
        <w:widowControl w:val="0"/>
        <w:numPr>
          <w:ilvl w:val="0"/>
          <w:numId w:val="1"/>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阶段性目标</w:t>
      </w:r>
    </w:p>
    <w:p w14:paraId="4B171F2A">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bookmarkStart w:id="3" w:name="_Toc68364660"/>
      <w:r>
        <w:rPr>
          <w:rFonts w:hint="eastAsia" w:ascii="宋体" w:hAnsi="宋体" w:eastAsia="宋体" w:cs="宋体"/>
          <w:color w:val="auto"/>
          <w:sz w:val="24"/>
          <w:szCs w:val="24"/>
          <w:highlight w:val="none"/>
          <w:lang w:val="en-US" w:eastAsia="zh-CN"/>
        </w:rPr>
        <w:t>我</w:t>
      </w:r>
      <w:r>
        <w:rPr>
          <w:rFonts w:hint="eastAsia" w:ascii="宋体" w:hAnsi="宋体" w:eastAsia="宋体" w:cs="宋体"/>
          <w:color w:val="auto"/>
          <w:sz w:val="24"/>
          <w:szCs w:val="24"/>
          <w:highlight w:val="none"/>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596CD448">
      <w:pPr>
        <w:pStyle w:val="46"/>
        <w:pageBreakBefore w:val="0"/>
        <w:widowControl w:val="0"/>
        <w:numPr>
          <w:ilvl w:val="0"/>
          <w:numId w:val="2"/>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产出指标</w:t>
      </w:r>
    </w:p>
    <w:p w14:paraId="48F9C79D">
      <w:pPr>
        <w:pStyle w:val="46"/>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数量指标:</w:t>
      </w:r>
    </w:p>
    <w:p w14:paraId="719C766B">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指标1：涉及补助村数量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预期指标值</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1个</w:t>
      </w:r>
      <w:r>
        <w:rPr>
          <w:rFonts w:hint="eastAsia" w:ascii="宋体" w:hAnsi="宋体" w:eastAsia="宋体" w:cs="宋体"/>
          <w:color w:val="auto"/>
          <w:sz w:val="24"/>
          <w:szCs w:val="24"/>
          <w:highlight w:val="none"/>
        </w:rPr>
        <w:t>；</w:t>
      </w:r>
    </w:p>
    <w:p w14:paraId="20FAE9EC">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指标2：涉及补助耕地亩数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预期指标值</w:t>
      </w:r>
      <w:r>
        <w:rPr>
          <w:rFonts w:hint="eastAsia" w:ascii="宋体" w:hAnsi="宋体" w:eastAsia="宋体" w:cs="宋体"/>
          <w:color w:val="auto"/>
          <w:sz w:val="24"/>
          <w:szCs w:val="24"/>
          <w:highlight w:val="none"/>
        </w:rPr>
        <w:t>≥1336.50亩</w:t>
      </w:r>
    </w:p>
    <w:p w14:paraId="452AD7B0">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2）质量指标：</w:t>
      </w:r>
    </w:p>
    <w:p w14:paraId="2898454D">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指标1：资金使用合规率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预期指标值</w:t>
      </w:r>
      <w:r>
        <w:rPr>
          <w:rFonts w:hint="eastAsia" w:ascii="宋体" w:hAnsi="宋体" w:eastAsia="宋体" w:cs="宋体"/>
          <w:color w:val="auto"/>
          <w:sz w:val="24"/>
          <w:szCs w:val="24"/>
          <w:highlight w:val="none"/>
        </w:rPr>
        <w:t>=100%；</w:t>
      </w:r>
    </w:p>
    <w:p w14:paraId="5DCA3D53">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指标2：补助发放覆盖率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预期指标值</w:t>
      </w:r>
      <w:r>
        <w:rPr>
          <w:rFonts w:hint="eastAsia" w:ascii="宋体" w:hAnsi="宋体" w:eastAsia="宋体" w:cs="宋体"/>
          <w:color w:val="auto"/>
          <w:sz w:val="24"/>
          <w:szCs w:val="24"/>
          <w:highlight w:val="none"/>
        </w:rPr>
        <w:t>=100%；</w:t>
      </w:r>
    </w:p>
    <w:p w14:paraId="338EF5DF">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3）时效指标：</w:t>
      </w:r>
    </w:p>
    <w:p w14:paraId="0FDF7769">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指标1：项目完成时间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预期指标值为2024年12月</w:t>
      </w:r>
      <w:r>
        <w:rPr>
          <w:rFonts w:hint="eastAsia" w:ascii="宋体" w:hAnsi="宋体" w:eastAsia="宋体" w:cs="宋体"/>
          <w:color w:val="auto"/>
          <w:sz w:val="24"/>
          <w:szCs w:val="24"/>
          <w:highlight w:val="none"/>
        </w:rPr>
        <w:t>；</w:t>
      </w:r>
    </w:p>
    <w:p w14:paraId="16B16C70">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指标2：资金拨付及时率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预期指标值</w:t>
      </w:r>
      <w:r>
        <w:rPr>
          <w:rFonts w:hint="eastAsia" w:ascii="宋体" w:hAnsi="宋体" w:eastAsia="宋体" w:cs="宋体"/>
          <w:color w:val="auto"/>
          <w:sz w:val="24"/>
          <w:szCs w:val="24"/>
          <w:highlight w:val="none"/>
        </w:rPr>
        <w:t>=100%；</w:t>
      </w:r>
    </w:p>
    <w:p w14:paraId="37CFE5F7">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（2）成本指标：</w:t>
      </w:r>
    </w:p>
    <w:p w14:paraId="7F9B2B48">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1）经济成本指标</w:t>
      </w:r>
    </w:p>
    <w:p w14:paraId="27DF52D4">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指标1：项目补助资金，预期指标值≤12万元；</w:t>
      </w:r>
    </w:p>
    <w:p w14:paraId="7156608E">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2）社会成本指标：</w:t>
      </w:r>
    </w:p>
    <w:p w14:paraId="71B1EE08">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该项目无社会成本指标；</w:t>
      </w:r>
    </w:p>
    <w:p w14:paraId="7D6CCB67">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3）生态成本指标;</w:t>
      </w:r>
    </w:p>
    <w:p w14:paraId="6DFD152F">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该项目无生态成本指标；</w:t>
      </w:r>
    </w:p>
    <w:p w14:paraId="306F52E2">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（3）效益指标</w:t>
      </w:r>
    </w:p>
    <w:p w14:paraId="6A4AFC23">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1）经济效益指标：</w:t>
      </w:r>
    </w:p>
    <w:p w14:paraId="6E5954D5">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该项目无经济效益指标；</w:t>
      </w:r>
    </w:p>
    <w:p w14:paraId="5EC12860">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2）社会效益指标：</w:t>
      </w:r>
    </w:p>
    <w:p w14:paraId="0982E2B4">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指标1：促进农业绿色发展，资源可持续利用，预期指标值为有效促进；</w:t>
      </w:r>
    </w:p>
    <w:p w14:paraId="7B889211">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3）生态效益指标：</w:t>
      </w:r>
    </w:p>
    <w:p w14:paraId="7FCCC44C">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该项目无生态效益指标；</w:t>
      </w:r>
    </w:p>
    <w:p w14:paraId="195A0E42">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（4）服务对象满意度指标：</w:t>
      </w:r>
    </w:p>
    <w:p w14:paraId="6F45794F">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指标1：受益农民满意度，预期指标值≥95%。</w:t>
      </w:r>
    </w:p>
    <w:p w14:paraId="2FA201C2">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二、绩效评价工作开展情况</w:t>
      </w:r>
      <w:bookmarkEnd w:id="3"/>
    </w:p>
    <w:p w14:paraId="3D6520C7">
      <w:pPr>
        <w:pStyle w:val="4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4" w:name="_Toc68364661"/>
      <w:r>
        <w:rPr>
          <w:rFonts w:hint="eastAsia" w:ascii="宋体" w:hAnsi="宋体" w:eastAsia="宋体" w:cs="宋体"/>
          <w:color w:val="auto"/>
          <w:sz w:val="24"/>
          <w:szCs w:val="24"/>
          <w:highlight w:val="none"/>
        </w:rPr>
        <w:t>（一）绩效评价目的、对象和范围</w:t>
      </w:r>
      <w:bookmarkEnd w:id="4"/>
    </w:p>
    <w:p w14:paraId="77719D2B">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1.绩效评价目的</w:t>
      </w:r>
    </w:p>
    <w:p w14:paraId="3858679A">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自治区财政厅《关于印发〈自治区项目支出绩效目标设置指引〉的通知》（新财预〔2022〕42号）等相关政策文件与规定，对2024年中央农业主体能力提升资金项目开展本次部门项目支出绩效评价工作。全面了解</w:t>
      </w:r>
      <w:r>
        <w:rPr>
          <w:rFonts w:hint="eastAsia" w:ascii="宋体" w:hAnsi="宋体" w:eastAsia="宋体" w:cs="宋体"/>
          <w:color w:val="auto"/>
          <w:sz w:val="24"/>
          <w:szCs w:val="24"/>
          <w:highlight w:val="none"/>
          <w:lang w:val="en-US" w:eastAsia="zh-CN"/>
        </w:rPr>
        <w:t>2024年中央农业主体能力提升资金</w:t>
      </w:r>
      <w:r>
        <w:rPr>
          <w:rFonts w:hint="eastAsia" w:ascii="宋体" w:hAnsi="宋体" w:eastAsia="宋体" w:cs="宋体"/>
          <w:color w:val="auto"/>
          <w:sz w:val="24"/>
          <w:szCs w:val="24"/>
          <w:highlight w:val="none"/>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效果</w:t>
      </w:r>
      <w:r>
        <w:rPr>
          <w:rFonts w:hint="eastAsia" w:ascii="宋体" w:hAnsi="宋体" w:eastAsia="宋体" w:cs="宋体"/>
          <w:color w:val="auto"/>
          <w:sz w:val="24"/>
          <w:szCs w:val="24"/>
          <w:highlight w:val="none"/>
          <w:lang w:val="en-US" w:eastAsia="zh-CN"/>
        </w:rPr>
        <w:t>情况。</w:t>
      </w:r>
    </w:p>
    <w:p w14:paraId="10976D8A">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2A6CF44C">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77D314EF">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color w:val="auto"/>
          <w:sz w:val="24"/>
          <w:szCs w:val="24"/>
          <w:highlight w:val="none"/>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highlight w:val="none"/>
        </w:rPr>
        <w:t>财政预算资金使用的效率及效益。</w:t>
      </w:r>
    </w:p>
    <w:p w14:paraId="00112CD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2.绩效评价对象</w:t>
      </w:r>
    </w:p>
    <w:p w14:paraId="0CCB7A6E">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2024年中央农业主体能力提升资金</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05A0A470">
      <w:pPr>
        <w:pStyle w:val="46"/>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3.绩效评价范围</w:t>
      </w:r>
    </w:p>
    <w:p w14:paraId="467C38E2">
      <w:pPr>
        <w:pStyle w:val="46"/>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绩效评价主要围绕2024年中央农业主体能力提升资金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覆盖预算资金支出项目的所有内容进行评价。</w:t>
      </w:r>
    </w:p>
    <w:p w14:paraId="0A6C9FB5">
      <w:pPr>
        <w:pStyle w:val="45"/>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（二）绩效评价原则、评价指标体系、评价方法评价标准</w:t>
      </w:r>
      <w:bookmarkEnd w:id="5"/>
    </w:p>
    <w:p w14:paraId="4F7DA06A">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1.绩效评价原则</w:t>
      </w:r>
    </w:p>
    <w:p w14:paraId="2C2B547E">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43198DF7">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（1）科学公正。绩效评价应当运用科学合理的方法，按照规范的程序，对项目绩效进行客观、公正的反映。</w:t>
      </w:r>
    </w:p>
    <w:p w14:paraId="1DDC7642">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0A62156F">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（3）激励约束。绩效评价结果应与预算安排、政策调整、改进管理实质性挂钩，体现奖优罚劣和激励相容导向，有效要安排、低效要压减、无效要问责。</w:t>
      </w:r>
    </w:p>
    <w:p w14:paraId="43D7BF2A">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（4）公开透明。绩效评价结果应依法依规公开，并自觉接受社会监督。</w:t>
      </w:r>
    </w:p>
    <w:p w14:paraId="1E9BE10E">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根据以上原则，绩效评价应遵循如下要求:</w:t>
      </w:r>
    </w:p>
    <w:p w14:paraId="40053DE9">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1）在数据采集时，采取客观数据，主管部门审查、社会中介组织复查，与问卷调查相结合的形式，以保证各项指标的真实性。</w:t>
      </w:r>
    </w:p>
    <w:p w14:paraId="03461BBF">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2）保证评价结果的真实性、公正性，提高评价报告的公信力。</w:t>
      </w:r>
    </w:p>
    <w:p w14:paraId="65429285">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3）绩</w:t>
      </w:r>
      <w:r>
        <w:rPr>
          <w:rFonts w:hint="eastAsia" w:ascii="宋体" w:hAnsi="宋体" w:eastAsia="宋体" w:cs="宋体"/>
          <w:color w:val="auto"/>
          <w:sz w:val="24"/>
          <w:szCs w:val="24"/>
          <w:highlight w:val="none"/>
          <w:lang w:val="en-US" w:eastAsia="zh-CN"/>
        </w:rPr>
        <w:t>效</w:t>
      </w:r>
      <w:r>
        <w:rPr>
          <w:rFonts w:hint="eastAsia" w:ascii="宋体" w:hAnsi="宋体" w:eastAsia="宋体" w:cs="宋体"/>
          <w:color w:val="auto"/>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71C0B8A0">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2.绩效评价指标体系</w:t>
      </w:r>
    </w:p>
    <w:p w14:paraId="5B838206">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个二级指标。项目绩效评价体系</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详细指标体系见“附件1：项目支出绩效评价体系”。</w:t>
      </w:r>
    </w:p>
    <w:p w14:paraId="0CE361A9">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3.绩效评价方法</w:t>
      </w:r>
    </w:p>
    <w:p w14:paraId="20079EFE">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4B5D1DD5">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具体</w:t>
      </w:r>
      <w:r>
        <w:rPr>
          <w:rFonts w:hint="eastAsia" w:ascii="宋体" w:hAnsi="宋体" w:eastAsia="宋体" w:cs="宋体"/>
          <w:b w:val="0"/>
          <w:bCs/>
          <w:color w:val="auto"/>
          <w:sz w:val="24"/>
          <w:szCs w:val="24"/>
          <w:highlight w:val="none"/>
        </w:rPr>
        <w:t>评价方法的应用如下:</w:t>
      </w:r>
    </w:p>
    <w:p w14:paraId="41737D83">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立项依据充分性：比较法、文献法，查找法律法规政策以及规划，对比实际执行内容和政策支持内容是否匹配。</w:t>
      </w:r>
    </w:p>
    <w:p w14:paraId="3D58B726">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立项程序规范性：比较法、文献法，查找相关项目设立的政策和文件要求，对比分析实际执行程序是否按照政策及文件要求执行，分析立项程序的规范性。</w:t>
      </w:r>
    </w:p>
    <w:p w14:paraId="7BC9F7A2">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绩效目标合理性：比较法，对比分析年初编制项目支出绩效目标表与项目内容的相关性、资金的匹配性等。</w:t>
      </w:r>
    </w:p>
    <w:p w14:paraId="01C687F2">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绩效指标明确性：比较法，比较分析年初编制项目支出绩效目标表是否符合双七原则，是否可衡量。</w:t>
      </w:r>
    </w:p>
    <w:p w14:paraId="37647694">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预算编制科学性</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成本效益分析法</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分析在产出一定的情况下，成本取值是否有依据，是否经过询价，是否按照市场最低成本编制。</w:t>
      </w:r>
    </w:p>
    <w:p w14:paraId="34D00AC5">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highlight w:val="none"/>
          <w:lang w:eastAsia="zh-CN"/>
        </w:rPr>
        <w:t>。</w:t>
      </w:r>
    </w:p>
    <w:p w14:paraId="49DAD10E">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资金到位率：比较法，资金到位率预期指标值应为100%，通过实际计算，分析实际完成值和预期指标值之间的差距和原因。</w:t>
      </w:r>
    </w:p>
    <w:p w14:paraId="069457B7">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预算执行率：比较法，预算执行率预期指标值应为100%，通过实际计算，分析实际完成值和预期指标值之间的差距和原因。</w:t>
      </w:r>
    </w:p>
    <w:p w14:paraId="6121B48A">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资金使用合规性：文献法、实地勘察法，一是查找资金管理办法，包括专项资金管理办法和单位自有资金管理办法；二是通过查账了解具体开支情况，是否专用专用，是否按照标准支出。</w:t>
      </w:r>
    </w:p>
    <w:p w14:paraId="0649F559">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管理制度健全性：文献法、比较法，查阅项目实施人员提供的财务和业务管理制度，将已建立的制度与现行的法律法规和政策要求进行对比，分析项目制度的合法性、合规性、完整性。</w:t>
      </w:r>
    </w:p>
    <w:p w14:paraId="2C69DD80">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制度执行有效性：比较法，结合项目实际实施过程性文件，根据已建设的财务管理制度和项目管理制度综合分析制度执行的有效性。</w:t>
      </w:r>
    </w:p>
    <w:p w14:paraId="543FD607">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3659E81E">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定性指标：公众评判法，通过问卷及抽样调查等方式评价本项目实施后社会公众对于其实施效果的满意程度。</w:t>
      </w:r>
    </w:p>
    <w:p w14:paraId="2896D686">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4.绩效评价标准</w:t>
      </w:r>
    </w:p>
    <w:p w14:paraId="42E9E841">
      <w:pPr>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highlight w:val="none"/>
        </w:rPr>
      </w:pPr>
      <w:bookmarkStart w:id="6" w:name="_Toc68364663"/>
      <w:r>
        <w:rPr>
          <w:rFonts w:hint="eastAsia" w:ascii="宋体" w:hAnsi="宋体" w:eastAsia="宋体" w:cs="宋体"/>
          <w:color w:val="auto"/>
          <w:sz w:val="24"/>
          <w:szCs w:val="24"/>
          <w:highlight w:val="none"/>
        </w:rPr>
        <w:t>绩效评价标准通常包括计划标准、行业标准、历史标准等，用于对绩效指标完成情况进行比较、分析、评价。本次评价主要采用了</w:t>
      </w:r>
      <w:r>
        <w:rPr>
          <w:rFonts w:hint="eastAsia" w:ascii="宋体" w:hAnsi="宋体" w:eastAsia="宋体" w:cs="宋体"/>
          <w:color w:val="auto"/>
          <w:sz w:val="24"/>
          <w:szCs w:val="24"/>
          <w:highlight w:val="none"/>
          <w:lang w:val="en-US" w:eastAsia="zh-CN"/>
        </w:rPr>
        <w:t>计划</w:t>
      </w:r>
      <w:r>
        <w:rPr>
          <w:rFonts w:hint="eastAsia" w:ascii="宋体" w:hAnsi="宋体" w:eastAsia="宋体" w:cs="宋体"/>
          <w:color w:val="auto"/>
          <w:sz w:val="24"/>
          <w:szCs w:val="24"/>
          <w:highlight w:val="none"/>
        </w:rPr>
        <w:t>标准。</w:t>
      </w:r>
    </w:p>
    <w:p w14:paraId="4CEA0347">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color w:val="auto"/>
          <w:sz w:val="24"/>
          <w:szCs w:val="24"/>
          <w:highlight w:val="none"/>
        </w:rPr>
      </w:pPr>
      <w:bookmarkStart w:id="7" w:name="_Toc31464"/>
      <w:bookmarkStart w:id="8" w:name="_Toc17882"/>
      <w:r>
        <w:rPr>
          <w:rFonts w:hint="eastAsia" w:ascii="宋体" w:hAnsi="宋体" w:eastAsia="宋体" w:cs="宋体"/>
          <w:b/>
          <w:bCs/>
          <w:color w:val="auto"/>
          <w:sz w:val="24"/>
          <w:szCs w:val="24"/>
          <w:highlight w:val="none"/>
        </w:rPr>
        <w:t>计划标准：</w:t>
      </w:r>
      <w:r>
        <w:rPr>
          <w:rFonts w:hint="eastAsia" w:ascii="宋体" w:hAnsi="宋体" w:eastAsia="宋体" w:cs="宋体"/>
          <w:color w:val="auto"/>
          <w:sz w:val="24"/>
          <w:szCs w:val="24"/>
          <w:highlight w:val="none"/>
        </w:rPr>
        <w:t>指以预先制定的目标、计划、预算、定额等作为评价标准。</w:t>
      </w:r>
      <w:bookmarkEnd w:id="7"/>
      <w:bookmarkEnd w:id="8"/>
    </w:p>
    <w:p w14:paraId="26769577">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color w:val="auto"/>
          <w:sz w:val="24"/>
          <w:szCs w:val="24"/>
          <w:highlight w:val="none"/>
        </w:rPr>
      </w:pPr>
      <w:bookmarkStart w:id="9" w:name="_Toc5633"/>
      <w:bookmarkStart w:id="10" w:name="_Toc2318"/>
      <w:r>
        <w:rPr>
          <w:rFonts w:hint="eastAsia" w:ascii="宋体" w:hAnsi="宋体" w:eastAsia="宋体" w:cs="宋体"/>
          <w:b/>
          <w:bCs/>
          <w:color w:val="auto"/>
          <w:sz w:val="24"/>
          <w:szCs w:val="24"/>
          <w:highlight w:val="none"/>
        </w:rPr>
        <w:t>行业标准：</w:t>
      </w:r>
      <w:r>
        <w:rPr>
          <w:rFonts w:hint="eastAsia" w:ascii="宋体" w:hAnsi="宋体" w:eastAsia="宋体" w:cs="宋体"/>
          <w:color w:val="auto"/>
          <w:sz w:val="24"/>
          <w:szCs w:val="24"/>
          <w:highlight w:val="none"/>
        </w:rPr>
        <w:t>指参照国家公布的行业指标数据制定的评价标准。</w:t>
      </w:r>
      <w:bookmarkEnd w:id="9"/>
      <w:bookmarkEnd w:id="10"/>
    </w:p>
    <w:p w14:paraId="1C1C0B9E">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color w:val="auto"/>
          <w:sz w:val="24"/>
          <w:szCs w:val="24"/>
          <w:highlight w:val="none"/>
        </w:rPr>
      </w:pPr>
      <w:bookmarkStart w:id="11" w:name="_Toc16028"/>
      <w:bookmarkStart w:id="12" w:name="_Toc430"/>
      <w:r>
        <w:rPr>
          <w:rFonts w:hint="eastAsia" w:ascii="宋体" w:hAnsi="宋体" w:eastAsia="宋体" w:cs="宋体"/>
          <w:b/>
          <w:bCs/>
          <w:color w:val="auto"/>
          <w:sz w:val="24"/>
          <w:szCs w:val="24"/>
          <w:highlight w:val="none"/>
        </w:rPr>
        <w:t>历史标准：</w:t>
      </w:r>
      <w:r>
        <w:rPr>
          <w:rFonts w:hint="eastAsia" w:ascii="宋体" w:hAnsi="宋体" w:eastAsia="宋体" w:cs="宋体"/>
          <w:color w:val="auto"/>
          <w:sz w:val="24"/>
          <w:szCs w:val="24"/>
          <w:highlight w:val="none"/>
        </w:rPr>
        <w:t>指参照历史数据制定的评价标准，为体现绩效改进的原则，在可实现的条件下应当确定相对较高的评价标准。</w:t>
      </w:r>
      <w:bookmarkEnd w:id="11"/>
      <w:bookmarkEnd w:id="12"/>
    </w:p>
    <w:p w14:paraId="0F4D7ACE">
      <w:pPr>
        <w:pStyle w:val="4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（三）绩效评价工作过程</w:t>
      </w:r>
      <w:bookmarkEnd w:id="6"/>
    </w:p>
    <w:p w14:paraId="12E928E2">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bookmarkStart w:id="13" w:name="_Toc68364664"/>
      <w:r>
        <w:rPr>
          <w:rFonts w:hint="eastAsia" w:ascii="宋体" w:hAnsi="宋体" w:eastAsia="宋体" w:cs="宋体"/>
          <w:b/>
          <w:bCs/>
          <w:color w:val="auto"/>
          <w:sz w:val="24"/>
          <w:szCs w:val="24"/>
          <w:highlight w:val="none"/>
        </w:rPr>
        <w:t>1.前期准备</w:t>
      </w:r>
    </w:p>
    <w:p w14:paraId="77D3CBF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我单位于</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06A909DC">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张德智</w:t>
      </w:r>
      <w:r>
        <w:rPr>
          <w:rFonts w:hint="eastAsia" w:ascii="宋体" w:hAnsi="宋体" w:eastAsia="宋体" w:cs="宋体"/>
          <w:color w:val="auto"/>
          <w:sz w:val="24"/>
          <w:szCs w:val="24"/>
          <w:highlight w:val="none"/>
        </w:rPr>
        <w:t>（评价小组组长）：主要负责</w:t>
      </w:r>
      <w:r>
        <w:rPr>
          <w:rFonts w:hint="eastAsia" w:ascii="宋体" w:hAnsi="宋体" w:eastAsia="宋体" w:cs="宋体"/>
          <w:color w:val="auto"/>
          <w:sz w:val="24"/>
          <w:szCs w:val="24"/>
          <w:highlight w:val="none"/>
          <w:lang w:eastAsia="zh-CN"/>
        </w:rPr>
        <w:t>小麦等作物的“耕、中、防、收”等全程托管服务和三个环节及以上的多环节托管服务。</w:t>
      </w:r>
    </w:p>
    <w:p w14:paraId="1E8AE19B">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阿卜杜艾海提</w:t>
      </w:r>
      <w:r>
        <w:rPr>
          <w:rFonts w:hint="eastAsia" w:ascii="宋体" w:hAnsi="宋体" w:eastAsia="宋体" w:cs="宋体"/>
          <w:color w:val="auto"/>
          <w:sz w:val="24"/>
          <w:szCs w:val="24"/>
          <w:highlight w:val="none"/>
          <w:lang w:val="en-US" w:eastAsia="zh-CN"/>
        </w:rPr>
        <w:t>·艾则孜</w:t>
      </w:r>
      <w:r>
        <w:rPr>
          <w:rFonts w:hint="eastAsia" w:ascii="宋体" w:hAnsi="宋体" w:eastAsia="宋体" w:cs="宋体"/>
          <w:color w:val="auto"/>
          <w:sz w:val="24"/>
          <w:szCs w:val="24"/>
          <w:highlight w:val="none"/>
        </w:rPr>
        <w:t>（评价小组组员）：主要负责</w:t>
      </w:r>
      <w:r>
        <w:rPr>
          <w:rFonts w:hint="eastAsia" w:ascii="宋体" w:hAnsi="宋体" w:eastAsia="宋体" w:cs="宋体"/>
          <w:color w:val="auto"/>
          <w:sz w:val="24"/>
          <w:szCs w:val="24"/>
          <w:highlight w:val="none"/>
          <w:lang w:eastAsia="zh-CN"/>
        </w:rPr>
        <w:t>小麦等作物的“耕、中、防、收”等全程托管服务和三个环节及以上的多环节托管服务</w:t>
      </w:r>
      <w:r>
        <w:rPr>
          <w:rFonts w:hint="eastAsia" w:ascii="宋体" w:hAnsi="宋体" w:eastAsia="宋体" w:cs="宋体"/>
          <w:color w:val="auto"/>
          <w:sz w:val="24"/>
          <w:szCs w:val="24"/>
          <w:highlight w:val="none"/>
        </w:rPr>
        <w:t>;</w:t>
      </w:r>
    </w:p>
    <w:p w14:paraId="509053E1">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祁赵龙</w:t>
      </w:r>
      <w:r>
        <w:rPr>
          <w:rFonts w:hint="eastAsia" w:ascii="宋体" w:hAnsi="宋体" w:eastAsia="宋体" w:cs="宋体"/>
          <w:color w:val="auto"/>
          <w:sz w:val="24"/>
          <w:szCs w:val="24"/>
          <w:highlight w:val="none"/>
        </w:rPr>
        <w:t>（评价小组组员）：主要负责</w:t>
      </w:r>
      <w:r>
        <w:rPr>
          <w:rFonts w:hint="eastAsia" w:ascii="宋体" w:hAnsi="宋体" w:eastAsia="宋体" w:cs="宋体"/>
          <w:color w:val="auto"/>
          <w:sz w:val="24"/>
          <w:szCs w:val="24"/>
          <w:highlight w:val="none"/>
          <w:lang w:eastAsia="zh-CN"/>
        </w:rPr>
        <w:t>小麦等作物的“耕、中、防、收”等全程托管服务和三个环节及以上的多环节托管服务。</w:t>
      </w:r>
    </w:p>
    <w:p w14:paraId="4038C8D6">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2.组织实施</w:t>
      </w:r>
    </w:p>
    <w:p w14:paraId="35C35F87">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3F3BC0F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3.分析评价</w:t>
      </w:r>
    </w:p>
    <w:p w14:paraId="1935538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日，评价小组按照绩效评价的原则和规范，对取得的资料进行审查核实，对采集的数据进行分析，按照绩效评价指标评分表逐项进行打分、分析、汇总各方评价结果。</w:t>
      </w:r>
    </w:p>
    <w:p w14:paraId="2E0BD602">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4.撰写与提交评价报告</w:t>
      </w:r>
    </w:p>
    <w:p w14:paraId="510E661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color w:val="auto"/>
          <w:sz w:val="24"/>
          <w:szCs w:val="24"/>
          <w:highlight w:val="none"/>
        </w:rPr>
        <w:t>撰写绩效评价报告，按照新疆</w:t>
      </w:r>
      <w:r>
        <w:rPr>
          <w:rFonts w:hint="eastAsia" w:ascii="宋体" w:hAnsi="宋体" w:eastAsia="宋体" w:cs="宋体"/>
          <w:color w:val="auto"/>
          <w:sz w:val="24"/>
          <w:szCs w:val="24"/>
          <w:highlight w:val="none"/>
          <w:lang w:eastAsia="zh-CN"/>
        </w:rPr>
        <w:t>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7D3B15D6">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5.问题整改</w:t>
      </w:r>
    </w:p>
    <w:p w14:paraId="3AA7A5AB">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1301A0C6">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6.档案整理</w:t>
      </w:r>
    </w:p>
    <w:p w14:paraId="70411465">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建立和落实档案管理制度，将项目相关资料存档，包括但不限于：评价项目基本情况和相关文件、评价实施方案、项目支付资料等相关档案。</w:t>
      </w:r>
    </w:p>
    <w:p w14:paraId="3A286E68">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p>
    <w:p w14:paraId="07502702">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三、综合评价情况及评价结论</w:t>
      </w:r>
      <w:bookmarkEnd w:id="13"/>
    </w:p>
    <w:p w14:paraId="21B025F4">
      <w:pPr>
        <w:pStyle w:val="4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4" w:name="_Toc68364665"/>
      <w:r>
        <w:rPr>
          <w:rFonts w:hint="eastAsia" w:ascii="宋体" w:hAnsi="宋体" w:eastAsia="宋体" w:cs="宋体"/>
          <w:color w:val="auto"/>
          <w:sz w:val="24"/>
          <w:szCs w:val="24"/>
          <w:highlight w:val="none"/>
        </w:rPr>
        <w:t>（一）综合评价情况</w:t>
      </w:r>
      <w:bookmarkEnd w:id="14"/>
    </w:p>
    <w:p w14:paraId="2B77E5D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bookmarkStart w:id="15" w:name="_Toc68364666"/>
      <w:r>
        <w:rPr>
          <w:rFonts w:hint="eastAsia" w:ascii="宋体" w:hAnsi="宋体" w:eastAsia="宋体" w:cs="宋体"/>
          <w:color w:val="auto"/>
          <w:sz w:val="24"/>
          <w:szCs w:val="24"/>
          <w:highlight w:val="none"/>
        </w:rPr>
        <w:t>通过实施2024年中央农业主体能力提升资金项目产生</w:t>
      </w:r>
      <w:r>
        <w:rPr>
          <w:rFonts w:hint="eastAsia" w:ascii="宋体" w:hAnsi="宋体" w:eastAsia="宋体" w:cs="宋体"/>
          <w:color w:val="auto"/>
          <w:sz w:val="24"/>
          <w:szCs w:val="24"/>
          <w:highlight w:val="none"/>
          <w:lang w:val="en-US" w:eastAsia="zh-CN"/>
        </w:rPr>
        <w:t>社会效益，项目的实施促进农业绿色发展，资源可持续利用，进一步增加农民的非农收入。</w:t>
      </w:r>
      <w:r>
        <w:rPr>
          <w:rFonts w:hint="eastAsia" w:ascii="宋体" w:hAnsi="宋体" w:eastAsia="宋体" w:cs="宋体"/>
          <w:color w:val="auto"/>
          <w:sz w:val="24"/>
          <w:szCs w:val="24"/>
          <w:highlight w:val="none"/>
        </w:rPr>
        <w:t>项目实施主要通过项目决策、项目过程、项目产出以及项目效益等方面进行评价，其中：</w:t>
      </w:r>
    </w:p>
    <w:p w14:paraId="0CF89632">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项目决策：该项目主要通过</w:t>
      </w:r>
      <w:r>
        <w:rPr>
          <w:rFonts w:hint="eastAsia" w:ascii="宋体" w:hAnsi="宋体" w:eastAsia="宋体" w:cs="宋体"/>
          <w:b w:val="0"/>
          <w:bCs w:val="0"/>
          <w:color w:val="auto"/>
          <w:sz w:val="24"/>
          <w:szCs w:val="24"/>
          <w:highlight w:val="none"/>
          <w:lang w:val="en-US" w:eastAsia="zh-CN"/>
        </w:rPr>
        <w:t>自治区</w:t>
      </w:r>
      <w:r>
        <w:rPr>
          <w:rFonts w:hint="default" w:ascii="宋体" w:hAnsi="宋体" w:eastAsia="宋体" w:cs="宋体"/>
          <w:b w:val="0"/>
          <w:bCs w:val="0"/>
          <w:color w:val="auto"/>
          <w:sz w:val="24"/>
          <w:szCs w:val="24"/>
          <w:highlight w:val="none"/>
          <w:lang w:val="en-US" w:eastAsia="zh-CN"/>
        </w:rPr>
        <w:t>下达《</w:t>
      </w:r>
      <w:r>
        <w:rPr>
          <w:rFonts w:hint="eastAsia" w:ascii="宋体" w:hAnsi="宋体" w:eastAsia="宋体" w:cs="宋体"/>
          <w:b w:val="0"/>
          <w:bCs w:val="0"/>
          <w:color w:val="auto"/>
          <w:sz w:val="24"/>
          <w:szCs w:val="24"/>
          <w:highlight w:val="none"/>
          <w:lang w:val="en-US" w:eastAsia="zh-CN"/>
        </w:rPr>
        <w:t>关于做好2024年中央财政资金支持供销合作社开展农业社会化服务试点工作的通知</w:t>
      </w:r>
      <w:r>
        <w:rPr>
          <w:rFonts w:hint="default" w:ascii="宋体" w:hAnsi="宋体" w:eastAsia="宋体" w:cs="宋体"/>
          <w:b w:val="0"/>
          <w:bCs w:val="0"/>
          <w:color w:val="auto"/>
          <w:sz w:val="24"/>
          <w:szCs w:val="24"/>
          <w:highlight w:val="none"/>
          <w:lang w:val="en-US" w:eastAsia="zh-CN"/>
        </w:rPr>
        <w:t>》</w:t>
      </w:r>
      <w:r>
        <w:rPr>
          <w:rFonts w:hint="eastAsia" w:ascii="宋体" w:hAnsi="宋体" w:eastAsia="宋体" w:cs="宋体"/>
          <w:color w:val="auto"/>
          <w:sz w:val="24"/>
          <w:szCs w:val="24"/>
          <w:highlight w:val="none"/>
        </w:rPr>
        <w:t>文件立项，项目实施符合</w:t>
      </w:r>
      <w:r>
        <w:rPr>
          <w:rFonts w:hint="eastAsia" w:ascii="宋体" w:hAnsi="宋体" w:eastAsia="宋体" w:cs="宋体"/>
          <w:b w:val="0"/>
          <w:bCs w:val="0"/>
          <w:color w:val="auto"/>
          <w:sz w:val="24"/>
          <w:szCs w:val="24"/>
          <w:highlight w:val="none"/>
          <w:lang w:val="en-US" w:eastAsia="zh-CN"/>
        </w:rPr>
        <w:t>农业社会化服务试点工作</w:t>
      </w:r>
      <w:r>
        <w:rPr>
          <w:rFonts w:hint="eastAsia" w:ascii="宋体" w:hAnsi="宋体" w:eastAsia="宋体" w:cs="宋体"/>
          <w:color w:val="auto"/>
          <w:sz w:val="24"/>
          <w:szCs w:val="24"/>
          <w:highlight w:val="none"/>
        </w:rPr>
        <w:t>要求，项目立项依据充分，立项程序规范。</w:t>
      </w:r>
    </w:p>
    <w:p w14:paraId="3A29DF6B">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项目过程：2024年中央农业主体能力提升资金项目预算安排</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万元，实际支出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%。项目资金使用合规，项目财务管理制度健全，财务监控到位，所有资金支付均按照国库集中支付制度严格执行，现有项目管理制度执行情况良好。</w:t>
      </w:r>
    </w:p>
    <w:p w14:paraId="4EDEAB83">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项目产出：</w:t>
      </w:r>
      <w:r>
        <w:rPr>
          <w:rFonts w:hint="eastAsia" w:ascii="宋体" w:hAnsi="宋体" w:eastAsia="宋体" w:cs="宋体"/>
          <w:color w:val="auto"/>
          <w:sz w:val="24"/>
          <w:szCs w:val="24"/>
          <w:highlight w:val="none"/>
          <w:lang w:eastAsia="zh-CN"/>
        </w:rPr>
        <w:t>该项目实际完成保障冬小麦耕地亩数1336.5亩，</w:t>
      </w:r>
      <w:r>
        <w:rPr>
          <w:rFonts w:hint="eastAsia" w:ascii="宋体" w:hAnsi="宋体" w:eastAsia="宋体" w:cs="宋体"/>
          <w:color w:val="auto"/>
          <w:sz w:val="24"/>
          <w:szCs w:val="24"/>
          <w:highlight w:val="none"/>
          <w:lang w:val="en-US" w:eastAsia="zh-CN"/>
        </w:rPr>
        <w:t>保障村落1个。</w:t>
      </w:r>
    </w:p>
    <w:p w14:paraId="1B3F400E">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项目效益：通过</w:t>
      </w:r>
      <w:r>
        <w:rPr>
          <w:rFonts w:hint="eastAsia" w:ascii="宋体" w:hAnsi="宋体" w:eastAsia="宋体" w:cs="宋体"/>
          <w:color w:val="auto"/>
          <w:sz w:val="24"/>
          <w:szCs w:val="24"/>
          <w:highlight w:val="none"/>
          <w:lang w:val="en-US" w:eastAsia="zh-CN"/>
        </w:rPr>
        <w:t>实施此项目，</w:t>
      </w:r>
      <w:r>
        <w:rPr>
          <w:rFonts w:hint="eastAsia" w:ascii="宋体" w:hAnsi="宋体" w:eastAsia="宋体" w:cs="宋体"/>
          <w:color w:val="auto"/>
          <w:sz w:val="24"/>
          <w:szCs w:val="24"/>
          <w:highlight w:val="none"/>
        </w:rPr>
        <w:t>促进农业绿色发展，资源可持续利用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进一步增加农民的非农收入</w:t>
      </w:r>
      <w:r>
        <w:rPr>
          <w:rFonts w:hint="eastAsia" w:ascii="宋体" w:hAnsi="宋体" w:eastAsia="宋体" w:cs="宋体"/>
          <w:color w:val="auto"/>
          <w:sz w:val="24"/>
          <w:szCs w:val="24"/>
          <w:highlight w:val="none"/>
          <w:lang w:val="en-US" w:eastAsia="zh-CN"/>
        </w:rPr>
        <w:t>。</w:t>
      </w:r>
    </w:p>
    <w:p w14:paraId="2731EB0C">
      <w:pPr>
        <w:pStyle w:val="4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（二）综合评价结论</w:t>
      </w:r>
    </w:p>
    <w:p w14:paraId="3D82C268">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2024年中央农业主体能力提升资金项目进行客观评价，最终评分结果：评价总分</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分，绩效等级为“</w:t>
      </w:r>
      <w:r>
        <w:rPr>
          <w:rFonts w:hint="eastAsia" w:ascii="宋体" w:hAnsi="宋体" w:eastAsia="宋体" w:cs="宋体"/>
          <w:color w:val="auto"/>
          <w:sz w:val="24"/>
          <w:szCs w:val="24"/>
          <w:highlight w:val="none"/>
          <w:lang w:val="en-US" w:eastAsia="zh-CN"/>
        </w:rPr>
        <w:t>优</w:t>
      </w:r>
      <w:r>
        <w:rPr>
          <w:rFonts w:hint="eastAsia" w:ascii="宋体" w:hAnsi="宋体" w:eastAsia="宋体" w:cs="宋体"/>
          <w:color w:val="auto"/>
          <w:sz w:val="24"/>
          <w:szCs w:val="24"/>
          <w:highlight w:val="none"/>
        </w:rPr>
        <w:t>”。</w:t>
      </w:r>
      <w:bookmarkEnd w:id="15"/>
      <w:bookmarkStart w:id="16" w:name="_Toc68364667"/>
    </w:p>
    <w:bookmarkEnd w:id="16"/>
    <w:p w14:paraId="3666007C">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p>
    <w:p w14:paraId="7AD7F9C9">
      <w:pPr>
        <w:pStyle w:val="4"/>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auto"/>
          <w:sz w:val="24"/>
          <w:szCs w:val="24"/>
          <w:highlight w:val="none"/>
        </w:rPr>
      </w:pPr>
      <w:bookmarkStart w:id="17" w:name="_Toc68364668"/>
      <w:r>
        <w:rPr>
          <w:rFonts w:hint="eastAsia" w:ascii="黑体" w:hAnsi="黑体" w:eastAsia="黑体" w:cs="黑体"/>
          <w:b/>
          <w:bCs/>
          <w:color w:val="auto"/>
          <w:sz w:val="24"/>
          <w:szCs w:val="24"/>
          <w:highlight w:val="none"/>
        </w:rPr>
        <w:t>四、绩效评价指标分析</w:t>
      </w:r>
    </w:p>
    <w:p w14:paraId="3BF4ED3D">
      <w:pPr>
        <w:pStyle w:val="45"/>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（一）项目决策情况</w:t>
      </w:r>
    </w:p>
    <w:p w14:paraId="2B8910E8">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项目决策类指标包括项目立项、绩效目标和资金投入三方面的内容，由6个三级指标构成，权重分为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1FCB4800">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4242E9B3">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本项目立项符合</w:t>
      </w:r>
      <w:r>
        <w:rPr>
          <w:rFonts w:hint="default" w:ascii="宋体" w:hAnsi="宋体" w:eastAsia="宋体" w:cs="宋体"/>
          <w:color w:val="auto"/>
          <w:sz w:val="24"/>
          <w:szCs w:val="24"/>
          <w:highlight w:val="none"/>
          <w:lang w:val="en-US" w:eastAsia="zh-CN"/>
        </w:rPr>
        <w:t>202</w:t>
      </w:r>
      <w:r>
        <w:rPr>
          <w:rFonts w:hint="eastAsia" w:ascii="宋体" w:hAnsi="宋体" w:eastAsia="宋体" w:cs="宋体"/>
          <w:color w:val="auto"/>
          <w:sz w:val="24"/>
          <w:szCs w:val="24"/>
          <w:highlight w:val="none"/>
          <w:lang w:val="en-US" w:eastAsia="zh-CN"/>
        </w:rPr>
        <w:t>4</w:t>
      </w:r>
      <w:r>
        <w:rPr>
          <w:rFonts w:hint="default" w:ascii="宋体" w:hAnsi="宋体" w:eastAsia="宋体" w:cs="宋体"/>
          <w:color w:val="auto"/>
          <w:sz w:val="24"/>
          <w:szCs w:val="24"/>
          <w:highlight w:val="none"/>
          <w:lang w:val="en-US" w:eastAsia="zh-CN"/>
        </w:rPr>
        <w:t>年</w:t>
      </w:r>
      <w:r>
        <w:rPr>
          <w:rFonts w:hint="eastAsia" w:ascii="宋体" w:hAnsi="宋体" w:eastAsia="宋体" w:cs="宋体"/>
          <w:color w:val="auto"/>
          <w:sz w:val="24"/>
          <w:szCs w:val="24"/>
          <w:highlight w:val="none"/>
          <w:lang w:val="en-US" w:eastAsia="zh-CN"/>
        </w:rPr>
        <w:t>08</w:t>
      </w:r>
      <w:r>
        <w:rPr>
          <w:rFonts w:hint="default" w:ascii="宋体" w:hAnsi="宋体" w:eastAsia="宋体" w:cs="宋体"/>
          <w:color w:val="auto"/>
          <w:sz w:val="24"/>
          <w:szCs w:val="24"/>
          <w:highlight w:val="none"/>
          <w:lang w:val="en-US" w:eastAsia="zh-CN"/>
        </w:rPr>
        <w:t>月2</w:t>
      </w:r>
      <w:r>
        <w:rPr>
          <w:rFonts w:hint="eastAsia" w:ascii="宋体" w:hAnsi="宋体" w:eastAsia="宋体" w:cs="宋体"/>
          <w:color w:val="auto"/>
          <w:sz w:val="24"/>
          <w:szCs w:val="24"/>
          <w:highlight w:val="none"/>
          <w:lang w:val="en-US" w:eastAsia="zh-CN"/>
        </w:rPr>
        <w:t>4</w:t>
      </w:r>
      <w:r>
        <w:rPr>
          <w:rFonts w:hint="default" w:ascii="宋体" w:hAnsi="宋体" w:eastAsia="宋体" w:cs="宋体"/>
          <w:color w:val="auto"/>
          <w:sz w:val="24"/>
          <w:szCs w:val="24"/>
          <w:highlight w:val="none"/>
          <w:lang w:val="en-US" w:eastAsia="zh-CN"/>
        </w:rPr>
        <w:t>日经</w:t>
      </w:r>
      <w:r>
        <w:rPr>
          <w:rFonts w:hint="eastAsia" w:ascii="宋体" w:hAnsi="宋体" w:eastAsia="宋体" w:cs="宋体"/>
          <w:color w:val="auto"/>
          <w:sz w:val="24"/>
          <w:szCs w:val="24"/>
          <w:highlight w:val="none"/>
          <w:lang w:val="en-US" w:eastAsia="zh-CN"/>
        </w:rPr>
        <w:t>自治区</w:t>
      </w:r>
      <w:r>
        <w:rPr>
          <w:rFonts w:hint="default" w:ascii="宋体" w:hAnsi="宋体" w:eastAsia="宋体" w:cs="宋体"/>
          <w:color w:val="auto"/>
          <w:sz w:val="24"/>
          <w:szCs w:val="24"/>
          <w:highlight w:val="none"/>
          <w:lang w:val="en-US" w:eastAsia="zh-CN"/>
        </w:rPr>
        <w:t>下达《</w:t>
      </w:r>
      <w:r>
        <w:rPr>
          <w:rFonts w:hint="eastAsia" w:ascii="宋体" w:hAnsi="宋体" w:eastAsia="宋体" w:cs="宋体"/>
          <w:color w:val="auto"/>
          <w:sz w:val="24"/>
          <w:szCs w:val="24"/>
          <w:highlight w:val="none"/>
          <w:lang w:val="en-US" w:eastAsia="zh-CN"/>
        </w:rPr>
        <w:t>关于做好2024年中央财政资金支持供销合作社开展农业社会化服务试点工作的通知</w:t>
      </w:r>
      <w:r>
        <w:rPr>
          <w:rFonts w:hint="default"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；本项目符合《</w:t>
      </w:r>
      <w:r>
        <w:rPr>
          <w:rFonts w:hint="eastAsia" w:ascii="宋体" w:hAnsi="宋体" w:eastAsia="宋体" w:cs="宋体"/>
          <w:color w:val="auto"/>
          <w:sz w:val="24"/>
          <w:szCs w:val="24"/>
          <w:highlight w:val="none"/>
          <w:lang w:val="en-US" w:eastAsia="zh-CN"/>
        </w:rPr>
        <w:t>关于做好2024年中央财政资金支持供销合作社开展农业社会化服务试点工作</w:t>
      </w:r>
      <w:r>
        <w:rPr>
          <w:rFonts w:hint="eastAsia" w:ascii="宋体" w:hAnsi="宋体" w:eastAsia="宋体" w:cs="宋体"/>
          <w:color w:val="auto"/>
          <w:sz w:val="24"/>
          <w:szCs w:val="24"/>
          <w:highlight w:val="none"/>
        </w:rPr>
        <w:t>》项目资金性质为“公共财政预算”功能分类为“</w:t>
      </w:r>
      <w:r>
        <w:rPr>
          <w:rFonts w:hint="eastAsia" w:ascii="宋体" w:hAnsi="宋体" w:eastAsia="宋体" w:cs="宋体"/>
          <w:color w:val="auto"/>
          <w:sz w:val="24"/>
          <w:szCs w:val="24"/>
          <w:highlight w:val="none"/>
          <w:lang w:val="en-US" w:eastAsia="zh-CN"/>
        </w:rPr>
        <w:t>2130124</w:t>
      </w:r>
      <w:r>
        <w:rPr>
          <w:rFonts w:hint="eastAsia" w:ascii="宋体" w:hAnsi="宋体" w:eastAsia="宋体" w:cs="宋体"/>
          <w:color w:val="auto"/>
          <w:sz w:val="24"/>
          <w:szCs w:val="24"/>
          <w:highlight w:val="none"/>
        </w:rPr>
        <w:t>”经济分类为“</w:t>
      </w:r>
      <w:r>
        <w:rPr>
          <w:rFonts w:hint="eastAsia" w:ascii="宋体" w:hAnsi="宋体" w:eastAsia="宋体" w:cs="宋体"/>
          <w:color w:val="auto"/>
          <w:sz w:val="24"/>
          <w:szCs w:val="24"/>
          <w:highlight w:val="none"/>
          <w:lang w:val="en-US" w:eastAsia="zh-CN"/>
        </w:rPr>
        <w:t>213</w:t>
      </w:r>
      <w:r>
        <w:rPr>
          <w:rFonts w:hint="eastAsia" w:ascii="宋体" w:hAnsi="宋体" w:eastAsia="宋体" w:cs="宋体"/>
          <w:color w:val="auto"/>
          <w:sz w:val="24"/>
          <w:szCs w:val="24"/>
          <w:highlight w:val="none"/>
        </w:rPr>
        <w:t>”属于公共财政支持范围，符合中央、地方事权支出责任划分原则；经检查我单位财政应用平台指标，本项目不存在重复。</w:t>
      </w:r>
    </w:p>
    <w:p w14:paraId="4BF78DE1">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2033659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7229ED10">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rPr>
        <w:t>本项目按照规定的程序申请设立，项目立项过程中产生的文件均符合相关要求。</w:t>
      </w:r>
      <w:r>
        <w:rPr>
          <w:rFonts w:hint="eastAsia" w:ascii="宋体" w:hAnsi="宋体" w:eastAsia="宋体" w:cs="宋体"/>
          <w:color w:val="auto"/>
          <w:sz w:val="24"/>
          <w:szCs w:val="24"/>
          <w:highlight w:val="none"/>
        </w:rPr>
        <w:t>本项目为</w:t>
      </w:r>
      <w:r>
        <w:rPr>
          <w:rFonts w:hint="eastAsia" w:ascii="宋体" w:hAnsi="宋体" w:eastAsia="宋体" w:cs="宋体"/>
          <w:color w:val="auto"/>
          <w:sz w:val="24"/>
          <w:szCs w:val="24"/>
          <w:highlight w:val="none"/>
          <w:lang w:eastAsia="zh-CN"/>
        </w:rPr>
        <w:t>农业补助</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万元，不涉及事前绩效评估和风险评估，已委托</w:t>
      </w:r>
      <w:r>
        <w:rPr>
          <w:rFonts w:hint="eastAsia" w:ascii="宋体" w:hAnsi="宋体" w:eastAsia="宋体" w:cs="宋体"/>
          <w:color w:val="auto"/>
          <w:sz w:val="24"/>
          <w:szCs w:val="24"/>
          <w:highlight w:val="none"/>
          <w:lang w:eastAsia="zh-CN"/>
        </w:rPr>
        <w:t>洛浦县沙漠康源农业科技有限公司</w:t>
      </w:r>
      <w:r>
        <w:rPr>
          <w:rFonts w:hint="eastAsia" w:ascii="宋体" w:hAnsi="宋体" w:eastAsia="宋体" w:cs="宋体"/>
          <w:color w:val="auto"/>
          <w:sz w:val="24"/>
          <w:szCs w:val="24"/>
          <w:highlight w:val="none"/>
        </w:rPr>
        <w:t>单位完成本项目</w:t>
      </w:r>
      <w:r>
        <w:rPr>
          <w:rFonts w:hint="eastAsia" w:ascii="宋体" w:hAnsi="宋体" w:eastAsia="宋体" w:cs="宋体"/>
          <w:color w:val="auto"/>
          <w:sz w:val="24"/>
          <w:szCs w:val="24"/>
          <w:highlight w:val="none"/>
          <w:lang w:eastAsia="zh-CN"/>
        </w:rPr>
        <w:t>实施</w:t>
      </w:r>
      <w:r>
        <w:rPr>
          <w:rFonts w:hint="eastAsia" w:ascii="宋体" w:hAnsi="宋体" w:eastAsia="宋体" w:cs="宋体"/>
          <w:color w:val="auto"/>
          <w:sz w:val="24"/>
          <w:szCs w:val="24"/>
          <w:highlight w:val="none"/>
        </w:rPr>
        <w:t>。</w:t>
      </w:r>
    </w:p>
    <w:p w14:paraId="5ED99C4D">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综上所述，本指标满分为3分，根据评分标准得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分，本项目立项程序合规。</w:t>
      </w:r>
    </w:p>
    <w:p w14:paraId="7D9186C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b/>
          <w:bCs/>
          <w:color w:val="000000"/>
          <w:sz w:val="24"/>
          <w:szCs w:val="24"/>
          <w:highlight w:val="none"/>
          <w:lang w:val="en-US" w:eastAsia="zh-CN"/>
        </w:rPr>
        <w:t>3.绩效目标合理性</w:t>
      </w:r>
    </w:p>
    <w:p w14:paraId="12709518">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该项目年初设定绩效目标主要内容为：为洛浦县杭桂镇皮凉艾日克村1336.5亩地涉及的2024年冬小麦收割脱粒环节、2024年冬小麦耕地环节和2024年冬小麦播种环节的农民进行补助发放。</w:t>
      </w:r>
    </w:p>
    <w:p w14:paraId="7BA17A7E">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22537FA8">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7BB57ED6">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经检查我单位年初设置的《2024年中央农业主体能力提升资金项目支出绩效目标表》，得出如下结论：本项目已将年度绩效目标进行细化为绩效指标</w:t>
      </w:r>
      <w:r>
        <w:rPr>
          <w:rFonts w:hint="eastAsia" w:ascii="宋体" w:hAnsi="宋体" w:eastAsia="宋体" w:cs="宋体"/>
          <w:color w:val="000000"/>
          <w:sz w:val="24"/>
          <w:szCs w:val="24"/>
          <w:highlight w:val="none"/>
          <w:lang w:val="en-US" w:eastAsia="zh-CN"/>
        </w:rPr>
        <w:t>体系</w:t>
      </w:r>
      <w:r>
        <w:rPr>
          <w:rFonts w:hint="eastAsia" w:ascii="宋体" w:hAnsi="宋体" w:eastAsia="宋体" w:cs="宋体"/>
          <w:color w:val="000000"/>
          <w:sz w:val="24"/>
          <w:szCs w:val="24"/>
          <w:highlight w:val="none"/>
        </w:rPr>
        <w:t>，共设置一级指标</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个，二级指标</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个，三级指标</w:t>
      </w:r>
      <w:r>
        <w:rPr>
          <w:rFonts w:hint="eastAsia" w:ascii="宋体" w:hAnsi="宋体" w:eastAsia="宋体" w:cs="宋体"/>
          <w:color w:val="000000"/>
          <w:sz w:val="24"/>
          <w:szCs w:val="24"/>
          <w:highlight w:val="none"/>
          <w:lang w:val="en-US" w:eastAsia="zh-CN"/>
        </w:rPr>
        <w:t>9</w:t>
      </w:r>
      <w:r>
        <w:rPr>
          <w:rFonts w:hint="eastAsia" w:ascii="宋体" w:hAnsi="宋体" w:eastAsia="宋体" w:cs="宋体"/>
          <w:color w:val="000000"/>
          <w:sz w:val="24"/>
          <w:szCs w:val="24"/>
          <w:highlight w:val="none"/>
        </w:rPr>
        <w:t>个，定量指标</w:t>
      </w: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个，定性指标</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个，指标量化率为</w:t>
      </w:r>
      <w:r>
        <w:rPr>
          <w:rFonts w:hint="eastAsia" w:ascii="宋体" w:hAnsi="宋体" w:eastAsia="宋体" w:cs="宋体"/>
          <w:color w:val="000000"/>
          <w:sz w:val="24"/>
          <w:szCs w:val="24"/>
          <w:highlight w:val="none"/>
          <w:lang w:val="en-US" w:eastAsia="zh-CN"/>
        </w:rPr>
        <w:t>88.89</w:t>
      </w:r>
      <w:r>
        <w:rPr>
          <w:rFonts w:hint="eastAsia" w:ascii="宋体" w:hAnsi="宋体" w:eastAsia="宋体" w:cs="宋体"/>
          <w:color w:val="000000"/>
          <w:sz w:val="24"/>
          <w:szCs w:val="24"/>
          <w:highlight w:val="none"/>
        </w:rPr>
        <w:t>%，量化率达70.0%以上</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将项目绩效目标细化分解为具体的绩效指标</w:t>
      </w:r>
      <w:r>
        <w:rPr>
          <w:rFonts w:hint="eastAsia" w:ascii="宋体" w:hAnsi="宋体" w:eastAsia="宋体" w:cs="宋体"/>
          <w:color w:val="000000"/>
          <w:sz w:val="24"/>
          <w:szCs w:val="24"/>
          <w:highlight w:val="none"/>
          <w:lang w:eastAsia="zh-CN"/>
        </w:rPr>
        <w:t>。</w:t>
      </w:r>
    </w:p>
    <w:p w14:paraId="4E0F6D3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该《2024年中央农业主体能力提升资金项目绩效目标申报表》中，</w:t>
      </w:r>
      <w:r>
        <w:rPr>
          <w:rFonts w:hint="eastAsia" w:ascii="宋体" w:hAnsi="宋体" w:eastAsia="宋体" w:cs="宋体"/>
          <w:color w:val="000000"/>
          <w:sz w:val="24"/>
          <w:szCs w:val="24"/>
          <w:highlight w:val="none"/>
          <w:lang w:val="en-US" w:eastAsia="zh-CN"/>
        </w:rPr>
        <w:t>已设置</w:t>
      </w:r>
      <w:r>
        <w:rPr>
          <w:rFonts w:hint="eastAsia" w:ascii="宋体" w:hAnsi="宋体" w:eastAsia="宋体" w:cs="宋体"/>
          <w:color w:val="000000"/>
          <w:sz w:val="24"/>
          <w:szCs w:val="24"/>
          <w:highlight w:val="none"/>
        </w:rPr>
        <w:t>数量指标</w:t>
      </w:r>
      <w:r>
        <w:rPr>
          <w:rFonts w:hint="eastAsia" w:ascii="宋体" w:hAnsi="宋体" w:eastAsia="宋体" w:cs="宋体"/>
          <w:color w:val="000000"/>
          <w:sz w:val="24"/>
          <w:szCs w:val="24"/>
          <w:highlight w:val="none"/>
          <w:lang w:eastAsia="zh-CN"/>
        </w:rPr>
        <w:t>“涉及补助村数量、涉及补助耕地亩数”</w:t>
      </w:r>
      <w:r>
        <w:rPr>
          <w:rFonts w:hint="eastAsia" w:ascii="宋体" w:hAnsi="宋体" w:eastAsia="宋体" w:cs="宋体"/>
          <w:color w:val="000000"/>
          <w:sz w:val="24"/>
          <w:szCs w:val="24"/>
          <w:highlight w:val="none"/>
        </w:rPr>
        <w:t>，三级指标的年度指标值与年度绩效目标中任务数一致，已设置时效指标“</w:t>
      </w:r>
      <w:r>
        <w:rPr>
          <w:rFonts w:hint="eastAsia" w:ascii="宋体" w:hAnsi="宋体" w:eastAsia="宋体" w:cs="宋体"/>
          <w:color w:val="000000"/>
          <w:sz w:val="24"/>
          <w:szCs w:val="24"/>
          <w:highlight w:val="none"/>
          <w:lang w:val="en-US" w:eastAsia="zh-CN"/>
        </w:rPr>
        <w:t>“项目完成时间、资金拨付及时率”</w:t>
      </w:r>
      <w:r>
        <w:rPr>
          <w:rFonts w:hint="eastAsia" w:ascii="宋体" w:hAnsi="宋体" w:eastAsia="宋体" w:cs="宋体"/>
          <w:color w:val="000000"/>
          <w:sz w:val="24"/>
          <w:szCs w:val="24"/>
          <w:highlight w:val="none"/>
        </w:rPr>
        <w:t>。已设置的绩效目标具备明确性、可衡量性、可实现性、相关性、时限性。</w:t>
      </w:r>
    </w:p>
    <w:p w14:paraId="426A0BCE">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4CE0EAB2">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5.预算编制科学性</w:t>
      </w:r>
    </w:p>
    <w:p w14:paraId="0537EB66">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：为洛浦县杭桂镇皮凉艾日克村1336.5亩地涉及的2024年冬小麦收割脱粒环节、2024年冬小麦耕地环节和2024年冬小麦播种环节的农民进行补助发放，</w:t>
      </w:r>
      <w:r>
        <w:rPr>
          <w:rFonts w:hint="eastAsia" w:ascii="宋体" w:hAnsi="宋体" w:eastAsia="宋体" w:cs="宋体"/>
          <w:color w:val="000000"/>
          <w:sz w:val="24"/>
          <w:szCs w:val="24"/>
          <w:highlight w:val="none"/>
        </w:rPr>
        <w:t>预算申请与《2024年中央农业主体能力提升资金项目实施方案》中涉及的项目内容匹配；</w:t>
      </w:r>
    </w:p>
    <w:p w14:paraId="211CBCD6">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本项目预算申请资金</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万元，我单位在预算申请中严格按照项目实施内容及测算标准进行核算，预算确定资金量与实际工作任务相匹配。本项目预算额度测算依据充分，严格按照标准编制，预算确定资金量与实际工作任务相匹配</w:t>
      </w:r>
      <w:r>
        <w:rPr>
          <w:rFonts w:hint="eastAsia" w:ascii="宋体" w:hAnsi="宋体" w:eastAsia="宋体" w:cs="宋体"/>
          <w:color w:val="000000"/>
          <w:sz w:val="24"/>
          <w:szCs w:val="24"/>
          <w:highlight w:val="none"/>
          <w:lang w:eastAsia="zh-CN"/>
        </w:rPr>
        <w:t>。</w:t>
      </w:r>
    </w:p>
    <w:p w14:paraId="12AA167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r>
        <w:rPr>
          <w:rFonts w:hint="eastAsia" w:ascii="宋体" w:hAnsi="宋体" w:eastAsia="宋体" w:cs="宋体"/>
          <w:color w:val="000000"/>
          <w:sz w:val="24"/>
          <w:szCs w:val="24"/>
          <w:highlight w:val="none"/>
        </w:rPr>
        <w:t>。</w:t>
      </w:r>
    </w:p>
    <w:p w14:paraId="20BA9925">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6.资金分配合理性</w:t>
      </w:r>
    </w:p>
    <w:p w14:paraId="0C87E2E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本项目实际分配资金以《关于申请2024年中央农业主体能力提升资金项目资金的请示》和《2024年中央农业主体能力提升资金项目实施方案》为依据进行资金分配，预算资金分配依据充分。根据</w:t>
      </w:r>
      <w:r>
        <w:rPr>
          <w:rFonts w:hint="eastAsia" w:ascii="宋体" w:hAnsi="宋体" w:eastAsia="宋体" w:cs="宋体"/>
          <w:color w:val="000000"/>
          <w:sz w:val="24"/>
          <w:szCs w:val="24"/>
          <w:highlight w:val="none"/>
          <w:lang w:val="en-US" w:eastAsia="zh-CN"/>
        </w:rPr>
        <w:t>自治区</w:t>
      </w:r>
      <w:r>
        <w:rPr>
          <w:rFonts w:hint="default" w:ascii="宋体" w:hAnsi="宋体" w:eastAsia="宋体" w:cs="宋体"/>
          <w:color w:val="000000"/>
          <w:sz w:val="24"/>
          <w:szCs w:val="24"/>
          <w:highlight w:val="none"/>
          <w:lang w:val="en-US" w:eastAsia="zh-CN"/>
        </w:rPr>
        <w:t>下达《</w:t>
      </w:r>
      <w:r>
        <w:rPr>
          <w:rFonts w:hint="eastAsia" w:ascii="宋体" w:hAnsi="宋体" w:eastAsia="宋体" w:cs="宋体"/>
          <w:color w:val="000000"/>
          <w:sz w:val="24"/>
          <w:szCs w:val="24"/>
          <w:highlight w:val="none"/>
          <w:lang w:val="en-US" w:eastAsia="zh-CN"/>
        </w:rPr>
        <w:t>关于做好2024年中央财政资金支持供销合作社开展农业社会化服务试点工作的通知</w:t>
      </w:r>
      <w:r>
        <w:rPr>
          <w:rFonts w:hint="default"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rPr>
        <w:t>文件（</w:t>
      </w:r>
      <w:r>
        <w:rPr>
          <w:rFonts w:hint="eastAsia" w:ascii="宋体" w:hAnsi="宋体" w:eastAsia="宋体" w:cs="宋体"/>
          <w:color w:val="000000"/>
          <w:sz w:val="24"/>
          <w:szCs w:val="24"/>
          <w:highlight w:val="none"/>
          <w:lang w:eastAsia="zh-CN"/>
        </w:rPr>
        <w:t>新农经</w:t>
      </w:r>
      <w:r>
        <w:rPr>
          <w:rFonts w:hint="eastAsia" w:ascii="宋体" w:hAnsi="宋体" w:eastAsia="宋体" w:cs="宋体"/>
          <w:color w:val="000000"/>
          <w:sz w:val="24"/>
          <w:szCs w:val="24"/>
          <w:highlight w:val="none"/>
        </w:rPr>
        <w:t>〔20</w:t>
      </w:r>
      <w:r>
        <w:rPr>
          <w:rFonts w:hint="eastAsia" w:ascii="宋体" w:hAnsi="宋体" w:eastAsia="宋体" w:cs="宋体"/>
          <w:color w:val="000000"/>
          <w:sz w:val="24"/>
          <w:szCs w:val="24"/>
          <w:highlight w:val="none"/>
          <w:lang w:val="en-US" w:eastAsia="zh-CN"/>
        </w:rPr>
        <w:t>24</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89</w:t>
      </w:r>
      <w:r>
        <w:rPr>
          <w:rFonts w:hint="eastAsia" w:ascii="宋体" w:hAnsi="宋体" w:eastAsia="宋体" w:cs="宋体"/>
          <w:color w:val="000000"/>
          <w:sz w:val="24"/>
          <w:szCs w:val="24"/>
          <w:highlight w:val="none"/>
        </w:rPr>
        <w:t>号），本项目实际到位资金</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万元，资金分配额度合理，与我单位实际需求相适应。资金分配与实际相适应</w:t>
      </w:r>
      <w:r>
        <w:rPr>
          <w:rFonts w:hint="eastAsia" w:ascii="宋体" w:hAnsi="宋体" w:eastAsia="宋体" w:cs="宋体"/>
          <w:color w:val="000000"/>
          <w:sz w:val="24"/>
          <w:szCs w:val="24"/>
          <w:highlight w:val="none"/>
          <w:lang w:eastAsia="zh-CN"/>
        </w:rPr>
        <w:t>。</w:t>
      </w:r>
    </w:p>
    <w:p w14:paraId="2A6FD39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资金分配合理</w:t>
      </w:r>
      <w:r>
        <w:rPr>
          <w:rFonts w:hint="eastAsia" w:ascii="宋体" w:hAnsi="宋体" w:eastAsia="宋体" w:cs="宋体"/>
          <w:color w:val="000000"/>
          <w:sz w:val="24"/>
          <w:szCs w:val="24"/>
          <w:highlight w:val="none"/>
        </w:rPr>
        <w:t>。</w:t>
      </w:r>
    </w:p>
    <w:p w14:paraId="78BEA2F3">
      <w:pPr>
        <w:pStyle w:val="45"/>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085F7B87">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项目过程类指标包括资金管理和组织实施两方面的内容，由5个三级指标构成，权重分为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3AAC0330">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1.资金到位率：</w:t>
      </w:r>
    </w:p>
    <w:p w14:paraId="45DA3C2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本项目预算资金为</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万元，其中：财政安排资金</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万元，其他资金</w:t>
      </w:r>
      <w:r>
        <w:rPr>
          <w:rFonts w:hint="eastAsia" w:ascii="宋体" w:hAnsi="宋体" w:eastAsia="宋体" w:cs="宋体"/>
          <w:color w:val="000000"/>
          <w:sz w:val="24"/>
          <w:szCs w:val="24"/>
          <w:highlight w:val="none"/>
          <w:lang w:val="en-US" w:eastAsia="zh-CN"/>
        </w:rPr>
        <w:t>0</w:t>
      </w:r>
      <w:r>
        <w:rPr>
          <w:rFonts w:hint="eastAsia" w:ascii="宋体" w:hAnsi="宋体" w:eastAsia="宋体" w:cs="宋体"/>
          <w:color w:val="000000"/>
          <w:sz w:val="24"/>
          <w:szCs w:val="24"/>
          <w:highlight w:val="none"/>
        </w:rPr>
        <w:t>万元，实际到位资金</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万元，资金到位率</w:t>
      </w:r>
      <w:r>
        <w:rPr>
          <w:rFonts w:hint="eastAsia" w:ascii="宋体" w:hAnsi="宋体" w:eastAsia="宋体" w:cs="宋体"/>
          <w:color w:val="000000"/>
          <w:sz w:val="24"/>
          <w:szCs w:val="24"/>
          <w:highlight w:val="none"/>
          <w:lang w:val="en-US" w:eastAsia="zh-CN"/>
        </w:rPr>
        <w:t>100%；通过分析可知，该项目</w:t>
      </w:r>
      <w:r>
        <w:rPr>
          <w:rFonts w:hint="eastAsia" w:ascii="宋体" w:hAnsi="宋体" w:eastAsia="宋体" w:cs="宋体"/>
          <w:color w:val="000000"/>
          <w:sz w:val="24"/>
          <w:szCs w:val="24"/>
          <w:highlight w:val="none"/>
        </w:rPr>
        <w:t>财政资金足额拨付到位，能够及时足额</w:t>
      </w:r>
      <w:r>
        <w:rPr>
          <w:rFonts w:hint="eastAsia" w:ascii="宋体" w:hAnsi="宋体" w:eastAsia="宋体" w:cs="宋体"/>
          <w:color w:val="000000"/>
          <w:sz w:val="24"/>
          <w:szCs w:val="24"/>
          <w:highlight w:val="none"/>
          <w:lang w:val="en-US" w:eastAsia="zh-CN"/>
        </w:rPr>
        <w:t>支付</w:t>
      </w:r>
      <w:r>
        <w:rPr>
          <w:rFonts w:hint="eastAsia" w:ascii="宋体" w:hAnsi="宋体" w:eastAsia="宋体" w:cs="宋体"/>
          <w:color w:val="000000"/>
          <w:sz w:val="24"/>
          <w:szCs w:val="24"/>
          <w:highlight w:val="none"/>
        </w:rPr>
        <w:t>给</w:t>
      </w:r>
      <w:r>
        <w:rPr>
          <w:rFonts w:hint="eastAsia" w:ascii="宋体" w:hAnsi="宋体" w:eastAsia="宋体" w:cs="宋体"/>
          <w:color w:val="000000"/>
          <w:sz w:val="24"/>
          <w:szCs w:val="24"/>
          <w:highlight w:val="none"/>
          <w:lang w:val="en-US" w:eastAsia="zh-CN"/>
        </w:rPr>
        <w:t>实施</w:t>
      </w:r>
      <w:r>
        <w:rPr>
          <w:rFonts w:hint="eastAsia" w:ascii="宋体" w:hAnsi="宋体" w:eastAsia="宋体" w:cs="宋体"/>
          <w:color w:val="000000"/>
          <w:sz w:val="24"/>
          <w:szCs w:val="24"/>
          <w:highlight w:val="none"/>
        </w:rPr>
        <w:t>单位</w:t>
      </w:r>
      <w:r>
        <w:rPr>
          <w:rFonts w:hint="eastAsia" w:ascii="宋体" w:hAnsi="宋体" w:eastAsia="宋体" w:cs="宋体"/>
          <w:color w:val="000000"/>
          <w:sz w:val="24"/>
          <w:szCs w:val="24"/>
          <w:highlight w:val="none"/>
          <w:lang w:eastAsia="zh-CN"/>
        </w:rPr>
        <w:t>。</w:t>
      </w:r>
    </w:p>
    <w:p w14:paraId="1540B94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分。</w:t>
      </w:r>
    </w:p>
    <w:p w14:paraId="4B182BD5">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2.预算执行率：</w:t>
      </w:r>
    </w:p>
    <w:p w14:paraId="53FF3A0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本项目实际支出资金</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万元，预算执行率=（实际支出资金/实际到位资金）×100.0%=</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通过分析可知，该项目</w:t>
      </w:r>
      <w:r>
        <w:rPr>
          <w:rFonts w:hint="eastAsia" w:ascii="宋体" w:hAnsi="宋体" w:eastAsia="宋体" w:cs="宋体"/>
          <w:color w:val="000000"/>
          <w:sz w:val="24"/>
          <w:szCs w:val="24"/>
          <w:highlight w:val="none"/>
        </w:rPr>
        <w:t>预算编制较为详细，项目资金支出总体能够按照预算执行</w:t>
      </w:r>
      <w:r>
        <w:rPr>
          <w:rFonts w:hint="eastAsia" w:ascii="宋体" w:hAnsi="宋体" w:eastAsia="宋体" w:cs="宋体"/>
          <w:color w:val="000000"/>
          <w:sz w:val="24"/>
          <w:szCs w:val="24"/>
          <w:highlight w:val="none"/>
          <w:lang w:eastAsia="zh-CN"/>
        </w:rPr>
        <w:t>。</w:t>
      </w:r>
    </w:p>
    <w:p w14:paraId="2271D19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w:t>
      </w:r>
    </w:p>
    <w:p w14:paraId="2F0D3DDC">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3.资金使用合规性：</w:t>
      </w:r>
    </w:p>
    <w:p w14:paraId="7B632D0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通过检查项目资金申请文件、</w:t>
      </w:r>
      <w:r>
        <w:rPr>
          <w:rFonts w:hint="eastAsia" w:ascii="宋体" w:hAnsi="宋体" w:eastAsia="宋体" w:cs="宋体"/>
          <w:color w:val="000000"/>
          <w:sz w:val="24"/>
          <w:szCs w:val="24"/>
          <w:highlight w:val="none"/>
          <w:lang w:val="en-US" w:eastAsia="zh-CN"/>
        </w:rPr>
        <w:t>国库支付凭证</w:t>
      </w:r>
      <w:r>
        <w:rPr>
          <w:rFonts w:hint="eastAsia" w:ascii="宋体" w:hAnsi="宋体" w:eastAsia="宋体" w:cs="宋体"/>
          <w:color w:val="000000"/>
          <w:sz w:val="24"/>
          <w:szCs w:val="24"/>
          <w:highlight w:val="none"/>
        </w:rPr>
        <w:t>等财务</w:t>
      </w:r>
      <w:r>
        <w:rPr>
          <w:rFonts w:hint="eastAsia" w:ascii="宋体" w:hAnsi="宋体" w:eastAsia="宋体" w:cs="宋体"/>
          <w:color w:val="000000"/>
          <w:sz w:val="24"/>
          <w:szCs w:val="24"/>
          <w:highlight w:val="none"/>
          <w:lang w:val="en-US" w:eastAsia="zh-CN"/>
        </w:rPr>
        <w:t>资料</w:t>
      </w:r>
      <w:r>
        <w:rPr>
          <w:rFonts w:hint="eastAsia" w:ascii="宋体" w:hAnsi="宋体" w:eastAsia="宋体" w:cs="宋体"/>
          <w:color w:val="000000"/>
          <w:sz w:val="24"/>
          <w:szCs w:val="24"/>
          <w:highlight w:val="none"/>
        </w:rPr>
        <w:t>，得出本项目资金支出符合国家财经法规、《政府会计制度》《</w:t>
      </w:r>
      <w:r>
        <w:rPr>
          <w:rFonts w:hint="eastAsia" w:ascii="宋体" w:hAnsi="宋体" w:eastAsia="宋体" w:cs="宋体"/>
          <w:color w:val="000000"/>
          <w:sz w:val="24"/>
          <w:szCs w:val="24"/>
          <w:highlight w:val="none"/>
          <w:lang w:eastAsia="zh-CN"/>
        </w:rPr>
        <w:t>洛浦县供销合作社联合社</w:t>
      </w:r>
      <w:r>
        <w:rPr>
          <w:rFonts w:hint="eastAsia" w:ascii="宋体" w:hAnsi="宋体" w:eastAsia="宋体" w:cs="宋体"/>
          <w:color w:val="000000"/>
          <w:sz w:val="24"/>
          <w:szCs w:val="24"/>
          <w:highlight w:val="none"/>
        </w:rPr>
        <w:t>单位资金管理办法》《2024年中央农业主体能力提升资金专项资金管理办法》，资金的拨付有完整的审批程序和手续，资金实际使用方向与预算批复用途一致，不存在截留、挤占、挪用、虚列支出的情况。</w:t>
      </w:r>
      <w:r>
        <w:rPr>
          <w:rFonts w:hint="eastAsia" w:ascii="宋体" w:hAnsi="宋体" w:eastAsia="宋体" w:cs="宋体"/>
          <w:color w:val="000000"/>
          <w:sz w:val="24"/>
          <w:szCs w:val="24"/>
          <w:highlight w:val="none"/>
          <w:lang w:val="en-US" w:eastAsia="zh-CN"/>
        </w:rPr>
        <w:t>我单位</w:t>
      </w:r>
      <w:r>
        <w:rPr>
          <w:rFonts w:hint="eastAsia" w:ascii="宋体" w:hAnsi="宋体" w:eastAsia="宋体" w:cs="宋体"/>
          <w:color w:val="000000"/>
          <w:sz w:val="24"/>
          <w:szCs w:val="24"/>
          <w:highlight w:val="none"/>
        </w:rPr>
        <w:t>制定了相关的制度和管理规定对经费使用进行规范管理，财务制度健全、执行严格</w:t>
      </w:r>
      <w:r>
        <w:rPr>
          <w:rFonts w:hint="eastAsia" w:ascii="宋体" w:hAnsi="宋体" w:eastAsia="宋体" w:cs="宋体"/>
          <w:color w:val="000000"/>
          <w:sz w:val="24"/>
          <w:szCs w:val="24"/>
          <w:highlight w:val="none"/>
          <w:lang w:eastAsia="zh-CN"/>
        </w:rPr>
        <w:t>。</w:t>
      </w:r>
    </w:p>
    <w:p w14:paraId="7EAABD2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71685EF6">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4.管理制度健全性：</w:t>
      </w:r>
    </w:p>
    <w:p w14:paraId="3CCFA23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我单位已制定《2024年中央农业主体能力提升资金资金管理办法》《2024年中央农业主体能力提升资金收支业务管理制度》《2024年中央农业主体能力提升资金合同管理制度》，</w:t>
      </w:r>
      <w:r>
        <w:rPr>
          <w:rFonts w:hint="eastAsia" w:ascii="宋体" w:hAnsi="宋体" w:eastAsia="宋体" w:cs="宋体"/>
          <w:color w:val="000000"/>
          <w:sz w:val="24"/>
          <w:szCs w:val="24"/>
          <w:highlight w:val="none"/>
          <w:lang w:val="en-US" w:eastAsia="zh-CN"/>
        </w:rPr>
        <w:t>相关</w:t>
      </w:r>
      <w:r>
        <w:rPr>
          <w:rFonts w:hint="eastAsia" w:ascii="宋体" w:hAnsi="宋体" w:eastAsia="宋体" w:cs="宋体"/>
          <w:color w:val="000000"/>
          <w:sz w:val="24"/>
          <w:szCs w:val="24"/>
          <w:highlight w:val="none"/>
        </w:rPr>
        <w:t>制度均符合行政事业单位内控管理要求，财务和业务管理制度合法、合规、完整，本项目执行符合上述制度规定。</w:t>
      </w:r>
    </w:p>
    <w:p w14:paraId="41A59BC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30BF935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5.制度执行有效性：</w:t>
      </w:r>
    </w:p>
    <w:p w14:paraId="0DAF085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①该项目的实施符合《2024年中央农业主体能力提升资金</w:t>
      </w:r>
      <w:r>
        <w:rPr>
          <w:rFonts w:hint="eastAsia" w:ascii="宋体" w:hAnsi="宋体" w:eastAsia="宋体" w:cs="宋体"/>
          <w:color w:val="000000"/>
          <w:sz w:val="24"/>
          <w:szCs w:val="24"/>
          <w:highlight w:val="none"/>
          <w:lang w:eastAsia="zh-CN"/>
        </w:rPr>
        <w:t>管理</w:t>
      </w:r>
      <w:r>
        <w:rPr>
          <w:rFonts w:hint="eastAsia" w:ascii="宋体" w:hAnsi="宋体" w:eastAsia="宋体" w:cs="宋体"/>
          <w:color w:val="000000"/>
          <w:sz w:val="24"/>
          <w:szCs w:val="24"/>
          <w:highlight w:val="none"/>
        </w:rPr>
        <w:t>办法》《</w:t>
      </w:r>
      <w:r>
        <w:rPr>
          <w:rFonts w:hint="eastAsia" w:ascii="宋体" w:hAnsi="宋体" w:eastAsia="宋体" w:cs="宋体"/>
          <w:color w:val="000000"/>
          <w:sz w:val="24"/>
          <w:szCs w:val="24"/>
          <w:highlight w:val="none"/>
          <w:lang w:val="en-US" w:eastAsia="zh-CN"/>
        </w:rPr>
        <w:t>2024年中央农业主体能力提升资金</w:t>
      </w:r>
      <w:r>
        <w:rPr>
          <w:rFonts w:hint="eastAsia" w:ascii="宋体" w:hAnsi="宋体" w:eastAsia="宋体" w:cs="宋体"/>
          <w:color w:val="000000"/>
          <w:sz w:val="24"/>
          <w:szCs w:val="24"/>
          <w:highlight w:val="none"/>
        </w:rPr>
        <w:t>管理制度》</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2024年中央农业主体能力提升</w:t>
      </w:r>
      <w:r>
        <w:rPr>
          <w:rFonts w:hint="eastAsia" w:ascii="宋体" w:hAnsi="宋体" w:eastAsia="宋体" w:cs="宋体"/>
          <w:color w:val="000000"/>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57C87B9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②经现场查证项目合同书、验收评审表、财务支付凭证等资料齐全并及时归档。</w:t>
      </w:r>
    </w:p>
    <w:p w14:paraId="7D26E6A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③该项目是否存在调整，调整手续是否齐全，如未调整，则填“该项目实施过程中不存在调整事项”。</w:t>
      </w:r>
    </w:p>
    <w:p w14:paraId="3229BAF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2024年中央农业主体能力提升资金项目工作领导小组，由</w:t>
      </w:r>
      <w:r>
        <w:rPr>
          <w:rFonts w:hint="eastAsia" w:ascii="宋体" w:hAnsi="宋体" w:eastAsia="宋体" w:cs="宋体"/>
          <w:color w:val="000000"/>
          <w:sz w:val="24"/>
          <w:szCs w:val="24"/>
          <w:highlight w:val="none"/>
          <w:lang w:eastAsia="zh-CN"/>
        </w:rPr>
        <w:t>张德智</w:t>
      </w:r>
      <w:r>
        <w:rPr>
          <w:rFonts w:hint="eastAsia" w:ascii="宋体" w:hAnsi="宋体" w:eastAsia="宋体" w:cs="宋体"/>
          <w:color w:val="000000"/>
          <w:sz w:val="24"/>
          <w:szCs w:val="24"/>
          <w:highlight w:val="none"/>
        </w:rPr>
        <w:t>任组长，负责项目的组织工作；</w:t>
      </w:r>
      <w:r>
        <w:rPr>
          <w:rFonts w:hint="eastAsia" w:ascii="宋体" w:hAnsi="宋体" w:eastAsia="宋体" w:cs="宋体"/>
          <w:color w:val="000000"/>
          <w:sz w:val="24"/>
          <w:szCs w:val="24"/>
          <w:highlight w:val="none"/>
          <w:lang w:eastAsia="zh-CN"/>
        </w:rPr>
        <w:t>阿卜杜艾海提</w:t>
      </w:r>
      <w:r>
        <w:rPr>
          <w:rFonts w:hint="eastAsia" w:ascii="宋体" w:hAnsi="宋体" w:eastAsia="宋体" w:cs="宋体"/>
          <w:color w:val="000000"/>
          <w:sz w:val="24"/>
          <w:szCs w:val="24"/>
          <w:highlight w:val="none"/>
          <w:lang w:val="en-US" w:eastAsia="zh-CN"/>
        </w:rPr>
        <w:t>·艾则孜</w:t>
      </w:r>
      <w:r>
        <w:rPr>
          <w:rFonts w:hint="eastAsia" w:ascii="宋体" w:hAnsi="宋体" w:eastAsia="宋体" w:cs="宋体"/>
          <w:color w:val="000000"/>
          <w:sz w:val="24"/>
          <w:szCs w:val="24"/>
          <w:highlight w:val="none"/>
        </w:rPr>
        <w:t>任副组长，负责项目的实施工作；组员包括：</w:t>
      </w:r>
      <w:r>
        <w:rPr>
          <w:rFonts w:hint="eastAsia" w:ascii="宋体" w:hAnsi="宋体" w:eastAsia="宋体" w:cs="宋体"/>
          <w:color w:val="000000"/>
          <w:sz w:val="24"/>
          <w:szCs w:val="24"/>
          <w:highlight w:val="none"/>
          <w:lang w:eastAsia="zh-CN"/>
        </w:rPr>
        <w:t>祁赵龙</w:t>
      </w:r>
      <w:r>
        <w:rPr>
          <w:rFonts w:hint="eastAsia" w:ascii="宋体" w:hAnsi="宋体" w:eastAsia="宋体" w:cs="宋体"/>
          <w:color w:val="000000"/>
          <w:sz w:val="24"/>
          <w:szCs w:val="24"/>
          <w:highlight w:val="none"/>
        </w:rPr>
        <w:t>，主要负责项目监督管理、验收以及资金核拨等工作。</w:t>
      </w:r>
    </w:p>
    <w:p w14:paraId="7C22467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685FB7AE">
      <w:pPr>
        <w:pStyle w:val="45"/>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37A974C3">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个三级指标构成，权重分为4</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233BB1FB">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1.对于“产出数量”</w:t>
      </w:r>
    </w:p>
    <w:p w14:paraId="3DA381F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涉及补助村数量，预期指标值</w:t>
      </w:r>
      <w:r>
        <w:rPr>
          <w:rFonts w:hint="eastAsia" w:ascii="宋体" w:hAnsi="宋体" w:eastAsia="宋体" w:cs="宋体"/>
          <w:color w:val="000000"/>
          <w:sz w:val="24"/>
          <w:szCs w:val="24"/>
          <w:highlight w:val="none"/>
          <w:lang w:val="en-US" w:eastAsia="zh-CN"/>
        </w:rPr>
        <w:t>大于等于</w:t>
      </w:r>
      <w:r>
        <w:rPr>
          <w:rFonts w:hint="eastAsia" w:ascii="宋体" w:hAnsi="宋体" w:eastAsia="宋体" w:cs="宋体"/>
          <w:color w:val="000000"/>
          <w:sz w:val="24"/>
          <w:szCs w:val="24"/>
          <w:highlight w:val="none"/>
        </w:rPr>
        <w:t>1个，实际完成值1个，指标完成率为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6DC2EB7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涉及补助耕地亩数，预期指标值</w:t>
      </w:r>
      <w:r>
        <w:rPr>
          <w:rFonts w:hint="eastAsia" w:ascii="宋体" w:hAnsi="宋体" w:eastAsia="宋体" w:cs="宋体"/>
          <w:color w:val="000000"/>
          <w:sz w:val="24"/>
          <w:szCs w:val="24"/>
          <w:highlight w:val="none"/>
          <w:lang w:val="en-US" w:eastAsia="zh-CN"/>
        </w:rPr>
        <w:t>大于等于</w:t>
      </w:r>
      <w:r>
        <w:rPr>
          <w:rFonts w:hint="eastAsia" w:ascii="宋体" w:hAnsi="宋体" w:eastAsia="宋体" w:cs="宋体"/>
          <w:color w:val="000000"/>
          <w:sz w:val="24"/>
          <w:szCs w:val="24"/>
          <w:highlight w:val="none"/>
        </w:rPr>
        <w:t>1336.50亩，实际完成值1336.50亩，指标完成率为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1A5AC7AE">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530F205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2.对于“产出质量”</w:t>
      </w:r>
    </w:p>
    <w:p w14:paraId="24EBB35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资金使用合规率，预期指标值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41E18AC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补助发放覆盖率，预期指标值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2E6E013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0ACA1406">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3.对于“产出时效”</w:t>
      </w:r>
    </w:p>
    <w:p w14:paraId="7CF7EAA4">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项目完成时间，预期指标值2024年</w:t>
      </w:r>
      <w:r>
        <w:rPr>
          <w:rFonts w:hint="eastAsia" w:ascii="宋体" w:hAnsi="宋体" w:eastAsia="宋体" w:cs="宋体"/>
          <w:b w:val="0"/>
          <w:color w:val="000000"/>
          <w:sz w:val="24"/>
          <w:szCs w:val="24"/>
          <w:highlight w:val="none"/>
          <w:lang w:val="en-US" w:eastAsia="zh-CN"/>
        </w:rPr>
        <w:t>12</w:t>
      </w:r>
      <w:r>
        <w:rPr>
          <w:rFonts w:hint="eastAsia" w:ascii="宋体" w:hAnsi="宋体" w:eastAsia="宋体" w:cs="宋体"/>
          <w:b w:val="0"/>
          <w:color w:val="000000"/>
          <w:sz w:val="24"/>
          <w:szCs w:val="24"/>
          <w:highlight w:val="none"/>
        </w:rPr>
        <w:t>月，实际完成值2024年</w:t>
      </w:r>
      <w:r>
        <w:rPr>
          <w:rFonts w:hint="eastAsia" w:ascii="宋体" w:hAnsi="宋体" w:eastAsia="宋体" w:cs="宋体"/>
          <w:b w:val="0"/>
          <w:color w:val="000000"/>
          <w:sz w:val="24"/>
          <w:szCs w:val="24"/>
          <w:highlight w:val="none"/>
          <w:lang w:val="en-US" w:eastAsia="zh-CN"/>
        </w:rPr>
        <w:t>12</w:t>
      </w:r>
      <w:r>
        <w:rPr>
          <w:rFonts w:hint="eastAsia" w:ascii="宋体" w:hAnsi="宋体" w:eastAsia="宋体" w:cs="宋体"/>
          <w:b w:val="0"/>
          <w:color w:val="000000"/>
          <w:sz w:val="24"/>
          <w:szCs w:val="24"/>
          <w:highlight w:val="none"/>
        </w:rPr>
        <w:t>月，指标完成率</w:t>
      </w:r>
      <w:r>
        <w:rPr>
          <w:rFonts w:hint="eastAsia" w:ascii="宋体" w:hAnsi="宋体" w:eastAsia="宋体" w:cs="宋体"/>
          <w:b w:val="0"/>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5</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3CD761E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资金拨付及时率，预期指标值</w:t>
      </w:r>
      <w:r>
        <w:rPr>
          <w:rFonts w:hint="eastAsia" w:ascii="宋体" w:hAnsi="宋体" w:eastAsia="宋体" w:cs="宋体"/>
          <w:b w:val="0"/>
          <w:color w:val="000000"/>
          <w:sz w:val="24"/>
          <w:szCs w:val="24"/>
          <w:highlight w:val="none"/>
          <w:lang w:val="en-US" w:eastAsia="zh-CN"/>
        </w:rPr>
        <w:t>等于</w:t>
      </w:r>
      <w:r>
        <w:rPr>
          <w:rFonts w:hint="eastAsia" w:ascii="宋体" w:hAnsi="宋体" w:eastAsia="宋体" w:cs="宋体"/>
          <w:b w:val="0"/>
          <w:color w:val="000000"/>
          <w:sz w:val="24"/>
          <w:szCs w:val="24"/>
          <w:highlight w:val="none"/>
        </w:rPr>
        <w:t>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，实际完成值100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，指标完成率100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5</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5E8B8E0A">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合计得10分。</w:t>
      </w:r>
    </w:p>
    <w:p w14:paraId="65737E5D">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4.对于“产出成本”</w:t>
      </w:r>
    </w:p>
    <w:p w14:paraId="04AF597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项目补助资金，预期指标值</w:t>
      </w:r>
      <w:r>
        <w:rPr>
          <w:rFonts w:hint="eastAsia" w:ascii="宋体" w:hAnsi="宋体" w:eastAsia="宋体" w:cs="宋体"/>
          <w:color w:val="000000"/>
          <w:sz w:val="24"/>
          <w:szCs w:val="24"/>
          <w:highlight w:val="none"/>
          <w:lang w:val="en-US" w:eastAsia="zh-CN"/>
        </w:rPr>
        <w:t>小于等于</w:t>
      </w:r>
      <w:r>
        <w:rPr>
          <w:rFonts w:hint="eastAsia" w:ascii="宋体" w:hAnsi="宋体" w:eastAsia="宋体" w:cs="宋体"/>
          <w:color w:val="000000"/>
          <w:sz w:val="24"/>
          <w:szCs w:val="24"/>
          <w:highlight w:val="none"/>
        </w:rPr>
        <w:t>12万元，实际完成值为12万元，指标完成率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5549870F">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合计得10分。</w:t>
      </w:r>
    </w:p>
    <w:p w14:paraId="0FE3977A">
      <w:pPr>
        <w:pStyle w:val="45"/>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619D108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项目效益类指标包括项目效益1个方面的内容，由2个三级指标构成，权重分为2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分，实际得分2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分，得分率为100%。</w:t>
      </w:r>
      <w:bookmarkEnd w:id="17"/>
    </w:p>
    <w:p w14:paraId="31456E45">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1.对于“社会效益指标”</w:t>
      </w:r>
    </w:p>
    <w:p w14:paraId="3558F3A0">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bCs w:val="0"/>
          <w:color w:val="000000"/>
          <w:sz w:val="24"/>
          <w:szCs w:val="24"/>
          <w:highlight w:val="none"/>
        </w:rPr>
        <w:t>促进农业绿色发展，资源可持续利用，预期指标值为</w:t>
      </w:r>
      <w:r>
        <w:rPr>
          <w:rFonts w:hint="eastAsia" w:ascii="宋体" w:hAnsi="宋体" w:eastAsia="宋体" w:cs="宋体"/>
          <w:b w:val="0"/>
          <w:bCs w:val="0"/>
          <w:color w:val="000000"/>
          <w:sz w:val="24"/>
          <w:szCs w:val="24"/>
          <w:highlight w:val="none"/>
          <w:lang w:val="en-US" w:eastAsia="zh-CN"/>
        </w:rPr>
        <w:t>有效促进</w:t>
      </w:r>
      <w:r>
        <w:rPr>
          <w:rFonts w:hint="eastAsia" w:ascii="宋体" w:hAnsi="宋体" w:eastAsia="宋体" w:cs="宋体"/>
          <w:b w:val="0"/>
          <w:bCs w:val="0"/>
          <w:color w:val="000000"/>
          <w:sz w:val="24"/>
          <w:szCs w:val="24"/>
          <w:highlight w:val="none"/>
        </w:rPr>
        <w:t>，实际完成值为</w:t>
      </w:r>
      <w:r>
        <w:rPr>
          <w:rFonts w:hint="eastAsia" w:ascii="宋体" w:hAnsi="宋体" w:eastAsia="宋体" w:cs="宋体"/>
          <w:b w:val="0"/>
          <w:bCs w:val="0"/>
          <w:color w:val="000000"/>
          <w:sz w:val="24"/>
          <w:szCs w:val="24"/>
          <w:highlight w:val="none"/>
          <w:lang w:val="en-US" w:eastAsia="zh-CN"/>
        </w:rPr>
        <w:t>有效促进</w:t>
      </w:r>
      <w:r>
        <w:rPr>
          <w:rFonts w:hint="eastAsia" w:ascii="宋体" w:hAnsi="宋体" w:eastAsia="宋体" w:cs="宋体"/>
          <w:b w:val="0"/>
          <w:bCs w:val="0"/>
          <w:color w:val="000000"/>
          <w:sz w:val="24"/>
          <w:szCs w:val="24"/>
          <w:highlight w:val="none"/>
        </w:rPr>
        <w:t>，指标完成率</w:t>
      </w:r>
      <w:r>
        <w:rPr>
          <w:rFonts w:hint="eastAsia" w:ascii="宋体" w:hAnsi="宋体" w:eastAsia="宋体" w:cs="宋体"/>
          <w:b w:val="0"/>
          <w:bCs w:val="0"/>
          <w:color w:val="000000"/>
          <w:sz w:val="24"/>
          <w:szCs w:val="24"/>
          <w:highlight w:val="none"/>
          <w:lang w:val="en-US" w:eastAsia="zh-CN"/>
        </w:rPr>
        <w:t>100%</w:t>
      </w:r>
      <w:r>
        <w:rPr>
          <w:rFonts w:hint="eastAsia" w:ascii="宋体" w:hAnsi="宋体" w:eastAsia="宋体" w:cs="宋体"/>
          <w:b w:val="0"/>
          <w:bCs w:val="0"/>
          <w:color w:val="000000"/>
          <w:sz w:val="24"/>
          <w:szCs w:val="24"/>
          <w:highlight w:val="none"/>
        </w:rPr>
        <w:t>，与预期指标一致，根据评分标准，该指标不扣分，得</w:t>
      </w:r>
      <w:r>
        <w:rPr>
          <w:rFonts w:hint="eastAsia" w:ascii="宋体" w:hAnsi="宋体" w:eastAsia="宋体" w:cs="宋体"/>
          <w:b w:val="0"/>
          <w:bCs w:val="0"/>
          <w:color w:val="000000"/>
          <w:sz w:val="24"/>
          <w:szCs w:val="24"/>
          <w:highlight w:val="none"/>
          <w:lang w:val="en-US" w:eastAsia="zh-CN"/>
        </w:rPr>
        <w:t>15</w:t>
      </w:r>
      <w:r>
        <w:rPr>
          <w:rFonts w:hint="eastAsia" w:ascii="宋体" w:hAnsi="宋体" w:eastAsia="宋体" w:cs="宋体"/>
          <w:b w:val="0"/>
          <w:bCs w:val="0"/>
          <w:color w:val="000000"/>
          <w:sz w:val="24"/>
          <w:szCs w:val="24"/>
          <w:highlight w:val="none"/>
        </w:rPr>
        <w:t>分。</w:t>
      </w:r>
    </w:p>
    <w:p w14:paraId="5F2E477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2.对于“经济效益指标”</w:t>
      </w:r>
    </w:p>
    <w:p w14:paraId="010A3778">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r>
        <w:rPr>
          <w:rFonts w:hint="eastAsia" w:ascii="宋体" w:hAnsi="宋体" w:eastAsia="宋体" w:cs="宋体"/>
          <w:b w:val="0"/>
          <w:bCs w:val="0"/>
          <w:color w:val="000000"/>
          <w:sz w:val="24"/>
          <w:szCs w:val="24"/>
          <w:highlight w:val="none"/>
          <w:lang w:val="en-US" w:eastAsia="zh-CN"/>
        </w:rPr>
        <w:t>。</w:t>
      </w:r>
    </w:p>
    <w:p w14:paraId="5D776A3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3.对于“生态效益指标”</w:t>
      </w:r>
    </w:p>
    <w:p w14:paraId="06FA0CF8">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该项目不涉及生态效益指标。</w:t>
      </w:r>
    </w:p>
    <w:p w14:paraId="694AF21B">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4.满意度指标分析</w:t>
      </w:r>
    </w:p>
    <w:p w14:paraId="005DECB2">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受益农民满意度</w:t>
      </w:r>
      <w:r>
        <w:rPr>
          <w:rFonts w:hint="eastAsia" w:ascii="宋体" w:hAnsi="宋体" w:eastAsia="宋体" w:cs="宋体"/>
          <w:color w:val="000000"/>
          <w:sz w:val="24"/>
          <w:szCs w:val="24"/>
          <w:highlight w:val="none"/>
        </w:rPr>
        <w:t>，预期指标值</w:t>
      </w:r>
      <w:r>
        <w:rPr>
          <w:rFonts w:hint="eastAsia" w:ascii="宋体" w:hAnsi="宋体" w:eastAsia="宋体" w:cs="宋体"/>
          <w:color w:val="000000"/>
          <w:sz w:val="24"/>
          <w:szCs w:val="24"/>
          <w:highlight w:val="none"/>
          <w:lang w:val="en-US" w:eastAsia="zh-CN"/>
        </w:rPr>
        <w:t>大于等于95%</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95%</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，与预期目标一致，根据评分标准，该指标不扣分,得10分。</w:t>
      </w:r>
    </w:p>
    <w:p w14:paraId="174D2DC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11CF32E8">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五、预算执行进度与绩效指标偏差情况</w:t>
      </w:r>
    </w:p>
    <w:p w14:paraId="4C07FA44">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本项目年初预算资金总额为12万元，全年预算数为12万元，全年执行数为12万元，预算执行率为100%。</w:t>
      </w:r>
    </w:p>
    <w:p w14:paraId="26B5B4B3">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本项目共设置三级指标数量9个，满分指标数量9个，扣分指标数量0个，经分析计算所有三级指标完成率得出，本项目总体完成率为100%。</w:t>
      </w:r>
    </w:p>
    <w:p w14:paraId="3F1DC73F">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综上所述本项目预算执行率与总体完成率之间无偏差。</w:t>
      </w:r>
    </w:p>
    <w:p w14:paraId="01809DCD">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bookmarkStart w:id="18" w:name="_Toc68364673"/>
      <w:r>
        <w:rPr>
          <w:rFonts w:hint="eastAsia" w:ascii="黑体" w:hAnsi="黑体" w:eastAsia="黑体" w:cs="黑体"/>
          <w:color w:val="auto"/>
          <w:sz w:val="24"/>
          <w:szCs w:val="24"/>
          <w:highlight w:val="none"/>
        </w:rPr>
        <w:t>六、主要经验及做法、存在的问题及原因分析</w:t>
      </w:r>
    </w:p>
    <w:p w14:paraId="323D20E5">
      <w:pPr>
        <w:pStyle w:val="4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（一）主要经验及做法</w:t>
      </w:r>
      <w:bookmarkEnd w:id="18"/>
    </w:p>
    <w:p w14:paraId="039821DB">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一是本项目能够严格按照《项目实施方案》执行，项目执行情况较好。</w:t>
      </w:r>
    </w:p>
    <w:p w14:paraId="3AC3ACD5">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二是加强组织领导，本项目绩效评价工作，有主要领导亲自挂帅，分管领导具体负责，从项目到资金，均能够很好的执行。</w:t>
      </w:r>
    </w:p>
    <w:p w14:paraId="0045D7BD">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三是加强沟通协调，我单位及时向领导汇报项目建设进度，加强与施工单位的沟通，确保项目按期完工。</w:t>
      </w:r>
    </w:p>
    <w:p w14:paraId="60B010E5">
      <w:pPr>
        <w:pStyle w:val="4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bookmarkStart w:id="19" w:name="_Toc68364674"/>
      <w:r>
        <w:rPr>
          <w:rFonts w:hint="eastAsia" w:ascii="宋体" w:hAnsi="宋体" w:eastAsia="宋体" w:cs="宋体"/>
          <w:color w:val="auto"/>
          <w:sz w:val="24"/>
          <w:szCs w:val="24"/>
          <w:highlight w:val="none"/>
        </w:rPr>
        <w:t>（二）存在问题及原因分析</w:t>
      </w:r>
      <w:bookmarkEnd w:id="19"/>
    </w:p>
    <w:p w14:paraId="5BA41F17">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一是对各项指标和指标值要进一步优化、完善，主要在细化、量化上改进</w:t>
      </w:r>
      <w:r>
        <w:rPr>
          <w:rFonts w:hint="eastAsia" w:ascii="宋体" w:hAnsi="宋体" w:eastAsia="宋体" w:cs="宋体"/>
          <w:color w:val="auto"/>
          <w:sz w:val="24"/>
          <w:szCs w:val="24"/>
          <w:highlight w:val="none"/>
          <w:lang w:eastAsia="zh-CN"/>
        </w:rPr>
        <w:t>；</w:t>
      </w:r>
    </w:p>
    <w:p w14:paraId="41B5219F">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二是</w:t>
      </w:r>
      <w:r>
        <w:rPr>
          <w:rFonts w:hint="eastAsia" w:ascii="宋体" w:hAnsi="宋体" w:eastAsia="宋体" w:cs="宋体"/>
          <w:color w:val="auto"/>
          <w:sz w:val="24"/>
          <w:szCs w:val="24"/>
          <w:highlight w:val="none"/>
          <w:lang w:val="en-US" w:eastAsia="zh-CN"/>
        </w:rPr>
        <w:t>部门</w:t>
      </w:r>
      <w:r>
        <w:rPr>
          <w:rFonts w:hint="eastAsia" w:ascii="宋体" w:hAnsi="宋体" w:eastAsia="宋体" w:cs="宋体"/>
          <w:color w:val="auto"/>
          <w:sz w:val="24"/>
          <w:szCs w:val="24"/>
          <w:highlight w:val="none"/>
        </w:rPr>
        <w:t>评价工作还存在自我审定的局限性，会影响评价质量，容易造成问题的疏漏，在客观性和公正性上说服力不强</w:t>
      </w:r>
      <w:r>
        <w:rPr>
          <w:rFonts w:hint="eastAsia" w:ascii="宋体" w:hAnsi="宋体" w:eastAsia="宋体" w:cs="宋体"/>
          <w:color w:val="auto"/>
          <w:sz w:val="24"/>
          <w:szCs w:val="24"/>
          <w:highlight w:val="none"/>
          <w:lang w:eastAsia="zh-CN"/>
        </w:rPr>
        <w:t>；</w:t>
      </w:r>
    </w:p>
    <w:p w14:paraId="5E56B808">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三是缺少带着问题去评价的意识</w:t>
      </w:r>
      <w:r>
        <w:rPr>
          <w:rFonts w:hint="eastAsia" w:ascii="宋体" w:hAnsi="宋体" w:eastAsia="宋体" w:cs="宋体"/>
          <w:color w:val="auto"/>
          <w:sz w:val="24"/>
          <w:szCs w:val="24"/>
          <w:highlight w:val="none"/>
          <w:lang w:eastAsia="zh-CN"/>
        </w:rPr>
        <w:t>；</w:t>
      </w:r>
    </w:p>
    <w:p w14:paraId="282AFC5D">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四是现场评价的工作量少，后续效益评价具体措施和方法较少。</w:t>
      </w:r>
    </w:p>
    <w:p w14:paraId="0B44705A">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 w:val="0"/>
          <w:bCs w:val="0"/>
          <w:color w:val="auto"/>
          <w:sz w:val="24"/>
          <w:szCs w:val="24"/>
          <w:highlight w:val="none"/>
        </w:rPr>
      </w:pPr>
      <w:bookmarkStart w:id="20" w:name="_Toc68364675"/>
      <w:r>
        <w:rPr>
          <w:rFonts w:hint="eastAsia" w:ascii="黑体" w:hAnsi="黑体" w:eastAsia="黑体" w:cs="黑体"/>
          <w:color w:val="auto"/>
          <w:sz w:val="24"/>
          <w:szCs w:val="24"/>
          <w:highlight w:val="none"/>
        </w:rPr>
        <w:t>七、有关建议</w:t>
      </w:r>
      <w:bookmarkEnd w:id="20"/>
    </w:p>
    <w:p w14:paraId="25E09B32">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21" w:name="_Toc68364676"/>
      <w:r>
        <w:rPr>
          <w:rFonts w:hint="eastAsia" w:ascii="宋体" w:hAnsi="宋体" w:eastAsia="宋体" w:cs="宋体"/>
          <w:b w:val="0"/>
          <w:bCs w:val="0"/>
          <w:color w:val="000000"/>
          <w:kern w:val="0"/>
          <w:sz w:val="24"/>
          <w:szCs w:val="24"/>
          <w:highlight w:val="none"/>
          <w:lang w:val="en-US" w:eastAsia="zh-CN" w:bidi="ar-SA"/>
        </w:rPr>
        <w:t>1.项目建设的程序进一步规范。项目前期</w:t>
      </w:r>
      <w:r>
        <w:rPr>
          <w:rFonts w:hint="eastAsia" w:ascii="宋体" w:hAnsi="宋体" w:eastAsia="宋体" w:cs="宋体"/>
          <w:color w:val="000000"/>
          <w:sz w:val="24"/>
          <w:szCs w:val="24"/>
          <w:highlight w:val="none"/>
        </w:rPr>
        <w:t>做好可行性研究报告，更加细化实施方案，严格执行资金管理办法和财政资金管理制度，严格按照项目实施方案、招投标管理办法等稳步推进工作，各部门单位根据自己项目的特点进行总结。</w:t>
      </w:r>
    </w:p>
    <w:p w14:paraId="69BA290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2.项目评价资料有待进一步完善。项目启动时同步做好档案的归纳与整理，及时整理、收集、汇总，健全档案资料。项目后续管理有待进一步加强和跟踪。</w:t>
      </w:r>
    </w:p>
    <w:p w14:paraId="6633BD2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3.通过绩效管理，发现实施中存在漏洞，以后加强管理，及时掌握与之相关的各类信息，减少成本，使资金效益最大化。</w:t>
      </w:r>
    </w:p>
    <w:p w14:paraId="60B9F16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rPr>
        <w:t>4．评价工作应从项目实施方案源头抓起，评价工作和意识应贯穿项目整个过程。</w:t>
      </w:r>
    </w:p>
    <w:p w14:paraId="5BEE8E40">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八、其他需要说明的问题</w:t>
      </w:r>
      <w:bookmarkEnd w:id="21"/>
    </w:p>
    <w:p w14:paraId="47DBA35A">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我单位对上述项目支出绩效评价报告内反映内容的真实性、完整性负责，</w:t>
      </w:r>
      <w:r>
        <w:rPr>
          <w:rFonts w:hint="eastAsia" w:ascii="宋体" w:hAnsi="宋体" w:eastAsia="宋体" w:cs="宋体"/>
          <w:color w:val="000000"/>
          <w:sz w:val="24"/>
          <w:szCs w:val="24"/>
          <w:highlight w:val="none"/>
          <w:lang w:val="en-US" w:eastAsia="zh-CN"/>
        </w:rPr>
        <w:t>愿</w:t>
      </w:r>
      <w:r>
        <w:rPr>
          <w:rFonts w:hint="eastAsia" w:ascii="宋体" w:hAnsi="宋体" w:eastAsia="宋体" w:cs="宋体"/>
          <w:color w:val="000000"/>
          <w:sz w:val="24"/>
          <w:szCs w:val="24"/>
          <w:highlight w:val="none"/>
        </w:rPr>
        <w:t>接受上级部门及社会公众监督。</w:t>
      </w:r>
    </w:p>
    <w:p w14:paraId="2F0A43D5">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p>
    <w:p w14:paraId="1F6729EC">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附件1：2024年中央农业主体能力提升资金项目绩效评价指标体系</w:t>
      </w:r>
    </w:p>
    <w:p w14:paraId="7DD67AA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附件2：2024年中央农业主体能力提升资金项目综合得分表</w:t>
      </w:r>
    </w:p>
    <w:p w14:paraId="7C0D5D0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附件3：满意度调查问分析情况</w:t>
      </w:r>
    </w:p>
    <w:p w14:paraId="4CBC0F4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highlight w:val="none"/>
        </w:rPr>
      </w:pPr>
    </w:p>
    <w:p w14:paraId="6C0166F5">
      <w:pPr>
        <w:pStyle w:val="10"/>
        <w:ind w:left="0" w:leftChars="0" w:firstLine="0" w:firstLineChars="0"/>
        <w:jc w:val="both"/>
        <w:rPr>
          <w:rFonts w:hint="eastAsia" w:ascii="宋体" w:hAnsi="宋体" w:eastAsia="宋体" w:cs="宋体"/>
          <w:color w:val="auto"/>
          <w:sz w:val="24"/>
          <w:szCs w:val="24"/>
          <w:highlight w:val="none"/>
        </w:rPr>
      </w:pPr>
    </w:p>
    <w:p w14:paraId="6F67FCFA">
      <w:pPr>
        <w:pStyle w:val="10"/>
        <w:ind w:left="0" w:leftChars="0" w:firstLine="0" w:firstLineChars="0"/>
        <w:jc w:val="both"/>
        <w:rPr>
          <w:rFonts w:hint="eastAsia" w:ascii="宋体" w:hAnsi="宋体" w:eastAsia="宋体" w:cs="宋体"/>
          <w:color w:val="auto"/>
          <w:sz w:val="24"/>
          <w:szCs w:val="24"/>
          <w:highlight w:val="none"/>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1"/>
        <w:gridCol w:w="668"/>
        <w:gridCol w:w="697"/>
        <w:gridCol w:w="502"/>
        <w:gridCol w:w="582"/>
        <w:gridCol w:w="502"/>
        <w:gridCol w:w="3262"/>
        <w:gridCol w:w="915"/>
        <w:gridCol w:w="4009"/>
        <w:gridCol w:w="931"/>
        <w:gridCol w:w="576"/>
      </w:tblGrid>
      <w:tr w14:paraId="341F0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tcBorders>
              <w:top w:val="nil"/>
              <w:left w:val="nil"/>
              <w:bottom w:val="nil"/>
              <w:right w:val="nil"/>
            </w:tcBorders>
            <w:noWrap/>
            <w:vAlign w:val="center"/>
          </w:tcPr>
          <w:p w14:paraId="43A0CA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附件1：</w:t>
            </w:r>
          </w:p>
        </w:tc>
        <w:tc>
          <w:tcPr>
            <w:tcW w:w="668" w:type="dxa"/>
            <w:tcBorders>
              <w:top w:val="nil"/>
              <w:left w:val="nil"/>
              <w:bottom w:val="nil"/>
              <w:right w:val="nil"/>
            </w:tcBorders>
            <w:noWrap/>
            <w:vAlign w:val="center"/>
          </w:tcPr>
          <w:p w14:paraId="5B9FC6C8">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i w:val="0"/>
                <w:iCs w:val="0"/>
                <w:color w:val="auto"/>
                <w:sz w:val="21"/>
                <w:szCs w:val="21"/>
                <w:highlight w:val="none"/>
                <w:u w:val="none"/>
              </w:rPr>
            </w:pPr>
          </w:p>
        </w:tc>
        <w:tc>
          <w:tcPr>
            <w:tcW w:w="697" w:type="dxa"/>
            <w:tcBorders>
              <w:top w:val="nil"/>
              <w:left w:val="nil"/>
              <w:bottom w:val="nil"/>
              <w:right w:val="nil"/>
            </w:tcBorders>
            <w:noWrap/>
            <w:vAlign w:val="center"/>
          </w:tcPr>
          <w:p w14:paraId="2D88F6E9">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i w:val="0"/>
                <w:iCs w:val="0"/>
                <w:color w:val="auto"/>
                <w:sz w:val="21"/>
                <w:szCs w:val="21"/>
                <w:highlight w:val="none"/>
                <w:u w:val="none"/>
              </w:rPr>
            </w:pPr>
          </w:p>
        </w:tc>
        <w:tc>
          <w:tcPr>
            <w:tcW w:w="502" w:type="dxa"/>
            <w:tcBorders>
              <w:top w:val="nil"/>
              <w:left w:val="nil"/>
              <w:bottom w:val="nil"/>
              <w:right w:val="nil"/>
            </w:tcBorders>
            <w:noWrap/>
            <w:vAlign w:val="center"/>
          </w:tcPr>
          <w:p w14:paraId="186A758B">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i w:val="0"/>
                <w:iCs w:val="0"/>
                <w:color w:val="auto"/>
                <w:sz w:val="21"/>
                <w:szCs w:val="21"/>
                <w:highlight w:val="none"/>
                <w:u w:val="none"/>
              </w:rPr>
            </w:pPr>
          </w:p>
        </w:tc>
        <w:tc>
          <w:tcPr>
            <w:tcW w:w="582" w:type="dxa"/>
            <w:tcBorders>
              <w:top w:val="nil"/>
              <w:left w:val="nil"/>
              <w:bottom w:val="nil"/>
              <w:right w:val="nil"/>
            </w:tcBorders>
            <w:noWrap/>
            <w:vAlign w:val="center"/>
          </w:tcPr>
          <w:p w14:paraId="1B83E0E3">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i w:val="0"/>
                <w:iCs w:val="0"/>
                <w:color w:val="auto"/>
                <w:sz w:val="21"/>
                <w:szCs w:val="21"/>
                <w:highlight w:val="none"/>
                <w:u w:val="none"/>
              </w:rPr>
            </w:pPr>
          </w:p>
        </w:tc>
        <w:tc>
          <w:tcPr>
            <w:tcW w:w="502" w:type="dxa"/>
            <w:tcBorders>
              <w:top w:val="nil"/>
              <w:left w:val="nil"/>
              <w:bottom w:val="nil"/>
              <w:right w:val="nil"/>
            </w:tcBorders>
            <w:noWrap/>
            <w:vAlign w:val="center"/>
          </w:tcPr>
          <w:p w14:paraId="04DDC8DA">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i w:val="0"/>
                <w:iCs w:val="0"/>
                <w:color w:val="auto"/>
                <w:sz w:val="21"/>
                <w:szCs w:val="21"/>
                <w:highlight w:val="none"/>
                <w:u w:val="none"/>
              </w:rPr>
            </w:pPr>
          </w:p>
        </w:tc>
        <w:tc>
          <w:tcPr>
            <w:tcW w:w="3262" w:type="dxa"/>
            <w:tcBorders>
              <w:top w:val="nil"/>
              <w:left w:val="nil"/>
              <w:bottom w:val="nil"/>
              <w:right w:val="nil"/>
            </w:tcBorders>
            <w:noWrap/>
            <w:vAlign w:val="center"/>
          </w:tcPr>
          <w:p w14:paraId="42FCFE23">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auto"/>
                <w:sz w:val="21"/>
                <w:szCs w:val="21"/>
                <w:highlight w:val="none"/>
                <w:u w:val="none"/>
              </w:rPr>
            </w:pPr>
          </w:p>
        </w:tc>
        <w:tc>
          <w:tcPr>
            <w:tcW w:w="915" w:type="dxa"/>
            <w:tcBorders>
              <w:top w:val="nil"/>
              <w:left w:val="nil"/>
              <w:bottom w:val="nil"/>
              <w:right w:val="nil"/>
            </w:tcBorders>
            <w:noWrap/>
            <w:vAlign w:val="center"/>
          </w:tcPr>
          <w:p w14:paraId="1534D3E6">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i w:val="0"/>
                <w:iCs w:val="0"/>
                <w:color w:val="auto"/>
                <w:sz w:val="21"/>
                <w:szCs w:val="21"/>
                <w:highlight w:val="none"/>
                <w:u w:val="none"/>
              </w:rPr>
            </w:pPr>
          </w:p>
        </w:tc>
        <w:tc>
          <w:tcPr>
            <w:tcW w:w="4009" w:type="dxa"/>
            <w:tcBorders>
              <w:top w:val="nil"/>
              <w:left w:val="nil"/>
              <w:bottom w:val="nil"/>
              <w:right w:val="nil"/>
            </w:tcBorders>
            <w:noWrap/>
            <w:vAlign w:val="center"/>
          </w:tcPr>
          <w:p w14:paraId="630A12AB">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i w:val="0"/>
                <w:iCs w:val="0"/>
                <w:color w:val="auto"/>
                <w:sz w:val="21"/>
                <w:szCs w:val="21"/>
                <w:highlight w:val="none"/>
                <w:u w:val="none"/>
              </w:rPr>
            </w:pPr>
          </w:p>
        </w:tc>
        <w:tc>
          <w:tcPr>
            <w:tcW w:w="931" w:type="dxa"/>
            <w:tcBorders>
              <w:top w:val="nil"/>
              <w:left w:val="nil"/>
              <w:bottom w:val="nil"/>
              <w:right w:val="nil"/>
            </w:tcBorders>
            <w:noWrap/>
            <w:vAlign w:val="center"/>
          </w:tcPr>
          <w:p w14:paraId="66EDF780">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i w:val="0"/>
                <w:iCs w:val="0"/>
                <w:color w:val="auto"/>
                <w:sz w:val="21"/>
                <w:szCs w:val="21"/>
                <w:highlight w:val="none"/>
                <w:u w:val="none"/>
              </w:rPr>
            </w:pPr>
          </w:p>
        </w:tc>
        <w:tc>
          <w:tcPr>
            <w:tcW w:w="576" w:type="dxa"/>
            <w:tcBorders>
              <w:top w:val="nil"/>
              <w:left w:val="nil"/>
              <w:bottom w:val="nil"/>
              <w:right w:val="nil"/>
            </w:tcBorders>
            <w:noWrap/>
            <w:vAlign w:val="center"/>
          </w:tcPr>
          <w:p w14:paraId="462A8AE3">
            <w:pPr>
              <w:keepNext w:val="0"/>
              <w:keepLines w:val="0"/>
              <w:pageBreakBefore w:val="0"/>
              <w:widowControl/>
              <w:kinsoku/>
              <w:wordWrap/>
              <w:overflowPunct/>
              <w:topLinePunct w:val="0"/>
              <w:autoSpaceDE/>
              <w:autoSpaceDN/>
              <w:bidi w:val="0"/>
              <w:adjustRightInd/>
              <w:snapToGrid/>
              <w:spacing w:line="240" w:lineRule="exact"/>
              <w:ind w:firstLine="0" w:firstLineChars="0"/>
              <w:jc w:val="both"/>
              <w:rPr>
                <w:rFonts w:hint="eastAsia" w:ascii="宋体" w:hAnsi="宋体" w:eastAsia="宋体" w:cs="宋体"/>
                <w:i w:val="0"/>
                <w:iCs w:val="0"/>
                <w:color w:val="auto"/>
                <w:sz w:val="21"/>
                <w:szCs w:val="21"/>
                <w:highlight w:val="none"/>
                <w:u w:val="none"/>
              </w:rPr>
            </w:pPr>
          </w:p>
        </w:tc>
      </w:tr>
      <w:tr w14:paraId="1BCF3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3275" w:type="dxa"/>
            <w:gridSpan w:val="11"/>
            <w:tcBorders>
              <w:top w:val="nil"/>
              <w:left w:val="nil"/>
              <w:bottom w:val="nil"/>
              <w:right w:val="nil"/>
            </w:tcBorders>
            <w:noWrap w:val="0"/>
            <w:vAlign w:val="center"/>
          </w:tcPr>
          <w:p w14:paraId="725D33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000000"/>
                <w:kern w:val="0"/>
                <w:sz w:val="24"/>
                <w:szCs w:val="24"/>
                <w:highlight w:val="none"/>
                <w:u w:val="none"/>
                <w:lang w:val="en-US" w:eastAsia="zh-CN"/>
              </w:rPr>
              <w:t>2024年中央农业主体能力提升资金项目绩效评价指标体系综合评分表</w:t>
            </w:r>
          </w:p>
        </w:tc>
      </w:tr>
      <w:tr w14:paraId="34F90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tcBorders>
              <w:top w:val="single" w:color="auto" w:sz="8" w:space="0"/>
              <w:left w:val="single" w:color="auto" w:sz="8" w:space="0"/>
              <w:bottom w:val="single" w:color="auto" w:sz="8" w:space="0"/>
              <w:right w:val="single" w:color="auto" w:sz="8" w:space="0"/>
            </w:tcBorders>
            <w:noWrap w:val="0"/>
            <w:vAlign w:val="center"/>
          </w:tcPr>
          <w:p w14:paraId="7540C7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668" w:type="dxa"/>
            <w:tcBorders>
              <w:top w:val="single" w:color="auto" w:sz="8" w:space="0"/>
              <w:left w:val="nil"/>
              <w:bottom w:val="single" w:color="auto" w:sz="8" w:space="0"/>
              <w:right w:val="single" w:color="auto" w:sz="8" w:space="0"/>
            </w:tcBorders>
            <w:noWrap w:val="0"/>
            <w:vAlign w:val="center"/>
          </w:tcPr>
          <w:p w14:paraId="2828C8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697" w:type="dxa"/>
            <w:tcBorders>
              <w:top w:val="single" w:color="auto" w:sz="8" w:space="0"/>
              <w:left w:val="nil"/>
              <w:bottom w:val="single" w:color="auto" w:sz="8" w:space="0"/>
              <w:right w:val="single" w:color="auto" w:sz="8" w:space="0"/>
            </w:tcBorders>
            <w:noWrap w:val="0"/>
            <w:vAlign w:val="center"/>
          </w:tcPr>
          <w:p w14:paraId="4A121C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502" w:type="dxa"/>
            <w:tcBorders>
              <w:top w:val="single" w:color="auto" w:sz="8" w:space="0"/>
              <w:left w:val="nil"/>
              <w:bottom w:val="single" w:color="auto" w:sz="8" w:space="0"/>
              <w:right w:val="single" w:color="auto" w:sz="8" w:space="0"/>
            </w:tcBorders>
            <w:noWrap w:val="0"/>
            <w:vAlign w:val="center"/>
          </w:tcPr>
          <w:p w14:paraId="07E469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582" w:type="dxa"/>
            <w:tcBorders>
              <w:top w:val="single" w:color="auto" w:sz="8" w:space="0"/>
              <w:left w:val="nil"/>
              <w:bottom w:val="single" w:color="auto" w:sz="8" w:space="0"/>
              <w:right w:val="single" w:color="auto" w:sz="8" w:space="0"/>
            </w:tcBorders>
            <w:noWrap w:val="0"/>
            <w:vAlign w:val="center"/>
          </w:tcPr>
          <w:p w14:paraId="5420C9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502" w:type="dxa"/>
            <w:tcBorders>
              <w:top w:val="single" w:color="auto" w:sz="8" w:space="0"/>
              <w:left w:val="nil"/>
              <w:bottom w:val="single" w:color="auto" w:sz="8" w:space="0"/>
              <w:right w:val="single" w:color="auto" w:sz="8" w:space="0"/>
            </w:tcBorders>
            <w:noWrap w:val="0"/>
            <w:vAlign w:val="center"/>
          </w:tcPr>
          <w:p w14:paraId="296B24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3262" w:type="dxa"/>
            <w:tcBorders>
              <w:top w:val="single" w:color="auto" w:sz="8" w:space="0"/>
              <w:left w:val="nil"/>
              <w:bottom w:val="single" w:color="auto" w:sz="8" w:space="0"/>
              <w:right w:val="single" w:color="auto" w:sz="8" w:space="0"/>
            </w:tcBorders>
            <w:noWrap w:val="0"/>
            <w:vAlign w:val="center"/>
          </w:tcPr>
          <w:p w14:paraId="29E495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指标解释</w:t>
            </w:r>
          </w:p>
        </w:tc>
        <w:tc>
          <w:tcPr>
            <w:tcW w:w="915" w:type="dxa"/>
            <w:tcBorders>
              <w:top w:val="single" w:color="auto" w:sz="8" w:space="0"/>
              <w:left w:val="nil"/>
              <w:bottom w:val="single" w:color="auto" w:sz="8" w:space="0"/>
              <w:right w:val="single" w:color="auto" w:sz="8" w:space="0"/>
            </w:tcBorders>
            <w:noWrap w:val="0"/>
            <w:vAlign w:val="center"/>
          </w:tcPr>
          <w:p w14:paraId="40BBF7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标杆值</w:t>
            </w:r>
          </w:p>
        </w:tc>
        <w:tc>
          <w:tcPr>
            <w:tcW w:w="4009" w:type="dxa"/>
            <w:tcBorders>
              <w:top w:val="single" w:color="auto" w:sz="8" w:space="0"/>
              <w:left w:val="nil"/>
              <w:bottom w:val="single" w:color="auto" w:sz="8" w:space="0"/>
              <w:right w:val="single" w:color="auto" w:sz="8" w:space="0"/>
            </w:tcBorders>
            <w:noWrap w:val="0"/>
            <w:vAlign w:val="center"/>
          </w:tcPr>
          <w:p w14:paraId="6EA98D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评分标准</w:t>
            </w:r>
          </w:p>
        </w:tc>
        <w:tc>
          <w:tcPr>
            <w:tcW w:w="931" w:type="dxa"/>
            <w:tcBorders>
              <w:top w:val="single" w:color="auto" w:sz="8" w:space="0"/>
              <w:left w:val="nil"/>
              <w:bottom w:val="single" w:color="auto" w:sz="8" w:space="0"/>
              <w:right w:val="single" w:color="auto" w:sz="8" w:space="0"/>
            </w:tcBorders>
            <w:noWrap w:val="0"/>
            <w:vAlign w:val="center"/>
          </w:tcPr>
          <w:p w14:paraId="6BC92E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完成值</w:t>
            </w:r>
          </w:p>
        </w:tc>
        <w:tc>
          <w:tcPr>
            <w:tcW w:w="576" w:type="dxa"/>
            <w:tcBorders>
              <w:top w:val="single" w:color="auto" w:sz="8" w:space="0"/>
              <w:left w:val="nil"/>
              <w:bottom w:val="single" w:color="auto" w:sz="8" w:space="0"/>
              <w:right w:val="single" w:color="auto" w:sz="8" w:space="0"/>
            </w:tcBorders>
            <w:noWrap w:val="0"/>
            <w:vAlign w:val="center"/>
          </w:tcPr>
          <w:p w14:paraId="46EF4E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得分</w:t>
            </w:r>
          </w:p>
        </w:tc>
      </w:tr>
      <w:tr w14:paraId="01D89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restart"/>
            <w:tcBorders>
              <w:top w:val="nil"/>
              <w:left w:val="single" w:color="auto" w:sz="8" w:space="0"/>
              <w:bottom w:val="single" w:color="auto" w:sz="8" w:space="0"/>
              <w:right w:val="single" w:color="auto" w:sz="8" w:space="0"/>
            </w:tcBorders>
            <w:noWrap w:val="0"/>
            <w:vAlign w:val="center"/>
          </w:tcPr>
          <w:p w14:paraId="063A898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项目决策</w:t>
            </w:r>
          </w:p>
        </w:tc>
        <w:tc>
          <w:tcPr>
            <w:tcW w:w="668" w:type="dxa"/>
            <w:vMerge w:val="restart"/>
            <w:tcBorders>
              <w:top w:val="nil"/>
              <w:left w:val="nil"/>
              <w:bottom w:val="single" w:color="auto" w:sz="8" w:space="0"/>
              <w:right w:val="single" w:color="auto" w:sz="8" w:space="0"/>
            </w:tcBorders>
            <w:noWrap w:val="0"/>
            <w:vAlign w:val="center"/>
          </w:tcPr>
          <w:p w14:paraId="72A1A7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lang w:val="en-US" w:eastAsia="zh-CN"/>
              </w:rPr>
              <w:t>23</w:t>
            </w:r>
          </w:p>
        </w:tc>
        <w:tc>
          <w:tcPr>
            <w:tcW w:w="697" w:type="dxa"/>
            <w:vMerge w:val="restart"/>
            <w:tcBorders>
              <w:top w:val="nil"/>
              <w:left w:val="nil"/>
              <w:bottom w:val="single" w:color="auto" w:sz="8" w:space="0"/>
              <w:right w:val="single" w:color="auto" w:sz="8" w:space="0"/>
            </w:tcBorders>
            <w:noWrap w:val="0"/>
            <w:vAlign w:val="center"/>
          </w:tcPr>
          <w:p w14:paraId="66768E0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项目立项</w:t>
            </w:r>
          </w:p>
        </w:tc>
        <w:tc>
          <w:tcPr>
            <w:tcW w:w="502" w:type="dxa"/>
            <w:vMerge w:val="restart"/>
            <w:tcBorders>
              <w:top w:val="nil"/>
              <w:left w:val="nil"/>
              <w:bottom w:val="single" w:color="auto" w:sz="8" w:space="0"/>
              <w:right w:val="single" w:color="auto" w:sz="8" w:space="0"/>
            </w:tcBorders>
            <w:noWrap w:val="0"/>
            <w:vAlign w:val="center"/>
          </w:tcPr>
          <w:p w14:paraId="764CAE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582" w:type="dxa"/>
            <w:vMerge w:val="restart"/>
            <w:tcBorders>
              <w:top w:val="nil"/>
              <w:left w:val="nil"/>
              <w:bottom w:val="single" w:color="auto" w:sz="8" w:space="0"/>
              <w:right w:val="single" w:color="auto" w:sz="8" w:space="0"/>
            </w:tcBorders>
            <w:noWrap w:val="0"/>
            <w:vAlign w:val="center"/>
          </w:tcPr>
          <w:p w14:paraId="6D1C4F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立项依据充分性</w:t>
            </w:r>
          </w:p>
        </w:tc>
        <w:tc>
          <w:tcPr>
            <w:tcW w:w="502" w:type="dxa"/>
            <w:vMerge w:val="restart"/>
            <w:tcBorders>
              <w:top w:val="nil"/>
              <w:left w:val="nil"/>
              <w:bottom w:val="single" w:color="auto" w:sz="8" w:space="0"/>
              <w:right w:val="single" w:color="auto" w:sz="8" w:space="0"/>
            </w:tcBorders>
            <w:noWrap w:val="0"/>
            <w:vAlign w:val="center"/>
          </w:tcPr>
          <w:p w14:paraId="04D0D1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w:t>
            </w:r>
          </w:p>
        </w:tc>
        <w:tc>
          <w:tcPr>
            <w:tcW w:w="3262" w:type="dxa"/>
            <w:vMerge w:val="restart"/>
            <w:tcBorders>
              <w:top w:val="nil"/>
              <w:left w:val="nil"/>
              <w:bottom w:val="single" w:color="auto" w:sz="8" w:space="0"/>
              <w:right w:val="single" w:color="auto" w:sz="8" w:space="0"/>
            </w:tcBorders>
            <w:noWrap w:val="0"/>
            <w:vAlign w:val="center"/>
          </w:tcPr>
          <w:p w14:paraId="44A75715">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项目立项是否符合法律法规、相关政策、发展规划以及部门职责，用以反映和考核项目立项依据情况。</w:t>
            </w:r>
          </w:p>
        </w:tc>
        <w:tc>
          <w:tcPr>
            <w:tcW w:w="915" w:type="dxa"/>
            <w:vMerge w:val="restart"/>
            <w:tcBorders>
              <w:top w:val="nil"/>
              <w:left w:val="nil"/>
              <w:bottom w:val="single" w:color="auto" w:sz="8" w:space="0"/>
              <w:right w:val="single" w:color="auto" w:sz="8" w:space="0"/>
            </w:tcBorders>
            <w:noWrap w:val="0"/>
            <w:vAlign w:val="center"/>
          </w:tcPr>
          <w:p w14:paraId="032AE76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充分</w:t>
            </w:r>
          </w:p>
        </w:tc>
        <w:tc>
          <w:tcPr>
            <w:tcW w:w="4009" w:type="dxa"/>
            <w:tcBorders>
              <w:top w:val="nil"/>
              <w:left w:val="nil"/>
              <w:bottom w:val="nil"/>
              <w:right w:val="single" w:color="auto" w:sz="8" w:space="0"/>
            </w:tcBorders>
            <w:noWrap w:val="0"/>
            <w:vAlign w:val="center"/>
          </w:tcPr>
          <w:p w14:paraId="2AC5DBE3">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①项目立项是否符合国家法律法规、国民经济发展规划和相关政策；</w:t>
            </w:r>
          </w:p>
        </w:tc>
        <w:tc>
          <w:tcPr>
            <w:tcW w:w="931" w:type="dxa"/>
            <w:vMerge w:val="restart"/>
            <w:tcBorders>
              <w:top w:val="nil"/>
              <w:left w:val="nil"/>
              <w:bottom w:val="single" w:color="auto" w:sz="8" w:space="0"/>
              <w:right w:val="single" w:color="auto" w:sz="8" w:space="0"/>
            </w:tcBorders>
            <w:noWrap w:val="0"/>
            <w:vAlign w:val="center"/>
          </w:tcPr>
          <w:p w14:paraId="7EF7B0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充分</w:t>
            </w:r>
          </w:p>
        </w:tc>
        <w:tc>
          <w:tcPr>
            <w:tcW w:w="576" w:type="dxa"/>
            <w:vMerge w:val="restart"/>
            <w:tcBorders>
              <w:top w:val="nil"/>
              <w:left w:val="nil"/>
              <w:bottom w:val="single" w:color="auto" w:sz="8" w:space="0"/>
              <w:right w:val="single" w:color="auto" w:sz="8" w:space="0"/>
            </w:tcBorders>
            <w:noWrap w:val="0"/>
            <w:vAlign w:val="center"/>
          </w:tcPr>
          <w:p w14:paraId="454E35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w:t>
            </w:r>
          </w:p>
        </w:tc>
      </w:tr>
      <w:tr w14:paraId="42974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40D2AA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003C74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4F4B2E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14D63A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633C71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6D5EE1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01240757">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1ECE7C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nil"/>
              <w:right w:val="single" w:color="auto" w:sz="8" w:space="0"/>
            </w:tcBorders>
            <w:noWrap w:val="0"/>
            <w:vAlign w:val="center"/>
          </w:tcPr>
          <w:p w14:paraId="1D56526D">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②项目立项是否符合行业发展规划和政策要求；</w:t>
            </w:r>
          </w:p>
        </w:tc>
        <w:tc>
          <w:tcPr>
            <w:tcW w:w="931" w:type="dxa"/>
            <w:vMerge w:val="continue"/>
            <w:tcBorders>
              <w:top w:val="nil"/>
              <w:left w:val="nil"/>
              <w:bottom w:val="single" w:color="auto" w:sz="8" w:space="0"/>
              <w:right w:val="single" w:color="auto" w:sz="8" w:space="0"/>
            </w:tcBorders>
            <w:noWrap w:val="0"/>
            <w:vAlign w:val="center"/>
          </w:tcPr>
          <w:p w14:paraId="13F0E8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697696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07631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7C1FAC1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6D7BD7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3AAD8E6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6E7D24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52117F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4919225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684A551D">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295F09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nil"/>
              <w:right w:val="single" w:color="auto" w:sz="8" w:space="0"/>
            </w:tcBorders>
            <w:noWrap w:val="0"/>
            <w:vAlign w:val="center"/>
          </w:tcPr>
          <w:p w14:paraId="1AD8A9E6">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③项目立项是否与部门职责范围相符，属于部门履职所需；</w:t>
            </w:r>
          </w:p>
        </w:tc>
        <w:tc>
          <w:tcPr>
            <w:tcW w:w="931" w:type="dxa"/>
            <w:vMerge w:val="continue"/>
            <w:tcBorders>
              <w:top w:val="nil"/>
              <w:left w:val="nil"/>
              <w:bottom w:val="single" w:color="auto" w:sz="8" w:space="0"/>
              <w:right w:val="single" w:color="auto" w:sz="8" w:space="0"/>
            </w:tcBorders>
            <w:noWrap w:val="0"/>
            <w:vAlign w:val="center"/>
          </w:tcPr>
          <w:p w14:paraId="038DCF0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4096C9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02130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6AE612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757EB98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2ABF2C3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5D978C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7D8879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57AEAF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22D03218">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6FCB0B4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nil"/>
              <w:right w:val="single" w:color="auto" w:sz="8" w:space="0"/>
            </w:tcBorders>
            <w:noWrap w:val="0"/>
            <w:vAlign w:val="center"/>
          </w:tcPr>
          <w:p w14:paraId="70BB22E1">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④项目是否属于公共财政支持范围，是否符合中央、地方事权支出责任划分原则；</w:t>
            </w:r>
          </w:p>
        </w:tc>
        <w:tc>
          <w:tcPr>
            <w:tcW w:w="931" w:type="dxa"/>
            <w:vMerge w:val="continue"/>
            <w:tcBorders>
              <w:top w:val="nil"/>
              <w:left w:val="nil"/>
              <w:bottom w:val="single" w:color="auto" w:sz="8" w:space="0"/>
              <w:right w:val="single" w:color="auto" w:sz="8" w:space="0"/>
            </w:tcBorders>
            <w:noWrap w:val="0"/>
            <w:vAlign w:val="center"/>
          </w:tcPr>
          <w:p w14:paraId="67662EE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362690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5BD7C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7D3877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5C1B24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6C96FC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7045B39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734475D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5C2C98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49EB1876">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083551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nil"/>
              <w:right w:val="single" w:color="auto" w:sz="8" w:space="0"/>
            </w:tcBorders>
            <w:noWrap w:val="0"/>
            <w:vAlign w:val="center"/>
          </w:tcPr>
          <w:p w14:paraId="7C752B75">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⑤项目是否与相关部门同类项目或部门内部相关项目重复。</w:t>
            </w:r>
          </w:p>
        </w:tc>
        <w:tc>
          <w:tcPr>
            <w:tcW w:w="931" w:type="dxa"/>
            <w:vMerge w:val="continue"/>
            <w:tcBorders>
              <w:top w:val="nil"/>
              <w:left w:val="nil"/>
              <w:bottom w:val="single" w:color="auto" w:sz="8" w:space="0"/>
              <w:right w:val="single" w:color="auto" w:sz="8" w:space="0"/>
            </w:tcBorders>
            <w:noWrap w:val="0"/>
            <w:vAlign w:val="center"/>
          </w:tcPr>
          <w:p w14:paraId="0DCF65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046CD2D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14128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24C3AA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2920E3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3B35B6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60A7CB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29F4A7C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23DE4A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6619EA48">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7EC312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single" w:color="auto" w:sz="8" w:space="0"/>
              <w:right w:val="single" w:color="auto" w:sz="8" w:space="0"/>
            </w:tcBorders>
            <w:noWrap w:val="0"/>
            <w:vAlign w:val="center"/>
          </w:tcPr>
          <w:p w14:paraId="34BFF262">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以上每条要素占权重分的20%，每有一条不符合，扣除对应权重分，扣完为止。</w:t>
            </w:r>
          </w:p>
        </w:tc>
        <w:tc>
          <w:tcPr>
            <w:tcW w:w="931" w:type="dxa"/>
            <w:vMerge w:val="continue"/>
            <w:tcBorders>
              <w:top w:val="nil"/>
              <w:left w:val="nil"/>
              <w:bottom w:val="single" w:color="auto" w:sz="8" w:space="0"/>
              <w:right w:val="single" w:color="auto" w:sz="8" w:space="0"/>
            </w:tcBorders>
            <w:noWrap w:val="0"/>
            <w:vAlign w:val="center"/>
          </w:tcPr>
          <w:p w14:paraId="363B572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355661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48CE1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0DF48E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0B24F3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37EFFD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0B3AC75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restart"/>
            <w:tcBorders>
              <w:top w:val="nil"/>
              <w:left w:val="nil"/>
              <w:bottom w:val="single" w:color="auto" w:sz="8" w:space="0"/>
              <w:right w:val="single" w:color="auto" w:sz="8" w:space="0"/>
            </w:tcBorders>
            <w:noWrap w:val="0"/>
            <w:vAlign w:val="center"/>
          </w:tcPr>
          <w:p w14:paraId="4D11D04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立项程序规范性</w:t>
            </w:r>
          </w:p>
        </w:tc>
        <w:tc>
          <w:tcPr>
            <w:tcW w:w="502" w:type="dxa"/>
            <w:vMerge w:val="restart"/>
            <w:tcBorders>
              <w:top w:val="nil"/>
              <w:left w:val="nil"/>
              <w:bottom w:val="single" w:color="auto" w:sz="8" w:space="0"/>
              <w:right w:val="single" w:color="auto" w:sz="8" w:space="0"/>
            </w:tcBorders>
            <w:noWrap w:val="0"/>
            <w:vAlign w:val="center"/>
          </w:tcPr>
          <w:p w14:paraId="3DE86C8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c>
          <w:tcPr>
            <w:tcW w:w="3262" w:type="dxa"/>
            <w:vMerge w:val="restart"/>
            <w:tcBorders>
              <w:top w:val="nil"/>
              <w:left w:val="nil"/>
              <w:bottom w:val="single" w:color="auto" w:sz="8" w:space="0"/>
              <w:right w:val="single" w:color="auto" w:sz="8" w:space="0"/>
            </w:tcBorders>
            <w:noWrap w:val="0"/>
            <w:vAlign w:val="center"/>
          </w:tcPr>
          <w:p w14:paraId="4056284B">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项目申请、设立过程是否符合相关要求，用以反映和考核项目立项的规范情况。</w:t>
            </w:r>
          </w:p>
        </w:tc>
        <w:tc>
          <w:tcPr>
            <w:tcW w:w="915" w:type="dxa"/>
            <w:vMerge w:val="restart"/>
            <w:tcBorders>
              <w:top w:val="nil"/>
              <w:left w:val="nil"/>
              <w:bottom w:val="single" w:color="auto" w:sz="8" w:space="0"/>
              <w:right w:val="single" w:color="auto" w:sz="8" w:space="0"/>
            </w:tcBorders>
            <w:noWrap w:val="0"/>
            <w:vAlign w:val="center"/>
          </w:tcPr>
          <w:p w14:paraId="61DD4FD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规范</w:t>
            </w:r>
          </w:p>
        </w:tc>
        <w:tc>
          <w:tcPr>
            <w:tcW w:w="4009" w:type="dxa"/>
            <w:tcBorders>
              <w:top w:val="nil"/>
              <w:left w:val="nil"/>
              <w:bottom w:val="nil"/>
              <w:right w:val="single" w:color="auto" w:sz="8" w:space="0"/>
            </w:tcBorders>
            <w:noWrap w:val="0"/>
            <w:vAlign w:val="center"/>
          </w:tcPr>
          <w:p w14:paraId="6757694F">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①项目是否按照规定的程序申请设立；</w:t>
            </w:r>
          </w:p>
        </w:tc>
        <w:tc>
          <w:tcPr>
            <w:tcW w:w="931" w:type="dxa"/>
            <w:vMerge w:val="restart"/>
            <w:tcBorders>
              <w:top w:val="nil"/>
              <w:left w:val="nil"/>
              <w:bottom w:val="single" w:color="auto" w:sz="8" w:space="0"/>
              <w:right w:val="single" w:color="auto" w:sz="8" w:space="0"/>
            </w:tcBorders>
            <w:noWrap w:val="0"/>
            <w:vAlign w:val="center"/>
          </w:tcPr>
          <w:p w14:paraId="18B9863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规范</w:t>
            </w:r>
          </w:p>
        </w:tc>
        <w:tc>
          <w:tcPr>
            <w:tcW w:w="576" w:type="dxa"/>
            <w:vMerge w:val="restart"/>
            <w:tcBorders>
              <w:top w:val="nil"/>
              <w:left w:val="nil"/>
              <w:bottom w:val="single" w:color="auto" w:sz="8" w:space="0"/>
              <w:right w:val="single" w:color="auto" w:sz="8" w:space="0"/>
            </w:tcBorders>
            <w:noWrap w:val="0"/>
            <w:vAlign w:val="center"/>
          </w:tcPr>
          <w:p w14:paraId="10B44D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45C2A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32A476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7439148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644C7C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7FBE28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760140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61B0A5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4169E35A">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2902422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nil"/>
              <w:right w:val="single" w:color="auto" w:sz="8" w:space="0"/>
            </w:tcBorders>
            <w:noWrap w:val="0"/>
            <w:vAlign w:val="center"/>
          </w:tcPr>
          <w:p w14:paraId="7F1A9918">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②审批文件、材料是否符合相关要求；</w:t>
            </w:r>
          </w:p>
        </w:tc>
        <w:tc>
          <w:tcPr>
            <w:tcW w:w="931" w:type="dxa"/>
            <w:vMerge w:val="continue"/>
            <w:tcBorders>
              <w:top w:val="nil"/>
              <w:left w:val="nil"/>
              <w:bottom w:val="single" w:color="auto" w:sz="8" w:space="0"/>
              <w:right w:val="single" w:color="auto" w:sz="8" w:space="0"/>
            </w:tcBorders>
            <w:noWrap w:val="0"/>
            <w:vAlign w:val="center"/>
          </w:tcPr>
          <w:p w14:paraId="0B5317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608B6D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757B5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0573A64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4ED845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030827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3CD068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2AB2786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0BD6D7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3AD7E07F">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147EA8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nil"/>
              <w:right w:val="single" w:color="auto" w:sz="8" w:space="0"/>
            </w:tcBorders>
            <w:noWrap w:val="0"/>
            <w:vAlign w:val="center"/>
          </w:tcPr>
          <w:p w14:paraId="66C25B96">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③事前是否已经过必要的可行性研究、专家论证、风险评估、绩效评估、集体决策。</w:t>
            </w:r>
          </w:p>
        </w:tc>
        <w:tc>
          <w:tcPr>
            <w:tcW w:w="931" w:type="dxa"/>
            <w:vMerge w:val="continue"/>
            <w:tcBorders>
              <w:top w:val="nil"/>
              <w:left w:val="nil"/>
              <w:bottom w:val="single" w:color="auto" w:sz="8" w:space="0"/>
              <w:right w:val="single" w:color="auto" w:sz="8" w:space="0"/>
            </w:tcBorders>
            <w:noWrap w:val="0"/>
            <w:vAlign w:val="center"/>
          </w:tcPr>
          <w:p w14:paraId="101FB5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48E0F8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69EAC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4CA8B6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1B65D6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229540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1ABC8A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4F52CBD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78F74C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3248F294">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09B4F0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single" w:color="auto" w:sz="8" w:space="0"/>
              <w:right w:val="single" w:color="auto" w:sz="8" w:space="0"/>
            </w:tcBorders>
            <w:noWrap w:val="0"/>
            <w:vAlign w:val="center"/>
          </w:tcPr>
          <w:p w14:paraId="5CDBA8EF">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①②③齐全得权重分的100%，缺①扣权重分的40%，缺②扣权重分的30%，缺③扣权重分的30%。</w:t>
            </w:r>
          </w:p>
        </w:tc>
        <w:tc>
          <w:tcPr>
            <w:tcW w:w="931" w:type="dxa"/>
            <w:vMerge w:val="continue"/>
            <w:tcBorders>
              <w:top w:val="nil"/>
              <w:left w:val="nil"/>
              <w:bottom w:val="single" w:color="auto" w:sz="8" w:space="0"/>
              <w:right w:val="single" w:color="auto" w:sz="8" w:space="0"/>
            </w:tcBorders>
            <w:noWrap w:val="0"/>
            <w:vAlign w:val="center"/>
          </w:tcPr>
          <w:p w14:paraId="393924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6B062A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40697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20706F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034D53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restart"/>
            <w:tcBorders>
              <w:top w:val="nil"/>
              <w:left w:val="nil"/>
              <w:bottom w:val="single" w:color="auto" w:sz="8" w:space="0"/>
              <w:right w:val="single" w:color="auto" w:sz="8" w:space="0"/>
            </w:tcBorders>
            <w:noWrap w:val="0"/>
            <w:vAlign w:val="center"/>
          </w:tcPr>
          <w:p w14:paraId="405ED2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绩效目标</w:t>
            </w:r>
          </w:p>
        </w:tc>
        <w:tc>
          <w:tcPr>
            <w:tcW w:w="502" w:type="dxa"/>
            <w:vMerge w:val="restart"/>
            <w:tcBorders>
              <w:top w:val="nil"/>
              <w:left w:val="nil"/>
              <w:bottom w:val="single" w:color="auto" w:sz="8" w:space="0"/>
              <w:right w:val="single" w:color="auto" w:sz="8" w:space="0"/>
            </w:tcBorders>
            <w:noWrap w:val="0"/>
            <w:vAlign w:val="center"/>
          </w:tcPr>
          <w:p w14:paraId="6D4F2E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582" w:type="dxa"/>
            <w:vMerge w:val="restart"/>
            <w:tcBorders>
              <w:top w:val="nil"/>
              <w:left w:val="nil"/>
              <w:bottom w:val="single" w:color="auto" w:sz="8" w:space="0"/>
              <w:right w:val="single" w:color="auto" w:sz="8" w:space="0"/>
            </w:tcBorders>
            <w:noWrap w:val="0"/>
            <w:vAlign w:val="center"/>
          </w:tcPr>
          <w:p w14:paraId="7DAAE7A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绩效目标合理性</w:t>
            </w:r>
          </w:p>
        </w:tc>
        <w:tc>
          <w:tcPr>
            <w:tcW w:w="502" w:type="dxa"/>
            <w:vMerge w:val="restart"/>
            <w:tcBorders>
              <w:top w:val="nil"/>
              <w:left w:val="nil"/>
              <w:bottom w:val="single" w:color="auto" w:sz="8" w:space="0"/>
              <w:right w:val="single" w:color="auto" w:sz="8" w:space="0"/>
            </w:tcBorders>
            <w:noWrap w:val="0"/>
            <w:vAlign w:val="center"/>
          </w:tcPr>
          <w:p w14:paraId="1B66FF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3262" w:type="dxa"/>
            <w:vMerge w:val="restart"/>
            <w:tcBorders>
              <w:top w:val="nil"/>
              <w:left w:val="nil"/>
              <w:bottom w:val="single" w:color="auto" w:sz="8" w:space="0"/>
              <w:right w:val="single" w:color="auto" w:sz="8" w:space="0"/>
            </w:tcBorders>
            <w:noWrap w:val="0"/>
            <w:vAlign w:val="center"/>
          </w:tcPr>
          <w:p w14:paraId="49066B13">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项目所设定的绩效目标是否依据充分，是否符合客观实际，用以反映和考核项目绩效目标与项目实施的相符情况。</w:t>
            </w:r>
          </w:p>
        </w:tc>
        <w:tc>
          <w:tcPr>
            <w:tcW w:w="915" w:type="dxa"/>
            <w:vMerge w:val="restart"/>
            <w:tcBorders>
              <w:top w:val="nil"/>
              <w:left w:val="nil"/>
              <w:bottom w:val="single" w:color="auto" w:sz="8" w:space="0"/>
              <w:right w:val="single" w:color="auto" w:sz="8" w:space="0"/>
            </w:tcBorders>
            <w:noWrap w:val="0"/>
            <w:vAlign w:val="center"/>
          </w:tcPr>
          <w:p w14:paraId="208576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合理</w:t>
            </w:r>
          </w:p>
        </w:tc>
        <w:tc>
          <w:tcPr>
            <w:tcW w:w="4009" w:type="dxa"/>
            <w:tcBorders>
              <w:top w:val="nil"/>
              <w:left w:val="nil"/>
              <w:bottom w:val="nil"/>
              <w:right w:val="single" w:color="auto" w:sz="8" w:space="0"/>
            </w:tcBorders>
            <w:noWrap w:val="0"/>
            <w:vAlign w:val="center"/>
          </w:tcPr>
          <w:p w14:paraId="4191CE46">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①项目是否有绩效目标；</w:t>
            </w:r>
          </w:p>
        </w:tc>
        <w:tc>
          <w:tcPr>
            <w:tcW w:w="931" w:type="dxa"/>
            <w:vMerge w:val="restart"/>
            <w:tcBorders>
              <w:top w:val="nil"/>
              <w:left w:val="nil"/>
              <w:bottom w:val="single" w:color="auto" w:sz="8" w:space="0"/>
              <w:right w:val="single" w:color="auto" w:sz="8" w:space="0"/>
            </w:tcBorders>
            <w:noWrap w:val="0"/>
            <w:vAlign w:val="center"/>
          </w:tcPr>
          <w:p w14:paraId="0045F99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合理</w:t>
            </w:r>
          </w:p>
        </w:tc>
        <w:tc>
          <w:tcPr>
            <w:tcW w:w="576" w:type="dxa"/>
            <w:vMerge w:val="restart"/>
            <w:tcBorders>
              <w:top w:val="nil"/>
              <w:left w:val="nil"/>
              <w:bottom w:val="single" w:color="auto" w:sz="8" w:space="0"/>
              <w:right w:val="single" w:color="auto" w:sz="8" w:space="0"/>
            </w:tcBorders>
            <w:noWrap w:val="0"/>
            <w:vAlign w:val="center"/>
          </w:tcPr>
          <w:p w14:paraId="7610D01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23779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11B77D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3B2226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73670A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364E978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25BE4BC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0AEF80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7C7E7270">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385F65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nil"/>
              <w:right w:val="single" w:color="auto" w:sz="8" w:space="0"/>
            </w:tcBorders>
            <w:noWrap w:val="0"/>
            <w:vAlign w:val="center"/>
          </w:tcPr>
          <w:p w14:paraId="7EFACCEB">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②项目绩效目标与实际工作内容是否具有相关性；</w:t>
            </w:r>
          </w:p>
        </w:tc>
        <w:tc>
          <w:tcPr>
            <w:tcW w:w="931" w:type="dxa"/>
            <w:vMerge w:val="continue"/>
            <w:tcBorders>
              <w:top w:val="nil"/>
              <w:left w:val="nil"/>
              <w:bottom w:val="single" w:color="auto" w:sz="8" w:space="0"/>
              <w:right w:val="single" w:color="auto" w:sz="8" w:space="0"/>
            </w:tcBorders>
            <w:noWrap w:val="0"/>
            <w:vAlign w:val="center"/>
          </w:tcPr>
          <w:p w14:paraId="5EE275E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3C7E4AC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6A551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550673A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69F55A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5D43A6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4E5924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76349A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1CDA1D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3AFAFBB2">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3957F99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nil"/>
              <w:right w:val="single" w:color="auto" w:sz="8" w:space="0"/>
            </w:tcBorders>
            <w:noWrap w:val="0"/>
            <w:vAlign w:val="center"/>
          </w:tcPr>
          <w:p w14:paraId="2B262507">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③项目预期产出效益和效果是否符合正常的业绩水平；</w:t>
            </w:r>
          </w:p>
        </w:tc>
        <w:tc>
          <w:tcPr>
            <w:tcW w:w="931" w:type="dxa"/>
            <w:vMerge w:val="continue"/>
            <w:tcBorders>
              <w:top w:val="nil"/>
              <w:left w:val="nil"/>
              <w:bottom w:val="single" w:color="auto" w:sz="8" w:space="0"/>
              <w:right w:val="single" w:color="auto" w:sz="8" w:space="0"/>
            </w:tcBorders>
            <w:noWrap w:val="0"/>
            <w:vAlign w:val="center"/>
          </w:tcPr>
          <w:p w14:paraId="04F9ED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6102A8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098DF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2183A6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3D3FE8A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23DE1E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778A8C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150975F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24FA14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566934C6">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5C6C7D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nil"/>
              <w:right w:val="single" w:color="auto" w:sz="8" w:space="0"/>
            </w:tcBorders>
            <w:noWrap w:val="0"/>
            <w:vAlign w:val="center"/>
          </w:tcPr>
          <w:p w14:paraId="7E737AFC">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④是否与预算确定的项目投资额或资金量相匹配。</w:t>
            </w:r>
          </w:p>
        </w:tc>
        <w:tc>
          <w:tcPr>
            <w:tcW w:w="931" w:type="dxa"/>
            <w:vMerge w:val="continue"/>
            <w:tcBorders>
              <w:top w:val="nil"/>
              <w:left w:val="nil"/>
              <w:bottom w:val="single" w:color="auto" w:sz="8" w:space="0"/>
              <w:right w:val="single" w:color="auto" w:sz="8" w:space="0"/>
            </w:tcBorders>
            <w:noWrap w:val="0"/>
            <w:vAlign w:val="center"/>
          </w:tcPr>
          <w:p w14:paraId="518928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4904FA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29E85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4E783F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5D1F637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2E2791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1FE532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4E0D37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085847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7A7969E2">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74BD5F8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single" w:color="auto" w:sz="8" w:space="0"/>
              <w:right w:val="single" w:color="auto" w:sz="8" w:space="0"/>
            </w:tcBorders>
            <w:noWrap w:val="0"/>
            <w:vAlign w:val="center"/>
          </w:tcPr>
          <w:p w14:paraId="4164A108">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以上每条要素各占权重的25%，每有一条不符合，扣除对应的权重分，扣完为止。</w:t>
            </w:r>
          </w:p>
        </w:tc>
        <w:tc>
          <w:tcPr>
            <w:tcW w:w="931" w:type="dxa"/>
            <w:vMerge w:val="continue"/>
            <w:tcBorders>
              <w:top w:val="nil"/>
              <w:left w:val="nil"/>
              <w:bottom w:val="single" w:color="auto" w:sz="8" w:space="0"/>
              <w:right w:val="single" w:color="auto" w:sz="8" w:space="0"/>
            </w:tcBorders>
            <w:noWrap w:val="0"/>
            <w:vAlign w:val="center"/>
          </w:tcPr>
          <w:p w14:paraId="537CC2E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72454D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3F806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12B885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5BEFC9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288C24F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390539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restart"/>
            <w:tcBorders>
              <w:top w:val="nil"/>
              <w:left w:val="nil"/>
              <w:bottom w:val="single" w:color="auto" w:sz="8" w:space="0"/>
              <w:right w:val="single" w:color="auto" w:sz="8" w:space="0"/>
            </w:tcBorders>
            <w:noWrap w:val="0"/>
            <w:vAlign w:val="center"/>
          </w:tcPr>
          <w:p w14:paraId="27DE489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绩效指标明确性</w:t>
            </w:r>
          </w:p>
        </w:tc>
        <w:tc>
          <w:tcPr>
            <w:tcW w:w="502" w:type="dxa"/>
            <w:vMerge w:val="restart"/>
            <w:tcBorders>
              <w:top w:val="nil"/>
              <w:left w:val="nil"/>
              <w:bottom w:val="single" w:color="auto" w:sz="8" w:space="0"/>
              <w:right w:val="single" w:color="auto" w:sz="8" w:space="0"/>
            </w:tcBorders>
            <w:noWrap w:val="0"/>
            <w:vAlign w:val="center"/>
          </w:tcPr>
          <w:p w14:paraId="4BC1FA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3262" w:type="dxa"/>
            <w:vMerge w:val="restart"/>
            <w:tcBorders>
              <w:top w:val="nil"/>
              <w:left w:val="nil"/>
              <w:bottom w:val="single" w:color="auto" w:sz="8" w:space="0"/>
              <w:right w:val="single" w:color="auto" w:sz="8" w:space="0"/>
            </w:tcBorders>
            <w:noWrap w:val="0"/>
            <w:vAlign w:val="center"/>
          </w:tcPr>
          <w:p w14:paraId="25DF53F2">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依据绩效目标设定的绩效指标是否清晰、细化、可衡量等，用以反映和考核项目绩效目标的明细化情况。</w:t>
            </w:r>
          </w:p>
        </w:tc>
        <w:tc>
          <w:tcPr>
            <w:tcW w:w="915" w:type="dxa"/>
            <w:vMerge w:val="restart"/>
            <w:tcBorders>
              <w:top w:val="nil"/>
              <w:left w:val="nil"/>
              <w:bottom w:val="single" w:color="auto" w:sz="8" w:space="0"/>
              <w:right w:val="single" w:color="auto" w:sz="8" w:space="0"/>
            </w:tcBorders>
            <w:noWrap w:val="0"/>
            <w:vAlign w:val="center"/>
          </w:tcPr>
          <w:p w14:paraId="06CD23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明确</w:t>
            </w:r>
          </w:p>
        </w:tc>
        <w:tc>
          <w:tcPr>
            <w:tcW w:w="4009" w:type="dxa"/>
            <w:tcBorders>
              <w:top w:val="nil"/>
              <w:left w:val="nil"/>
              <w:bottom w:val="nil"/>
              <w:right w:val="single" w:color="auto" w:sz="8" w:space="0"/>
            </w:tcBorders>
            <w:noWrap w:val="0"/>
            <w:vAlign w:val="center"/>
          </w:tcPr>
          <w:p w14:paraId="77B560DC">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①是否将项目绩效目标细化分解为具体的绩效指标；</w:t>
            </w:r>
          </w:p>
        </w:tc>
        <w:tc>
          <w:tcPr>
            <w:tcW w:w="931" w:type="dxa"/>
            <w:vMerge w:val="restart"/>
            <w:tcBorders>
              <w:top w:val="nil"/>
              <w:left w:val="nil"/>
              <w:bottom w:val="single" w:color="auto" w:sz="8" w:space="0"/>
              <w:right w:val="single" w:color="auto" w:sz="8" w:space="0"/>
            </w:tcBorders>
            <w:noWrap w:val="0"/>
            <w:vAlign w:val="center"/>
          </w:tcPr>
          <w:p w14:paraId="7EDD300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明确</w:t>
            </w:r>
          </w:p>
        </w:tc>
        <w:tc>
          <w:tcPr>
            <w:tcW w:w="576" w:type="dxa"/>
            <w:vMerge w:val="restart"/>
            <w:tcBorders>
              <w:top w:val="nil"/>
              <w:left w:val="nil"/>
              <w:bottom w:val="single" w:color="auto" w:sz="8" w:space="0"/>
              <w:right w:val="single" w:color="auto" w:sz="8" w:space="0"/>
            </w:tcBorders>
            <w:noWrap w:val="0"/>
            <w:vAlign w:val="center"/>
          </w:tcPr>
          <w:p w14:paraId="71503D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2AEB5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17907A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0E6E83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1F7E90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5CC11D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423E30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0E04A09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24F1859C">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0E11490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nil"/>
              <w:right w:val="single" w:color="auto" w:sz="8" w:space="0"/>
            </w:tcBorders>
            <w:noWrap w:val="0"/>
            <w:vAlign w:val="center"/>
          </w:tcPr>
          <w:p w14:paraId="7A62FCAA">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②是否通过清晰、可衡量的指标值予以体现；</w:t>
            </w:r>
          </w:p>
        </w:tc>
        <w:tc>
          <w:tcPr>
            <w:tcW w:w="931" w:type="dxa"/>
            <w:vMerge w:val="continue"/>
            <w:tcBorders>
              <w:top w:val="nil"/>
              <w:left w:val="nil"/>
              <w:bottom w:val="single" w:color="auto" w:sz="8" w:space="0"/>
              <w:right w:val="single" w:color="auto" w:sz="8" w:space="0"/>
            </w:tcBorders>
            <w:noWrap w:val="0"/>
            <w:vAlign w:val="center"/>
          </w:tcPr>
          <w:p w14:paraId="0B1E25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70B6FD9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620B6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095C030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4DBC6E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12DBD7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2291E5B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3D1BC96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1BC2F08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06D0CB20">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4E4BFC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nil"/>
              <w:right w:val="single" w:color="auto" w:sz="8" w:space="0"/>
            </w:tcBorders>
            <w:noWrap w:val="0"/>
            <w:vAlign w:val="center"/>
          </w:tcPr>
          <w:p w14:paraId="3D00A36C">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③是否与项目目标任务数或计划数相对应。</w:t>
            </w:r>
          </w:p>
        </w:tc>
        <w:tc>
          <w:tcPr>
            <w:tcW w:w="931" w:type="dxa"/>
            <w:vMerge w:val="continue"/>
            <w:tcBorders>
              <w:top w:val="nil"/>
              <w:left w:val="nil"/>
              <w:bottom w:val="single" w:color="auto" w:sz="8" w:space="0"/>
              <w:right w:val="single" w:color="auto" w:sz="8" w:space="0"/>
            </w:tcBorders>
            <w:noWrap w:val="0"/>
            <w:vAlign w:val="center"/>
          </w:tcPr>
          <w:p w14:paraId="388953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66A9E7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0B21C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6A251C8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7B82A3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516224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1A6E0EC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253BC35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78F8AA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16969D65">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6E44CFC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single" w:color="auto" w:sz="8" w:space="0"/>
              <w:right w:val="single" w:color="auto" w:sz="8" w:space="0"/>
            </w:tcBorders>
            <w:noWrap w:val="0"/>
            <w:vAlign w:val="center"/>
          </w:tcPr>
          <w:p w14:paraId="7CCBF12C">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①②③齐全得权重分的100%，缺①扣权重分的20%，缺②扣权重分的50%，缺③扣权重分的30%。</w:t>
            </w:r>
          </w:p>
        </w:tc>
        <w:tc>
          <w:tcPr>
            <w:tcW w:w="931" w:type="dxa"/>
            <w:vMerge w:val="continue"/>
            <w:tcBorders>
              <w:top w:val="nil"/>
              <w:left w:val="nil"/>
              <w:bottom w:val="single" w:color="auto" w:sz="8" w:space="0"/>
              <w:right w:val="single" w:color="auto" w:sz="8" w:space="0"/>
            </w:tcBorders>
            <w:noWrap w:val="0"/>
            <w:vAlign w:val="center"/>
          </w:tcPr>
          <w:p w14:paraId="4728B5F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5C0D3B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6F007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022508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376CEC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restart"/>
            <w:tcBorders>
              <w:top w:val="nil"/>
              <w:left w:val="nil"/>
              <w:bottom w:val="single" w:color="auto" w:sz="8" w:space="0"/>
              <w:right w:val="single" w:color="auto" w:sz="8" w:space="0"/>
            </w:tcBorders>
            <w:noWrap w:val="0"/>
            <w:vAlign w:val="center"/>
          </w:tcPr>
          <w:p w14:paraId="7BE484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资金投入</w:t>
            </w:r>
          </w:p>
        </w:tc>
        <w:tc>
          <w:tcPr>
            <w:tcW w:w="502" w:type="dxa"/>
            <w:vMerge w:val="restart"/>
            <w:tcBorders>
              <w:top w:val="nil"/>
              <w:left w:val="nil"/>
              <w:bottom w:val="single" w:color="auto" w:sz="8" w:space="0"/>
              <w:right w:val="single" w:color="auto" w:sz="8" w:space="0"/>
            </w:tcBorders>
            <w:noWrap w:val="0"/>
            <w:vAlign w:val="center"/>
          </w:tcPr>
          <w:p w14:paraId="2E2461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8</w:t>
            </w:r>
          </w:p>
        </w:tc>
        <w:tc>
          <w:tcPr>
            <w:tcW w:w="582" w:type="dxa"/>
            <w:vMerge w:val="restart"/>
            <w:tcBorders>
              <w:top w:val="nil"/>
              <w:left w:val="nil"/>
              <w:bottom w:val="single" w:color="auto" w:sz="8" w:space="0"/>
              <w:right w:val="single" w:color="auto" w:sz="8" w:space="0"/>
            </w:tcBorders>
            <w:noWrap w:val="0"/>
            <w:vAlign w:val="center"/>
          </w:tcPr>
          <w:p w14:paraId="6D46A6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预算编制科学性</w:t>
            </w:r>
          </w:p>
        </w:tc>
        <w:tc>
          <w:tcPr>
            <w:tcW w:w="502" w:type="dxa"/>
            <w:vMerge w:val="restart"/>
            <w:tcBorders>
              <w:top w:val="nil"/>
              <w:left w:val="nil"/>
              <w:bottom w:val="single" w:color="auto" w:sz="8" w:space="0"/>
              <w:right w:val="single" w:color="auto" w:sz="8" w:space="0"/>
            </w:tcBorders>
            <w:noWrap w:val="0"/>
            <w:vAlign w:val="center"/>
          </w:tcPr>
          <w:p w14:paraId="1FB41BA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c>
          <w:tcPr>
            <w:tcW w:w="3262" w:type="dxa"/>
            <w:vMerge w:val="restart"/>
            <w:tcBorders>
              <w:top w:val="nil"/>
              <w:left w:val="nil"/>
              <w:bottom w:val="single" w:color="auto" w:sz="8" w:space="0"/>
              <w:right w:val="single" w:color="auto" w:sz="8" w:space="0"/>
            </w:tcBorders>
            <w:noWrap w:val="0"/>
            <w:vAlign w:val="center"/>
          </w:tcPr>
          <w:p w14:paraId="347D8151">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915" w:type="dxa"/>
            <w:vMerge w:val="restart"/>
            <w:tcBorders>
              <w:top w:val="nil"/>
              <w:left w:val="nil"/>
              <w:bottom w:val="single" w:color="auto" w:sz="8" w:space="0"/>
              <w:right w:val="single" w:color="auto" w:sz="8" w:space="0"/>
            </w:tcBorders>
            <w:noWrap w:val="0"/>
            <w:vAlign w:val="center"/>
          </w:tcPr>
          <w:p w14:paraId="521DB64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科学</w:t>
            </w:r>
          </w:p>
        </w:tc>
        <w:tc>
          <w:tcPr>
            <w:tcW w:w="4009" w:type="dxa"/>
            <w:tcBorders>
              <w:top w:val="nil"/>
              <w:left w:val="nil"/>
              <w:bottom w:val="nil"/>
              <w:right w:val="single" w:color="auto" w:sz="8" w:space="0"/>
            </w:tcBorders>
            <w:noWrap w:val="0"/>
            <w:vAlign w:val="center"/>
          </w:tcPr>
          <w:p w14:paraId="2B35A4B7">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①预算编制是否经过科学论证；</w:t>
            </w:r>
          </w:p>
        </w:tc>
        <w:tc>
          <w:tcPr>
            <w:tcW w:w="931" w:type="dxa"/>
            <w:vMerge w:val="restart"/>
            <w:tcBorders>
              <w:top w:val="nil"/>
              <w:left w:val="nil"/>
              <w:bottom w:val="single" w:color="auto" w:sz="8" w:space="0"/>
              <w:right w:val="single" w:color="auto" w:sz="8" w:space="0"/>
            </w:tcBorders>
            <w:noWrap w:val="0"/>
            <w:vAlign w:val="center"/>
          </w:tcPr>
          <w:p w14:paraId="2F8B74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科学</w:t>
            </w:r>
          </w:p>
        </w:tc>
        <w:tc>
          <w:tcPr>
            <w:tcW w:w="576" w:type="dxa"/>
            <w:vMerge w:val="restart"/>
            <w:tcBorders>
              <w:top w:val="nil"/>
              <w:left w:val="nil"/>
              <w:bottom w:val="single" w:color="auto" w:sz="8" w:space="0"/>
              <w:right w:val="single" w:color="auto" w:sz="8" w:space="0"/>
            </w:tcBorders>
            <w:noWrap w:val="0"/>
            <w:vAlign w:val="center"/>
          </w:tcPr>
          <w:p w14:paraId="66260A4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r>
      <w:tr w14:paraId="61BD8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5AC180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1FB6BE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488B5B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4618B2D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24FF6CA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6FC439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7D3BC0A8">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60FDD6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nil"/>
              <w:right w:val="single" w:color="auto" w:sz="8" w:space="0"/>
            </w:tcBorders>
            <w:noWrap w:val="0"/>
            <w:vAlign w:val="center"/>
          </w:tcPr>
          <w:p w14:paraId="6CACC628">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②预算内容与项目内容是否匹配；</w:t>
            </w:r>
          </w:p>
        </w:tc>
        <w:tc>
          <w:tcPr>
            <w:tcW w:w="931" w:type="dxa"/>
            <w:vMerge w:val="continue"/>
            <w:tcBorders>
              <w:top w:val="nil"/>
              <w:left w:val="nil"/>
              <w:bottom w:val="single" w:color="auto" w:sz="8" w:space="0"/>
              <w:right w:val="single" w:color="auto" w:sz="8" w:space="0"/>
            </w:tcBorders>
            <w:noWrap w:val="0"/>
            <w:vAlign w:val="center"/>
          </w:tcPr>
          <w:p w14:paraId="424CEE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5A32F5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4CF36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281AF6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7ED800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66E5584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017C209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68DCA8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14FB48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062F0CCB">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7009FF6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nil"/>
              <w:right w:val="single" w:color="auto" w:sz="8" w:space="0"/>
            </w:tcBorders>
            <w:noWrap w:val="0"/>
            <w:vAlign w:val="center"/>
          </w:tcPr>
          <w:p w14:paraId="361E2F67">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③预算额度测算依据是否充分，是否按照标准编制；</w:t>
            </w:r>
          </w:p>
        </w:tc>
        <w:tc>
          <w:tcPr>
            <w:tcW w:w="931" w:type="dxa"/>
            <w:vMerge w:val="continue"/>
            <w:tcBorders>
              <w:top w:val="nil"/>
              <w:left w:val="nil"/>
              <w:bottom w:val="single" w:color="auto" w:sz="8" w:space="0"/>
              <w:right w:val="single" w:color="auto" w:sz="8" w:space="0"/>
            </w:tcBorders>
            <w:noWrap w:val="0"/>
            <w:vAlign w:val="center"/>
          </w:tcPr>
          <w:p w14:paraId="3A3EC5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4FF19F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419F6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3C7ABFB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30CFE92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47AC2E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62DD8AE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0D6E9F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07530B1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3ADF7CBD">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616B3D6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nil"/>
              <w:right w:val="single" w:color="auto" w:sz="8" w:space="0"/>
            </w:tcBorders>
            <w:noWrap w:val="0"/>
            <w:vAlign w:val="center"/>
          </w:tcPr>
          <w:p w14:paraId="211CF775">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④预算确定的项目投资额或资金量是否与工作任务相匹配。</w:t>
            </w:r>
          </w:p>
        </w:tc>
        <w:tc>
          <w:tcPr>
            <w:tcW w:w="931" w:type="dxa"/>
            <w:vMerge w:val="continue"/>
            <w:tcBorders>
              <w:top w:val="nil"/>
              <w:left w:val="nil"/>
              <w:bottom w:val="single" w:color="auto" w:sz="8" w:space="0"/>
              <w:right w:val="single" w:color="auto" w:sz="8" w:space="0"/>
            </w:tcBorders>
            <w:noWrap w:val="0"/>
            <w:vAlign w:val="center"/>
          </w:tcPr>
          <w:p w14:paraId="4CE52B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177041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22713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44A104D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7FD632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38E6C4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16521F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641174B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13169F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46D61236">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51D83D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single" w:color="auto" w:sz="8" w:space="0"/>
              <w:right w:val="single" w:color="auto" w:sz="8" w:space="0"/>
            </w:tcBorders>
            <w:noWrap w:val="0"/>
            <w:vAlign w:val="center"/>
          </w:tcPr>
          <w:p w14:paraId="2B71EF29">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以上每条要素各占权重的25%，每有一条不符合，扣除对应的权重分，扣完为止。</w:t>
            </w:r>
          </w:p>
        </w:tc>
        <w:tc>
          <w:tcPr>
            <w:tcW w:w="931" w:type="dxa"/>
            <w:vMerge w:val="continue"/>
            <w:tcBorders>
              <w:top w:val="nil"/>
              <w:left w:val="nil"/>
              <w:bottom w:val="single" w:color="auto" w:sz="8" w:space="0"/>
              <w:right w:val="single" w:color="auto" w:sz="8" w:space="0"/>
            </w:tcBorders>
            <w:noWrap w:val="0"/>
            <w:vAlign w:val="center"/>
          </w:tcPr>
          <w:p w14:paraId="2DD6AC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3C83299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23200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185B36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688A09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203BAE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69E9E3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restart"/>
            <w:tcBorders>
              <w:top w:val="nil"/>
              <w:left w:val="nil"/>
              <w:bottom w:val="single" w:color="auto" w:sz="8" w:space="0"/>
              <w:right w:val="single" w:color="auto" w:sz="8" w:space="0"/>
            </w:tcBorders>
            <w:noWrap w:val="0"/>
            <w:vAlign w:val="center"/>
          </w:tcPr>
          <w:p w14:paraId="5BE383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资金分配合理性</w:t>
            </w:r>
          </w:p>
        </w:tc>
        <w:tc>
          <w:tcPr>
            <w:tcW w:w="502" w:type="dxa"/>
            <w:vMerge w:val="restart"/>
            <w:tcBorders>
              <w:top w:val="nil"/>
              <w:left w:val="nil"/>
              <w:bottom w:val="single" w:color="auto" w:sz="8" w:space="0"/>
              <w:right w:val="single" w:color="auto" w:sz="8" w:space="0"/>
            </w:tcBorders>
            <w:noWrap w:val="0"/>
            <w:vAlign w:val="center"/>
          </w:tcPr>
          <w:p w14:paraId="582234A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c>
          <w:tcPr>
            <w:tcW w:w="3262" w:type="dxa"/>
            <w:vMerge w:val="restart"/>
            <w:tcBorders>
              <w:top w:val="nil"/>
              <w:left w:val="nil"/>
              <w:bottom w:val="single" w:color="auto" w:sz="8" w:space="0"/>
              <w:right w:val="single" w:color="auto" w:sz="8" w:space="0"/>
            </w:tcBorders>
            <w:noWrap w:val="0"/>
            <w:vAlign w:val="center"/>
          </w:tcPr>
          <w:p w14:paraId="1CA7FD26">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915" w:type="dxa"/>
            <w:vMerge w:val="restart"/>
            <w:tcBorders>
              <w:top w:val="nil"/>
              <w:left w:val="nil"/>
              <w:bottom w:val="single" w:color="auto" w:sz="8" w:space="0"/>
              <w:right w:val="single" w:color="auto" w:sz="8" w:space="0"/>
            </w:tcBorders>
            <w:noWrap w:val="0"/>
            <w:vAlign w:val="center"/>
          </w:tcPr>
          <w:p w14:paraId="658CF1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合理</w:t>
            </w:r>
          </w:p>
        </w:tc>
        <w:tc>
          <w:tcPr>
            <w:tcW w:w="4009" w:type="dxa"/>
            <w:tcBorders>
              <w:top w:val="nil"/>
              <w:left w:val="nil"/>
              <w:bottom w:val="nil"/>
              <w:right w:val="single" w:color="auto" w:sz="8" w:space="0"/>
            </w:tcBorders>
            <w:noWrap w:val="0"/>
            <w:vAlign w:val="center"/>
          </w:tcPr>
          <w:p w14:paraId="30A0B349">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①预算资金分配依据是否充分；</w:t>
            </w:r>
          </w:p>
        </w:tc>
        <w:tc>
          <w:tcPr>
            <w:tcW w:w="931" w:type="dxa"/>
            <w:vMerge w:val="restart"/>
            <w:tcBorders>
              <w:top w:val="nil"/>
              <w:left w:val="nil"/>
              <w:bottom w:val="single" w:color="auto" w:sz="8" w:space="0"/>
              <w:right w:val="single" w:color="auto" w:sz="8" w:space="0"/>
            </w:tcBorders>
            <w:noWrap w:val="0"/>
            <w:vAlign w:val="center"/>
          </w:tcPr>
          <w:p w14:paraId="57564A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合理</w:t>
            </w:r>
          </w:p>
        </w:tc>
        <w:tc>
          <w:tcPr>
            <w:tcW w:w="576" w:type="dxa"/>
            <w:vMerge w:val="restart"/>
            <w:tcBorders>
              <w:top w:val="nil"/>
              <w:left w:val="nil"/>
              <w:bottom w:val="single" w:color="auto" w:sz="8" w:space="0"/>
              <w:right w:val="single" w:color="auto" w:sz="8" w:space="0"/>
            </w:tcBorders>
            <w:noWrap w:val="0"/>
            <w:vAlign w:val="center"/>
          </w:tcPr>
          <w:p w14:paraId="2C574F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r>
      <w:tr w14:paraId="3B072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3D7E90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42AB441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34AEFB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2C126F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0093A5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7A23FF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0CA9415A">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4BB04E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nil"/>
              <w:right w:val="single" w:color="auto" w:sz="8" w:space="0"/>
            </w:tcBorders>
            <w:noWrap w:val="0"/>
            <w:vAlign w:val="center"/>
          </w:tcPr>
          <w:p w14:paraId="0616D415">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②资金分配额度是否合理，与项目单位或地方实际是否相适应。</w:t>
            </w:r>
          </w:p>
        </w:tc>
        <w:tc>
          <w:tcPr>
            <w:tcW w:w="931" w:type="dxa"/>
            <w:vMerge w:val="continue"/>
            <w:tcBorders>
              <w:top w:val="nil"/>
              <w:left w:val="nil"/>
              <w:bottom w:val="single" w:color="auto" w:sz="8" w:space="0"/>
              <w:right w:val="single" w:color="auto" w:sz="8" w:space="0"/>
            </w:tcBorders>
            <w:noWrap w:val="0"/>
            <w:vAlign w:val="center"/>
          </w:tcPr>
          <w:p w14:paraId="222DC0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4906800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5261E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472134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2BE82F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638F01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6110D2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6F04A7D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773447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7E846265">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5949D5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single" w:color="auto" w:sz="8" w:space="0"/>
              <w:right w:val="single" w:color="auto" w:sz="8" w:space="0"/>
            </w:tcBorders>
            <w:noWrap w:val="0"/>
            <w:vAlign w:val="center"/>
          </w:tcPr>
          <w:p w14:paraId="005DF31E">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以上每条要素各占权重的50%，每有一条不符合，扣除对应的权重分，扣完为止。</w:t>
            </w:r>
          </w:p>
        </w:tc>
        <w:tc>
          <w:tcPr>
            <w:tcW w:w="931" w:type="dxa"/>
            <w:vMerge w:val="continue"/>
            <w:tcBorders>
              <w:top w:val="nil"/>
              <w:left w:val="nil"/>
              <w:bottom w:val="single" w:color="auto" w:sz="8" w:space="0"/>
              <w:right w:val="single" w:color="auto" w:sz="8" w:space="0"/>
            </w:tcBorders>
            <w:noWrap w:val="0"/>
            <w:vAlign w:val="center"/>
          </w:tcPr>
          <w:p w14:paraId="35BFA6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5D5E5FB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76067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restart"/>
            <w:tcBorders>
              <w:top w:val="nil"/>
              <w:left w:val="single" w:color="auto" w:sz="8" w:space="0"/>
              <w:bottom w:val="single" w:color="auto" w:sz="8" w:space="0"/>
              <w:right w:val="single" w:color="auto" w:sz="8" w:space="0"/>
            </w:tcBorders>
            <w:noWrap w:val="0"/>
            <w:vAlign w:val="center"/>
          </w:tcPr>
          <w:p w14:paraId="547045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项目过程</w:t>
            </w:r>
          </w:p>
        </w:tc>
        <w:tc>
          <w:tcPr>
            <w:tcW w:w="668" w:type="dxa"/>
            <w:vMerge w:val="restart"/>
            <w:tcBorders>
              <w:top w:val="nil"/>
              <w:left w:val="nil"/>
              <w:bottom w:val="single" w:color="auto" w:sz="8" w:space="0"/>
              <w:right w:val="single" w:color="auto" w:sz="8" w:space="0"/>
            </w:tcBorders>
            <w:noWrap w:val="0"/>
            <w:vAlign w:val="center"/>
          </w:tcPr>
          <w:p w14:paraId="73B947C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12</w:t>
            </w:r>
          </w:p>
        </w:tc>
        <w:tc>
          <w:tcPr>
            <w:tcW w:w="697" w:type="dxa"/>
            <w:vMerge w:val="restart"/>
            <w:tcBorders>
              <w:top w:val="nil"/>
              <w:left w:val="nil"/>
              <w:bottom w:val="single" w:color="auto" w:sz="8" w:space="0"/>
              <w:right w:val="single" w:color="auto" w:sz="8" w:space="0"/>
            </w:tcBorders>
            <w:noWrap w:val="0"/>
            <w:vAlign w:val="center"/>
          </w:tcPr>
          <w:p w14:paraId="129B501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资金管理</w:t>
            </w:r>
          </w:p>
        </w:tc>
        <w:tc>
          <w:tcPr>
            <w:tcW w:w="502" w:type="dxa"/>
            <w:vMerge w:val="restart"/>
            <w:tcBorders>
              <w:top w:val="nil"/>
              <w:left w:val="nil"/>
              <w:bottom w:val="single" w:color="auto" w:sz="8" w:space="0"/>
              <w:right w:val="single" w:color="auto" w:sz="8" w:space="0"/>
            </w:tcBorders>
            <w:noWrap w:val="0"/>
            <w:vAlign w:val="center"/>
          </w:tcPr>
          <w:p w14:paraId="075A676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6</w:t>
            </w:r>
          </w:p>
        </w:tc>
        <w:tc>
          <w:tcPr>
            <w:tcW w:w="582" w:type="dxa"/>
            <w:vMerge w:val="restart"/>
            <w:tcBorders>
              <w:top w:val="nil"/>
              <w:left w:val="nil"/>
              <w:bottom w:val="single" w:color="auto" w:sz="8" w:space="0"/>
              <w:right w:val="single" w:color="auto" w:sz="8" w:space="0"/>
            </w:tcBorders>
            <w:noWrap w:val="0"/>
            <w:vAlign w:val="center"/>
          </w:tcPr>
          <w:p w14:paraId="7E08D3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资金到位率</w:t>
            </w:r>
          </w:p>
        </w:tc>
        <w:tc>
          <w:tcPr>
            <w:tcW w:w="502" w:type="dxa"/>
            <w:vMerge w:val="restart"/>
            <w:tcBorders>
              <w:top w:val="nil"/>
              <w:left w:val="nil"/>
              <w:bottom w:val="single" w:color="auto" w:sz="8" w:space="0"/>
              <w:right w:val="single" w:color="auto" w:sz="8" w:space="0"/>
            </w:tcBorders>
            <w:noWrap w:val="0"/>
            <w:vAlign w:val="center"/>
          </w:tcPr>
          <w:p w14:paraId="73148A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c>
          <w:tcPr>
            <w:tcW w:w="3262" w:type="dxa"/>
            <w:vMerge w:val="restart"/>
            <w:tcBorders>
              <w:top w:val="nil"/>
              <w:left w:val="nil"/>
              <w:bottom w:val="single" w:color="auto" w:sz="8" w:space="0"/>
              <w:right w:val="single" w:color="auto" w:sz="8" w:space="0"/>
            </w:tcBorders>
            <w:noWrap w:val="0"/>
            <w:vAlign w:val="center"/>
          </w:tcPr>
          <w:p w14:paraId="58F5A931">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实际到位资金与预算资金的比率，用以反映和考核资金落实情况对项目实施的总体保障程度。</w:t>
            </w:r>
          </w:p>
        </w:tc>
        <w:tc>
          <w:tcPr>
            <w:tcW w:w="915" w:type="dxa"/>
            <w:vMerge w:val="restart"/>
            <w:tcBorders>
              <w:top w:val="nil"/>
              <w:left w:val="nil"/>
              <w:bottom w:val="single" w:color="auto" w:sz="8" w:space="0"/>
              <w:right w:val="single" w:color="auto" w:sz="8" w:space="0"/>
            </w:tcBorders>
            <w:noWrap w:val="0"/>
            <w:vAlign w:val="center"/>
          </w:tcPr>
          <w:p w14:paraId="71CA29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4009" w:type="dxa"/>
            <w:tcBorders>
              <w:top w:val="nil"/>
              <w:left w:val="nil"/>
              <w:bottom w:val="nil"/>
              <w:right w:val="single" w:color="auto" w:sz="8" w:space="0"/>
            </w:tcBorders>
            <w:noWrap w:val="0"/>
            <w:vAlign w:val="center"/>
          </w:tcPr>
          <w:p w14:paraId="587D1B3F">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资金到位率=（实际到位资金/预算资金）×100%。</w:t>
            </w:r>
          </w:p>
        </w:tc>
        <w:tc>
          <w:tcPr>
            <w:tcW w:w="931" w:type="dxa"/>
            <w:vMerge w:val="restart"/>
            <w:tcBorders>
              <w:top w:val="nil"/>
              <w:left w:val="nil"/>
              <w:bottom w:val="single" w:color="auto" w:sz="8" w:space="0"/>
              <w:right w:val="single" w:color="auto" w:sz="8" w:space="0"/>
            </w:tcBorders>
            <w:noWrap w:val="0"/>
            <w:vAlign w:val="center"/>
          </w:tcPr>
          <w:p w14:paraId="0054ED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576" w:type="dxa"/>
            <w:vMerge w:val="restart"/>
            <w:tcBorders>
              <w:top w:val="nil"/>
              <w:left w:val="nil"/>
              <w:bottom w:val="single" w:color="auto" w:sz="8" w:space="0"/>
              <w:right w:val="single" w:color="auto" w:sz="8" w:space="0"/>
            </w:tcBorders>
            <w:noWrap w:val="0"/>
            <w:vAlign w:val="center"/>
          </w:tcPr>
          <w:p w14:paraId="1AF7586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r>
      <w:tr w14:paraId="418DF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02268E0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26DBCF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349026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67D7C5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6973657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246CA4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1F726097">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7CD6E9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single" w:color="auto" w:sz="8" w:space="0"/>
              <w:right w:val="single" w:color="auto" w:sz="8" w:space="0"/>
            </w:tcBorders>
            <w:noWrap w:val="0"/>
            <w:vAlign w:val="center"/>
          </w:tcPr>
          <w:p w14:paraId="1E5252A3">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资金到位率=100%，得权重分满分，每降低1%，扣除5%权重分，扣完为止。</w:t>
            </w:r>
          </w:p>
        </w:tc>
        <w:tc>
          <w:tcPr>
            <w:tcW w:w="931" w:type="dxa"/>
            <w:vMerge w:val="continue"/>
            <w:tcBorders>
              <w:top w:val="nil"/>
              <w:left w:val="nil"/>
              <w:bottom w:val="single" w:color="auto" w:sz="8" w:space="0"/>
              <w:right w:val="single" w:color="auto" w:sz="8" w:space="0"/>
            </w:tcBorders>
            <w:noWrap w:val="0"/>
            <w:vAlign w:val="center"/>
          </w:tcPr>
          <w:p w14:paraId="72AA128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10C1A6A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71A80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5C7E816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50E9AE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28D2D66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58BC8A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restart"/>
            <w:tcBorders>
              <w:top w:val="nil"/>
              <w:left w:val="nil"/>
              <w:bottom w:val="single" w:color="auto" w:sz="8" w:space="0"/>
              <w:right w:val="single" w:color="auto" w:sz="8" w:space="0"/>
            </w:tcBorders>
            <w:noWrap w:val="0"/>
            <w:vAlign w:val="center"/>
          </w:tcPr>
          <w:p w14:paraId="123E01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预算执行率</w:t>
            </w:r>
          </w:p>
        </w:tc>
        <w:tc>
          <w:tcPr>
            <w:tcW w:w="502" w:type="dxa"/>
            <w:vMerge w:val="restart"/>
            <w:tcBorders>
              <w:top w:val="nil"/>
              <w:left w:val="nil"/>
              <w:bottom w:val="single" w:color="auto" w:sz="8" w:space="0"/>
              <w:right w:val="single" w:color="auto" w:sz="8" w:space="0"/>
            </w:tcBorders>
            <w:noWrap w:val="0"/>
            <w:vAlign w:val="center"/>
          </w:tcPr>
          <w:p w14:paraId="5DEABC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w:t>
            </w:r>
          </w:p>
        </w:tc>
        <w:tc>
          <w:tcPr>
            <w:tcW w:w="3262" w:type="dxa"/>
            <w:vMerge w:val="restart"/>
            <w:tcBorders>
              <w:top w:val="nil"/>
              <w:left w:val="nil"/>
              <w:bottom w:val="single" w:color="auto" w:sz="8" w:space="0"/>
              <w:right w:val="single" w:color="auto" w:sz="8" w:space="0"/>
            </w:tcBorders>
            <w:noWrap w:val="0"/>
            <w:vAlign w:val="center"/>
          </w:tcPr>
          <w:p w14:paraId="1B89E2FA">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项目预算资金是否按照计划执行，用以反映或考核项目预算执行情况。</w:t>
            </w:r>
          </w:p>
        </w:tc>
        <w:tc>
          <w:tcPr>
            <w:tcW w:w="915" w:type="dxa"/>
            <w:vMerge w:val="restart"/>
            <w:tcBorders>
              <w:top w:val="nil"/>
              <w:left w:val="nil"/>
              <w:bottom w:val="single" w:color="auto" w:sz="8" w:space="0"/>
              <w:right w:val="single" w:color="auto" w:sz="8" w:space="0"/>
            </w:tcBorders>
            <w:noWrap w:val="0"/>
            <w:vAlign w:val="center"/>
          </w:tcPr>
          <w:p w14:paraId="7118428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4009" w:type="dxa"/>
            <w:tcBorders>
              <w:top w:val="nil"/>
              <w:left w:val="nil"/>
              <w:bottom w:val="nil"/>
              <w:right w:val="single" w:color="auto" w:sz="8" w:space="0"/>
            </w:tcBorders>
            <w:noWrap w:val="0"/>
            <w:vAlign w:val="center"/>
          </w:tcPr>
          <w:p w14:paraId="36E8784B">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预算执行率=（实际支出资金/实际到位资金）×100%。</w:t>
            </w:r>
          </w:p>
        </w:tc>
        <w:tc>
          <w:tcPr>
            <w:tcW w:w="931" w:type="dxa"/>
            <w:vMerge w:val="restart"/>
            <w:tcBorders>
              <w:top w:val="nil"/>
              <w:left w:val="nil"/>
              <w:bottom w:val="single" w:color="auto" w:sz="8" w:space="0"/>
              <w:right w:val="single" w:color="auto" w:sz="8" w:space="0"/>
            </w:tcBorders>
            <w:noWrap w:val="0"/>
            <w:vAlign w:val="center"/>
          </w:tcPr>
          <w:p w14:paraId="60DE916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576" w:type="dxa"/>
            <w:vMerge w:val="restart"/>
            <w:tcBorders>
              <w:top w:val="nil"/>
              <w:left w:val="nil"/>
              <w:bottom w:val="single" w:color="auto" w:sz="8" w:space="0"/>
              <w:right w:val="single" w:color="auto" w:sz="8" w:space="0"/>
            </w:tcBorders>
            <w:noWrap w:val="0"/>
            <w:vAlign w:val="center"/>
          </w:tcPr>
          <w:p w14:paraId="138788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w:t>
            </w:r>
          </w:p>
        </w:tc>
      </w:tr>
      <w:tr w14:paraId="18334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34D3C1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74E47EE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2C1718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65F8041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7FD0B8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4E367C8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490C934C">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1BBA1D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single" w:color="auto" w:sz="8" w:space="0"/>
              <w:right w:val="single" w:color="auto" w:sz="8" w:space="0"/>
            </w:tcBorders>
            <w:noWrap w:val="0"/>
            <w:vAlign w:val="center"/>
          </w:tcPr>
          <w:p w14:paraId="01155909">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预算执行率=100%，得权重分满分；若预算执行率＜100%，得分=预算执行率*分值；若执行率≤60%，则不得分。</w:t>
            </w:r>
          </w:p>
        </w:tc>
        <w:tc>
          <w:tcPr>
            <w:tcW w:w="931" w:type="dxa"/>
            <w:vMerge w:val="continue"/>
            <w:tcBorders>
              <w:top w:val="nil"/>
              <w:left w:val="nil"/>
              <w:bottom w:val="single" w:color="auto" w:sz="8" w:space="0"/>
              <w:right w:val="single" w:color="auto" w:sz="8" w:space="0"/>
            </w:tcBorders>
            <w:noWrap w:val="0"/>
            <w:vAlign w:val="center"/>
          </w:tcPr>
          <w:p w14:paraId="23D6DE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5E04B4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11D9D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18A428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3058F1D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1FF666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242761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restart"/>
            <w:tcBorders>
              <w:top w:val="nil"/>
              <w:left w:val="nil"/>
              <w:bottom w:val="single" w:color="auto" w:sz="8" w:space="0"/>
              <w:right w:val="single" w:color="auto" w:sz="8" w:space="0"/>
            </w:tcBorders>
            <w:noWrap w:val="0"/>
            <w:vAlign w:val="center"/>
          </w:tcPr>
          <w:p w14:paraId="6A43E7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资金使用合规性</w:t>
            </w:r>
          </w:p>
        </w:tc>
        <w:tc>
          <w:tcPr>
            <w:tcW w:w="502" w:type="dxa"/>
            <w:vMerge w:val="restart"/>
            <w:tcBorders>
              <w:top w:val="nil"/>
              <w:left w:val="nil"/>
              <w:bottom w:val="single" w:color="auto" w:sz="8" w:space="0"/>
              <w:right w:val="single" w:color="auto" w:sz="8" w:space="0"/>
            </w:tcBorders>
            <w:noWrap w:val="0"/>
            <w:vAlign w:val="center"/>
          </w:tcPr>
          <w:p w14:paraId="4B76473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c>
          <w:tcPr>
            <w:tcW w:w="3262" w:type="dxa"/>
            <w:vMerge w:val="restart"/>
            <w:tcBorders>
              <w:top w:val="nil"/>
              <w:left w:val="nil"/>
              <w:bottom w:val="single" w:color="auto" w:sz="8" w:space="0"/>
              <w:right w:val="single" w:color="auto" w:sz="8" w:space="0"/>
            </w:tcBorders>
            <w:noWrap w:val="0"/>
            <w:vAlign w:val="center"/>
          </w:tcPr>
          <w:p w14:paraId="3F0B6F50">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项目资金使用是否符合相关的财务管理制度规定，用以反映和考核项目资金的规范运行情况。</w:t>
            </w:r>
          </w:p>
        </w:tc>
        <w:tc>
          <w:tcPr>
            <w:tcW w:w="915" w:type="dxa"/>
            <w:vMerge w:val="restart"/>
            <w:tcBorders>
              <w:top w:val="nil"/>
              <w:left w:val="nil"/>
              <w:bottom w:val="single" w:color="auto" w:sz="8" w:space="0"/>
              <w:right w:val="single" w:color="auto" w:sz="8" w:space="0"/>
            </w:tcBorders>
            <w:noWrap w:val="0"/>
            <w:vAlign w:val="center"/>
          </w:tcPr>
          <w:p w14:paraId="105943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合规</w:t>
            </w:r>
          </w:p>
        </w:tc>
        <w:tc>
          <w:tcPr>
            <w:tcW w:w="4009" w:type="dxa"/>
            <w:tcBorders>
              <w:top w:val="nil"/>
              <w:left w:val="nil"/>
              <w:bottom w:val="nil"/>
              <w:right w:val="single" w:color="auto" w:sz="8" w:space="0"/>
            </w:tcBorders>
            <w:noWrap w:val="0"/>
            <w:vAlign w:val="center"/>
          </w:tcPr>
          <w:p w14:paraId="1259B577">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①否符合国家财经法规和财务管理制度以及有关专项资金管理办法的规定；</w:t>
            </w:r>
          </w:p>
        </w:tc>
        <w:tc>
          <w:tcPr>
            <w:tcW w:w="931" w:type="dxa"/>
            <w:vMerge w:val="restart"/>
            <w:tcBorders>
              <w:top w:val="nil"/>
              <w:left w:val="nil"/>
              <w:bottom w:val="single" w:color="auto" w:sz="8" w:space="0"/>
              <w:right w:val="single" w:color="auto" w:sz="8" w:space="0"/>
            </w:tcBorders>
            <w:noWrap w:val="0"/>
            <w:vAlign w:val="center"/>
          </w:tcPr>
          <w:p w14:paraId="238EA1B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合规</w:t>
            </w:r>
          </w:p>
        </w:tc>
        <w:tc>
          <w:tcPr>
            <w:tcW w:w="576" w:type="dxa"/>
            <w:vMerge w:val="restart"/>
            <w:tcBorders>
              <w:top w:val="nil"/>
              <w:left w:val="nil"/>
              <w:bottom w:val="single" w:color="auto" w:sz="8" w:space="0"/>
              <w:right w:val="single" w:color="auto" w:sz="8" w:space="0"/>
            </w:tcBorders>
            <w:noWrap w:val="0"/>
            <w:vAlign w:val="center"/>
          </w:tcPr>
          <w:p w14:paraId="49A0DB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34333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28D48D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6BF5D6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182DB3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28DB63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41B2B3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6B459A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755B9BAA">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501D31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nil"/>
              <w:right w:val="single" w:color="auto" w:sz="8" w:space="0"/>
            </w:tcBorders>
            <w:noWrap w:val="0"/>
            <w:vAlign w:val="center"/>
          </w:tcPr>
          <w:p w14:paraId="386131A2">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②资金的拨付是否有完整的审批程序和手续；</w:t>
            </w:r>
          </w:p>
        </w:tc>
        <w:tc>
          <w:tcPr>
            <w:tcW w:w="931" w:type="dxa"/>
            <w:vMerge w:val="continue"/>
            <w:tcBorders>
              <w:top w:val="nil"/>
              <w:left w:val="nil"/>
              <w:bottom w:val="single" w:color="auto" w:sz="8" w:space="0"/>
              <w:right w:val="single" w:color="auto" w:sz="8" w:space="0"/>
            </w:tcBorders>
            <w:noWrap w:val="0"/>
            <w:vAlign w:val="center"/>
          </w:tcPr>
          <w:p w14:paraId="3968866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706DEF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7402D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7F1602C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37DC20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5161CC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35932F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229258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1FE3FB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66F251DC">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1451E9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nil"/>
              <w:right w:val="single" w:color="auto" w:sz="8" w:space="0"/>
            </w:tcBorders>
            <w:noWrap w:val="0"/>
            <w:vAlign w:val="center"/>
          </w:tcPr>
          <w:p w14:paraId="7D0DF22F">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③是否符合项目预算批复或合同规定的用途；</w:t>
            </w:r>
          </w:p>
        </w:tc>
        <w:tc>
          <w:tcPr>
            <w:tcW w:w="931" w:type="dxa"/>
            <w:vMerge w:val="continue"/>
            <w:tcBorders>
              <w:top w:val="nil"/>
              <w:left w:val="nil"/>
              <w:bottom w:val="single" w:color="auto" w:sz="8" w:space="0"/>
              <w:right w:val="single" w:color="auto" w:sz="8" w:space="0"/>
            </w:tcBorders>
            <w:noWrap w:val="0"/>
            <w:vAlign w:val="center"/>
          </w:tcPr>
          <w:p w14:paraId="2CFA5E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6A021C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4EDBB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735DD9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6DE2C46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7A4C06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013CF33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2D5D24E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17E180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0CAD96F0">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1EE7E5E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nil"/>
              <w:right w:val="single" w:color="auto" w:sz="8" w:space="0"/>
            </w:tcBorders>
            <w:noWrap w:val="0"/>
            <w:vAlign w:val="center"/>
          </w:tcPr>
          <w:p w14:paraId="6615ACB8">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④是否存在截留、挤占、挪用、虚列支出等情况。</w:t>
            </w:r>
          </w:p>
        </w:tc>
        <w:tc>
          <w:tcPr>
            <w:tcW w:w="931" w:type="dxa"/>
            <w:vMerge w:val="continue"/>
            <w:tcBorders>
              <w:top w:val="nil"/>
              <w:left w:val="nil"/>
              <w:bottom w:val="single" w:color="auto" w:sz="8" w:space="0"/>
              <w:right w:val="single" w:color="auto" w:sz="8" w:space="0"/>
            </w:tcBorders>
            <w:noWrap w:val="0"/>
            <w:vAlign w:val="center"/>
          </w:tcPr>
          <w:p w14:paraId="1D30795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346099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3C628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733A73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01EB30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0972577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12432F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2C543F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6482F2E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79F8E720">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7825E4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single" w:color="auto" w:sz="8" w:space="0"/>
              <w:right w:val="single" w:color="auto" w:sz="8" w:space="0"/>
            </w:tcBorders>
            <w:noWrap w:val="0"/>
            <w:vAlign w:val="center"/>
          </w:tcPr>
          <w:p w14:paraId="095332D7">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以上每条指标各占权重分的25%，要素①②不符合，扣除对应权重分；要素③④不符合属于重大违纪，该指标不得分。</w:t>
            </w:r>
          </w:p>
        </w:tc>
        <w:tc>
          <w:tcPr>
            <w:tcW w:w="931" w:type="dxa"/>
            <w:vMerge w:val="continue"/>
            <w:tcBorders>
              <w:top w:val="nil"/>
              <w:left w:val="nil"/>
              <w:bottom w:val="single" w:color="auto" w:sz="8" w:space="0"/>
              <w:right w:val="single" w:color="auto" w:sz="8" w:space="0"/>
            </w:tcBorders>
            <w:noWrap w:val="0"/>
            <w:vAlign w:val="center"/>
          </w:tcPr>
          <w:p w14:paraId="31502D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08BD46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7BB56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37C875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29F090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restart"/>
            <w:tcBorders>
              <w:top w:val="nil"/>
              <w:left w:val="nil"/>
              <w:bottom w:val="single" w:color="auto" w:sz="8" w:space="0"/>
              <w:right w:val="single" w:color="auto" w:sz="8" w:space="0"/>
            </w:tcBorders>
            <w:noWrap w:val="0"/>
            <w:vAlign w:val="center"/>
          </w:tcPr>
          <w:p w14:paraId="1ADB62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组织实施</w:t>
            </w:r>
          </w:p>
        </w:tc>
        <w:tc>
          <w:tcPr>
            <w:tcW w:w="502" w:type="dxa"/>
            <w:vMerge w:val="restart"/>
            <w:tcBorders>
              <w:top w:val="nil"/>
              <w:left w:val="nil"/>
              <w:bottom w:val="single" w:color="auto" w:sz="8" w:space="0"/>
              <w:right w:val="single" w:color="auto" w:sz="8" w:space="0"/>
            </w:tcBorders>
            <w:noWrap w:val="0"/>
            <w:vAlign w:val="center"/>
          </w:tcPr>
          <w:p w14:paraId="01C7781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582" w:type="dxa"/>
            <w:vMerge w:val="restart"/>
            <w:tcBorders>
              <w:top w:val="nil"/>
              <w:left w:val="nil"/>
              <w:bottom w:val="single" w:color="auto" w:sz="8" w:space="0"/>
              <w:right w:val="single" w:color="auto" w:sz="8" w:space="0"/>
            </w:tcBorders>
            <w:noWrap w:val="0"/>
            <w:vAlign w:val="center"/>
          </w:tcPr>
          <w:p w14:paraId="47A43A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管理制度健全性</w:t>
            </w:r>
          </w:p>
        </w:tc>
        <w:tc>
          <w:tcPr>
            <w:tcW w:w="502" w:type="dxa"/>
            <w:vMerge w:val="restart"/>
            <w:tcBorders>
              <w:top w:val="nil"/>
              <w:left w:val="nil"/>
              <w:bottom w:val="single" w:color="auto" w:sz="8" w:space="0"/>
              <w:right w:val="single" w:color="auto" w:sz="8" w:space="0"/>
            </w:tcBorders>
            <w:noWrap w:val="0"/>
            <w:vAlign w:val="center"/>
          </w:tcPr>
          <w:p w14:paraId="30C711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c>
          <w:tcPr>
            <w:tcW w:w="3262" w:type="dxa"/>
            <w:vMerge w:val="restart"/>
            <w:tcBorders>
              <w:top w:val="nil"/>
              <w:left w:val="nil"/>
              <w:bottom w:val="single" w:color="auto" w:sz="8" w:space="0"/>
              <w:right w:val="single" w:color="auto" w:sz="8" w:space="0"/>
            </w:tcBorders>
            <w:noWrap w:val="0"/>
            <w:vAlign w:val="center"/>
          </w:tcPr>
          <w:p w14:paraId="07734A2A">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项目实施单位的财务和业务管理制度是否健全，用以反映和考核财务和业务管理制度对项目顺利实施的保障情况。</w:t>
            </w:r>
          </w:p>
        </w:tc>
        <w:tc>
          <w:tcPr>
            <w:tcW w:w="915" w:type="dxa"/>
            <w:vMerge w:val="restart"/>
            <w:tcBorders>
              <w:top w:val="nil"/>
              <w:left w:val="nil"/>
              <w:bottom w:val="single" w:color="auto" w:sz="8" w:space="0"/>
              <w:right w:val="single" w:color="auto" w:sz="8" w:space="0"/>
            </w:tcBorders>
            <w:noWrap w:val="0"/>
            <w:vAlign w:val="center"/>
          </w:tcPr>
          <w:p w14:paraId="351D46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健全</w:t>
            </w:r>
          </w:p>
        </w:tc>
        <w:tc>
          <w:tcPr>
            <w:tcW w:w="4009" w:type="dxa"/>
            <w:tcBorders>
              <w:top w:val="nil"/>
              <w:left w:val="nil"/>
              <w:bottom w:val="nil"/>
              <w:right w:val="single" w:color="auto" w:sz="8" w:space="0"/>
            </w:tcBorders>
            <w:noWrap w:val="0"/>
            <w:vAlign w:val="center"/>
          </w:tcPr>
          <w:p w14:paraId="0DFA4CA3">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①是否已制定或具有相应的财务和业务管理制度；</w:t>
            </w:r>
          </w:p>
        </w:tc>
        <w:tc>
          <w:tcPr>
            <w:tcW w:w="931" w:type="dxa"/>
            <w:vMerge w:val="restart"/>
            <w:tcBorders>
              <w:top w:val="nil"/>
              <w:left w:val="nil"/>
              <w:bottom w:val="single" w:color="auto" w:sz="8" w:space="0"/>
              <w:right w:val="single" w:color="auto" w:sz="8" w:space="0"/>
            </w:tcBorders>
            <w:noWrap w:val="0"/>
            <w:vAlign w:val="center"/>
          </w:tcPr>
          <w:p w14:paraId="0F36B0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健全</w:t>
            </w:r>
          </w:p>
        </w:tc>
        <w:tc>
          <w:tcPr>
            <w:tcW w:w="576" w:type="dxa"/>
            <w:vMerge w:val="restart"/>
            <w:tcBorders>
              <w:top w:val="nil"/>
              <w:left w:val="nil"/>
              <w:bottom w:val="single" w:color="auto" w:sz="8" w:space="0"/>
              <w:right w:val="single" w:color="auto" w:sz="8" w:space="0"/>
            </w:tcBorders>
            <w:noWrap w:val="0"/>
            <w:vAlign w:val="center"/>
          </w:tcPr>
          <w:p w14:paraId="737AD9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796D9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6C27325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6488D1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7C306A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2D82A5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5D46EA5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17CCB0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38B788F6">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765564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nil"/>
              <w:right w:val="single" w:color="auto" w:sz="8" w:space="0"/>
            </w:tcBorders>
            <w:noWrap w:val="0"/>
            <w:vAlign w:val="center"/>
          </w:tcPr>
          <w:p w14:paraId="2DC1E8C7">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②财务和业务管理制度是否合法、合规、完整。</w:t>
            </w:r>
          </w:p>
        </w:tc>
        <w:tc>
          <w:tcPr>
            <w:tcW w:w="931" w:type="dxa"/>
            <w:vMerge w:val="continue"/>
            <w:tcBorders>
              <w:top w:val="nil"/>
              <w:left w:val="nil"/>
              <w:bottom w:val="single" w:color="auto" w:sz="8" w:space="0"/>
              <w:right w:val="single" w:color="auto" w:sz="8" w:space="0"/>
            </w:tcBorders>
            <w:noWrap w:val="0"/>
            <w:vAlign w:val="center"/>
          </w:tcPr>
          <w:p w14:paraId="71DFDC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27E775D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7280F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4D73F9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4CA3BA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079BB76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31F962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024226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3A7DC7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4C762E33">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1CCBE1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single" w:color="auto" w:sz="8" w:space="0"/>
              <w:right w:val="single" w:color="auto" w:sz="8" w:space="0"/>
            </w:tcBorders>
            <w:noWrap w:val="0"/>
            <w:vAlign w:val="center"/>
          </w:tcPr>
          <w:p w14:paraId="6F1AF8D0">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以上每条要素各占权重的50%，每有一条不符合，扣除对应的权重分，扣完为止。</w:t>
            </w:r>
          </w:p>
        </w:tc>
        <w:tc>
          <w:tcPr>
            <w:tcW w:w="931" w:type="dxa"/>
            <w:vMerge w:val="continue"/>
            <w:tcBorders>
              <w:top w:val="nil"/>
              <w:left w:val="nil"/>
              <w:bottom w:val="single" w:color="auto" w:sz="8" w:space="0"/>
              <w:right w:val="single" w:color="auto" w:sz="8" w:space="0"/>
            </w:tcBorders>
            <w:noWrap w:val="0"/>
            <w:vAlign w:val="center"/>
          </w:tcPr>
          <w:p w14:paraId="691648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319E6F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654B0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6909A6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0D4D89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69FB9E7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7CCC5FD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restart"/>
            <w:tcBorders>
              <w:top w:val="nil"/>
              <w:left w:val="nil"/>
              <w:bottom w:val="single" w:color="auto" w:sz="8" w:space="0"/>
              <w:right w:val="single" w:color="auto" w:sz="8" w:space="0"/>
            </w:tcBorders>
            <w:noWrap w:val="0"/>
            <w:vAlign w:val="center"/>
          </w:tcPr>
          <w:p w14:paraId="25C25E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制度执行有效性</w:t>
            </w:r>
          </w:p>
        </w:tc>
        <w:tc>
          <w:tcPr>
            <w:tcW w:w="502" w:type="dxa"/>
            <w:vMerge w:val="restart"/>
            <w:tcBorders>
              <w:top w:val="nil"/>
              <w:left w:val="nil"/>
              <w:bottom w:val="single" w:color="auto" w:sz="8" w:space="0"/>
              <w:right w:val="single" w:color="auto" w:sz="8" w:space="0"/>
            </w:tcBorders>
            <w:noWrap w:val="0"/>
            <w:vAlign w:val="center"/>
          </w:tcPr>
          <w:p w14:paraId="3500127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c>
          <w:tcPr>
            <w:tcW w:w="3262" w:type="dxa"/>
            <w:vMerge w:val="restart"/>
            <w:tcBorders>
              <w:top w:val="nil"/>
              <w:left w:val="nil"/>
              <w:bottom w:val="single" w:color="auto" w:sz="8" w:space="0"/>
              <w:right w:val="single" w:color="auto" w:sz="8" w:space="0"/>
            </w:tcBorders>
            <w:noWrap w:val="0"/>
            <w:vAlign w:val="center"/>
          </w:tcPr>
          <w:p w14:paraId="7640345D">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项目实施是否符合相关管理规定，用以反映和考核相关管理制度的有效执行情况。</w:t>
            </w:r>
          </w:p>
        </w:tc>
        <w:tc>
          <w:tcPr>
            <w:tcW w:w="915" w:type="dxa"/>
            <w:vMerge w:val="restart"/>
            <w:tcBorders>
              <w:top w:val="nil"/>
              <w:left w:val="nil"/>
              <w:bottom w:val="single" w:color="auto" w:sz="8" w:space="0"/>
              <w:right w:val="single" w:color="auto" w:sz="8" w:space="0"/>
            </w:tcBorders>
            <w:noWrap w:val="0"/>
            <w:vAlign w:val="center"/>
          </w:tcPr>
          <w:p w14:paraId="020EF7D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w:t>
            </w:r>
          </w:p>
        </w:tc>
        <w:tc>
          <w:tcPr>
            <w:tcW w:w="4009" w:type="dxa"/>
            <w:tcBorders>
              <w:top w:val="nil"/>
              <w:left w:val="nil"/>
              <w:bottom w:val="nil"/>
              <w:right w:val="single" w:color="auto" w:sz="8" w:space="0"/>
            </w:tcBorders>
            <w:noWrap w:val="0"/>
            <w:vAlign w:val="center"/>
          </w:tcPr>
          <w:p w14:paraId="7DE0B1D7">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①否遵守相关法律法规和相关管理规定；</w:t>
            </w:r>
          </w:p>
        </w:tc>
        <w:tc>
          <w:tcPr>
            <w:tcW w:w="931" w:type="dxa"/>
            <w:vMerge w:val="restart"/>
            <w:tcBorders>
              <w:top w:val="nil"/>
              <w:left w:val="nil"/>
              <w:bottom w:val="single" w:color="auto" w:sz="8" w:space="0"/>
              <w:right w:val="single" w:color="auto" w:sz="8" w:space="0"/>
            </w:tcBorders>
            <w:noWrap w:val="0"/>
            <w:vAlign w:val="center"/>
          </w:tcPr>
          <w:p w14:paraId="7A5A03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w:t>
            </w:r>
          </w:p>
        </w:tc>
        <w:tc>
          <w:tcPr>
            <w:tcW w:w="576" w:type="dxa"/>
            <w:vMerge w:val="restart"/>
            <w:tcBorders>
              <w:top w:val="nil"/>
              <w:left w:val="nil"/>
              <w:bottom w:val="single" w:color="auto" w:sz="8" w:space="0"/>
              <w:right w:val="single" w:color="auto" w:sz="8" w:space="0"/>
            </w:tcBorders>
            <w:noWrap w:val="0"/>
            <w:vAlign w:val="center"/>
          </w:tcPr>
          <w:p w14:paraId="166A21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6B027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304283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7BE061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5C0A944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4A8FF9D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0D8E42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4DA498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4FA0797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6F94A56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nil"/>
              <w:right w:val="single" w:color="auto" w:sz="8" w:space="0"/>
            </w:tcBorders>
            <w:noWrap w:val="0"/>
            <w:vAlign w:val="center"/>
          </w:tcPr>
          <w:p w14:paraId="0A550E34">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②项目调整及支出调整手续是否完备；</w:t>
            </w:r>
          </w:p>
        </w:tc>
        <w:tc>
          <w:tcPr>
            <w:tcW w:w="931" w:type="dxa"/>
            <w:vMerge w:val="continue"/>
            <w:tcBorders>
              <w:top w:val="nil"/>
              <w:left w:val="nil"/>
              <w:bottom w:val="single" w:color="auto" w:sz="8" w:space="0"/>
              <w:right w:val="single" w:color="auto" w:sz="8" w:space="0"/>
            </w:tcBorders>
            <w:noWrap w:val="0"/>
            <w:vAlign w:val="center"/>
          </w:tcPr>
          <w:p w14:paraId="4199E7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65312B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50440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5BAF36F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780B80D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1EF86A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3EA9D7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7B9CAE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71671AA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0B6083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4EBF80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nil"/>
              <w:right w:val="single" w:color="auto" w:sz="8" w:space="0"/>
            </w:tcBorders>
            <w:noWrap w:val="0"/>
            <w:vAlign w:val="center"/>
          </w:tcPr>
          <w:p w14:paraId="0724BADF">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③项目资料是否齐全并及时归档。</w:t>
            </w:r>
          </w:p>
        </w:tc>
        <w:tc>
          <w:tcPr>
            <w:tcW w:w="931" w:type="dxa"/>
            <w:vMerge w:val="continue"/>
            <w:tcBorders>
              <w:top w:val="nil"/>
              <w:left w:val="nil"/>
              <w:bottom w:val="single" w:color="auto" w:sz="8" w:space="0"/>
              <w:right w:val="single" w:color="auto" w:sz="8" w:space="0"/>
            </w:tcBorders>
            <w:noWrap w:val="0"/>
            <w:vAlign w:val="center"/>
          </w:tcPr>
          <w:p w14:paraId="67D098F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354C7B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4C355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537E09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315758B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55EF76E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182FECC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4B8BF8A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1EE1165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262" w:type="dxa"/>
            <w:vMerge w:val="continue"/>
            <w:tcBorders>
              <w:top w:val="nil"/>
              <w:left w:val="nil"/>
              <w:bottom w:val="single" w:color="auto" w:sz="8" w:space="0"/>
              <w:right w:val="single" w:color="auto" w:sz="8" w:space="0"/>
            </w:tcBorders>
            <w:noWrap w:val="0"/>
            <w:vAlign w:val="center"/>
          </w:tcPr>
          <w:p w14:paraId="4F48B5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915" w:type="dxa"/>
            <w:vMerge w:val="continue"/>
            <w:tcBorders>
              <w:top w:val="nil"/>
              <w:left w:val="nil"/>
              <w:bottom w:val="single" w:color="auto" w:sz="8" w:space="0"/>
              <w:right w:val="single" w:color="auto" w:sz="8" w:space="0"/>
            </w:tcBorders>
            <w:noWrap w:val="0"/>
            <w:vAlign w:val="center"/>
          </w:tcPr>
          <w:p w14:paraId="580727E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009" w:type="dxa"/>
            <w:tcBorders>
              <w:top w:val="nil"/>
              <w:left w:val="nil"/>
              <w:bottom w:val="nil"/>
              <w:right w:val="single" w:color="auto" w:sz="8" w:space="0"/>
            </w:tcBorders>
            <w:noWrap w:val="0"/>
            <w:vAlign w:val="center"/>
          </w:tcPr>
          <w:p w14:paraId="1C2CEC5E">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①②③齐全得权重分的100%，缺①扣权重分的30%，缺②扣权重分的40%，缺③扣权重分的30%。</w:t>
            </w:r>
          </w:p>
        </w:tc>
        <w:tc>
          <w:tcPr>
            <w:tcW w:w="931" w:type="dxa"/>
            <w:vMerge w:val="continue"/>
            <w:tcBorders>
              <w:top w:val="nil"/>
              <w:left w:val="nil"/>
              <w:bottom w:val="single" w:color="auto" w:sz="8" w:space="0"/>
              <w:right w:val="single" w:color="auto" w:sz="8" w:space="0"/>
            </w:tcBorders>
            <w:noWrap w:val="0"/>
            <w:vAlign w:val="center"/>
          </w:tcPr>
          <w:p w14:paraId="486190E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vMerge w:val="continue"/>
            <w:tcBorders>
              <w:top w:val="nil"/>
              <w:left w:val="nil"/>
              <w:bottom w:val="single" w:color="auto" w:sz="8" w:space="0"/>
              <w:right w:val="single" w:color="auto" w:sz="8" w:space="0"/>
            </w:tcBorders>
            <w:noWrap w:val="0"/>
            <w:vAlign w:val="center"/>
          </w:tcPr>
          <w:p w14:paraId="3DCC76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r>
      <w:tr w14:paraId="1B903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restart"/>
            <w:tcBorders>
              <w:top w:val="nil"/>
              <w:left w:val="single" w:color="auto" w:sz="8" w:space="0"/>
              <w:bottom w:val="single" w:color="auto" w:sz="8" w:space="0"/>
              <w:right w:val="single" w:color="auto" w:sz="8" w:space="0"/>
            </w:tcBorders>
            <w:noWrap w:val="0"/>
            <w:vAlign w:val="center"/>
          </w:tcPr>
          <w:p w14:paraId="3A09B27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项目产出</w:t>
            </w:r>
          </w:p>
        </w:tc>
        <w:tc>
          <w:tcPr>
            <w:tcW w:w="668" w:type="dxa"/>
            <w:vMerge w:val="restart"/>
            <w:tcBorders>
              <w:top w:val="nil"/>
              <w:left w:val="nil"/>
              <w:bottom w:val="single" w:color="auto" w:sz="8" w:space="0"/>
              <w:right w:val="single" w:color="auto" w:sz="8" w:space="0"/>
            </w:tcBorders>
            <w:noWrap w:val="0"/>
            <w:vAlign w:val="center"/>
          </w:tcPr>
          <w:p w14:paraId="605002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40</w:t>
            </w:r>
          </w:p>
        </w:tc>
        <w:tc>
          <w:tcPr>
            <w:tcW w:w="697" w:type="dxa"/>
            <w:vMerge w:val="restart"/>
            <w:tcBorders>
              <w:top w:val="nil"/>
              <w:left w:val="nil"/>
              <w:bottom w:val="single" w:color="auto" w:sz="8" w:space="0"/>
              <w:right w:val="single" w:color="auto" w:sz="8" w:space="0"/>
            </w:tcBorders>
            <w:noWrap w:val="0"/>
            <w:vAlign w:val="center"/>
          </w:tcPr>
          <w:p w14:paraId="2B7B08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产出数量</w:t>
            </w:r>
          </w:p>
        </w:tc>
        <w:tc>
          <w:tcPr>
            <w:tcW w:w="502" w:type="dxa"/>
            <w:vMerge w:val="restart"/>
            <w:tcBorders>
              <w:top w:val="nil"/>
              <w:left w:val="nil"/>
              <w:bottom w:val="single" w:color="auto" w:sz="8" w:space="0"/>
              <w:right w:val="single" w:color="auto" w:sz="8" w:space="0"/>
            </w:tcBorders>
            <w:noWrap w:val="0"/>
            <w:vAlign w:val="center"/>
          </w:tcPr>
          <w:p w14:paraId="1F4D05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582" w:type="dxa"/>
            <w:vMerge w:val="restart"/>
            <w:tcBorders>
              <w:top w:val="nil"/>
              <w:left w:val="nil"/>
              <w:bottom w:val="single" w:color="auto" w:sz="8" w:space="0"/>
              <w:right w:val="single" w:color="auto" w:sz="8" w:space="0"/>
            </w:tcBorders>
            <w:noWrap w:val="0"/>
            <w:vAlign w:val="center"/>
          </w:tcPr>
          <w:p w14:paraId="19BDDDA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实际完成率</w:t>
            </w:r>
          </w:p>
        </w:tc>
        <w:tc>
          <w:tcPr>
            <w:tcW w:w="502" w:type="dxa"/>
            <w:tcBorders>
              <w:top w:val="nil"/>
              <w:left w:val="nil"/>
              <w:bottom w:val="single" w:color="auto" w:sz="8" w:space="0"/>
              <w:right w:val="single" w:color="auto" w:sz="8" w:space="0"/>
            </w:tcBorders>
            <w:noWrap w:val="0"/>
            <w:vAlign w:val="center"/>
          </w:tcPr>
          <w:p w14:paraId="147F333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3262" w:type="dxa"/>
            <w:tcBorders>
              <w:top w:val="single" w:color="auto" w:sz="4" w:space="0"/>
              <w:left w:val="single" w:color="auto" w:sz="4" w:space="0"/>
              <w:bottom w:val="single" w:color="auto" w:sz="4" w:space="0"/>
              <w:right w:val="nil"/>
            </w:tcBorders>
            <w:noWrap/>
            <w:vAlign w:val="center"/>
          </w:tcPr>
          <w:p w14:paraId="4ED76E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涉及补助村数量</w:t>
            </w:r>
          </w:p>
        </w:tc>
        <w:tc>
          <w:tcPr>
            <w:tcW w:w="915" w:type="dxa"/>
            <w:tcBorders>
              <w:top w:val="single" w:color="auto" w:sz="4" w:space="0"/>
              <w:left w:val="single" w:color="auto" w:sz="4" w:space="0"/>
              <w:bottom w:val="single" w:color="auto" w:sz="4" w:space="0"/>
              <w:right w:val="single" w:color="auto" w:sz="4" w:space="0"/>
            </w:tcBorders>
            <w:noWrap w:val="0"/>
            <w:vAlign w:val="center"/>
          </w:tcPr>
          <w:p w14:paraId="7796F66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≥1个</w:t>
            </w:r>
          </w:p>
        </w:tc>
        <w:tc>
          <w:tcPr>
            <w:tcW w:w="4009" w:type="dxa"/>
            <w:vMerge w:val="restart"/>
            <w:tcBorders>
              <w:top w:val="single" w:color="auto" w:sz="4" w:space="0"/>
              <w:left w:val="single" w:color="auto" w:sz="4" w:space="0"/>
              <w:bottom w:val="single" w:color="auto" w:sz="4" w:space="0"/>
              <w:right w:val="nil"/>
            </w:tcBorders>
            <w:noWrap w:val="0"/>
            <w:vAlign w:val="center"/>
          </w:tcPr>
          <w:p w14:paraId="40649F53">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实际完成率=（实际完成/预期完成）×100%。①实际完成率≥100%，且偏离程度＜20%，得满分；②实际完成率≥100%，偏离程度≥20%，得0分；③实际完成率×100%＜100%，得分=实际完成率×指标分值。</w:t>
            </w:r>
          </w:p>
        </w:tc>
        <w:tc>
          <w:tcPr>
            <w:tcW w:w="931" w:type="dxa"/>
            <w:tcBorders>
              <w:top w:val="single" w:color="auto" w:sz="4" w:space="0"/>
              <w:left w:val="single" w:color="auto" w:sz="4" w:space="0"/>
              <w:bottom w:val="single" w:color="auto" w:sz="4" w:space="0"/>
              <w:right w:val="single" w:color="auto" w:sz="4" w:space="0"/>
            </w:tcBorders>
            <w:noWrap w:val="0"/>
            <w:vAlign w:val="center"/>
          </w:tcPr>
          <w:p w14:paraId="4773794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1个</w:t>
            </w:r>
          </w:p>
        </w:tc>
        <w:tc>
          <w:tcPr>
            <w:tcW w:w="576" w:type="dxa"/>
            <w:tcBorders>
              <w:top w:val="single" w:color="auto" w:sz="4" w:space="0"/>
              <w:left w:val="single" w:color="auto" w:sz="4" w:space="0"/>
              <w:bottom w:val="single" w:color="auto" w:sz="4" w:space="0"/>
              <w:right w:val="single" w:color="auto" w:sz="4" w:space="0"/>
            </w:tcBorders>
            <w:noWrap w:val="0"/>
            <w:vAlign w:val="center"/>
          </w:tcPr>
          <w:p w14:paraId="44F34C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r>
      <w:tr w14:paraId="337B4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3E6666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2B977CC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66335CD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6AE505C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321DD2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tcBorders>
              <w:top w:val="nil"/>
              <w:left w:val="nil"/>
              <w:bottom w:val="single" w:color="auto" w:sz="8" w:space="0"/>
              <w:right w:val="single" w:color="auto" w:sz="8" w:space="0"/>
            </w:tcBorders>
            <w:noWrap w:val="0"/>
            <w:vAlign w:val="center"/>
          </w:tcPr>
          <w:p w14:paraId="1FC9D39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3262" w:type="dxa"/>
            <w:tcBorders>
              <w:top w:val="single" w:color="auto" w:sz="4" w:space="0"/>
              <w:left w:val="single" w:color="auto" w:sz="4" w:space="0"/>
              <w:bottom w:val="single" w:color="auto" w:sz="4" w:space="0"/>
              <w:right w:val="nil"/>
            </w:tcBorders>
            <w:noWrap/>
            <w:vAlign w:val="center"/>
          </w:tcPr>
          <w:p w14:paraId="47D90B8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涉及补助耕地亩数</w:t>
            </w:r>
          </w:p>
        </w:tc>
        <w:tc>
          <w:tcPr>
            <w:tcW w:w="915" w:type="dxa"/>
            <w:tcBorders>
              <w:top w:val="single" w:color="auto" w:sz="4" w:space="0"/>
              <w:left w:val="single" w:color="auto" w:sz="4" w:space="0"/>
              <w:bottom w:val="single" w:color="auto" w:sz="4" w:space="0"/>
              <w:right w:val="single" w:color="auto" w:sz="4" w:space="0"/>
            </w:tcBorders>
            <w:noWrap w:val="0"/>
            <w:vAlign w:val="center"/>
          </w:tcPr>
          <w:p w14:paraId="26EB4AD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≥1336.50亩</w:t>
            </w:r>
          </w:p>
        </w:tc>
        <w:tc>
          <w:tcPr>
            <w:tcW w:w="4009" w:type="dxa"/>
            <w:vMerge w:val="continue"/>
            <w:tcBorders>
              <w:top w:val="single" w:color="auto" w:sz="4" w:space="0"/>
              <w:left w:val="single" w:color="auto" w:sz="4" w:space="0"/>
              <w:bottom w:val="single" w:color="auto" w:sz="4" w:space="0"/>
              <w:right w:val="nil"/>
            </w:tcBorders>
            <w:noWrap w:val="0"/>
            <w:vAlign w:val="center"/>
          </w:tcPr>
          <w:p w14:paraId="1042B9CB">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31" w:type="dxa"/>
            <w:tcBorders>
              <w:top w:val="single" w:color="auto" w:sz="4" w:space="0"/>
              <w:left w:val="single" w:color="auto" w:sz="4" w:space="0"/>
              <w:bottom w:val="single" w:color="auto" w:sz="4" w:space="0"/>
              <w:right w:val="single" w:color="auto" w:sz="4" w:space="0"/>
            </w:tcBorders>
            <w:noWrap w:val="0"/>
            <w:vAlign w:val="center"/>
          </w:tcPr>
          <w:p w14:paraId="7E21E5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1336.5亩</w:t>
            </w:r>
          </w:p>
        </w:tc>
        <w:tc>
          <w:tcPr>
            <w:tcW w:w="576" w:type="dxa"/>
            <w:tcBorders>
              <w:top w:val="nil"/>
              <w:left w:val="nil"/>
              <w:bottom w:val="single" w:color="auto" w:sz="8" w:space="0"/>
              <w:right w:val="single" w:color="auto" w:sz="8" w:space="0"/>
            </w:tcBorders>
            <w:noWrap w:val="0"/>
            <w:vAlign w:val="center"/>
          </w:tcPr>
          <w:p w14:paraId="690839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r>
      <w:tr w14:paraId="25366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7A652A8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3A199A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restart"/>
            <w:tcBorders>
              <w:top w:val="nil"/>
              <w:left w:val="nil"/>
              <w:bottom w:val="single" w:color="auto" w:sz="8" w:space="0"/>
              <w:right w:val="single" w:color="auto" w:sz="8" w:space="0"/>
            </w:tcBorders>
            <w:noWrap w:val="0"/>
            <w:vAlign w:val="center"/>
          </w:tcPr>
          <w:p w14:paraId="3070B0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产出质量</w:t>
            </w:r>
          </w:p>
        </w:tc>
        <w:tc>
          <w:tcPr>
            <w:tcW w:w="502" w:type="dxa"/>
            <w:vMerge w:val="restart"/>
            <w:tcBorders>
              <w:top w:val="nil"/>
              <w:left w:val="nil"/>
              <w:bottom w:val="single" w:color="auto" w:sz="8" w:space="0"/>
              <w:right w:val="single" w:color="auto" w:sz="8" w:space="0"/>
            </w:tcBorders>
            <w:noWrap w:val="0"/>
            <w:vAlign w:val="center"/>
          </w:tcPr>
          <w:p w14:paraId="41A845D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582" w:type="dxa"/>
            <w:vMerge w:val="restart"/>
            <w:tcBorders>
              <w:top w:val="nil"/>
              <w:left w:val="nil"/>
              <w:bottom w:val="single" w:color="auto" w:sz="8" w:space="0"/>
              <w:right w:val="single" w:color="auto" w:sz="8" w:space="0"/>
            </w:tcBorders>
            <w:noWrap w:val="0"/>
            <w:vAlign w:val="center"/>
          </w:tcPr>
          <w:p w14:paraId="40F2702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质量达标率</w:t>
            </w:r>
          </w:p>
        </w:tc>
        <w:tc>
          <w:tcPr>
            <w:tcW w:w="502" w:type="dxa"/>
            <w:tcBorders>
              <w:top w:val="nil"/>
              <w:left w:val="nil"/>
              <w:bottom w:val="single" w:color="auto" w:sz="8" w:space="0"/>
              <w:right w:val="single" w:color="auto" w:sz="8" w:space="0"/>
            </w:tcBorders>
            <w:noWrap w:val="0"/>
            <w:vAlign w:val="center"/>
          </w:tcPr>
          <w:p w14:paraId="319BB6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3262" w:type="dxa"/>
            <w:tcBorders>
              <w:top w:val="nil"/>
              <w:left w:val="nil"/>
              <w:bottom w:val="single" w:color="auto" w:sz="8" w:space="0"/>
              <w:right w:val="single" w:color="auto" w:sz="8" w:space="0"/>
            </w:tcBorders>
            <w:noWrap w:val="0"/>
            <w:vAlign w:val="center"/>
          </w:tcPr>
          <w:p w14:paraId="730D135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资金使用合规率</w:t>
            </w:r>
          </w:p>
        </w:tc>
        <w:tc>
          <w:tcPr>
            <w:tcW w:w="915" w:type="dxa"/>
            <w:tcBorders>
              <w:top w:val="single" w:color="auto" w:sz="4" w:space="0"/>
              <w:left w:val="single" w:color="auto" w:sz="4" w:space="0"/>
              <w:bottom w:val="single" w:color="auto" w:sz="4" w:space="0"/>
              <w:right w:val="nil"/>
            </w:tcBorders>
            <w:noWrap w:val="0"/>
            <w:vAlign w:val="center"/>
          </w:tcPr>
          <w:p w14:paraId="7D4675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4009" w:type="dxa"/>
            <w:vMerge w:val="restart"/>
            <w:tcBorders>
              <w:top w:val="single" w:color="auto" w:sz="4" w:space="0"/>
              <w:left w:val="single" w:color="auto" w:sz="4" w:space="0"/>
              <w:bottom w:val="single" w:color="auto" w:sz="4" w:space="0"/>
              <w:right w:val="single" w:color="auto" w:sz="4" w:space="0"/>
            </w:tcBorders>
            <w:noWrap w:val="0"/>
            <w:vAlign w:val="center"/>
          </w:tcPr>
          <w:p w14:paraId="3D2B35BE">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若指标达到标杆值，则得100%权重分；否则，得分=（实际完成/预期完成）×100%×指标分值。若指标完成值达到标杆值，则得100%权重分；否则，不得分。</w:t>
            </w:r>
          </w:p>
        </w:tc>
        <w:tc>
          <w:tcPr>
            <w:tcW w:w="931" w:type="dxa"/>
            <w:tcBorders>
              <w:top w:val="single" w:color="auto" w:sz="4" w:space="0"/>
              <w:left w:val="nil"/>
              <w:bottom w:val="single" w:color="auto" w:sz="4" w:space="0"/>
              <w:right w:val="single" w:color="auto" w:sz="4" w:space="0"/>
            </w:tcBorders>
            <w:noWrap w:val="0"/>
            <w:vAlign w:val="center"/>
          </w:tcPr>
          <w:p w14:paraId="73B8FB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576" w:type="dxa"/>
            <w:tcBorders>
              <w:top w:val="nil"/>
              <w:left w:val="nil"/>
              <w:bottom w:val="single" w:color="auto" w:sz="8" w:space="0"/>
              <w:right w:val="single" w:color="auto" w:sz="8" w:space="0"/>
            </w:tcBorders>
            <w:noWrap w:val="0"/>
            <w:vAlign w:val="center"/>
          </w:tcPr>
          <w:p w14:paraId="67CD27B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r>
      <w:tr w14:paraId="331D5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42A016A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34F039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2A1935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57ECDFE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454363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tcBorders>
              <w:top w:val="nil"/>
              <w:left w:val="nil"/>
              <w:bottom w:val="single" w:color="auto" w:sz="8" w:space="0"/>
              <w:right w:val="single" w:color="auto" w:sz="8" w:space="0"/>
            </w:tcBorders>
            <w:noWrap w:val="0"/>
            <w:vAlign w:val="center"/>
          </w:tcPr>
          <w:p w14:paraId="68A11B6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3262" w:type="dxa"/>
            <w:tcBorders>
              <w:top w:val="nil"/>
              <w:left w:val="nil"/>
              <w:bottom w:val="nil"/>
              <w:right w:val="single" w:color="auto" w:sz="8" w:space="0"/>
            </w:tcBorders>
            <w:noWrap w:val="0"/>
            <w:vAlign w:val="center"/>
          </w:tcPr>
          <w:p w14:paraId="49EBD2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补助发放覆盖率</w:t>
            </w:r>
          </w:p>
        </w:tc>
        <w:tc>
          <w:tcPr>
            <w:tcW w:w="915" w:type="dxa"/>
            <w:tcBorders>
              <w:top w:val="single" w:color="auto" w:sz="4" w:space="0"/>
              <w:left w:val="single" w:color="auto" w:sz="4" w:space="0"/>
              <w:bottom w:val="single" w:color="auto" w:sz="4" w:space="0"/>
              <w:right w:val="nil"/>
            </w:tcBorders>
            <w:noWrap w:val="0"/>
            <w:vAlign w:val="center"/>
          </w:tcPr>
          <w:p w14:paraId="4448E6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4009" w:type="dxa"/>
            <w:vMerge w:val="continue"/>
            <w:tcBorders>
              <w:top w:val="single" w:color="auto" w:sz="4" w:space="0"/>
              <w:left w:val="single" w:color="auto" w:sz="4" w:space="0"/>
              <w:bottom w:val="single" w:color="auto" w:sz="4" w:space="0"/>
              <w:right w:val="single" w:color="auto" w:sz="4" w:space="0"/>
            </w:tcBorders>
            <w:noWrap w:val="0"/>
            <w:vAlign w:val="center"/>
          </w:tcPr>
          <w:p w14:paraId="30473C88">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931" w:type="dxa"/>
            <w:tcBorders>
              <w:top w:val="single" w:color="auto" w:sz="4" w:space="0"/>
              <w:left w:val="nil"/>
              <w:bottom w:val="single" w:color="auto" w:sz="4" w:space="0"/>
              <w:right w:val="single" w:color="auto" w:sz="4" w:space="0"/>
            </w:tcBorders>
            <w:noWrap w:val="0"/>
            <w:vAlign w:val="center"/>
          </w:tcPr>
          <w:p w14:paraId="70C29FB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576" w:type="dxa"/>
            <w:tcBorders>
              <w:top w:val="nil"/>
              <w:left w:val="nil"/>
              <w:bottom w:val="single" w:color="auto" w:sz="8" w:space="0"/>
              <w:right w:val="single" w:color="auto" w:sz="8" w:space="0"/>
            </w:tcBorders>
            <w:noWrap w:val="0"/>
            <w:vAlign w:val="center"/>
          </w:tcPr>
          <w:p w14:paraId="192E5D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r>
      <w:tr w14:paraId="54660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1719CD4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775C61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restart"/>
            <w:tcBorders>
              <w:top w:val="nil"/>
              <w:left w:val="nil"/>
              <w:bottom w:val="single" w:color="auto" w:sz="8" w:space="0"/>
              <w:right w:val="single" w:color="auto" w:sz="8" w:space="0"/>
            </w:tcBorders>
            <w:noWrap w:val="0"/>
            <w:vAlign w:val="center"/>
          </w:tcPr>
          <w:p w14:paraId="3DED267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产出时效</w:t>
            </w:r>
          </w:p>
        </w:tc>
        <w:tc>
          <w:tcPr>
            <w:tcW w:w="502" w:type="dxa"/>
            <w:vMerge w:val="restart"/>
            <w:tcBorders>
              <w:top w:val="nil"/>
              <w:left w:val="nil"/>
              <w:bottom w:val="single" w:color="auto" w:sz="8" w:space="0"/>
              <w:right w:val="single" w:color="auto" w:sz="8" w:space="0"/>
            </w:tcBorders>
            <w:noWrap w:val="0"/>
            <w:vAlign w:val="center"/>
          </w:tcPr>
          <w:p w14:paraId="3E3272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582" w:type="dxa"/>
            <w:vMerge w:val="restart"/>
            <w:tcBorders>
              <w:top w:val="nil"/>
              <w:left w:val="nil"/>
              <w:bottom w:val="single" w:color="auto" w:sz="8" w:space="0"/>
              <w:right w:val="single" w:color="auto" w:sz="8" w:space="0"/>
            </w:tcBorders>
            <w:noWrap w:val="0"/>
            <w:vAlign w:val="center"/>
          </w:tcPr>
          <w:p w14:paraId="101A7EE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完成及时率</w:t>
            </w:r>
          </w:p>
        </w:tc>
        <w:tc>
          <w:tcPr>
            <w:tcW w:w="502" w:type="dxa"/>
            <w:tcBorders>
              <w:top w:val="nil"/>
              <w:left w:val="nil"/>
              <w:bottom w:val="single" w:color="auto" w:sz="8" w:space="0"/>
              <w:right w:val="single" w:color="auto" w:sz="8" w:space="0"/>
            </w:tcBorders>
            <w:noWrap w:val="0"/>
            <w:vAlign w:val="center"/>
          </w:tcPr>
          <w:p w14:paraId="6C4B50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3262" w:type="dxa"/>
            <w:tcBorders>
              <w:top w:val="single" w:color="auto" w:sz="8" w:space="0"/>
              <w:left w:val="single" w:color="auto" w:sz="8" w:space="0"/>
              <w:bottom w:val="nil"/>
              <w:right w:val="single" w:color="auto" w:sz="8" w:space="0"/>
            </w:tcBorders>
            <w:noWrap w:val="0"/>
            <w:vAlign w:val="center"/>
          </w:tcPr>
          <w:p w14:paraId="0020289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项目完成时间</w:t>
            </w:r>
          </w:p>
        </w:tc>
        <w:tc>
          <w:tcPr>
            <w:tcW w:w="915" w:type="dxa"/>
            <w:tcBorders>
              <w:top w:val="single" w:color="auto" w:sz="4" w:space="0"/>
              <w:left w:val="single" w:color="auto" w:sz="4" w:space="0"/>
              <w:bottom w:val="single" w:color="auto" w:sz="4" w:space="0"/>
              <w:right w:val="single" w:color="auto" w:sz="4" w:space="0"/>
            </w:tcBorders>
            <w:noWrap w:val="0"/>
            <w:vAlign w:val="center"/>
          </w:tcPr>
          <w:p w14:paraId="1AABD7A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2024年12月</w:t>
            </w:r>
          </w:p>
        </w:tc>
        <w:tc>
          <w:tcPr>
            <w:tcW w:w="4009" w:type="dxa"/>
            <w:tcBorders>
              <w:top w:val="nil"/>
              <w:left w:val="nil"/>
              <w:bottom w:val="nil"/>
              <w:right w:val="single" w:color="auto" w:sz="8" w:space="0"/>
            </w:tcBorders>
            <w:noWrap w:val="0"/>
            <w:vAlign w:val="center"/>
          </w:tcPr>
          <w:p w14:paraId="372DA75E">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若指标完成值达到标杆值，则得100%权重分；否则，得分=（实际完成/预期完成）×100%×指标分值。</w:t>
            </w:r>
          </w:p>
        </w:tc>
        <w:tc>
          <w:tcPr>
            <w:tcW w:w="931" w:type="dxa"/>
            <w:tcBorders>
              <w:top w:val="single" w:color="auto" w:sz="4" w:space="0"/>
              <w:left w:val="single" w:color="auto" w:sz="4" w:space="0"/>
              <w:bottom w:val="single" w:color="auto" w:sz="4" w:space="0"/>
              <w:right w:val="single" w:color="auto" w:sz="4" w:space="0"/>
            </w:tcBorders>
            <w:noWrap w:val="0"/>
            <w:vAlign w:val="center"/>
          </w:tcPr>
          <w:p w14:paraId="1AE9654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2024年12月</w:t>
            </w:r>
          </w:p>
        </w:tc>
        <w:tc>
          <w:tcPr>
            <w:tcW w:w="576" w:type="dxa"/>
            <w:tcBorders>
              <w:top w:val="nil"/>
              <w:left w:val="nil"/>
              <w:bottom w:val="single" w:color="auto" w:sz="8" w:space="0"/>
              <w:right w:val="single" w:color="auto" w:sz="8" w:space="0"/>
            </w:tcBorders>
            <w:noWrap w:val="0"/>
            <w:vAlign w:val="center"/>
          </w:tcPr>
          <w:p w14:paraId="45F04C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r>
      <w:tr w14:paraId="03ABA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472308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1B41B8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5C7C4B6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7D9054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vMerge w:val="continue"/>
            <w:tcBorders>
              <w:top w:val="nil"/>
              <w:left w:val="nil"/>
              <w:bottom w:val="single" w:color="auto" w:sz="8" w:space="0"/>
              <w:right w:val="single" w:color="auto" w:sz="8" w:space="0"/>
            </w:tcBorders>
            <w:noWrap w:val="0"/>
            <w:vAlign w:val="center"/>
          </w:tcPr>
          <w:p w14:paraId="02371D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tcBorders>
              <w:top w:val="nil"/>
              <w:left w:val="nil"/>
              <w:bottom w:val="single" w:color="auto" w:sz="8" w:space="0"/>
              <w:right w:val="nil"/>
            </w:tcBorders>
            <w:noWrap w:val="0"/>
            <w:vAlign w:val="center"/>
          </w:tcPr>
          <w:p w14:paraId="2F242D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3262" w:type="dxa"/>
            <w:tcBorders>
              <w:top w:val="single" w:color="auto" w:sz="4" w:space="0"/>
              <w:left w:val="single" w:color="auto" w:sz="4" w:space="0"/>
              <w:bottom w:val="single" w:color="auto" w:sz="4" w:space="0"/>
              <w:right w:val="single" w:color="auto" w:sz="4" w:space="0"/>
            </w:tcBorders>
            <w:noWrap/>
            <w:vAlign w:val="center"/>
          </w:tcPr>
          <w:p w14:paraId="5DA93CD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资金拨付及时率</w:t>
            </w:r>
          </w:p>
        </w:tc>
        <w:tc>
          <w:tcPr>
            <w:tcW w:w="915" w:type="dxa"/>
            <w:tcBorders>
              <w:top w:val="single" w:color="auto" w:sz="4" w:space="0"/>
              <w:left w:val="single" w:color="auto" w:sz="4" w:space="0"/>
              <w:bottom w:val="single" w:color="auto" w:sz="4" w:space="0"/>
              <w:right w:val="single" w:color="auto" w:sz="4" w:space="0"/>
            </w:tcBorders>
            <w:noWrap w:val="0"/>
            <w:vAlign w:val="center"/>
          </w:tcPr>
          <w:p w14:paraId="20C9560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4009" w:type="dxa"/>
            <w:tcBorders>
              <w:top w:val="nil"/>
              <w:left w:val="nil"/>
              <w:bottom w:val="nil"/>
              <w:right w:val="single" w:color="auto" w:sz="8" w:space="0"/>
            </w:tcBorders>
            <w:noWrap w:val="0"/>
            <w:vAlign w:val="center"/>
          </w:tcPr>
          <w:p w14:paraId="7BEE54D6">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若在规定时间内完成，得100%权重分；若未在规定的时间内完成，得分=（1-未在规定时间内完成工作数/实际完成工作总数）×分值。</w:t>
            </w:r>
          </w:p>
        </w:tc>
        <w:tc>
          <w:tcPr>
            <w:tcW w:w="931" w:type="dxa"/>
            <w:tcBorders>
              <w:top w:val="single" w:color="auto" w:sz="4" w:space="0"/>
              <w:left w:val="single" w:color="auto" w:sz="4" w:space="0"/>
              <w:bottom w:val="single" w:color="auto" w:sz="4" w:space="0"/>
              <w:right w:val="single" w:color="auto" w:sz="4" w:space="0"/>
            </w:tcBorders>
            <w:noWrap w:val="0"/>
            <w:vAlign w:val="center"/>
          </w:tcPr>
          <w:p w14:paraId="6A4B3E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576" w:type="dxa"/>
            <w:tcBorders>
              <w:top w:val="nil"/>
              <w:left w:val="nil"/>
              <w:bottom w:val="single" w:color="auto" w:sz="8" w:space="0"/>
              <w:right w:val="single" w:color="auto" w:sz="8" w:space="0"/>
            </w:tcBorders>
            <w:noWrap w:val="0"/>
            <w:vAlign w:val="center"/>
          </w:tcPr>
          <w:p w14:paraId="3139C0A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r>
      <w:tr w14:paraId="2B8C4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263C9F7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41BA99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tcBorders>
              <w:top w:val="nil"/>
              <w:left w:val="nil"/>
              <w:bottom w:val="single" w:color="auto" w:sz="8" w:space="0"/>
              <w:right w:val="single" w:color="auto" w:sz="8" w:space="0"/>
            </w:tcBorders>
            <w:noWrap w:val="0"/>
            <w:vAlign w:val="center"/>
          </w:tcPr>
          <w:p w14:paraId="4C6ECC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产出成本</w:t>
            </w:r>
          </w:p>
        </w:tc>
        <w:tc>
          <w:tcPr>
            <w:tcW w:w="502" w:type="dxa"/>
            <w:tcBorders>
              <w:top w:val="nil"/>
              <w:left w:val="nil"/>
              <w:bottom w:val="single" w:color="auto" w:sz="8" w:space="0"/>
              <w:right w:val="single" w:color="auto" w:sz="8" w:space="0"/>
            </w:tcBorders>
            <w:noWrap w:val="0"/>
            <w:vAlign w:val="center"/>
          </w:tcPr>
          <w:p w14:paraId="0D35D2A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582" w:type="dxa"/>
            <w:tcBorders>
              <w:top w:val="nil"/>
              <w:left w:val="nil"/>
              <w:bottom w:val="single" w:color="auto" w:sz="8" w:space="0"/>
              <w:right w:val="single" w:color="auto" w:sz="8" w:space="0"/>
            </w:tcBorders>
            <w:noWrap w:val="0"/>
            <w:vAlign w:val="center"/>
          </w:tcPr>
          <w:p w14:paraId="5B0E380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成本节约率</w:t>
            </w:r>
          </w:p>
        </w:tc>
        <w:tc>
          <w:tcPr>
            <w:tcW w:w="502" w:type="dxa"/>
            <w:tcBorders>
              <w:top w:val="nil"/>
              <w:left w:val="nil"/>
              <w:bottom w:val="single" w:color="auto" w:sz="8" w:space="0"/>
              <w:right w:val="single" w:color="auto" w:sz="8" w:space="0"/>
            </w:tcBorders>
            <w:noWrap w:val="0"/>
            <w:vAlign w:val="center"/>
          </w:tcPr>
          <w:p w14:paraId="4360C9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3262" w:type="dxa"/>
            <w:tcBorders>
              <w:top w:val="nil"/>
              <w:left w:val="single" w:color="auto" w:sz="8" w:space="0"/>
              <w:bottom w:val="single" w:color="auto" w:sz="8" w:space="0"/>
              <w:right w:val="single" w:color="auto" w:sz="8" w:space="0"/>
            </w:tcBorders>
            <w:noWrap w:val="0"/>
            <w:vAlign w:val="center"/>
          </w:tcPr>
          <w:p w14:paraId="64D7588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项目补助资金</w:t>
            </w:r>
          </w:p>
        </w:tc>
        <w:tc>
          <w:tcPr>
            <w:tcW w:w="915" w:type="dxa"/>
            <w:tcBorders>
              <w:top w:val="single" w:color="auto" w:sz="4" w:space="0"/>
              <w:left w:val="single" w:color="auto" w:sz="4" w:space="0"/>
              <w:bottom w:val="single" w:color="auto" w:sz="4" w:space="0"/>
              <w:right w:val="single" w:color="auto" w:sz="4" w:space="0"/>
            </w:tcBorders>
            <w:noWrap w:val="0"/>
            <w:vAlign w:val="center"/>
          </w:tcPr>
          <w:p w14:paraId="00BBED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&lt;=12万元</w:t>
            </w:r>
          </w:p>
        </w:tc>
        <w:tc>
          <w:tcPr>
            <w:tcW w:w="4009" w:type="dxa"/>
            <w:tcBorders>
              <w:top w:val="single" w:color="auto" w:sz="8" w:space="0"/>
              <w:left w:val="nil"/>
              <w:bottom w:val="nil"/>
              <w:right w:val="single" w:color="auto" w:sz="8" w:space="0"/>
            </w:tcBorders>
            <w:noWrap w:val="0"/>
            <w:vAlign w:val="center"/>
          </w:tcPr>
          <w:p w14:paraId="68C18877">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实际完成率=（实际支付资金数/计划应支付资金数）×100%。①实际完成率＞年度指标值，得0得分；②实际完成率≤年度指标值，且偏离程度＜20%，得满分；③实际完成率＜年度指标值，且偏离程度≥20%，得分=实际完成率×分值。</w:t>
            </w:r>
          </w:p>
        </w:tc>
        <w:tc>
          <w:tcPr>
            <w:tcW w:w="931" w:type="dxa"/>
            <w:tcBorders>
              <w:top w:val="single" w:color="auto" w:sz="4" w:space="0"/>
              <w:left w:val="single" w:color="auto" w:sz="4" w:space="0"/>
              <w:bottom w:val="single" w:color="auto" w:sz="4" w:space="0"/>
              <w:right w:val="single" w:color="auto" w:sz="4" w:space="0"/>
            </w:tcBorders>
            <w:noWrap w:val="0"/>
            <w:vAlign w:val="center"/>
          </w:tcPr>
          <w:p w14:paraId="4DCE6F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12万元</w:t>
            </w:r>
          </w:p>
        </w:tc>
        <w:tc>
          <w:tcPr>
            <w:tcW w:w="576" w:type="dxa"/>
            <w:tcBorders>
              <w:top w:val="nil"/>
              <w:left w:val="nil"/>
              <w:bottom w:val="single" w:color="auto" w:sz="8" w:space="0"/>
              <w:right w:val="single" w:color="auto" w:sz="8" w:space="0"/>
            </w:tcBorders>
            <w:noWrap w:val="0"/>
            <w:vAlign w:val="center"/>
          </w:tcPr>
          <w:p w14:paraId="7CE425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r>
      <w:tr w14:paraId="05831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restart"/>
            <w:tcBorders>
              <w:top w:val="nil"/>
              <w:left w:val="single" w:color="auto" w:sz="8" w:space="0"/>
              <w:bottom w:val="single" w:color="auto" w:sz="8" w:space="0"/>
              <w:right w:val="single" w:color="auto" w:sz="8" w:space="0"/>
            </w:tcBorders>
            <w:noWrap w:val="0"/>
            <w:vAlign w:val="center"/>
          </w:tcPr>
          <w:p w14:paraId="709895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项目效益</w:t>
            </w:r>
          </w:p>
        </w:tc>
        <w:tc>
          <w:tcPr>
            <w:tcW w:w="668" w:type="dxa"/>
            <w:vMerge w:val="restart"/>
            <w:tcBorders>
              <w:top w:val="nil"/>
              <w:left w:val="nil"/>
              <w:bottom w:val="single" w:color="auto" w:sz="8" w:space="0"/>
              <w:right w:val="single" w:color="auto" w:sz="8" w:space="0"/>
            </w:tcBorders>
            <w:noWrap w:val="0"/>
            <w:vAlign w:val="center"/>
          </w:tcPr>
          <w:p w14:paraId="431BD96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25</w:t>
            </w:r>
          </w:p>
        </w:tc>
        <w:tc>
          <w:tcPr>
            <w:tcW w:w="697" w:type="dxa"/>
            <w:vMerge w:val="restart"/>
            <w:tcBorders>
              <w:top w:val="nil"/>
              <w:left w:val="nil"/>
              <w:bottom w:val="single" w:color="auto" w:sz="8" w:space="0"/>
              <w:right w:val="single" w:color="auto" w:sz="8" w:space="0"/>
            </w:tcBorders>
            <w:noWrap w:val="0"/>
            <w:vAlign w:val="center"/>
          </w:tcPr>
          <w:p w14:paraId="50D98E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项目效益</w:t>
            </w:r>
          </w:p>
        </w:tc>
        <w:tc>
          <w:tcPr>
            <w:tcW w:w="502" w:type="dxa"/>
            <w:vMerge w:val="restart"/>
            <w:tcBorders>
              <w:top w:val="nil"/>
              <w:left w:val="nil"/>
              <w:bottom w:val="single" w:color="auto" w:sz="8" w:space="0"/>
              <w:right w:val="single" w:color="auto" w:sz="8" w:space="0"/>
            </w:tcBorders>
            <w:noWrap w:val="0"/>
            <w:vAlign w:val="center"/>
          </w:tcPr>
          <w:p w14:paraId="0DB745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25</w:t>
            </w:r>
          </w:p>
        </w:tc>
        <w:tc>
          <w:tcPr>
            <w:tcW w:w="582" w:type="dxa"/>
            <w:tcBorders>
              <w:top w:val="nil"/>
              <w:left w:val="nil"/>
              <w:bottom w:val="single" w:color="auto" w:sz="8" w:space="0"/>
              <w:right w:val="single" w:color="auto" w:sz="8" w:space="0"/>
            </w:tcBorders>
            <w:noWrap w:val="0"/>
            <w:vAlign w:val="center"/>
          </w:tcPr>
          <w:p w14:paraId="68BC5F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w:t>
            </w:r>
          </w:p>
        </w:tc>
        <w:tc>
          <w:tcPr>
            <w:tcW w:w="502" w:type="dxa"/>
            <w:tcBorders>
              <w:top w:val="nil"/>
              <w:left w:val="nil"/>
              <w:bottom w:val="single" w:color="auto" w:sz="8" w:space="0"/>
              <w:right w:val="single" w:color="auto" w:sz="8" w:space="0"/>
            </w:tcBorders>
            <w:noWrap w:val="0"/>
            <w:vAlign w:val="center"/>
          </w:tcPr>
          <w:p w14:paraId="2AFBFA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lang w:val="en-US" w:eastAsia="zh-CN"/>
              </w:rPr>
              <w:t>15</w:t>
            </w:r>
          </w:p>
        </w:tc>
        <w:tc>
          <w:tcPr>
            <w:tcW w:w="3262" w:type="dxa"/>
            <w:tcBorders>
              <w:top w:val="single" w:color="auto" w:sz="8" w:space="0"/>
              <w:left w:val="single" w:color="auto" w:sz="8" w:space="0"/>
              <w:bottom w:val="single" w:color="auto" w:sz="8" w:space="0"/>
              <w:right w:val="single" w:color="auto" w:sz="8" w:space="0"/>
            </w:tcBorders>
            <w:noWrap w:val="0"/>
            <w:vAlign w:val="center"/>
          </w:tcPr>
          <w:p w14:paraId="09EB04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促进农业绿色化发展、资源持续可利用</w:t>
            </w:r>
          </w:p>
        </w:tc>
        <w:tc>
          <w:tcPr>
            <w:tcW w:w="915" w:type="dxa"/>
            <w:tcBorders>
              <w:top w:val="single" w:color="auto" w:sz="8" w:space="0"/>
              <w:left w:val="nil"/>
              <w:bottom w:val="single" w:color="auto" w:sz="8" w:space="0"/>
              <w:right w:val="single" w:color="auto" w:sz="8" w:space="0"/>
            </w:tcBorders>
            <w:noWrap w:val="0"/>
            <w:vAlign w:val="center"/>
          </w:tcPr>
          <w:p w14:paraId="0284010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有效促进</w:t>
            </w:r>
          </w:p>
        </w:tc>
        <w:tc>
          <w:tcPr>
            <w:tcW w:w="4009" w:type="dxa"/>
            <w:tcBorders>
              <w:top w:val="nil"/>
              <w:left w:val="nil"/>
              <w:bottom w:val="single" w:color="auto" w:sz="8" w:space="0"/>
              <w:right w:val="single" w:color="auto" w:sz="8" w:space="0"/>
            </w:tcBorders>
            <w:noWrap w:val="0"/>
            <w:vAlign w:val="center"/>
          </w:tcPr>
          <w:p w14:paraId="630B0637">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按评判等级赋分。分为基本达成目标、部分实现目标、实现目标程度较低三个档次，并分别按照该指标对应分值区间100%-80%（含）、80%-60%（含）、60%-0%合理确定分值。</w:t>
            </w:r>
          </w:p>
        </w:tc>
        <w:tc>
          <w:tcPr>
            <w:tcW w:w="931" w:type="dxa"/>
            <w:tcBorders>
              <w:top w:val="single" w:color="auto" w:sz="4" w:space="0"/>
              <w:left w:val="single" w:color="auto" w:sz="4" w:space="0"/>
              <w:bottom w:val="single" w:color="auto" w:sz="4" w:space="0"/>
              <w:right w:val="single" w:color="auto" w:sz="4" w:space="0"/>
            </w:tcBorders>
            <w:noWrap w:val="0"/>
            <w:vAlign w:val="center"/>
          </w:tcPr>
          <w:p w14:paraId="0E680F6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有效促进</w:t>
            </w:r>
          </w:p>
        </w:tc>
        <w:tc>
          <w:tcPr>
            <w:tcW w:w="576" w:type="dxa"/>
            <w:tcBorders>
              <w:top w:val="nil"/>
              <w:left w:val="nil"/>
              <w:bottom w:val="single" w:color="auto" w:sz="8" w:space="0"/>
              <w:right w:val="single" w:color="auto" w:sz="8" w:space="0"/>
            </w:tcBorders>
            <w:noWrap w:val="0"/>
            <w:vAlign w:val="center"/>
          </w:tcPr>
          <w:p w14:paraId="7450CB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lang w:val="en-US" w:eastAsia="zh-CN"/>
              </w:rPr>
              <w:t>15</w:t>
            </w:r>
          </w:p>
        </w:tc>
      </w:tr>
      <w:tr w14:paraId="5D080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1" w:type="dxa"/>
            <w:vMerge w:val="continue"/>
            <w:tcBorders>
              <w:top w:val="nil"/>
              <w:left w:val="single" w:color="auto" w:sz="8" w:space="0"/>
              <w:bottom w:val="single" w:color="auto" w:sz="8" w:space="0"/>
              <w:right w:val="single" w:color="auto" w:sz="8" w:space="0"/>
            </w:tcBorders>
            <w:noWrap w:val="0"/>
            <w:vAlign w:val="center"/>
          </w:tcPr>
          <w:p w14:paraId="1EAA62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68" w:type="dxa"/>
            <w:vMerge w:val="continue"/>
            <w:tcBorders>
              <w:top w:val="nil"/>
              <w:left w:val="nil"/>
              <w:bottom w:val="single" w:color="auto" w:sz="8" w:space="0"/>
              <w:right w:val="single" w:color="auto" w:sz="8" w:space="0"/>
            </w:tcBorders>
            <w:noWrap w:val="0"/>
            <w:vAlign w:val="center"/>
          </w:tcPr>
          <w:p w14:paraId="2560CC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697" w:type="dxa"/>
            <w:vMerge w:val="continue"/>
            <w:tcBorders>
              <w:top w:val="nil"/>
              <w:left w:val="nil"/>
              <w:bottom w:val="single" w:color="auto" w:sz="8" w:space="0"/>
              <w:right w:val="single" w:color="auto" w:sz="8" w:space="0"/>
            </w:tcBorders>
            <w:noWrap w:val="0"/>
            <w:vAlign w:val="center"/>
          </w:tcPr>
          <w:p w14:paraId="2B6D33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vMerge w:val="continue"/>
            <w:tcBorders>
              <w:top w:val="nil"/>
              <w:left w:val="nil"/>
              <w:bottom w:val="single" w:color="auto" w:sz="8" w:space="0"/>
              <w:right w:val="single" w:color="auto" w:sz="8" w:space="0"/>
            </w:tcBorders>
            <w:noWrap w:val="0"/>
            <w:vAlign w:val="center"/>
          </w:tcPr>
          <w:p w14:paraId="370AFA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82" w:type="dxa"/>
            <w:tcBorders>
              <w:top w:val="nil"/>
              <w:left w:val="nil"/>
              <w:bottom w:val="single" w:color="auto" w:sz="8" w:space="0"/>
              <w:right w:val="single" w:color="auto" w:sz="8" w:space="0"/>
            </w:tcBorders>
            <w:noWrap w:val="0"/>
            <w:vAlign w:val="center"/>
          </w:tcPr>
          <w:p w14:paraId="5297DF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服务对象满意度</w:t>
            </w:r>
          </w:p>
        </w:tc>
        <w:tc>
          <w:tcPr>
            <w:tcW w:w="502" w:type="dxa"/>
            <w:tcBorders>
              <w:top w:val="nil"/>
              <w:left w:val="nil"/>
              <w:bottom w:val="single" w:color="auto" w:sz="8" w:space="0"/>
              <w:right w:val="single" w:color="auto" w:sz="8" w:space="0"/>
            </w:tcBorders>
            <w:noWrap w:val="0"/>
            <w:vAlign w:val="center"/>
          </w:tcPr>
          <w:p w14:paraId="0DEEE79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3262" w:type="dxa"/>
            <w:tcBorders>
              <w:top w:val="nil"/>
              <w:left w:val="single" w:color="auto" w:sz="8" w:space="0"/>
              <w:bottom w:val="single" w:color="auto" w:sz="8" w:space="0"/>
              <w:right w:val="single" w:color="auto" w:sz="8" w:space="0"/>
            </w:tcBorders>
            <w:noWrap w:val="0"/>
            <w:vAlign w:val="center"/>
          </w:tcPr>
          <w:p w14:paraId="709329C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受益群众满意度</w:t>
            </w:r>
          </w:p>
        </w:tc>
        <w:tc>
          <w:tcPr>
            <w:tcW w:w="915" w:type="dxa"/>
            <w:tcBorders>
              <w:top w:val="nil"/>
              <w:left w:val="nil"/>
              <w:bottom w:val="single" w:color="auto" w:sz="8" w:space="0"/>
              <w:right w:val="single" w:color="auto" w:sz="8" w:space="0"/>
            </w:tcBorders>
            <w:noWrap w:val="0"/>
            <w:vAlign w:val="center"/>
          </w:tcPr>
          <w:p w14:paraId="42012D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≥95%</w:t>
            </w:r>
          </w:p>
        </w:tc>
        <w:tc>
          <w:tcPr>
            <w:tcW w:w="4009" w:type="dxa"/>
            <w:tcBorders>
              <w:top w:val="nil"/>
              <w:left w:val="nil"/>
              <w:bottom w:val="single" w:color="auto" w:sz="8" w:space="0"/>
              <w:right w:val="single" w:color="auto" w:sz="8" w:space="0"/>
            </w:tcBorders>
            <w:noWrap w:val="0"/>
            <w:vAlign w:val="center"/>
          </w:tcPr>
          <w:p w14:paraId="53FAB4B2">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根据问卷调查，满意度达到标杆值，得权重分的100%；否则低于95%，得分=实际满意度*指标分值。</w:t>
            </w:r>
          </w:p>
        </w:tc>
        <w:tc>
          <w:tcPr>
            <w:tcW w:w="931" w:type="dxa"/>
            <w:tcBorders>
              <w:top w:val="single" w:color="auto" w:sz="4" w:space="0"/>
              <w:left w:val="single" w:color="auto" w:sz="4" w:space="0"/>
              <w:bottom w:val="single" w:color="auto" w:sz="4" w:space="0"/>
              <w:right w:val="single" w:color="auto" w:sz="4" w:space="0"/>
            </w:tcBorders>
            <w:noWrap w:val="0"/>
            <w:vAlign w:val="center"/>
          </w:tcPr>
          <w:p w14:paraId="702373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95%</w:t>
            </w:r>
          </w:p>
        </w:tc>
        <w:tc>
          <w:tcPr>
            <w:tcW w:w="576" w:type="dxa"/>
            <w:tcBorders>
              <w:top w:val="nil"/>
              <w:left w:val="nil"/>
              <w:bottom w:val="single" w:color="auto" w:sz="8" w:space="0"/>
              <w:right w:val="single" w:color="auto" w:sz="8" w:space="0"/>
            </w:tcBorders>
            <w:noWrap w:val="0"/>
            <w:vAlign w:val="center"/>
          </w:tcPr>
          <w:p w14:paraId="76D369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r>
      <w:tr w14:paraId="6C495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31" w:type="dxa"/>
            <w:tcBorders>
              <w:top w:val="nil"/>
              <w:left w:val="single" w:color="auto" w:sz="8" w:space="0"/>
              <w:bottom w:val="single" w:color="auto" w:sz="8" w:space="0"/>
              <w:right w:val="single" w:color="auto" w:sz="8" w:space="0"/>
            </w:tcBorders>
            <w:noWrap w:val="0"/>
            <w:vAlign w:val="center"/>
          </w:tcPr>
          <w:p w14:paraId="371197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总分</w:t>
            </w:r>
          </w:p>
        </w:tc>
        <w:tc>
          <w:tcPr>
            <w:tcW w:w="668" w:type="dxa"/>
            <w:tcBorders>
              <w:top w:val="nil"/>
              <w:left w:val="nil"/>
              <w:bottom w:val="single" w:color="auto" w:sz="8" w:space="0"/>
              <w:right w:val="single" w:color="auto" w:sz="8" w:space="0"/>
            </w:tcBorders>
            <w:noWrap w:val="0"/>
            <w:vAlign w:val="center"/>
          </w:tcPr>
          <w:p w14:paraId="56CFD4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697" w:type="dxa"/>
            <w:tcBorders>
              <w:top w:val="nil"/>
              <w:left w:val="nil"/>
              <w:bottom w:val="single" w:color="auto" w:sz="8" w:space="0"/>
              <w:right w:val="single" w:color="auto" w:sz="8" w:space="0"/>
            </w:tcBorders>
            <w:noWrap w:val="0"/>
            <w:vAlign w:val="center"/>
          </w:tcPr>
          <w:p w14:paraId="1A15E08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tcBorders>
              <w:top w:val="nil"/>
              <w:left w:val="nil"/>
              <w:bottom w:val="single" w:color="auto" w:sz="8" w:space="0"/>
              <w:right w:val="single" w:color="auto" w:sz="8" w:space="0"/>
            </w:tcBorders>
            <w:noWrap w:val="0"/>
            <w:vAlign w:val="center"/>
          </w:tcPr>
          <w:p w14:paraId="27BA350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582" w:type="dxa"/>
            <w:tcBorders>
              <w:top w:val="nil"/>
              <w:left w:val="nil"/>
              <w:bottom w:val="single" w:color="auto" w:sz="8" w:space="0"/>
              <w:right w:val="single" w:color="auto" w:sz="8" w:space="0"/>
            </w:tcBorders>
            <w:noWrap w:val="0"/>
            <w:vAlign w:val="center"/>
          </w:tcPr>
          <w:p w14:paraId="6E507BD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02" w:type="dxa"/>
            <w:tcBorders>
              <w:top w:val="nil"/>
              <w:left w:val="nil"/>
              <w:bottom w:val="single" w:color="auto" w:sz="8" w:space="0"/>
              <w:right w:val="single" w:color="auto" w:sz="8" w:space="0"/>
            </w:tcBorders>
            <w:noWrap w:val="0"/>
            <w:vAlign w:val="center"/>
          </w:tcPr>
          <w:p w14:paraId="420867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3262" w:type="dxa"/>
            <w:tcBorders>
              <w:top w:val="nil"/>
              <w:left w:val="nil"/>
              <w:bottom w:val="single" w:color="auto" w:sz="8" w:space="0"/>
              <w:right w:val="single" w:color="auto" w:sz="8" w:space="0"/>
            </w:tcBorders>
            <w:noWrap w:val="0"/>
            <w:vAlign w:val="center"/>
          </w:tcPr>
          <w:p w14:paraId="6E2FCC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915" w:type="dxa"/>
            <w:tcBorders>
              <w:top w:val="nil"/>
              <w:left w:val="nil"/>
              <w:bottom w:val="single" w:color="auto" w:sz="8" w:space="0"/>
              <w:right w:val="single" w:color="auto" w:sz="8" w:space="0"/>
            </w:tcBorders>
            <w:noWrap w:val="0"/>
            <w:vAlign w:val="center"/>
          </w:tcPr>
          <w:p w14:paraId="496BF6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4009" w:type="dxa"/>
            <w:tcBorders>
              <w:top w:val="nil"/>
              <w:left w:val="nil"/>
              <w:bottom w:val="single" w:color="auto" w:sz="8" w:space="0"/>
              <w:right w:val="single" w:color="auto" w:sz="8" w:space="0"/>
            </w:tcBorders>
            <w:noWrap w:val="0"/>
            <w:vAlign w:val="center"/>
          </w:tcPr>
          <w:p w14:paraId="66D22E5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931" w:type="dxa"/>
            <w:tcBorders>
              <w:top w:val="nil"/>
              <w:left w:val="nil"/>
              <w:bottom w:val="single" w:color="auto" w:sz="8" w:space="0"/>
              <w:right w:val="single" w:color="auto" w:sz="8" w:space="0"/>
            </w:tcBorders>
            <w:noWrap w:val="0"/>
            <w:vAlign w:val="center"/>
          </w:tcPr>
          <w:p w14:paraId="536B2C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76" w:type="dxa"/>
            <w:tcBorders>
              <w:top w:val="nil"/>
              <w:left w:val="nil"/>
              <w:bottom w:val="single" w:color="auto" w:sz="8" w:space="0"/>
              <w:right w:val="single" w:color="auto" w:sz="8" w:space="0"/>
            </w:tcBorders>
            <w:noWrap w:val="0"/>
            <w:vAlign w:val="center"/>
          </w:tcPr>
          <w:p w14:paraId="188751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r>
    </w:tbl>
    <w:p w14:paraId="1009653C">
      <w:pPr>
        <w:pStyle w:val="10"/>
        <w:rPr>
          <w:rFonts w:hint="eastAsia" w:ascii="宋体" w:hAnsi="宋体" w:eastAsia="宋体" w:cs="宋体"/>
          <w:color w:val="auto"/>
          <w:sz w:val="24"/>
          <w:szCs w:val="24"/>
          <w:highlight w:val="none"/>
          <w:lang w:eastAsia="zh-CN"/>
        </w:rPr>
      </w:pPr>
    </w:p>
    <w:p w14:paraId="33A0CDEA">
      <w:pPr>
        <w:pStyle w:val="10"/>
        <w:rPr>
          <w:rFonts w:hint="eastAsia" w:ascii="宋体" w:hAnsi="宋体" w:eastAsia="宋体" w:cs="宋体"/>
          <w:color w:val="auto"/>
          <w:sz w:val="24"/>
          <w:szCs w:val="24"/>
          <w:highlight w:val="none"/>
          <w:lang w:eastAsia="zh-CN"/>
        </w:rPr>
      </w:pPr>
    </w:p>
    <w:p w14:paraId="660CC669">
      <w:pPr>
        <w:pStyle w:val="10"/>
        <w:ind w:left="0" w:leftChars="0" w:firstLine="0" w:firstLineChars="0"/>
        <w:jc w:val="both"/>
        <w:rPr>
          <w:rFonts w:hint="eastAsia" w:ascii="宋体" w:hAnsi="宋体" w:eastAsia="宋体" w:cs="宋体"/>
          <w:color w:val="auto"/>
          <w:sz w:val="24"/>
          <w:szCs w:val="24"/>
          <w:highlight w:val="none"/>
          <w:lang w:val="en-US" w:eastAsia="zh-CN"/>
        </w:rPr>
      </w:pPr>
    </w:p>
    <w:p w14:paraId="28DA9A67">
      <w:pPr>
        <w:pStyle w:val="10"/>
        <w:ind w:left="0" w:leftChars="0" w:firstLine="0" w:firstLine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附件2：</w:t>
      </w:r>
    </w:p>
    <w:tbl>
      <w:tblPr>
        <w:tblStyle w:val="23"/>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6B71B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0951AD4B">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left"/>
              <w:textAlignment w:val="center"/>
              <w:rPr>
                <w:rFonts w:hint="eastAsia" w:ascii="宋体" w:hAnsi="宋体" w:eastAsia="宋体" w:cs="宋体"/>
                <w:i w:val="0"/>
                <w:iCs w:val="0"/>
                <w:color w:val="auto"/>
                <w:sz w:val="22"/>
                <w:szCs w:val="22"/>
                <w:highlight w:val="none"/>
                <w:u w:val="none"/>
              </w:rPr>
            </w:pPr>
          </w:p>
        </w:tc>
        <w:tc>
          <w:tcPr>
            <w:tcW w:w="1778" w:type="dxa"/>
            <w:tcBorders>
              <w:top w:val="nil"/>
              <w:left w:val="nil"/>
              <w:bottom w:val="nil"/>
              <w:right w:val="nil"/>
            </w:tcBorders>
            <w:noWrap/>
            <w:vAlign w:val="center"/>
          </w:tcPr>
          <w:p w14:paraId="2460354E">
            <w:pPr>
              <w:keepNext w:val="0"/>
              <w:keepLines w:val="0"/>
              <w:pageBreakBefore w:val="0"/>
              <w:kinsoku/>
              <w:wordWrap/>
              <w:overflowPunct/>
              <w:topLinePunct w:val="0"/>
              <w:autoSpaceDE/>
              <w:autoSpaceDN/>
              <w:bidi w:val="0"/>
              <w:adjustRightInd/>
              <w:snapToGrid/>
              <w:ind w:firstLine="0" w:firstLineChars="0"/>
              <w:rPr>
                <w:rFonts w:hint="eastAsia" w:ascii="宋体" w:hAnsi="宋体" w:eastAsia="宋体" w:cs="宋体"/>
                <w:i w:val="0"/>
                <w:iCs w:val="0"/>
                <w:color w:val="auto"/>
                <w:sz w:val="22"/>
                <w:szCs w:val="22"/>
                <w:highlight w:val="none"/>
                <w:u w:val="none"/>
              </w:rPr>
            </w:pPr>
          </w:p>
        </w:tc>
        <w:tc>
          <w:tcPr>
            <w:tcW w:w="2786" w:type="dxa"/>
            <w:tcBorders>
              <w:top w:val="nil"/>
              <w:left w:val="nil"/>
              <w:bottom w:val="nil"/>
              <w:right w:val="nil"/>
            </w:tcBorders>
            <w:noWrap/>
            <w:vAlign w:val="center"/>
          </w:tcPr>
          <w:p w14:paraId="20DF85E9">
            <w:pPr>
              <w:keepNext w:val="0"/>
              <w:keepLines w:val="0"/>
              <w:pageBreakBefore w:val="0"/>
              <w:kinsoku/>
              <w:wordWrap/>
              <w:overflowPunct/>
              <w:topLinePunct w:val="0"/>
              <w:autoSpaceDE/>
              <w:autoSpaceDN/>
              <w:bidi w:val="0"/>
              <w:adjustRightInd/>
              <w:snapToGrid/>
              <w:ind w:firstLine="0" w:firstLineChars="0"/>
              <w:rPr>
                <w:rFonts w:hint="eastAsia" w:ascii="宋体" w:hAnsi="宋体" w:eastAsia="宋体" w:cs="宋体"/>
                <w:i w:val="0"/>
                <w:iCs w:val="0"/>
                <w:color w:val="auto"/>
                <w:sz w:val="22"/>
                <w:szCs w:val="22"/>
                <w:highlight w:val="none"/>
                <w:u w:val="none"/>
              </w:rPr>
            </w:pPr>
          </w:p>
        </w:tc>
        <w:tc>
          <w:tcPr>
            <w:tcW w:w="2314" w:type="dxa"/>
            <w:tcBorders>
              <w:top w:val="nil"/>
              <w:left w:val="nil"/>
              <w:bottom w:val="nil"/>
              <w:right w:val="nil"/>
            </w:tcBorders>
            <w:noWrap/>
            <w:vAlign w:val="center"/>
          </w:tcPr>
          <w:p w14:paraId="1AAE70E4">
            <w:pPr>
              <w:keepNext w:val="0"/>
              <w:keepLines w:val="0"/>
              <w:pageBreakBefore w:val="0"/>
              <w:kinsoku/>
              <w:wordWrap/>
              <w:overflowPunct/>
              <w:topLinePunct w:val="0"/>
              <w:autoSpaceDE/>
              <w:autoSpaceDN/>
              <w:bidi w:val="0"/>
              <w:adjustRightInd/>
              <w:snapToGrid/>
              <w:ind w:firstLine="0" w:firstLineChars="0"/>
              <w:rPr>
                <w:rFonts w:hint="eastAsia" w:ascii="宋体" w:hAnsi="宋体" w:eastAsia="宋体" w:cs="宋体"/>
                <w:i w:val="0"/>
                <w:iCs w:val="0"/>
                <w:color w:val="auto"/>
                <w:sz w:val="22"/>
                <w:szCs w:val="22"/>
                <w:highlight w:val="none"/>
                <w:u w:val="none"/>
              </w:rPr>
            </w:pPr>
          </w:p>
        </w:tc>
        <w:tc>
          <w:tcPr>
            <w:tcW w:w="3449" w:type="dxa"/>
            <w:tcBorders>
              <w:top w:val="nil"/>
              <w:left w:val="nil"/>
              <w:bottom w:val="nil"/>
              <w:right w:val="nil"/>
            </w:tcBorders>
            <w:noWrap/>
            <w:vAlign w:val="center"/>
          </w:tcPr>
          <w:p w14:paraId="080A6187">
            <w:pPr>
              <w:keepNext w:val="0"/>
              <w:keepLines w:val="0"/>
              <w:pageBreakBefore w:val="0"/>
              <w:kinsoku/>
              <w:wordWrap/>
              <w:overflowPunct/>
              <w:topLinePunct w:val="0"/>
              <w:autoSpaceDE/>
              <w:autoSpaceDN/>
              <w:bidi w:val="0"/>
              <w:adjustRightInd/>
              <w:snapToGrid/>
              <w:ind w:firstLine="0" w:firstLineChars="0"/>
              <w:rPr>
                <w:rFonts w:hint="eastAsia" w:ascii="宋体" w:hAnsi="宋体" w:eastAsia="宋体" w:cs="宋体"/>
                <w:i w:val="0"/>
                <w:iCs w:val="0"/>
                <w:color w:val="auto"/>
                <w:sz w:val="22"/>
                <w:szCs w:val="22"/>
                <w:highlight w:val="none"/>
                <w:u w:val="none"/>
              </w:rPr>
            </w:pPr>
          </w:p>
        </w:tc>
        <w:tc>
          <w:tcPr>
            <w:tcW w:w="1331" w:type="dxa"/>
            <w:tcBorders>
              <w:top w:val="nil"/>
              <w:left w:val="nil"/>
              <w:bottom w:val="nil"/>
              <w:right w:val="nil"/>
            </w:tcBorders>
            <w:noWrap/>
            <w:vAlign w:val="center"/>
          </w:tcPr>
          <w:p w14:paraId="4AA1CF80">
            <w:pPr>
              <w:keepNext w:val="0"/>
              <w:keepLines w:val="0"/>
              <w:pageBreakBefore w:val="0"/>
              <w:kinsoku/>
              <w:wordWrap/>
              <w:overflowPunct/>
              <w:topLinePunct w:val="0"/>
              <w:autoSpaceDE/>
              <w:autoSpaceDN/>
              <w:bidi w:val="0"/>
              <w:adjustRightInd/>
              <w:snapToGrid/>
              <w:ind w:firstLine="0" w:firstLineChars="0"/>
              <w:rPr>
                <w:rFonts w:hint="eastAsia" w:ascii="宋体" w:hAnsi="宋体" w:eastAsia="宋体" w:cs="宋体"/>
                <w:i w:val="0"/>
                <w:iCs w:val="0"/>
                <w:color w:val="auto"/>
                <w:sz w:val="22"/>
                <w:szCs w:val="22"/>
                <w:highlight w:val="none"/>
                <w:u w:val="none"/>
              </w:rPr>
            </w:pPr>
          </w:p>
        </w:tc>
      </w:tr>
      <w:tr w14:paraId="2B7E6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245E4B8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36"/>
                <w:szCs w:val="36"/>
                <w:highlight w:val="none"/>
                <w:u w:val="none"/>
              </w:rPr>
            </w:pPr>
            <w:r>
              <w:rPr>
                <w:rFonts w:hint="eastAsia" w:ascii="宋体" w:hAnsi="宋体" w:eastAsia="宋体" w:cs="宋体"/>
                <w:b/>
                <w:bCs/>
                <w:i w:val="0"/>
                <w:iCs w:val="0"/>
                <w:color w:val="auto"/>
                <w:kern w:val="0"/>
                <w:sz w:val="36"/>
                <w:szCs w:val="36"/>
                <w:highlight w:val="none"/>
                <w:u w:val="none"/>
                <w:lang w:val="en-US" w:eastAsia="zh-CN"/>
              </w:rPr>
              <w:t>2024年中央农业主体能力提升资金项目综合得分表</w:t>
            </w:r>
          </w:p>
        </w:tc>
      </w:tr>
      <w:tr w14:paraId="2A8CD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9A3AF74">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24BAE66">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096303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75E904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96BB8C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0FEA8B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合计</w:t>
            </w:r>
          </w:p>
        </w:tc>
      </w:tr>
      <w:tr w14:paraId="6F26E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2C39290">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012C25D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86A32C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1E9FB80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1FF0162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1E8D376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r>
      <w:tr w14:paraId="7C9E7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FEF45BD">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9CCC1F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67D288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D5CDD5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F993CB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4261DA6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100.00</w:t>
            </w:r>
          </w:p>
        </w:tc>
      </w:tr>
      <w:tr w14:paraId="03162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9556278">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69B708E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9BEF08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018C870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0C520D0F">
            <w:pPr>
              <w:keepNext w:val="0"/>
              <w:keepLines w:val="0"/>
              <w:pageBreakBefore w:val="0"/>
              <w:widowControl/>
              <w:suppressLineNumbers w:val="0"/>
              <w:kinsoku/>
              <w:wordWrap/>
              <w:overflowPunct/>
              <w:topLinePunct w:val="0"/>
              <w:autoSpaceDE/>
              <w:autoSpaceDN/>
              <w:bidi w:val="0"/>
              <w:adjustRightInd/>
              <w:snapToGrid/>
              <w:ind w:firstLine="480" w:firstLineChars="20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84CC29B">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r>
    </w:tbl>
    <w:p w14:paraId="5849394E">
      <w:pPr>
        <w:pStyle w:val="10"/>
        <w:ind w:left="0" w:leftChars="0" w:firstLine="0" w:firstLineChars="0"/>
        <w:jc w:val="both"/>
        <w:rPr>
          <w:rFonts w:hint="eastAsia" w:ascii="宋体" w:hAnsi="宋体" w:eastAsia="宋体" w:cs="宋体"/>
          <w:color w:val="auto"/>
          <w:sz w:val="24"/>
          <w:szCs w:val="24"/>
          <w:highlight w:val="none"/>
          <w:lang w:eastAsia="zh-CN"/>
        </w:rPr>
        <w:sectPr>
          <w:pgSz w:w="16838" w:h="11906" w:orient="landscape"/>
          <w:pgMar w:top="1531" w:right="1985" w:bottom="1531" w:left="1701" w:header="851" w:footer="992" w:gutter="0"/>
          <w:pgNumType w:start="1"/>
          <w:cols w:space="720" w:num="1"/>
          <w:docGrid w:type="linesAndChars" w:linePitch="386" w:charSpace="0"/>
        </w:sectPr>
      </w:pPr>
    </w:p>
    <w:p w14:paraId="1116ADD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default"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附件3：</w:t>
      </w:r>
    </w:p>
    <w:p w14:paraId="4B33D007">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2024年中央农业主体能力提升资金项目</w:t>
      </w:r>
    </w:p>
    <w:p w14:paraId="762CF01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满意度调查问卷分析报告</w:t>
      </w:r>
    </w:p>
    <w:p w14:paraId="0ACDCB1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bCs/>
          <w:color w:val="auto"/>
          <w:sz w:val="28"/>
          <w:szCs w:val="28"/>
          <w:highlight w:val="none"/>
        </w:rPr>
      </w:pPr>
    </w:p>
    <w:p w14:paraId="7D4D239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为客观评价该项目的社会效果，了解</w:t>
      </w:r>
      <w:r>
        <w:rPr>
          <w:rFonts w:hint="eastAsia" w:ascii="宋体" w:hAnsi="宋体" w:eastAsia="宋体" w:cs="宋体"/>
          <w:color w:val="000000"/>
          <w:sz w:val="24"/>
          <w:szCs w:val="24"/>
          <w:highlight w:val="none"/>
          <w:lang w:val="en-US" w:eastAsia="zh-CN"/>
        </w:rPr>
        <w:t>项目受益群体</w:t>
      </w:r>
      <w:r>
        <w:rPr>
          <w:rFonts w:hint="eastAsia" w:ascii="宋体" w:hAnsi="宋体" w:eastAsia="宋体" w:cs="宋体"/>
          <w:color w:val="000000"/>
          <w:sz w:val="24"/>
          <w:szCs w:val="24"/>
          <w:highlight w:val="none"/>
        </w:rPr>
        <w:t>对项目</w:t>
      </w:r>
      <w:r>
        <w:rPr>
          <w:rFonts w:hint="eastAsia" w:ascii="宋体" w:hAnsi="宋体" w:eastAsia="宋体" w:cs="宋体"/>
          <w:color w:val="000000"/>
          <w:sz w:val="24"/>
          <w:szCs w:val="24"/>
          <w:highlight w:val="none"/>
          <w:lang w:val="en-US" w:eastAsia="zh-CN"/>
        </w:rPr>
        <w:t>实施后</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val="en-US" w:eastAsia="zh-CN"/>
        </w:rPr>
        <w:t>真实</w:t>
      </w:r>
      <w:r>
        <w:rPr>
          <w:rFonts w:hint="eastAsia" w:ascii="宋体" w:hAnsi="宋体" w:eastAsia="宋体" w:cs="宋体"/>
          <w:color w:val="000000"/>
          <w:sz w:val="24"/>
          <w:szCs w:val="24"/>
          <w:highlight w:val="none"/>
        </w:rPr>
        <w:t>评价情况，对本项目</w:t>
      </w:r>
      <w:r>
        <w:rPr>
          <w:rFonts w:hint="eastAsia" w:ascii="宋体" w:hAnsi="宋体" w:eastAsia="宋体" w:cs="宋体"/>
          <w:color w:val="000000"/>
          <w:sz w:val="24"/>
          <w:szCs w:val="24"/>
          <w:highlight w:val="none"/>
          <w:lang w:eastAsia="zh-CN"/>
        </w:rPr>
        <w:t>开展</w:t>
      </w:r>
      <w:r>
        <w:rPr>
          <w:rFonts w:hint="eastAsia" w:ascii="宋体" w:hAnsi="宋体" w:eastAsia="宋体" w:cs="宋体"/>
          <w:color w:val="000000"/>
          <w:sz w:val="24"/>
          <w:szCs w:val="24"/>
          <w:highlight w:val="none"/>
        </w:rPr>
        <w:t>满意度问卷调查。问卷调查工作情况如下。问卷调查工作情况如下：</w:t>
      </w:r>
    </w:p>
    <w:p w14:paraId="16442C0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一、该问卷调查从2025年2月1日开始至2025年3月5日结束，调查问卷共设置3道题目。</w:t>
      </w:r>
    </w:p>
    <w:p w14:paraId="16125E58">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对象</w:t>
      </w:r>
    </w:p>
    <w:p w14:paraId="7B84412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的受益对象为</w:t>
      </w:r>
      <w:r>
        <w:rPr>
          <w:rFonts w:hint="eastAsia" w:ascii="宋体" w:hAnsi="宋体" w:eastAsia="宋体" w:cs="宋体"/>
          <w:color w:val="000000"/>
          <w:sz w:val="24"/>
          <w:szCs w:val="24"/>
          <w:highlight w:val="none"/>
          <w:lang w:eastAsia="zh-CN"/>
        </w:rPr>
        <w:t>杭桂镇皮凉艾日克村收益</w:t>
      </w:r>
      <w:r>
        <w:rPr>
          <w:rFonts w:hint="eastAsia" w:ascii="宋体" w:hAnsi="宋体" w:eastAsia="宋体" w:cs="宋体"/>
          <w:color w:val="000000"/>
          <w:sz w:val="24"/>
          <w:szCs w:val="24"/>
          <w:highlight w:val="none"/>
          <w:lang w:val="en-US" w:eastAsia="zh-CN"/>
        </w:rPr>
        <w:t>农户</w:t>
      </w:r>
      <w:r>
        <w:rPr>
          <w:rFonts w:hint="eastAsia" w:ascii="宋体" w:hAnsi="宋体" w:eastAsia="宋体" w:cs="宋体"/>
          <w:color w:val="000000"/>
          <w:sz w:val="24"/>
          <w:szCs w:val="24"/>
          <w:highlight w:val="none"/>
        </w:rPr>
        <w:t>。</w:t>
      </w:r>
    </w:p>
    <w:p w14:paraId="1B284FEA">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2.</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内容</w:t>
      </w:r>
    </w:p>
    <w:p w14:paraId="03164C1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①您对2024年中央农业主体能力提升资金项目的“防、耕、收”服务是否满意?</w:t>
      </w:r>
    </w:p>
    <w:p w14:paraId="4058FA7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②您对2024年中央农业主体能力提升资金项目的农业补助是否满意？</w:t>
      </w:r>
    </w:p>
    <w:p w14:paraId="2794083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③总的来说，您对目前2024年中央农业主体能力提升资金项目实施后促进农业绿色化发展、资源持续可利用有效促进的整体满意程度如何？</w:t>
      </w:r>
    </w:p>
    <w:p w14:paraId="735186D4">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方法</w:t>
      </w:r>
    </w:p>
    <w:p w14:paraId="2FBF783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分层</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随机抽样相结合</w:t>
      </w:r>
      <w:r>
        <w:rPr>
          <w:rFonts w:hint="eastAsia" w:ascii="宋体" w:hAnsi="宋体" w:eastAsia="宋体" w:cs="宋体"/>
          <w:color w:val="000000"/>
          <w:sz w:val="24"/>
          <w:szCs w:val="24"/>
          <w:highlight w:val="none"/>
        </w:rPr>
        <w:t>的方式进行。在全面</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开展之前会先进行论证，依据论证结果对问卷和抽样方案再进行一次修改和调整</w:t>
      </w:r>
      <w:r>
        <w:rPr>
          <w:rFonts w:hint="eastAsia" w:ascii="宋体" w:hAnsi="宋体" w:eastAsia="宋体" w:cs="宋体"/>
          <w:color w:val="000000"/>
          <w:sz w:val="24"/>
          <w:szCs w:val="24"/>
          <w:highlight w:val="none"/>
          <w:lang w:val="en-US" w:eastAsia="zh-CN"/>
        </w:rPr>
        <w:t>之后再付诸实施</w:t>
      </w:r>
      <w:r>
        <w:rPr>
          <w:rFonts w:hint="eastAsia" w:ascii="宋体" w:hAnsi="宋体" w:eastAsia="宋体" w:cs="宋体"/>
          <w:color w:val="000000"/>
          <w:sz w:val="24"/>
          <w:szCs w:val="24"/>
          <w:highlight w:val="none"/>
        </w:rPr>
        <w:t>。</w:t>
      </w:r>
    </w:p>
    <w:p w14:paraId="019DAD14">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4.</w:t>
      </w:r>
      <w:r>
        <w:rPr>
          <w:rFonts w:hint="eastAsia" w:ascii="宋体" w:hAnsi="宋体" w:eastAsia="宋体" w:cs="宋体"/>
          <w:b/>
          <w:bCs/>
          <w:color w:val="000000"/>
          <w:sz w:val="24"/>
          <w:szCs w:val="24"/>
          <w:highlight w:val="none"/>
        </w:rPr>
        <w:t>抽样方式</w:t>
      </w:r>
    </w:p>
    <w:p w14:paraId="758FBB6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为确保问卷</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的全面性和代表性，本次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随机</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分层抽样相结合</w:t>
      </w:r>
      <w:r>
        <w:rPr>
          <w:rFonts w:hint="eastAsia" w:ascii="宋体" w:hAnsi="宋体" w:eastAsia="宋体" w:cs="宋体"/>
          <w:color w:val="000000"/>
          <w:sz w:val="24"/>
          <w:szCs w:val="24"/>
          <w:highlight w:val="none"/>
        </w:rPr>
        <w:t>方式进行。</w:t>
      </w:r>
    </w:p>
    <w:p w14:paraId="3601F70B">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5.问卷的发放和回收</w:t>
      </w:r>
    </w:p>
    <w:p w14:paraId="38311C17">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1AD1D516">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6.问卷调查分析结果</w:t>
      </w:r>
    </w:p>
    <w:p w14:paraId="4A8618D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本次调查过程中，评价小组实际发放问卷30份，回收问卷30份，问卷回收率为100.00%，有效问卷30份，有效回收率100.00%，本次调查的整体情况如下：</w:t>
      </w:r>
    </w:p>
    <w:p w14:paraId="7793836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第一个问题：该项统计有效问卷数量30份，选择非常满意的人数为30人。选择比较满意的人数为0人，选择一般的人数0人，选择不满意的人数0人，选择非常不满意的人数0人。</w:t>
      </w:r>
    </w:p>
    <w:p w14:paraId="058EEA3D">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58D32BC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2238ECB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二、调查结果统计</w:t>
      </w:r>
    </w:p>
    <w:p w14:paraId="50166BC7">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2024年中央农业主体能力提升资金项目针对受益人员发放30份调查问卷，最终统计受益人群满意度为100%。</w:t>
      </w:r>
    </w:p>
    <w:p w14:paraId="298FFC2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p>
    <w:p w14:paraId="5A1774C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洛浦县供销合作社联合社</w:t>
      </w:r>
    </w:p>
    <w:p w14:paraId="666CBC8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2025年3月5日</w:t>
      </w:r>
    </w:p>
    <w:p w14:paraId="3228D7A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0A8BD">
    <w:pPr>
      <w:pStyle w:val="15"/>
      <w:ind w:firstLine="360"/>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3F9F4AAC">
                <w:pPr>
                  <w:pStyle w:val="15"/>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0441B">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suff w:val="nothing"/>
      <w:lvlText w:val="（%1）"/>
      <w:lvlJc w:val="left"/>
    </w:lvl>
  </w:abstractNum>
  <w:abstractNum w:abstractNumId="1">
    <w:nsid w:val="0053208E"/>
    <w:multiLevelType w:val="singleLevel"/>
    <w:tmpl w:val="0053208E"/>
    <w:lvl w:ilvl="0" w:tentative="0">
      <w:start w:val="2"/>
      <w:numFmt w:val="decimal"/>
      <w:lvlText w:val="%1."/>
      <w:lvlJc w:val="left"/>
      <w:pPr>
        <w:tabs>
          <w:tab w:val="left" w:pos="312"/>
        </w:tabs>
      </w:pPr>
    </w:lvl>
  </w:abstractNum>
  <w:abstractNum w:abstractNumId="2">
    <w:nsid w:val="59ADCABA"/>
    <w:multiLevelType w:val="singleLevel"/>
    <w:tmpl w:val="59ADCABA"/>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04C74740"/>
    <w:rsid w:val="22AC50A7"/>
    <w:rsid w:val="76693E1F"/>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1"/>
    <w:unhideWhenUsed/>
    <w:qFormat/>
    <w:uiPriority w:val="0"/>
    <w:pPr>
      <w:ind w:firstLine="420"/>
    </w:pPr>
  </w:style>
  <w:style w:type="paragraph" w:styleId="3">
    <w:name w:val="Body Text Indent"/>
    <w:basedOn w:val="1"/>
    <w:link w:val="30"/>
    <w:unhideWhenUsed/>
    <w:qFormat/>
    <w:uiPriority w:val="99"/>
    <w:pPr>
      <w:spacing w:after="120"/>
      <w:ind w:left="420" w:leftChars="200"/>
    </w:pPr>
    <w:rPr>
      <w:rFonts w:cs="Times New Roman"/>
      <w:kern w:val="0"/>
      <w:szCs w:val="20"/>
    </w:rPr>
  </w:style>
  <w:style w:type="paragraph" w:styleId="8">
    <w:name w:val="toc 7"/>
    <w:basedOn w:val="1"/>
    <w:next w:val="1"/>
    <w:unhideWhenUsed/>
    <w:qFormat/>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qFormat/>
    <w:uiPriority w:val="39"/>
    <w:pPr>
      <w:ind w:left="1120"/>
      <w:jc w:val="left"/>
    </w:pPr>
    <w:rPr>
      <w:rFonts w:ascii="Calibri" w:hAnsi="Calibri" w:cs="Calibri"/>
      <w:sz w:val="18"/>
      <w:szCs w:val="18"/>
    </w:rPr>
  </w:style>
  <w:style w:type="paragraph" w:styleId="12">
    <w:name w:val="toc 3"/>
    <w:basedOn w:val="1"/>
    <w:next w:val="1"/>
    <w:unhideWhenUsed/>
    <w:qFormat/>
    <w:uiPriority w:val="39"/>
    <w:pPr>
      <w:ind w:left="560"/>
      <w:jc w:val="left"/>
    </w:pPr>
    <w:rPr>
      <w:rFonts w:ascii="Calibri" w:hAnsi="Calibri" w:cs="Calibri"/>
      <w:i/>
      <w:iCs/>
      <w:sz w:val="20"/>
      <w:szCs w:val="20"/>
    </w:rPr>
  </w:style>
  <w:style w:type="paragraph" w:styleId="13">
    <w:name w:val="toc 8"/>
    <w:basedOn w:val="1"/>
    <w:next w:val="1"/>
    <w:unhideWhenUsed/>
    <w:qFormat/>
    <w:uiPriority w:val="39"/>
    <w:pPr>
      <w:ind w:left="1960"/>
      <w:jc w:val="left"/>
    </w:pPr>
    <w:rPr>
      <w:rFonts w:ascii="Calibri" w:hAnsi="Calibri" w:cs="Calibri"/>
      <w:sz w:val="18"/>
      <w:szCs w:val="18"/>
    </w:rPr>
  </w:style>
  <w:style w:type="paragraph" w:styleId="14">
    <w:name w:val="Balloon Text"/>
    <w:basedOn w:val="1"/>
    <w:link w:val="38"/>
    <w:unhideWhenUsed/>
    <w:qFormat/>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qFormat/>
    <w:uiPriority w:val="39"/>
    <w:pPr>
      <w:spacing w:before="120" w:after="120"/>
      <w:jc w:val="left"/>
    </w:pPr>
    <w:rPr>
      <w:rFonts w:ascii="Calibri" w:hAnsi="Calibri" w:cs="Calibri"/>
      <w:b/>
      <w:bCs/>
      <w:caps/>
      <w:sz w:val="20"/>
      <w:szCs w:val="20"/>
    </w:rPr>
  </w:style>
  <w:style w:type="paragraph" w:styleId="18">
    <w:name w:val="toc 4"/>
    <w:basedOn w:val="1"/>
    <w:next w:val="1"/>
    <w:unhideWhenUsed/>
    <w:qFormat/>
    <w:uiPriority w:val="39"/>
    <w:pPr>
      <w:ind w:left="840"/>
      <w:jc w:val="left"/>
    </w:pPr>
    <w:rPr>
      <w:rFonts w:ascii="Calibri" w:hAnsi="Calibri" w:cs="Calibri"/>
      <w:sz w:val="18"/>
      <w:szCs w:val="18"/>
    </w:rPr>
  </w:style>
  <w:style w:type="paragraph" w:styleId="19">
    <w:name w:val="toc 6"/>
    <w:basedOn w:val="1"/>
    <w:next w:val="1"/>
    <w:unhideWhenUsed/>
    <w:qFormat/>
    <w:uiPriority w:val="39"/>
    <w:pPr>
      <w:ind w:left="1400"/>
      <w:jc w:val="left"/>
    </w:pPr>
    <w:rPr>
      <w:rFonts w:ascii="Calibri" w:hAnsi="Calibri" w:cs="Calibri"/>
      <w:sz w:val="18"/>
      <w:szCs w:val="18"/>
    </w:rPr>
  </w:style>
  <w:style w:type="paragraph" w:styleId="20">
    <w:name w:val="toc 2"/>
    <w:basedOn w:val="1"/>
    <w:next w:val="1"/>
    <w:unhideWhenUsed/>
    <w:qFormat/>
    <w:uiPriority w:val="39"/>
    <w:pPr>
      <w:ind w:left="280"/>
      <w:jc w:val="left"/>
    </w:pPr>
    <w:rPr>
      <w:rFonts w:ascii="Calibri" w:hAnsi="Calibri" w:cs="Calibri"/>
      <w:smallCaps/>
      <w:sz w:val="20"/>
      <w:szCs w:val="20"/>
    </w:rPr>
  </w:style>
  <w:style w:type="paragraph" w:styleId="21">
    <w:name w:val="toc 9"/>
    <w:basedOn w:val="1"/>
    <w:next w:val="1"/>
    <w:unhideWhenUsed/>
    <w:qFormat/>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qFormat/>
    <w:uiPriority w:val="99"/>
    <w:rPr>
      <w:color w:val="0000FF"/>
      <w:u w:val="single"/>
    </w:rPr>
  </w:style>
  <w:style w:type="paragraph" w:customStyle="1" w:styleId="27">
    <w:name w:val="Comment Text"/>
    <w:basedOn w:val="1"/>
    <w:link w:val="37"/>
    <w:unhideWhenUsed/>
    <w:qFormat/>
    <w:uiPriority w:val="99"/>
    <w:rPr>
      <w:rFonts w:cs="Times New Roman"/>
      <w:kern w:val="0"/>
      <w:sz w:val="20"/>
      <w:szCs w:val="20"/>
    </w:rPr>
  </w:style>
  <w:style w:type="paragraph" w:customStyle="1" w:styleId="28">
    <w:name w:val="Comment Subject"/>
    <w:basedOn w:val="27"/>
    <w:next w:val="27"/>
    <w:link w:val="42"/>
    <w:unhideWhenUsed/>
    <w:qFormat/>
    <w:uiPriority w:val="99"/>
    <w:rPr>
      <w:b/>
      <w:bCs/>
    </w:rPr>
  </w:style>
  <w:style w:type="character" w:customStyle="1" w:styleId="29">
    <w:name w:val="Comment Reference"/>
    <w:unhideWhenUsed/>
    <w:qFormat/>
    <w:uiPriority w:val="99"/>
    <w:rPr>
      <w:sz w:val="16"/>
      <w:szCs w:val="16"/>
    </w:rPr>
  </w:style>
  <w:style w:type="character" w:customStyle="1" w:styleId="30">
    <w:name w:val="正文文本缩进 Char"/>
    <w:link w:val="3"/>
    <w:semiHidden/>
    <w:qFormat/>
    <w:uiPriority w:val="99"/>
    <w:rPr>
      <w:rFonts w:ascii="Calibri" w:hAnsi="Calibri" w:eastAsia="仿宋_GB2312" w:cs="黑体"/>
      <w:sz w:val="28"/>
    </w:rPr>
  </w:style>
  <w:style w:type="character" w:customStyle="1" w:styleId="31">
    <w:name w:val="正文首行缩进 2 Char"/>
    <w:link w:val="2"/>
    <w:qFormat/>
    <w:uiPriority w:val="0"/>
    <w:rPr>
      <w:rFonts w:ascii="Calibri" w:hAnsi="Calibri" w:eastAsia="仿宋_GB2312" w:cs="黑体"/>
      <w:sz w:val="28"/>
    </w:rPr>
  </w:style>
  <w:style w:type="character" w:customStyle="1" w:styleId="32">
    <w:name w:val="标题 1 Char"/>
    <w:link w:val="4"/>
    <w:uiPriority w:val="9"/>
    <w:rPr>
      <w:rFonts w:ascii="Times New Roman" w:hAnsi="Times New Roman" w:eastAsia="仿宋_GB2312" w:cs="Times New Roman"/>
      <w:b/>
      <w:bCs/>
      <w:kern w:val="44"/>
      <w:sz w:val="32"/>
      <w:szCs w:val="44"/>
    </w:rPr>
  </w:style>
  <w:style w:type="character" w:customStyle="1" w:styleId="33">
    <w:name w:val="标题 2 Char"/>
    <w:link w:val="5"/>
    <w:uiPriority w:val="0"/>
    <w:rPr>
      <w:rFonts w:ascii="Cambria" w:hAnsi="Cambria" w:eastAsia="仿宋_GB2312" w:cs="Times New Roman"/>
      <w:b/>
      <w:bCs/>
      <w:kern w:val="0"/>
      <w:sz w:val="30"/>
      <w:szCs w:val="32"/>
    </w:rPr>
  </w:style>
  <w:style w:type="character" w:customStyle="1" w:styleId="34">
    <w:name w:val="标题 3 Char"/>
    <w:link w:val="6"/>
    <w:uiPriority w:val="9"/>
    <w:rPr>
      <w:rFonts w:ascii="Calibri" w:hAnsi="Calibri" w:eastAsia="仿宋_GB2312" w:cs="黑体"/>
      <w:bCs/>
      <w:sz w:val="28"/>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font21"/>
    <w:uiPriority w:val="0"/>
    <w:rPr>
      <w:rFonts w:hint="default" w:ascii="Times New Roman" w:hAnsi="Times New Roman" w:cs="Times New Roman"/>
      <w:color w:val="000000"/>
      <w:sz w:val="24"/>
      <w:szCs w:val="24"/>
      <w:u w:val="none"/>
    </w:rPr>
  </w:style>
  <w:style w:type="character" w:customStyle="1" w:styleId="44">
    <w:name w:val="闻政-正文二级标题 Char"/>
    <w:link w:val="45"/>
    <w:uiPriority w:val="3"/>
    <w:rPr>
      <w:rFonts w:ascii="Times New Roman" w:hAnsi="Times New Roman" w:eastAsia="仿宋_GB2312"/>
      <w:b/>
      <w:bCs/>
      <w:sz w:val="28"/>
      <w:szCs w:val="32"/>
    </w:rPr>
  </w:style>
  <w:style w:type="paragraph" w:customStyle="1" w:styleId="45">
    <w:name w:val="闻政-正文二级标题"/>
    <w:basedOn w:val="5"/>
    <w:next w:val="46"/>
    <w:link w:val="44"/>
    <w:qFormat/>
    <w:uiPriority w:val="3"/>
    <w:pPr>
      <w:spacing w:before="120" w:after="60" w:line="500" w:lineRule="exact"/>
      <w:ind w:left="200" w:leftChars="200" w:firstLine="0" w:firstLineChars="0"/>
    </w:pPr>
    <w:rPr>
      <w:rFonts w:ascii="Times New Roman" w:hAnsi="Times New Roman"/>
      <w:sz w:val="28"/>
    </w:rPr>
  </w:style>
  <w:style w:type="paragraph" w:customStyle="1" w:styleId="46">
    <w:name w:val="闻政-正文段落文字"/>
    <w:basedOn w:val="1"/>
    <w:link w:val="47"/>
    <w:qFormat/>
    <w:uiPriority w:val="3"/>
    <w:pPr>
      <w:spacing w:line="500" w:lineRule="exact"/>
      <w:ind w:firstLine="200"/>
    </w:pPr>
    <w:rPr>
      <w:rFonts w:ascii="Times New Roman" w:hAnsi="Times New Roman" w:cs="Times New Roman"/>
      <w:kern w:val="0"/>
      <w:szCs w:val="28"/>
    </w:rPr>
  </w:style>
  <w:style w:type="character" w:customStyle="1" w:styleId="47">
    <w:name w:val="闻政-正文段落文字 Char"/>
    <w:link w:val="46"/>
    <w:qFormat/>
    <w:uiPriority w:val="3"/>
    <w:rPr>
      <w:rFonts w:ascii="Times New Roman" w:hAnsi="Times New Roman" w:eastAsia="仿宋_GB2312"/>
      <w:sz w:val="28"/>
      <w:szCs w:val="28"/>
    </w:rPr>
  </w:style>
  <w:style w:type="character" w:customStyle="1" w:styleId="48">
    <w:name w:val="font71"/>
    <w:basedOn w:val="25"/>
    <w:uiPriority w:val="0"/>
    <w:rPr>
      <w:rFonts w:hint="eastAsia" w:ascii="微软雅黑" w:hAnsi="微软雅黑" w:eastAsia="微软雅黑" w:cs="微软雅黑"/>
      <w:b/>
      <w:bCs/>
      <w:color w:val="000000"/>
      <w:sz w:val="32"/>
      <w:szCs w:val="32"/>
      <w:u w:val="none"/>
    </w:rPr>
  </w:style>
  <w:style w:type="character" w:customStyle="1" w:styleId="49">
    <w:name w:val="无间隔 Char"/>
    <w:link w:val="50"/>
    <w:uiPriority w:val="1"/>
    <w:rPr>
      <w:rFonts w:eastAsia="仿宋_GB2312" w:cs="黑体"/>
      <w:kern w:val="2"/>
      <w:sz w:val="28"/>
      <w:szCs w:val="22"/>
      <w:lang w:val="en-US" w:eastAsia="zh-CN" w:bidi="ar-SA"/>
    </w:rPr>
  </w:style>
  <w:style w:type="paragraph" w:styleId="50">
    <w:name w:val="No Spacing"/>
    <w:link w:val="49"/>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character" w:customStyle="1" w:styleId="51">
    <w:name w:val="51"/>
    <w:qFormat/>
    <w:uiPriority w:val="0"/>
    <w:rPr>
      <w:b/>
      <w:bCs/>
      <w:smallCaps/>
      <w:color w:val="C0504D"/>
      <w:spacing w:val="5"/>
      <w:u w:val="single"/>
    </w:rPr>
  </w:style>
  <w:style w:type="character" w:customStyle="1" w:styleId="52">
    <w:name w:val="font11"/>
    <w:uiPriority w:val="0"/>
    <w:rPr>
      <w:rFonts w:hint="eastAsia" w:ascii="方正仿宋_GBK" w:hAnsi="方正仿宋_GBK" w:eastAsia="方正仿宋_GBK" w:cs="方正仿宋_GBK"/>
      <w:color w:val="000000"/>
      <w:sz w:val="24"/>
      <w:szCs w:val="24"/>
      <w:u w:val="none"/>
    </w:rPr>
  </w:style>
  <w:style w:type="character" w:customStyle="1" w:styleId="53">
    <w:name w:val="闻政-正文一级标题 Char"/>
    <w:link w:val="54"/>
    <w:qFormat/>
    <w:uiPriority w:val="3"/>
    <w:rPr>
      <w:rFonts w:ascii="黑体" w:hAnsi="黑体" w:eastAsia="黑体"/>
      <w:bCs/>
      <w:sz w:val="32"/>
      <w:szCs w:val="32"/>
    </w:rPr>
  </w:style>
  <w:style w:type="paragraph" w:customStyle="1" w:styleId="54">
    <w:name w:val="闻政-正文一级标题"/>
    <w:basedOn w:val="6"/>
    <w:next w:val="46"/>
    <w:link w:val="53"/>
    <w:qFormat/>
    <w:uiPriority w:val="3"/>
    <w:pPr>
      <w:spacing w:before="120" w:after="60" w:line="500" w:lineRule="exact"/>
      <w:ind w:firstLine="0" w:firstLineChars="0"/>
      <w:outlineLvl w:val="0"/>
    </w:pPr>
    <w:rPr>
      <w:rFonts w:ascii="黑体" w:hAnsi="黑体" w:eastAsia="黑体"/>
      <w:sz w:val="32"/>
    </w:rPr>
  </w:style>
  <w:style w:type="character" w:customStyle="1" w:styleId="55">
    <w:name w:val="闻政-正文三级标题 Char"/>
    <w:link w:val="56"/>
    <w:uiPriority w:val="3"/>
    <w:rPr>
      <w:rFonts w:ascii="Times New Roman" w:hAnsi="Times New Roman" w:eastAsia="仿宋_GB2312"/>
      <w:b/>
      <w:snapToGrid w:val="0"/>
      <w:sz w:val="28"/>
      <w:szCs w:val="28"/>
    </w:rPr>
  </w:style>
  <w:style w:type="paragraph" w:customStyle="1" w:styleId="56">
    <w:name w:val="闻政-正文三级标题"/>
    <w:basedOn w:val="1"/>
    <w:next w:val="46"/>
    <w:link w:val="55"/>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paragraph" w:styleId="58">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3310D7F05D594A619067D12F142AB5DD_13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5ccf69-b344-4204-9255-7f8a0a738c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4648</Words>
  <Characters>4882</Characters>
  <Lines>44</Lines>
  <Paragraphs>12</Paragraphs>
  <TotalTime>3</TotalTime>
  <ScaleCrop>false</ScaleCrop>
  <LinksUpToDate>false</LinksUpToDate>
  <CharactersWithSpaces>4882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2025-10-10T05:53:52Z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3310D7F05D594A619067D12F142AB5DD_13</vt:lpwstr>
  </property>
  <property fmtid="{D5CDD505-2E9C-101B-9397-08002B2CF9AE}" pid="4" name="KSOTemplateDocerSaveRecord">
    <vt:lpwstr>eyJoZGlkIjoiMGIxZTI3ODM4ZmVjOGE5NDFiYmE3OTRiMjQ5OTEyNzIiLCJ1c2VySWQiOiIzNzI2MDMzNTYifQ==</vt:lpwstr>
  </property>
</Properties>
</file>