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29FADC">
      <w:bookmarkStart w:id="19" w:name="_GoBack"/>
      <w:bookmarkEnd w:id="19"/>
    </w:p>
    <w:p w14:paraId="55B0AF1C">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color w:val="auto"/>
          <w:kern w:val="0"/>
          <w:sz w:val="32"/>
          <w:szCs w:val="32"/>
          <w:lang w:val="en-US" w:eastAsia="zh-CN" w:bidi="en-US"/>
        </w:rPr>
      </w:pPr>
    </w:p>
    <w:p w14:paraId="405FAAAE">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000000"/>
          <w:sz w:val="36"/>
          <w:szCs w:val="36"/>
          <w:highlight w:val="none"/>
          <w:lang w:val="en-US" w:eastAsia="zh-CN"/>
        </w:rPr>
      </w:pPr>
      <w:r>
        <w:rPr>
          <w:rFonts w:hint="eastAsia" w:ascii="黑体" w:hAnsi="黑体" w:eastAsia="黑体" w:cs="黑体"/>
          <w:b/>
          <w:color w:val="000000"/>
          <w:sz w:val="36"/>
          <w:szCs w:val="36"/>
          <w:highlight w:val="none"/>
          <w:lang w:val="en-US" w:eastAsia="zh-CN"/>
        </w:rPr>
        <w:t>和田地区洛浦县多鲁乡-拜什托格拉克乡农村</w:t>
      </w:r>
    </w:p>
    <w:p w14:paraId="3628B72C">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000000"/>
          <w:sz w:val="36"/>
          <w:szCs w:val="36"/>
          <w:highlight w:val="none"/>
          <w:lang w:val="en-US" w:eastAsia="zh-CN"/>
        </w:rPr>
      </w:pPr>
      <w:r>
        <w:rPr>
          <w:rFonts w:hint="eastAsia" w:ascii="黑体" w:hAnsi="黑体" w:eastAsia="黑体" w:cs="黑体"/>
          <w:b/>
          <w:color w:val="000000"/>
          <w:sz w:val="36"/>
          <w:szCs w:val="36"/>
          <w:highlight w:val="none"/>
          <w:lang w:val="en-US" w:eastAsia="zh-CN"/>
        </w:rPr>
        <w:t>道路改建工程项目支出绩效评价报告</w:t>
      </w:r>
    </w:p>
    <w:p w14:paraId="41A04C48">
      <w:pPr>
        <w:pStyle w:val="2"/>
        <w:ind w:left="0" w:leftChars="0" w:firstLine="0" w:firstLineChars="0"/>
        <w:jc w:val="center"/>
        <w:rPr>
          <w:rFonts w:hint="eastAsia" w:ascii="黑体" w:hAnsi="黑体" w:eastAsia="黑体" w:cs="黑体"/>
          <w:b/>
          <w:bCs w:val="0"/>
          <w:color w:val="000000"/>
          <w:sz w:val="28"/>
          <w:szCs w:val="28"/>
          <w:highlight w:val="none"/>
          <w:lang w:eastAsia="zh-CN"/>
        </w:rPr>
      </w:pPr>
    </w:p>
    <w:p w14:paraId="67C88508">
      <w:pPr>
        <w:pStyle w:val="2"/>
        <w:ind w:left="0" w:leftChars="0" w:firstLine="0" w:firstLineChars="0"/>
        <w:jc w:val="center"/>
        <w:rPr>
          <w:rFonts w:hint="eastAsia" w:ascii="黑体" w:hAnsi="黑体" w:eastAsia="黑体" w:cs="黑体"/>
          <w:b/>
          <w:bCs w:val="0"/>
          <w:color w:val="000000"/>
          <w:sz w:val="28"/>
          <w:szCs w:val="28"/>
          <w:highlight w:val="none"/>
          <w:lang w:eastAsia="zh-CN"/>
        </w:rPr>
      </w:pPr>
      <w:r>
        <w:rPr>
          <w:rFonts w:hint="eastAsia" w:ascii="黑体" w:hAnsi="黑体" w:eastAsia="黑体" w:cs="黑体"/>
          <w:b/>
          <w:bCs w:val="0"/>
          <w:color w:val="000000"/>
          <w:sz w:val="28"/>
          <w:szCs w:val="28"/>
          <w:highlight w:val="none"/>
          <w:lang w:eastAsia="zh-CN"/>
        </w:rPr>
        <w:t>（</w:t>
      </w:r>
      <w:r>
        <w:rPr>
          <w:rFonts w:hint="eastAsia" w:ascii="黑体" w:hAnsi="黑体" w:eastAsia="黑体" w:cs="黑体"/>
          <w:b/>
          <w:bCs w:val="0"/>
          <w:color w:val="000000"/>
          <w:sz w:val="28"/>
          <w:szCs w:val="28"/>
          <w:highlight w:val="none"/>
          <w:lang w:val="en-US" w:eastAsia="zh-CN"/>
        </w:rPr>
        <w:t>2024年度</w:t>
      </w:r>
      <w:r>
        <w:rPr>
          <w:rFonts w:hint="eastAsia" w:ascii="黑体" w:hAnsi="黑体" w:eastAsia="黑体" w:cs="黑体"/>
          <w:b/>
          <w:bCs w:val="0"/>
          <w:color w:val="000000"/>
          <w:sz w:val="28"/>
          <w:szCs w:val="28"/>
          <w:highlight w:val="none"/>
          <w:lang w:eastAsia="zh-CN"/>
        </w:rPr>
        <w:t>）</w:t>
      </w:r>
    </w:p>
    <w:p w14:paraId="3AFBF541">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color w:val="auto"/>
          <w:kern w:val="0"/>
          <w:sz w:val="32"/>
          <w:szCs w:val="32"/>
          <w:lang w:bidi="en-US"/>
        </w:rPr>
      </w:pPr>
    </w:p>
    <w:p w14:paraId="5B2FAEFF">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color w:val="auto"/>
          <w:kern w:val="0"/>
          <w:sz w:val="32"/>
          <w:szCs w:val="32"/>
          <w:lang w:bidi="en-US"/>
        </w:rPr>
      </w:pPr>
    </w:p>
    <w:p w14:paraId="60545A26">
      <w:pPr>
        <w:pStyle w:val="2"/>
        <w:rPr>
          <w:rFonts w:hint="eastAsia" w:eastAsia="方正仿宋_GBK" w:cs="方正仿宋_GBK"/>
          <w:b/>
          <w:color w:val="auto"/>
          <w:kern w:val="0"/>
          <w:sz w:val="32"/>
          <w:szCs w:val="32"/>
          <w:lang w:bidi="en-US"/>
        </w:rPr>
      </w:pPr>
    </w:p>
    <w:p w14:paraId="41E32888">
      <w:pPr>
        <w:rPr>
          <w:rFonts w:hint="eastAsia" w:eastAsia="方正仿宋_GBK" w:cs="方正仿宋_GBK"/>
          <w:b/>
          <w:color w:val="auto"/>
          <w:kern w:val="0"/>
          <w:sz w:val="32"/>
          <w:szCs w:val="32"/>
          <w:lang w:bidi="en-US"/>
        </w:rPr>
      </w:pPr>
    </w:p>
    <w:p w14:paraId="5C1AB6A0">
      <w:pPr>
        <w:pStyle w:val="2"/>
        <w:pageBreakBefore w:val="0"/>
        <w:widowControl w:val="0"/>
        <w:kinsoku/>
        <w:wordWrap/>
        <w:topLinePunct w:val="0"/>
        <w:autoSpaceDE/>
        <w:autoSpaceDN/>
        <w:bidi w:val="0"/>
        <w:spacing w:before="0" w:after="0" w:line="560" w:lineRule="exact"/>
        <w:ind w:left="0" w:leftChars="0" w:firstLine="0" w:firstLineChars="0"/>
        <w:textAlignment w:val="auto"/>
        <w:rPr>
          <w:rFonts w:hint="eastAsia" w:eastAsia="方正仿宋_GBK" w:cs="方正仿宋_GBK"/>
          <w:b/>
          <w:color w:val="auto"/>
          <w:sz w:val="32"/>
          <w:lang w:bidi="en-US"/>
        </w:rPr>
      </w:pPr>
    </w:p>
    <w:p w14:paraId="084F0C09">
      <w:pPr>
        <w:pageBreakBefore w:val="0"/>
        <w:widowControl w:val="0"/>
        <w:kinsoku/>
        <w:wordWrap/>
        <w:topLinePunct w:val="0"/>
        <w:autoSpaceDE/>
        <w:autoSpaceDN/>
        <w:bidi w:val="0"/>
        <w:spacing w:line="560" w:lineRule="exact"/>
        <w:ind w:left="0" w:leftChars="0" w:firstLine="560"/>
        <w:textAlignment w:val="auto"/>
        <w:rPr>
          <w:rFonts w:hint="eastAsia"/>
          <w:color w:val="auto"/>
        </w:rPr>
      </w:pPr>
    </w:p>
    <w:p w14:paraId="4944F6AD">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color w:val="auto"/>
          <w:kern w:val="0"/>
          <w:sz w:val="32"/>
          <w:szCs w:val="32"/>
          <w:lang w:bidi="en-US"/>
        </w:rPr>
      </w:pPr>
    </w:p>
    <w:p w14:paraId="310BA2E8">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eastAsia="zh-CN" w:bidi="en-US"/>
        </w:rPr>
      </w:pPr>
      <w:r>
        <w:rPr>
          <w:rFonts w:hint="eastAsia" w:ascii="宋体" w:hAnsi="宋体" w:eastAsia="宋体" w:cs="宋体"/>
          <w:b/>
          <w:bCs/>
          <w:color w:val="000000"/>
          <w:kern w:val="0"/>
          <w:sz w:val="28"/>
          <w:szCs w:val="28"/>
          <w:highlight w:val="none"/>
          <w:lang w:bidi="en-US"/>
        </w:rPr>
        <w:t>项目名称：洛浦县多鲁乡-拜什托格拉克乡农村道</w:t>
      </w:r>
    </w:p>
    <w:p w14:paraId="42C071F2">
      <w:pPr>
        <w:pageBreakBefore w:val="0"/>
        <w:widowControl w:val="0"/>
        <w:kinsoku/>
        <w:wordWrap/>
        <w:topLinePunct w:val="0"/>
        <w:autoSpaceDE/>
        <w:autoSpaceDN/>
        <w:bidi w:val="0"/>
        <w:spacing w:line="560" w:lineRule="exact"/>
        <w:ind w:left="0" w:leftChars="0" w:firstLine="2629" w:firstLineChars="939"/>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路改建工程项目</w:t>
      </w:r>
    </w:p>
    <w:p w14:paraId="00587E91">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项目单位：</w:t>
      </w:r>
      <w:r>
        <w:rPr>
          <w:rFonts w:hint="eastAsia" w:ascii="宋体" w:hAnsi="宋体" w:eastAsia="宋体" w:cs="宋体"/>
          <w:b/>
          <w:bCs/>
          <w:color w:val="000000"/>
          <w:kern w:val="0"/>
          <w:sz w:val="28"/>
          <w:szCs w:val="28"/>
          <w:highlight w:val="none"/>
          <w:lang w:eastAsia="zh-CN" w:bidi="en-US"/>
        </w:rPr>
        <w:t>洛浦县交通运输</w:t>
      </w:r>
      <w:r>
        <w:rPr>
          <w:rFonts w:hint="eastAsia" w:ascii="宋体" w:hAnsi="宋体" w:eastAsia="宋体" w:cs="宋体"/>
          <w:b/>
          <w:bCs/>
          <w:color w:val="000000"/>
          <w:kern w:val="0"/>
          <w:sz w:val="28"/>
          <w:szCs w:val="28"/>
          <w:highlight w:val="none"/>
          <w:lang w:bidi="en-US"/>
        </w:rPr>
        <w:t>局</w:t>
      </w:r>
    </w:p>
    <w:p w14:paraId="1D904360">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主管部门：</w:t>
      </w:r>
      <w:r>
        <w:rPr>
          <w:rFonts w:hint="eastAsia" w:ascii="宋体" w:hAnsi="宋体" w:eastAsia="宋体" w:cs="宋体"/>
          <w:b/>
          <w:bCs/>
          <w:color w:val="000000"/>
          <w:kern w:val="0"/>
          <w:sz w:val="28"/>
          <w:szCs w:val="28"/>
          <w:highlight w:val="none"/>
          <w:lang w:eastAsia="zh-CN" w:bidi="en-US"/>
        </w:rPr>
        <w:t>洛浦县</w:t>
      </w:r>
      <w:r>
        <w:rPr>
          <w:rFonts w:hint="eastAsia" w:ascii="宋体" w:hAnsi="宋体" w:eastAsia="宋体" w:cs="宋体"/>
          <w:b/>
          <w:bCs/>
          <w:color w:val="000000"/>
          <w:kern w:val="0"/>
          <w:sz w:val="28"/>
          <w:szCs w:val="28"/>
          <w:highlight w:val="none"/>
          <w:lang w:val="en-US" w:eastAsia="zh-CN" w:bidi="en-US"/>
        </w:rPr>
        <w:t>发展和改革委员会</w:t>
      </w:r>
    </w:p>
    <w:p w14:paraId="30928A5B">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eastAsia="zh-CN" w:bidi="en-US"/>
        </w:rPr>
      </w:pPr>
      <w:r>
        <w:rPr>
          <w:rFonts w:hint="eastAsia" w:ascii="宋体" w:hAnsi="宋体" w:eastAsia="宋体" w:cs="宋体"/>
          <w:b/>
          <w:bCs/>
          <w:color w:val="000000"/>
          <w:kern w:val="0"/>
          <w:sz w:val="28"/>
          <w:szCs w:val="28"/>
          <w:highlight w:val="none"/>
          <w:lang w:bidi="en-US"/>
        </w:rPr>
        <w:t>项目负责人：</w:t>
      </w:r>
      <w:r>
        <w:rPr>
          <w:rFonts w:hint="eastAsia" w:ascii="宋体" w:hAnsi="宋体" w:eastAsia="宋体" w:cs="宋体"/>
          <w:b/>
          <w:bCs/>
          <w:color w:val="000000"/>
          <w:kern w:val="0"/>
          <w:sz w:val="28"/>
          <w:szCs w:val="28"/>
          <w:highlight w:val="none"/>
          <w:lang w:eastAsia="zh-CN" w:bidi="en-US"/>
        </w:rPr>
        <w:t>张建</w:t>
      </w:r>
    </w:p>
    <w:p w14:paraId="6A221098">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填报时间：</w:t>
      </w:r>
      <w:r>
        <w:rPr>
          <w:rFonts w:hint="eastAsia" w:ascii="宋体" w:hAnsi="宋体" w:eastAsia="宋体" w:cs="宋体"/>
          <w:b/>
          <w:bCs/>
          <w:color w:val="000000"/>
          <w:kern w:val="0"/>
          <w:sz w:val="28"/>
          <w:szCs w:val="28"/>
          <w:highlight w:val="none"/>
          <w:lang w:val="en-US" w:eastAsia="zh-CN" w:bidi="en-US"/>
        </w:rPr>
        <w:t>2025</w:t>
      </w:r>
      <w:r>
        <w:rPr>
          <w:rFonts w:hint="eastAsia" w:ascii="宋体" w:hAnsi="宋体" w:eastAsia="宋体" w:cs="宋体"/>
          <w:b/>
          <w:bCs/>
          <w:color w:val="000000"/>
          <w:kern w:val="0"/>
          <w:sz w:val="28"/>
          <w:szCs w:val="28"/>
          <w:highlight w:val="none"/>
          <w:lang w:bidi="en-US"/>
        </w:rPr>
        <w:t xml:space="preserve"> 年 </w:t>
      </w:r>
      <w:r>
        <w:rPr>
          <w:rFonts w:hint="eastAsia" w:ascii="宋体" w:hAnsi="宋体" w:eastAsia="宋体" w:cs="宋体"/>
          <w:b/>
          <w:bCs/>
          <w:color w:val="000000"/>
          <w:kern w:val="0"/>
          <w:sz w:val="28"/>
          <w:szCs w:val="28"/>
          <w:highlight w:val="none"/>
          <w:lang w:val="en-US" w:eastAsia="zh-CN" w:bidi="en-US"/>
        </w:rPr>
        <w:t>3</w:t>
      </w:r>
      <w:r>
        <w:rPr>
          <w:rFonts w:hint="eastAsia" w:ascii="宋体" w:hAnsi="宋体" w:eastAsia="宋体" w:cs="宋体"/>
          <w:b/>
          <w:bCs/>
          <w:color w:val="000000"/>
          <w:kern w:val="0"/>
          <w:sz w:val="28"/>
          <w:szCs w:val="28"/>
          <w:highlight w:val="none"/>
          <w:lang w:bidi="en-US"/>
        </w:rPr>
        <w:t>月</w:t>
      </w:r>
      <w:r>
        <w:rPr>
          <w:rFonts w:hint="eastAsia" w:ascii="宋体" w:hAnsi="宋体" w:eastAsia="宋体" w:cs="宋体"/>
          <w:b/>
          <w:bCs/>
          <w:color w:val="000000"/>
          <w:kern w:val="0"/>
          <w:sz w:val="28"/>
          <w:szCs w:val="28"/>
          <w:highlight w:val="none"/>
          <w:lang w:val="en-US" w:eastAsia="zh-CN" w:bidi="en-US"/>
        </w:rPr>
        <w:t>10</w:t>
      </w:r>
      <w:r>
        <w:rPr>
          <w:rFonts w:hint="eastAsia" w:ascii="宋体" w:hAnsi="宋体" w:eastAsia="宋体" w:cs="宋体"/>
          <w:b/>
          <w:bCs/>
          <w:color w:val="000000"/>
          <w:kern w:val="0"/>
          <w:sz w:val="28"/>
          <w:szCs w:val="28"/>
          <w:highlight w:val="none"/>
          <w:lang w:bidi="en-US"/>
        </w:rPr>
        <w:t>日</w:t>
      </w:r>
    </w:p>
    <w:p w14:paraId="337BDB00">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color w:val="auto"/>
          <w:kern w:val="0"/>
          <w:sz w:val="24"/>
          <w:szCs w:val="24"/>
          <w:lang w:bidi="en-US"/>
        </w:rPr>
      </w:pPr>
    </w:p>
    <w:p w14:paraId="30CE0672">
      <w:pPr>
        <w:pStyle w:val="3"/>
        <w:keepNext/>
        <w:keepLines/>
        <w:pageBreakBefore w:val="0"/>
        <w:widowControl w:val="0"/>
        <w:numPr>
          <w:ilvl w:val="0"/>
          <w:numId w:val="0"/>
        </w:numPr>
        <w:kinsoku/>
        <w:wordWrap/>
        <w:overflowPunct/>
        <w:topLinePunct w:val="0"/>
        <w:autoSpaceDE/>
        <w:autoSpaceDN/>
        <w:bidi w:val="0"/>
        <w:adjustRightInd/>
        <w:snapToGrid/>
        <w:spacing w:before="0" w:after="0" w:line="360" w:lineRule="auto"/>
        <w:ind w:firstLine="480" w:firstLineChars="200"/>
        <w:jc w:val="both"/>
        <w:textAlignment w:val="auto"/>
        <w:rPr>
          <w:rFonts w:hint="eastAsia" w:ascii="黑体" w:hAnsi="黑体" w:eastAsia="黑体" w:cs="黑体"/>
          <w:color w:val="000000"/>
          <w:sz w:val="24"/>
          <w:szCs w:val="24"/>
          <w:highlight w:val="none"/>
        </w:rPr>
      </w:pPr>
      <w:r>
        <w:rPr>
          <w:rFonts w:hint="eastAsia" w:ascii="黑体" w:hAnsi="黑体" w:eastAsia="黑体" w:cs="黑体"/>
          <w:color w:val="000000"/>
          <w:sz w:val="24"/>
          <w:szCs w:val="24"/>
          <w:highlight w:val="none"/>
          <w:lang w:val="en-US" w:eastAsia="zh-CN"/>
        </w:rPr>
        <w:t>一、</w:t>
      </w:r>
      <w:r>
        <w:rPr>
          <w:rFonts w:hint="eastAsia" w:ascii="黑体" w:hAnsi="黑体" w:eastAsia="黑体" w:cs="黑体"/>
          <w:color w:val="000000"/>
          <w:sz w:val="24"/>
          <w:szCs w:val="24"/>
          <w:highlight w:val="none"/>
        </w:rPr>
        <w:t>基本情况</w:t>
      </w:r>
    </w:p>
    <w:p w14:paraId="1134FD07">
      <w:pPr>
        <w:pStyle w:val="48"/>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bookmarkStart w:id="0" w:name="_Toc68364658"/>
      <w:r>
        <w:rPr>
          <w:rFonts w:hint="eastAsia" w:ascii="宋体" w:hAnsi="宋体" w:eastAsia="宋体" w:cs="宋体"/>
          <w:color w:val="000000"/>
          <w:sz w:val="24"/>
          <w:szCs w:val="24"/>
          <w:highlight w:val="none"/>
          <w:lang w:eastAsia="zh-CN"/>
        </w:rPr>
        <w:t>（一）</w:t>
      </w:r>
      <w:r>
        <w:rPr>
          <w:rFonts w:hint="eastAsia" w:ascii="宋体" w:hAnsi="宋体" w:eastAsia="宋体" w:cs="宋体"/>
          <w:color w:val="000000"/>
          <w:sz w:val="24"/>
          <w:szCs w:val="24"/>
          <w:highlight w:val="none"/>
        </w:rPr>
        <w:t>项目概况</w:t>
      </w:r>
      <w:bookmarkEnd w:id="0"/>
    </w:p>
    <w:p w14:paraId="0CEDB29F">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1.项目背景</w:t>
      </w:r>
    </w:p>
    <w:p w14:paraId="4207D58F">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全面落实国家支持南疆四地州发展的优惠政策，坚持自治区财力分配、重大基础设施建设配套资金安排和重大民生项目投入向南疆倾斜，促进南疆经济社会结构调整，完善产业空间布局，提高经济发展质量和效益。加强基础设施建设，优先布局建设一批交通、水利、能源等重大基础设施，破解南疆发展的瓶颈制约。</w:t>
      </w:r>
    </w:p>
    <w:p w14:paraId="0FC3EED7">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继续把公共基础设施建设的重点放在农村，着力推进往村覆盖、往户延伸。有序推动乡镇通三级及以上公路建设，具备条件的建制村通双车道建设，大力实施自然村（组）通硬化路。以支持乡村产业为主，建设一批乡村旅游路、资源路、产业路。推进“四好农村路”建设。全面实施路长制。本项目的实施将进一步完善洛浦县域内农村区域路网结构，提高路网服务功能，改善区域交通环境，提升道路交通服务水平，促进村镇协调发展。项目的实施，将主要方便多鲁镇沿线各村，拜什托格拉克乡日常出行问题，提高道路的整体通行能力，完善乡村基础设施建设，改善居民生活环境，促进当地经济的快速发展都具有非常重要的意义。     </w:t>
      </w:r>
    </w:p>
    <w:p w14:paraId="6F309082">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2.</w:t>
      </w:r>
      <w:r>
        <w:rPr>
          <w:rFonts w:hint="eastAsia" w:ascii="宋体" w:hAnsi="宋体" w:eastAsia="宋体" w:cs="宋体"/>
          <w:b/>
          <w:bCs/>
          <w:color w:val="000000"/>
          <w:sz w:val="24"/>
          <w:szCs w:val="24"/>
          <w:highlight w:val="none"/>
        </w:rPr>
        <w:t>主要内容及实施情况</w:t>
      </w:r>
    </w:p>
    <w:p w14:paraId="2BD99152">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1）主要内容</w:t>
      </w:r>
    </w:p>
    <w:p w14:paraId="5B65185D">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项目位于洛浦县境内，共由1条路线组成，路线起点位于X655县道K5+355处，路线为多鲁镇至拜什托格拉克乡的主干道，本项目路线是居民生活及出入的重要道路。路线长度23.602km，共计1条路线2座危桥，本项目采用三级公路设计等级。项目建设内容主要包括路基工程、路面工程、桥涵工程、交叉工程、交通安全及附属设施。</w:t>
      </w:r>
    </w:p>
    <w:p w14:paraId="4ECDDA7E">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（2）实施情况</w:t>
      </w:r>
    </w:p>
    <w:p w14:paraId="62C1156F">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1）项目实施主体</w:t>
      </w:r>
    </w:p>
    <w:p w14:paraId="10F61BEB">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lang w:val="en-US" w:eastAsia="zh-CN"/>
        </w:rPr>
        <w:t>本项目主管部门为</w:t>
      </w:r>
      <w:r>
        <w:rPr>
          <w:rFonts w:hint="eastAsia" w:ascii="宋体" w:hAnsi="宋体" w:eastAsia="宋体" w:cs="宋体"/>
          <w:color w:val="auto"/>
          <w:sz w:val="24"/>
          <w:szCs w:val="24"/>
        </w:rPr>
        <w:t>洛浦县发展和改革</w:t>
      </w:r>
      <w:r>
        <w:rPr>
          <w:rFonts w:hint="eastAsia" w:ascii="宋体" w:hAnsi="宋体" w:eastAsia="宋体" w:cs="宋体"/>
          <w:color w:val="auto"/>
          <w:sz w:val="24"/>
          <w:szCs w:val="24"/>
          <w:highlight w:val="none"/>
        </w:rPr>
        <w:t>委员会</w:t>
      </w:r>
      <w:r>
        <w:rPr>
          <w:rFonts w:hint="eastAsia" w:ascii="宋体" w:hAnsi="宋体" w:eastAsia="宋体" w:cs="宋体"/>
          <w:b w:val="0"/>
          <w:bCs w:val="0"/>
          <w:color w:val="auto"/>
          <w:sz w:val="24"/>
          <w:szCs w:val="24"/>
          <w:highlight w:val="none"/>
          <w:lang w:val="en-US" w:eastAsia="zh-CN"/>
        </w:rPr>
        <w:t>，实施单位为洛浦县洛浦县交通运输局。</w:t>
      </w:r>
    </w:p>
    <w:p w14:paraId="48FC9748">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2）项目实施时间</w:t>
      </w:r>
    </w:p>
    <w:p w14:paraId="705C3322">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2024年1月-2024年6月</w:t>
      </w:r>
    </w:p>
    <w:p w14:paraId="46C20559">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3）项目实施情况</w:t>
      </w:r>
    </w:p>
    <w:p w14:paraId="1B1B4668">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本项目于2024年12月25日前全部完工。</w:t>
      </w:r>
    </w:p>
    <w:p w14:paraId="50CB5774">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本项目2024年1月经洛浦县发改委下达《关于洛浦县多鲁乡-拜什托格拉克乡农村道路改建工程实方案的批复》（洛发改项目〔2024〕40号），由爱建信达工程咨询有限公司编制实施方案，项目采用公开招标方式确定施工单位为新疆东升万和建设工程有限公司，并签订了施工合同，确定监理单位为包头市路通公路工程监理咨询有限责任公司签订监理合同。项目已进行完工验收，并进行决算审计。</w:t>
      </w:r>
    </w:p>
    <w:p w14:paraId="64CF3241">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3</w:t>
      </w:r>
      <w:r>
        <w:rPr>
          <w:rFonts w:hint="eastAsia" w:ascii="宋体" w:hAnsi="宋体" w:eastAsia="宋体" w:cs="宋体"/>
          <w:b/>
          <w:bCs/>
          <w:color w:val="000000"/>
          <w:sz w:val="24"/>
          <w:szCs w:val="24"/>
          <w:highlight w:val="none"/>
        </w:rPr>
        <w:t>.资金投入和使用情况</w:t>
      </w:r>
    </w:p>
    <w:p w14:paraId="73F19AA5">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（1）项目资金安排</w:t>
      </w: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rPr>
        <w:t>投入情况</w:t>
      </w:r>
    </w:p>
    <w:p w14:paraId="5DCA3DBE">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本项目预算安排总额为1469.4万元，资金来源为中央专项资金，其中：财政资金1469.4万元，其他资金0万元，2024年实际收到预算资金1469.4万元，预算资金到位率为100%。</w:t>
      </w:r>
    </w:p>
    <w:p w14:paraId="008B4DAF">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（2）项目资金实际使用情况分析</w:t>
      </w:r>
    </w:p>
    <w:p w14:paraId="097780AD">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lang w:eastAsia="zh-CN"/>
        </w:rPr>
        <w:t>截止</w:t>
      </w:r>
      <w:r>
        <w:rPr>
          <w:rFonts w:hint="eastAsia" w:ascii="宋体" w:hAnsi="宋体" w:eastAsia="宋体" w:cs="宋体"/>
          <w:color w:val="auto"/>
          <w:sz w:val="24"/>
          <w:szCs w:val="24"/>
          <w:lang w:val="en-US" w:eastAsia="zh-CN"/>
        </w:rPr>
        <w:t>202</w:t>
      </w:r>
      <w:r>
        <w:rPr>
          <w:rFonts w:hint="eastAsia" w:ascii="宋体" w:hAnsi="宋体" w:eastAsia="宋体" w:cs="宋体"/>
          <w:color w:val="auto"/>
          <w:sz w:val="24"/>
          <w:szCs w:val="24"/>
          <w:highlight w:val="none"/>
          <w:lang w:val="en-US" w:eastAsia="zh-CN"/>
        </w:rPr>
        <w:t>4年12月31日，</w:t>
      </w:r>
      <w:r>
        <w:rPr>
          <w:rFonts w:hint="eastAsia" w:ascii="宋体" w:hAnsi="宋体" w:eastAsia="宋体" w:cs="宋体"/>
          <w:color w:val="auto"/>
          <w:sz w:val="24"/>
          <w:szCs w:val="24"/>
          <w:highlight w:val="none"/>
        </w:rPr>
        <w:t>本项目实际支付资金</w:t>
      </w:r>
      <w:r>
        <w:rPr>
          <w:rFonts w:hint="eastAsia" w:ascii="宋体" w:hAnsi="宋体" w:eastAsia="宋体" w:cs="宋体"/>
          <w:color w:val="auto"/>
          <w:sz w:val="24"/>
          <w:szCs w:val="24"/>
          <w:highlight w:val="none"/>
          <w:lang w:val="en-US" w:eastAsia="zh-CN"/>
        </w:rPr>
        <w:t>1454.31</w:t>
      </w:r>
      <w:r>
        <w:rPr>
          <w:rFonts w:hint="eastAsia" w:ascii="宋体" w:hAnsi="宋体" w:eastAsia="宋体" w:cs="宋体"/>
          <w:color w:val="auto"/>
          <w:sz w:val="24"/>
          <w:szCs w:val="24"/>
          <w:highlight w:val="none"/>
        </w:rPr>
        <w:t>万元，预算执行率</w:t>
      </w:r>
      <w:r>
        <w:rPr>
          <w:rFonts w:hint="eastAsia" w:ascii="宋体" w:hAnsi="宋体" w:eastAsia="宋体" w:cs="宋体"/>
          <w:color w:val="auto"/>
          <w:sz w:val="24"/>
          <w:szCs w:val="24"/>
          <w:highlight w:val="none"/>
          <w:lang w:val="en-US" w:eastAsia="zh-CN"/>
        </w:rPr>
        <w:t>99.96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，剩余</w:t>
      </w:r>
      <w:r>
        <w:rPr>
          <w:rFonts w:hint="eastAsia" w:ascii="宋体" w:hAnsi="宋体" w:eastAsia="宋体" w:cs="宋体"/>
          <w:color w:val="auto"/>
          <w:sz w:val="24"/>
          <w:szCs w:val="24"/>
          <w:highlight w:val="none"/>
          <w:lang w:val="en-US" w:eastAsia="zh-CN"/>
        </w:rPr>
        <w:t>15.09万元为</w:t>
      </w:r>
      <w:r>
        <w:rPr>
          <w:rFonts w:hint="eastAsia" w:ascii="宋体" w:hAnsi="宋体" w:eastAsia="宋体" w:cs="宋体"/>
          <w:color w:val="auto"/>
          <w:sz w:val="24"/>
          <w:szCs w:val="24"/>
          <w:highlight w:val="none"/>
          <w:lang w:eastAsia="zh-CN"/>
        </w:rPr>
        <w:t>工程款</w:t>
      </w:r>
      <w:r>
        <w:rPr>
          <w:rFonts w:hint="eastAsia" w:ascii="宋体" w:hAnsi="宋体" w:eastAsia="宋体" w:cs="宋体"/>
          <w:color w:val="auto"/>
          <w:sz w:val="24"/>
          <w:szCs w:val="24"/>
          <w:highlight w:val="none"/>
          <w:lang w:val="en-US" w:eastAsia="zh-CN"/>
        </w:rPr>
        <w:t>，还未形成支付待2025年支付</w:t>
      </w:r>
      <w:r>
        <w:rPr>
          <w:rFonts w:hint="eastAsia" w:ascii="宋体" w:hAnsi="宋体" w:eastAsia="宋体" w:cs="宋体"/>
          <w:color w:val="auto"/>
          <w:sz w:val="24"/>
          <w:szCs w:val="24"/>
          <w:highlight w:val="none"/>
        </w:rPr>
        <w:t>。本项目资金主要用于支付</w:t>
      </w:r>
      <w:r>
        <w:rPr>
          <w:rFonts w:hint="eastAsia" w:ascii="宋体" w:hAnsi="宋体" w:eastAsia="宋体" w:cs="宋体"/>
          <w:color w:val="auto"/>
          <w:sz w:val="24"/>
          <w:szCs w:val="24"/>
          <w:highlight w:val="none"/>
          <w:lang w:eastAsia="zh-CN"/>
        </w:rPr>
        <w:t>工程款</w:t>
      </w:r>
      <w:r>
        <w:rPr>
          <w:rFonts w:hint="eastAsia" w:ascii="宋体" w:hAnsi="宋体" w:eastAsia="宋体" w:cs="宋体"/>
          <w:color w:val="auto"/>
          <w:sz w:val="24"/>
          <w:szCs w:val="24"/>
          <w:highlight w:val="none"/>
          <w:lang w:val="en-US" w:eastAsia="zh-CN"/>
        </w:rPr>
        <w:t>1378.21</w:t>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highlight w:val="none"/>
          <w:lang w:eastAsia="zh-CN"/>
        </w:rPr>
        <w:t>监理</w:t>
      </w:r>
      <w:r>
        <w:rPr>
          <w:rFonts w:hint="eastAsia" w:ascii="宋体" w:hAnsi="宋体" w:eastAsia="宋体" w:cs="宋体"/>
          <w:color w:val="auto"/>
          <w:sz w:val="24"/>
          <w:szCs w:val="24"/>
          <w:highlight w:val="none"/>
        </w:rPr>
        <w:t>费用</w:t>
      </w:r>
      <w:r>
        <w:rPr>
          <w:rFonts w:hint="eastAsia" w:ascii="宋体" w:hAnsi="宋体" w:eastAsia="宋体" w:cs="宋体"/>
          <w:color w:val="auto"/>
          <w:sz w:val="24"/>
          <w:szCs w:val="24"/>
          <w:highlight w:val="none"/>
          <w:lang w:val="en-US" w:eastAsia="zh-CN"/>
        </w:rPr>
        <w:t>29.33</w:t>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highlight w:val="none"/>
          <w:lang w:eastAsia="zh-CN"/>
        </w:rPr>
        <w:t>、其他二类费</w:t>
      </w:r>
      <w:r>
        <w:rPr>
          <w:rFonts w:hint="eastAsia" w:ascii="宋体" w:hAnsi="宋体" w:eastAsia="宋体" w:cs="宋体"/>
          <w:color w:val="auto"/>
          <w:sz w:val="24"/>
          <w:szCs w:val="24"/>
          <w:highlight w:val="none"/>
          <w:lang w:val="en-US" w:eastAsia="zh-CN"/>
        </w:rPr>
        <w:t>46.77万元</w:t>
      </w:r>
      <w:r>
        <w:rPr>
          <w:rFonts w:hint="eastAsia" w:ascii="宋体" w:hAnsi="宋体" w:eastAsia="宋体" w:cs="宋体"/>
          <w:color w:val="auto"/>
          <w:sz w:val="24"/>
          <w:szCs w:val="24"/>
          <w:highlight w:val="none"/>
        </w:rPr>
        <w:t>。</w:t>
      </w:r>
    </w:p>
    <w:p w14:paraId="44A95F59">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 w:name="_Toc68364659"/>
      <w:r>
        <w:rPr>
          <w:rFonts w:hint="eastAsia" w:ascii="宋体" w:hAnsi="宋体" w:eastAsia="宋体" w:cs="宋体"/>
          <w:color w:val="auto"/>
          <w:sz w:val="24"/>
          <w:szCs w:val="24"/>
        </w:rPr>
        <w:t>（二）项目绩效目标</w:t>
      </w:r>
      <w:bookmarkEnd w:id="1"/>
    </w:p>
    <w:p w14:paraId="7E0965D8">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项目绩效目标包括项目总</w:t>
      </w:r>
      <w:r>
        <w:rPr>
          <w:rFonts w:hint="eastAsia" w:ascii="宋体" w:hAnsi="宋体" w:eastAsia="宋体" w:cs="宋体"/>
          <w:color w:val="auto"/>
          <w:sz w:val="24"/>
          <w:szCs w:val="24"/>
          <w:lang w:val="en-US" w:eastAsia="zh-CN"/>
        </w:rPr>
        <w:t>体</w:t>
      </w:r>
      <w:r>
        <w:rPr>
          <w:rFonts w:hint="eastAsia" w:ascii="宋体" w:hAnsi="宋体" w:eastAsia="宋体" w:cs="宋体"/>
          <w:color w:val="auto"/>
          <w:sz w:val="24"/>
          <w:szCs w:val="24"/>
        </w:rPr>
        <w:t>目标和阶段性目标。</w:t>
      </w:r>
    </w:p>
    <w:p w14:paraId="445AB28B">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1.总</w:t>
      </w:r>
      <w:r>
        <w:rPr>
          <w:rFonts w:hint="eastAsia" w:ascii="宋体" w:hAnsi="宋体" w:eastAsia="宋体" w:cs="宋体"/>
          <w:b/>
          <w:bCs/>
          <w:color w:val="auto"/>
          <w:sz w:val="24"/>
          <w:szCs w:val="24"/>
          <w:lang w:val="en-US" w:eastAsia="zh-CN"/>
        </w:rPr>
        <w:t>体</w:t>
      </w:r>
      <w:r>
        <w:rPr>
          <w:rFonts w:hint="eastAsia" w:ascii="宋体" w:hAnsi="宋体" w:eastAsia="宋体" w:cs="宋体"/>
          <w:b/>
          <w:bCs/>
          <w:color w:val="auto"/>
          <w:sz w:val="24"/>
          <w:szCs w:val="24"/>
        </w:rPr>
        <w:t>目标</w:t>
      </w:r>
    </w:p>
    <w:p w14:paraId="4E090956">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eastAsia="zh-CN"/>
        </w:rPr>
      </w:pPr>
      <w:r>
        <w:rPr>
          <w:rFonts w:hint="eastAsia" w:ascii="宋体" w:hAnsi="宋体" w:eastAsia="宋体" w:cs="宋体"/>
          <w:color w:val="000000"/>
          <w:sz w:val="24"/>
          <w:szCs w:val="24"/>
          <w:highlight w:val="none"/>
        </w:rPr>
        <w:t>根据《关于</w:t>
      </w:r>
      <w:r>
        <w:rPr>
          <w:rFonts w:hint="eastAsia" w:ascii="宋体" w:hAnsi="宋体" w:eastAsia="宋体" w:cs="宋体"/>
          <w:color w:val="000000"/>
          <w:sz w:val="24"/>
          <w:szCs w:val="24"/>
          <w:highlight w:val="none"/>
          <w:lang w:eastAsia="zh-CN"/>
        </w:rPr>
        <w:t>提前</w:t>
      </w:r>
      <w:r>
        <w:rPr>
          <w:rFonts w:hint="eastAsia" w:ascii="宋体" w:hAnsi="宋体" w:eastAsia="宋体" w:cs="宋体"/>
          <w:color w:val="000000"/>
          <w:sz w:val="24"/>
          <w:szCs w:val="24"/>
          <w:highlight w:val="none"/>
        </w:rPr>
        <w:t>下达</w:t>
      </w:r>
      <w:r>
        <w:rPr>
          <w:rFonts w:hint="eastAsia" w:ascii="宋体" w:hAnsi="宋体" w:eastAsia="宋体" w:cs="宋体"/>
          <w:color w:val="000000"/>
          <w:sz w:val="24"/>
          <w:szCs w:val="24"/>
          <w:highlight w:val="none"/>
          <w:lang w:val="en-US" w:eastAsia="zh-CN"/>
        </w:rPr>
        <w:t>2024年车辆购置税收入补助地方（第一批）用于普通省道及农村公路建设“以奖代补”资金预算</w:t>
      </w:r>
      <w:r>
        <w:rPr>
          <w:rFonts w:hint="eastAsia" w:ascii="宋体" w:hAnsi="宋体" w:eastAsia="宋体" w:cs="宋体"/>
          <w:color w:val="000000"/>
          <w:sz w:val="24"/>
          <w:szCs w:val="24"/>
          <w:highlight w:val="none"/>
        </w:rPr>
        <w:t>的通知》（和地财</w:t>
      </w:r>
      <w:r>
        <w:rPr>
          <w:rFonts w:hint="eastAsia" w:ascii="宋体" w:hAnsi="宋体" w:eastAsia="宋体" w:cs="宋体"/>
          <w:color w:val="000000"/>
          <w:sz w:val="24"/>
          <w:szCs w:val="24"/>
          <w:highlight w:val="none"/>
          <w:lang w:eastAsia="zh-CN"/>
        </w:rPr>
        <w:t>建</w:t>
      </w:r>
      <w:r>
        <w:rPr>
          <w:rFonts w:hint="eastAsia" w:ascii="宋体" w:hAnsi="宋体" w:eastAsia="宋体" w:cs="宋体"/>
          <w:color w:val="000000"/>
          <w:sz w:val="24"/>
          <w:szCs w:val="24"/>
          <w:highlight w:val="none"/>
        </w:rPr>
        <w:t>〔2023〕</w:t>
      </w:r>
      <w:r>
        <w:rPr>
          <w:rFonts w:hint="eastAsia" w:ascii="宋体" w:hAnsi="宋体" w:eastAsia="宋体" w:cs="宋体"/>
          <w:color w:val="000000"/>
          <w:sz w:val="24"/>
          <w:szCs w:val="24"/>
          <w:highlight w:val="none"/>
          <w:lang w:val="en-US" w:eastAsia="zh-CN"/>
        </w:rPr>
        <w:t>117</w:t>
      </w:r>
      <w:r>
        <w:rPr>
          <w:rFonts w:hint="eastAsia" w:ascii="宋体" w:hAnsi="宋体" w:eastAsia="宋体" w:cs="宋体"/>
          <w:color w:val="000000"/>
          <w:sz w:val="24"/>
          <w:szCs w:val="24"/>
          <w:highlight w:val="none"/>
        </w:rPr>
        <w:t>号）文件</w:t>
      </w:r>
      <w:r>
        <w:rPr>
          <w:rFonts w:hint="eastAsia" w:ascii="宋体" w:hAnsi="宋体" w:eastAsia="宋体" w:cs="宋体"/>
          <w:color w:val="000000"/>
          <w:sz w:val="24"/>
          <w:szCs w:val="24"/>
          <w:highlight w:val="none"/>
          <w:lang w:eastAsia="zh-CN"/>
        </w:rPr>
        <w:t>实施。项目总投资</w:t>
      </w:r>
      <w:r>
        <w:rPr>
          <w:rFonts w:hint="eastAsia" w:ascii="宋体" w:hAnsi="宋体" w:eastAsia="宋体" w:cs="宋体"/>
          <w:color w:val="000000"/>
          <w:sz w:val="24"/>
          <w:szCs w:val="24"/>
          <w:highlight w:val="none"/>
          <w:lang w:val="en-US" w:eastAsia="zh-CN"/>
        </w:rPr>
        <w:t>1464.9万元，建设内容：</w:t>
      </w:r>
      <w:r>
        <w:rPr>
          <w:rFonts w:hint="eastAsia" w:ascii="宋体" w:hAnsi="宋体" w:eastAsia="宋体" w:cs="宋体"/>
          <w:color w:val="auto"/>
          <w:sz w:val="24"/>
          <w:szCs w:val="24"/>
          <w:lang w:eastAsia="zh-CN"/>
        </w:rPr>
        <w:t>建设路线长度23.602km，共计1条路线2座危桥，采用三级公路设计等级。包括路基工程、路面工程、桥涵工程、交叉工程、交通安全及附属设施。通过该项目的实施，可增加农民的收入，改善当地落后的生产生活面貌，使农户不断改变落后的局面，逐渐走向富裕。</w:t>
      </w:r>
    </w:p>
    <w:p w14:paraId="187A9736">
      <w:pPr>
        <w:pStyle w:val="45"/>
        <w:pageBreakBefore w:val="0"/>
        <w:widowControl w:val="0"/>
        <w:numPr>
          <w:ilvl w:val="0"/>
          <w:numId w:val="2"/>
        </w:numPr>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000000"/>
          <w:sz w:val="24"/>
          <w:szCs w:val="24"/>
          <w:highlight w:val="none"/>
        </w:rPr>
      </w:pPr>
      <w:bookmarkStart w:id="2" w:name="_Toc68364660"/>
      <w:r>
        <w:rPr>
          <w:rFonts w:hint="eastAsia" w:ascii="宋体" w:hAnsi="宋体" w:eastAsia="宋体" w:cs="宋体"/>
          <w:b/>
          <w:bCs/>
          <w:color w:val="000000"/>
          <w:sz w:val="24"/>
          <w:szCs w:val="24"/>
          <w:highlight w:val="none"/>
        </w:rPr>
        <w:t>阶段性目标</w:t>
      </w:r>
    </w:p>
    <w:p w14:paraId="7F531324">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我</w:t>
      </w:r>
      <w:r>
        <w:rPr>
          <w:rFonts w:hint="eastAsia" w:ascii="宋体" w:hAnsi="宋体" w:eastAsia="宋体" w:cs="宋体"/>
          <w:color w:val="auto"/>
          <w:sz w:val="24"/>
          <w:szCs w:val="24"/>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639E3240">
      <w:pPr>
        <w:pStyle w:val="45"/>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产出指标</w:t>
      </w:r>
    </w:p>
    <w:p w14:paraId="226F57E3">
      <w:pPr>
        <w:pStyle w:val="45"/>
        <w:pageBreakBefore w:val="0"/>
        <w:widowControl w:val="0"/>
        <w:numPr>
          <w:ilvl w:val="0"/>
          <w:numId w:val="4"/>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数量指标:</w:t>
      </w:r>
    </w:p>
    <w:p w14:paraId="18598154">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指标1：道路改建长度</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w:t>
      </w:r>
      <w:r>
        <w:rPr>
          <w:rFonts w:hint="eastAsia" w:ascii="宋体" w:hAnsi="宋体" w:eastAsia="宋体" w:cs="宋体"/>
          <w:color w:val="auto"/>
          <w:sz w:val="24"/>
          <w:szCs w:val="24"/>
          <w:lang w:val="en-US" w:eastAsia="zh-CN"/>
        </w:rPr>
        <w:t>≥23.602千米</w:t>
      </w:r>
      <w:r>
        <w:rPr>
          <w:rFonts w:hint="eastAsia" w:ascii="宋体" w:hAnsi="宋体" w:eastAsia="宋体" w:cs="宋体"/>
          <w:color w:val="auto"/>
          <w:sz w:val="24"/>
          <w:szCs w:val="24"/>
        </w:rPr>
        <w:t>；</w:t>
      </w:r>
    </w:p>
    <w:p w14:paraId="69644588">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2）质量指标：</w:t>
      </w:r>
    </w:p>
    <w:p w14:paraId="3DBBA35A">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指标1：实施路段技术状况水平提高率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60BA34F4">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指标2：</w:t>
      </w:r>
      <w:r>
        <w:rPr>
          <w:rFonts w:hint="eastAsia" w:ascii="宋体" w:hAnsi="宋体" w:eastAsia="宋体" w:cs="宋体"/>
          <w:color w:val="auto"/>
          <w:sz w:val="24"/>
          <w:szCs w:val="24"/>
          <w:lang w:eastAsia="zh-CN"/>
        </w:rPr>
        <w:t>工程验收合格率，</w:t>
      </w:r>
      <w:r>
        <w:rPr>
          <w:rFonts w:hint="eastAsia" w:ascii="宋体" w:hAnsi="宋体" w:eastAsia="宋体" w:cs="宋体"/>
          <w:color w:val="auto"/>
          <w:sz w:val="24"/>
          <w:szCs w:val="24"/>
        </w:rPr>
        <w:t>预期指标值</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411BC190">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3）时效</w:t>
      </w:r>
      <w:r>
        <w:rPr>
          <w:rFonts w:hint="eastAsia" w:ascii="宋体" w:hAnsi="宋体" w:eastAsia="宋体" w:cs="宋体"/>
          <w:color w:val="auto"/>
          <w:sz w:val="24"/>
          <w:szCs w:val="24"/>
          <w:lang w:val="en-US" w:eastAsia="zh-CN"/>
        </w:rPr>
        <w:t>指标</w:t>
      </w:r>
      <w:r>
        <w:rPr>
          <w:rFonts w:hint="eastAsia" w:ascii="宋体" w:hAnsi="宋体" w:eastAsia="宋体" w:cs="宋体"/>
          <w:color w:val="auto"/>
          <w:sz w:val="24"/>
          <w:szCs w:val="24"/>
        </w:rPr>
        <w:t>：</w:t>
      </w:r>
    </w:p>
    <w:p w14:paraId="0E2C4AAA">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w:t>
      </w:r>
      <w:r>
        <w:rPr>
          <w:rFonts w:hint="eastAsia" w:ascii="宋体" w:hAnsi="宋体" w:eastAsia="宋体" w:cs="宋体"/>
          <w:color w:val="auto"/>
          <w:sz w:val="24"/>
          <w:szCs w:val="24"/>
          <w:lang w:eastAsia="zh-CN"/>
        </w:rPr>
        <w:t>项目开始时间，</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val="en-US" w:eastAsia="zh-CN"/>
        </w:rPr>
        <w:t>2024年1月</w:t>
      </w:r>
      <w:r>
        <w:rPr>
          <w:rFonts w:hint="eastAsia" w:ascii="宋体" w:hAnsi="宋体" w:eastAsia="宋体" w:cs="宋体"/>
          <w:color w:val="auto"/>
          <w:sz w:val="24"/>
          <w:szCs w:val="24"/>
        </w:rPr>
        <w:t>；</w:t>
      </w:r>
    </w:p>
    <w:p w14:paraId="49FB1C6C">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指标2：</w:t>
      </w:r>
      <w:r>
        <w:rPr>
          <w:rFonts w:hint="eastAsia" w:ascii="宋体" w:hAnsi="宋体" w:eastAsia="宋体" w:cs="宋体"/>
          <w:color w:val="auto"/>
          <w:sz w:val="24"/>
          <w:szCs w:val="24"/>
          <w:lang w:eastAsia="zh-CN"/>
        </w:rPr>
        <w:t>项目结束时间，</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val="en-US" w:eastAsia="zh-CN"/>
        </w:rPr>
        <w:t>2024年6月</w:t>
      </w:r>
      <w:r>
        <w:rPr>
          <w:rFonts w:hint="eastAsia" w:ascii="宋体" w:hAnsi="宋体" w:eastAsia="宋体" w:cs="宋体"/>
          <w:color w:val="auto"/>
          <w:sz w:val="24"/>
          <w:szCs w:val="24"/>
        </w:rPr>
        <w:t>；</w:t>
      </w:r>
    </w:p>
    <w:p w14:paraId="06F64832">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资金支付及时率，</w:t>
      </w:r>
      <w:r>
        <w:rPr>
          <w:rFonts w:hint="eastAsia" w:ascii="宋体" w:hAnsi="宋体" w:eastAsia="宋体" w:cs="宋体"/>
          <w:color w:val="auto"/>
          <w:sz w:val="24"/>
          <w:szCs w:val="24"/>
        </w:rPr>
        <w:t>预期指标值</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61A5AAEB">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 xml:space="preserve">（2）成本指标： </w:t>
      </w:r>
    </w:p>
    <w:p w14:paraId="1C6C3C5B">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1）经济成本指标</w:t>
      </w:r>
    </w:p>
    <w:p w14:paraId="6E713189">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w:t>
      </w:r>
      <w:r>
        <w:rPr>
          <w:rFonts w:hint="eastAsia" w:ascii="宋体" w:hAnsi="宋体" w:eastAsia="宋体" w:cs="宋体"/>
          <w:color w:val="auto"/>
          <w:sz w:val="24"/>
          <w:szCs w:val="24"/>
          <w:lang w:eastAsia="zh-CN"/>
        </w:rPr>
        <w:t>道路改建成本，</w:t>
      </w:r>
      <w:r>
        <w:rPr>
          <w:rFonts w:hint="eastAsia" w:ascii="宋体" w:hAnsi="宋体" w:eastAsia="宋体" w:cs="宋体"/>
          <w:color w:val="auto"/>
          <w:sz w:val="24"/>
          <w:szCs w:val="24"/>
        </w:rPr>
        <w:t>预期指标值</w:t>
      </w:r>
      <w:r>
        <w:rPr>
          <w:rFonts w:hint="eastAsia" w:ascii="宋体" w:hAnsi="宋体" w:eastAsia="宋体" w:cs="宋体"/>
          <w:color w:val="auto"/>
          <w:sz w:val="24"/>
          <w:szCs w:val="24"/>
          <w:lang w:val="en-US" w:eastAsia="zh-CN"/>
        </w:rPr>
        <w:t>≤62.25万元/千米</w:t>
      </w:r>
      <w:r>
        <w:rPr>
          <w:rFonts w:hint="eastAsia" w:ascii="宋体" w:hAnsi="宋体" w:eastAsia="宋体" w:cs="宋体"/>
          <w:color w:val="auto"/>
          <w:sz w:val="24"/>
          <w:szCs w:val="24"/>
        </w:rPr>
        <w:t>；</w:t>
      </w:r>
    </w:p>
    <w:p w14:paraId="57F2DC0A">
      <w:pPr>
        <w:pStyle w:val="45"/>
        <w:pageBreakBefore w:val="0"/>
        <w:widowControl w:val="0"/>
        <w:numPr>
          <w:ilvl w:val="0"/>
          <w:numId w:val="4"/>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社会成本指标</w:t>
      </w:r>
    </w:p>
    <w:p w14:paraId="0F0542FC">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000000"/>
          <w:sz w:val="24"/>
          <w:szCs w:val="24"/>
          <w:highlight w:val="none"/>
          <w:lang w:val="en-US" w:eastAsia="zh-CN"/>
        </w:rPr>
        <w:t>该项目无社会成本指标；</w:t>
      </w:r>
    </w:p>
    <w:p w14:paraId="436A6E99">
      <w:pPr>
        <w:pStyle w:val="45"/>
        <w:pageBreakBefore w:val="0"/>
        <w:widowControl w:val="0"/>
        <w:numPr>
          <w:ilvl w:val="0"/>
          <w:numId w:val="4"/>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生态成本指标</w:t>
      </w:r>
    </w:p>
    <w:p w14:paraId="08A57199">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000000"/>
          <w:sz w:val="24"/>
          <w:szCs w:val="24"/>
          <w:highlight w:val="none"/>
          <w:lang w:val="en-US" w:eastAsia="zh-CN"/>
        </w:rPr>
        <w:t>该项目无生态成本指标；</w:t>
      </w:r>
    </w:p>
    <w:p w14:paraId="6D3D6DFC">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（3）效益指标：</w:t>
      </w:r>
    </w:p>
    <w:p w14:paraId="28C9E66A">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1）经济效益指标：</w:t>
      </w:r>
    </w:p>
    <w:p w14:paraId="512B6219">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000000"/>
          <w:sz w:val="24"/>
          <w:szCs w:val="24"/>
          <w:highlight w:val="none"/>
          <w:lang w:val="en-US" w:eastAsia="zh-CN"/>
        </w:rPr>
        <w:t>该项目无经济效益指标；</w:t>
      </w:r>
    </w:p>
    <w:p w14:paraId="05CC43A5">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2）社会效益指标：</w:t>
      </w:r>
    </w:p>
    <w:p w14:paraId="66093A0D">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指标1：基本公共服务水平及公路安全水平</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eastAsia="zh-CN"/>
        </w:rPr>
        <w:t>有效提升</w:t>
      </w:r>
      <w:r>
        <w:rPr>
          <w:rFonts w:hint="eastAsia" w:ascii="宋体" w:hAnsi="宋体" w:eastAsia="宋体" w:cs="宋体"/>
          <w:color w:val="auto"/>
          <w:sz w:val="24"/>
          <w:szCs w:val="24"/>
        </w:rPr>
        <w:t>；</w:t>
      </w:r>
    </w:p>
    <w:p w14:paraId="00D8CA2C">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3）生态成本指标;</w:t>
      </w:r>
    </w:p>
    <w:p w14:paraId="416B4414">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000000"/>
          <w:sz w:val="24"/>
          <w:szCs w:val="24"/>
          <w:highlight w:val="none"/>
          <w:lang w:val="en-US" w:eastAsia="zh-CN"/>
        </w:rPr>
        <w:t>该项目无生态成本指标；</w:t>
      </w:r>
    </w:p>
    <w:p w14:paraId="5B8E24A1">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（4）服务对象满意度指标：</w:t>
      </w:r>
    </w:p>
    <w:p w14:paraId="5C58574E">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黑体" w:hAnsi="黑体" w:eastAsia="黑体" w:cs="黑体"/>
          <w:color w:val="auto"/>
          <w:sz w:val="24"/>
          <w:szCs w:val="24"/>
        </w:rPr>
      </w:pPr>
      <w:r>
        <w:rPr>
          <w:rFonts w:hint="eastAsia" w:ascii="宋体" w:hAnsi="宋体" w:eastAsia="宋体" w:cs="宋体"/>
          <w:color w:val="auto"/>
          <w:sz w:val="24"/>
          <w:szCs w:val="24"/>
        </w:rPr>
        <w:t>指标1：改善通行服务水平群众满意度</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w:t>
      </w:r>
      <w:r>
        <w:rPr>
          <w:rFonts w:hint="eastAsia" w:ascii="宋体" w:hAnsi="宋体" w:eastAsia="宋体" w:cs="宋体"/>
          <w:color w:val="auto"/>
          <w:sz w:val="24"/>
          <w:szCs w:val="24"/>
          <w:lang w:val="en-US" w:eastAsia="zh-CN"/>
        </w:rPr>
        <w:t>≥95%。</w:t>
      </w:r>
    </w:p>
    <w:p w14:paraId="0F5C6875">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二、绩效评价工作开展情况</w:t>
      </w:r>
      <w:bookmarkEnd w:id="2"/>
    </w:p>
    <w:p w14:paraId="5F77ABE1">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3" w:name="_Toc68364661"/>
      <w:r>
        <w:rPr>
          <w:rFonts w:hint="eastAsia" w:ascii="宋体" w:hAnsi="宋体" w:eastAsia="宋体" w:cs="宋体"/>
          <w:color w:val="auto"/>
          <w:sz w:val="24"/>
          <w:szCs w:val="24"/>
        </w:rPr>
        <w:t>（一）绩效评价目的、对象和范围</w:t>
      </w:r>
      <w:bookmarkEnd w:id="3"/>
    </w:p>
    <w:p w14:paraId="749D560E">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 绩效评价目的</w:t>
      </w:r>
    </w:p>
    <w:p w14:paraId="31177FD0">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本次绩效评价遵循财政部《项目支出绩效评价管理办法》（财预〔2020〕10号）《自治区财政支出绩效评价管理暂行办法》（新财预〔2018〕189号）</w:t>
      </w:r>
      <w:r>
        <w:rPr>
          <w:rFonts w:hint="eastAsia" w:ascii="宋体" w:hAnsi="宋体" w:eastAsia="宋体" w:cs="宋体"/>
          <w:color w:val="auto"/>
          <w:sz w:val="24"/>
          <w:szCs w:val="24"/>
          <w:lang w:val="en-US" w:eastAsia="zh-CN"/>
        </w:rPr>
        <w:t>及</w:t>
      </w:r>
      <w:r>
        <w:rPr>
          <w:rFonts w:hint="eastAsia" w:ascii="宋体" w:hAnsi="宋体" w:eastAsia="宋体" w:cs="宋体"/>
          <w:color w:val="auto"/>
          <w:sz w:val="24"/>
          <w:szCs w:val="24"/>
        </w:rPr>
        <w:t>自治区财政厅《关于印发〈自治区项目支出绩效目标设置指引〉的通知》（新财预〔2022〕42号）</w:t>
      </w:r>
      <w:r>
        <w:rPr>
          <w:rFonts w:hint="eastAsia" w:ascii="宋体" w:hAnsi="宋体" w:eastAsia="宋体" w:cs="宋体"/>
          <w:color w:val="auto"/>
          <w:sz w:val="24"/>
          <w:szCs w:val="24"/>
          <w:highlight w:val="none"/>
        </w:rPr>
        <w:t>等相关政策文件与规</w:t>
      </w:r>
      <w:r>
        <w:rPr>
          <w:rFonts w:hint="eastAsia" w:ascii="宋体" w:hAnsi="宋体" w:eastAsia="宋体" w:cs="宋体"/>
          <w:color w:val="auto"/>
          <w:sz w:val="24"/>
          <w:szCs w:val="24"/>
        </w:rPr>
        <w:t>定，对洛浦县多鲁乡-拜什托格拉克乡农村道路改建工程项目开展本次部门项目支出绩效评价工作。全面了解</w:t>
      </w:r>
      <w:r>
        <w:rPr>
          <w:rFonts w:hint="eastAsia" w:ascii="宋体" w:hAnsi="宋体" w:eastAsia="宋体" w:cs="宋体"/>
          <w:color w:val="auto"/>
          <w:sz w:val="24"/>
          <w:szCs w:val="24"/>
          <w:lang w:val="en-US" w:eastAsia="zh-CN"/>
        </w:rPr>
        <w:t>洛浦县多鲁乡-拜什托格拉克乡农村道路改建工程</w:t>
      </w:r>
      <w:r>
        <w:rPr>
          <w:rFonts w:hint="eastAsia" w:ascii="宋体" w:hAnsi="宋体" w:eastAsia="宋体" w:cs="宋体"/>
          <w:color w:val="auto"/>
          <w:sz w:val="24"/>
          <w:szCs w:val="24"/>
        </w:rPr>
        <w:t>项目预算编制合理性、资金使用合规性、项目管理的规范性、项目目标的实现情况、服务对象的满意度等项目实施前期、过程及</w:t>
      </w:r>
      <w:r>
        <w:rPr>
          <w:rFonts w:hint="eastAsia" w:ascii="宋体" w:hAnsi="宋体" w:eastAsia="宋体" w:cs="宋体"/>
          <w:color w:val="auto"/>
          <w:sz w:val="24"/>
          <w:szCs w:val="24"/>
          <w:lang w:val="en-US" w:eastAsia="zh-CN"/>
        </w:rPr>
        <w:t>实施</w:t>
      </w:r>
      <w:r>
        <w:rPr>
          <w:rFonts w:hint="eastAsia" w:ascii="宋体" w:hAnsi="宋体" w:eastAsia="宋体" w:cs="宋体"/>
          <w:color w:val="auto"/>
          <w:sz w:val="24"/>
          <w:szCs w:val="24"/>
        </w:rPr>
        <w:t>效果</w:t>
      </w:r>
      <w:r>
        <w:rPr>
          <w:rFonts w:hint="eastAsia" w:ascii="宋体" w:hAnsi="宋体" w:eastAsia="宋体" w:cs="宋体"/>
          <w:color w:val="auto"/>
          <w:sz w:val="24"/>
          <w:szCs w:val="24"/>
          <w:lang w:val="en-US" w:eastAsia="zh-CN"/>
        </w:rPr>
        <w:t>情况。</w:t>
      </w:r>
    </w:p>
    <w:p w14:paraId="56C9CBD2">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388D26B4">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2B513BA6">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lang w:val="en-US" w:eastAsia="zh-CN"/>
        </w:rPr>
        <w:t>同时，通过部门项目支出绩效评价，可促进本单位发现预算项目管理中的问题、总结经验、改进工作，以提高</w:t>
      </w:r>
      <w:r>
        <w:rPr>
          <w:rFonts w:hint="eastAsia" w:ascii="宋体" w:hAnsi="宋体" w:eastAsia="宋体" w:cs="宋体"/>
          <w:color w:val="auto"/>
          <w:sz w:val="24"/>
          <w:szCs w:val="24"/>
        </w:rPr>
        <w:t>财政预算资金使用的效率及效益。</w:t>
      </w:r>
    </w:p>
    <w:p w14:paraId="5A4F642E">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 绩效评价对象</w:t>
      </w:r>
    </w:p>
    <w:p w14:paraId="10847634">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次绩效评价遵循财政部《项目支出绩效评价管理办法》（财预〔2020〕10号）和《自治区财政支出绩效评价管理暂行办法》（新财预〔2018〕189号）等政策文件规定，以</w:t>
      </w:r>
      <w:r>
        <w:rPr>
          <w:rFonts w:hint="eastAsia" w:ascii="宋体" w:hAnsi="宋体" w:eastAsia="宋体" w:cs="宋体"/>
          <w:color w:val="auto"/>
          <w:sz w:val="24"/>
          <w:szCs w:val="24"/>
          <w:highlight w:val="none"/>
          <w:lang w:val="en-US" w:eastAsia="zh-CN"/>
        </w:rPr>
        <w:t>洛浦县多鲁乡-拜什托格拉克乡农村道路改建工程</w:t>
      </w:r>
      <w:r>
        <w:rPr>
          <w:rFonts w:hint="eastAsia" w:ascii="宋体" w:hAnsi="宋体" w:eastAsia="宋体" w:cs="宋体"/>
          <w:color w:val="auto"/>
          <w:sz w:val="24"/>
          <w:szCs w:val="24"/>
          <w:highlight w:val="none"/>
        </w:rPr>
        <w:t>项目为</w:t>
      </w:r>
      <w:r>
        <w:rPr>
          <w:rFonts w:hint="eastAsia" w:ascii="宋体" w:hAnsi="宋体" w:eastAsia="宋体" w:cs="宋体"/>
          <w:color w:val="auto"/>
          <w:sz w:val="24"/>
          <w:szCs w:val="24"/>
          <w:highlight w:val="none"/>
          <w:lang w:val="en-US" w:eastAsia="zh-CN"/>
        </w:rPr>
        <w:t>评价</w:t>
      </w:r>
      <w:r>
        <w:rPr>
          <w:rFonts w:hint="eastAsia" w:ascii="宋体" w:hAnsi="宋体" w:eastAsia="宋体" w:cs="宋体"/>
          <w:color w:val="auto"/>
          <w:sz w:val="24"/>
          <w:szCs w:val="24"/>
          <w:highlight w:val="none"/>
        </w:rPr>
        <w:t>对象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对该项目决策、</w:t>
      </w:r>
      <w:r>
        <w:rPr>
          <w:rFonts w:hint="eastAsia" w:ascii="宋体" w:hAnsi="宋体" w:eastAsia="宋体" w:cs="宋体"/>
          <w:color w:val="auto"/>
          <w:sz w:val="24"/>
          <w:szCs w:val="24"/>
          <w:highlight w:val="none"/>
          <w:lang w:val="en-US" w:eastAsia="zh-CN"/>
        </w:rPr>
        <w:t>项目资金管理、项目实施</w:t>
      </w:r>
      <w:r>
        <w:rPr>
          <w:rFonts w:hint="eastAsia" w:ascii="宋体" w:hAnsi="宋体" w:eastAsia="宋体" w:cs="宋体"/>
          <w:color w:val="auto"/>
          <w:sz w:val="24"/>
          <w:szCs w:val="24"/>
          <w:highlight w:val="none"/>
        </w:rPr>
        <w:t>过程</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rPr>
        <w:t>项目实施所带来的产出和效果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3FD4BCAD">
      <w:pPr>
        <w:pStyle w:val="45"/>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3. 绩效评价范围</w:t>
      </w:r>
    </w:p>
    <w:p w14:paraId="1FFE9464">
      <w:pPr>
        <w:pStyle w:val="45"/>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次绩效评价主要围绕洛浦县多鲁乡-拜什托格拉克乡农村道路改建工程项目决策、项目资金管理、项目实施过程管理，以及项目实施所带来的产出和效果等内容，进行综合评价。范围涵盖项目总体绩效目标、各项绩效指标完成情况以及预算执行情况</w:t>
      </w:r>
      <w:bookmarkStart w:id="4" w:name="_Toc68364662"/>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覆盖预算资金支出项目的所有内容进行评价。</w:t>
      </w:r>
    </w:p>
    <w:p w14:paraId="0A276763">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（二）绩效评价原则、评价指标体系、评价方法评价标准</w:t>
      </w:r>
      <w:bookmarkEnd w:id="4"/>
    </w:p>
    <w:p w14:paraId="004E45A4">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 绩效评价原则</w:t>
      </w:r>
    </w:p>
    <w:p w14:paraId="7DBF025C">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2CD75B01">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（1）科学公正。绩效评价应当运用科学合理的方法，按照规范的程序，对项目绩效进行客观、公正的反映。</w:t>
      </w:r>
    </w:p>
    <w:p w14:paraId="39078439">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1569EE27">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（3）激励约束。绩效评价结果应与预算安排、政策调整、改进管理实质性挂钩，体现奖优罚劣和激励相容导向，有效要安排、低效要压减、无效要问责。</w:t>
      </w:r>
    </w:p>
    <w:p w14:paraId="42E7D40E">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（4）公开透明。绩效评价结果应依法依规公开，并自觉接受社会监督。</w:t>
      </w:r>
    </w:p>
    <w:p w14:paraId="3FB75228">
      <w:pPr>
        <w:pStyle w:val="45"/>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根据以上原则，绩效评价应遵循如下要求:</w:t>
      </w:r>
    </w:p>
    <w:p w14:paraId="11D32A73">
      <w:pPr>
        <w:pStyle w:val="45"/>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1）在数据采集时，采取客观数据，主管部门审查、社会中介组织复查，与问卷调查相结合的形式，以保证各项指标的真实性。</w:t>
      </w:r>
    </w:p>
    <w:p w14:paraId="742616B5">
      <w:pPr>
        <w:pStyle w:val="45"/>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2）保证评价结果的真实性、公正性，提高评价报告的公信力。</w:t>
      </w:r>
    </w:p>
    <w:p w14:paraId="266AEFD2">
      <w:pPr>
        <w:pStyle w:val="45"/>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3）绩</w:t>
      </w:r>
      <w:r>
        <w:rPr>
          <w:rFonts w:hint="eastAsia" w:ascii="宋体" w:hAnsi="宋体" w:eastAsia="宋体" w:cs="宋体"/>
          <w:color w:val="000000"/>
          <w:sz w:val="24"/>
          <w:szCs w:val="24"/>
          <w:highlight w:val="none"/>
          <w:lang w:val="en-US" w:eastAsia="zh-CN"/>
        </w:rPr>
        <w:t>效</w:t>
      </w:r>
      <w:r>
        <w:rPr>
          <w:rFonts w:hint="eastAsia" w:ascii="宋体" w:hAnsi="宋体" w:eastAsia="宋体" w:cs="宋体"/>
          <w:color w:val="000000"/>
          <w:sz w:val="24"/>
          <w:szCs w:val="24"/>
          <w:highlight w:val="none"/>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2969BE93">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2. 绩效评价指标体系</w:t>
      </w:r>
    </w:p>
    <w:p w14:paraId="23AE85DA">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个二级指标。项目绩效评价体系</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详细指标体系见“附件1：项目支出绩效评价体系”。</w:t>
      </w:r>
    </w:p>
    <w:p w14:paraId="1B32129F">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3. 绩效评价方法</w:t>
      </w:r>
    </w:p>
    <w:p w14:paraId="4F9DBD8B">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6E4AF610">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lang w:val="en-US" w:eastAsia="zh-CN"/>
        </w:rPr>
        <w:t>具体</w:t>
      </w:r>
      <w:r>
        <w:rPr>
          <w:rFonts w:hint="eastAsia" w:ascii="宋体" w:hAnsi="宋体" w:eastAsia="宋体" w:cs="宋体"/>
          <w:b w:val="0"/>
          <w:bCs/>
          <w:color w:val="auto"/>
          <w:sz w:val="24"/>
          <w:szCs w:val="24"/>
        </w:rPr>
        <w:t>评价方法的应用如下:</w:t>
      </w:r>
    </w:p>
    <w:p w14:paraId="46B1F49E">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立项依据充分性：比较法、文献法，查找法律法规政策以及规划，对比实际执行内容和政策支持内容是否匹配。</w:t>
      </w:r>
    </w:p>
    <w:p w14:paraId="3CD6AE48">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立项程序规范性：比较法、文献法，查找相关项目设立的政策和文件要求，对比分析实际执行程序是否按照政策及文件要求执行，分析立项程序的规范性。</w:t>
      </w:r>
    </w:p>
    <w:p w14:paraId="2DC74FFD">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绩效目标合理性：比较法，对比分析年初编制项目支出绩效目标表与项目内容的相关性、资金的匹配性等。</w:t>
      </w:r>
    </w:p>
    <w:p w14:paraId="5E83AB4A">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绩效指标明确性：比较法，比较分析年初编制项目支出绩效目标表是否符合双七原则，是否可衡量。</w:t>
      </w:r>
    </w:p>
    <w:p w14:paraId="7D77C886">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预算编制科学性</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成本效益分析法</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分析在产出一定的情况下，成本取值是否有依据，是否经过询价，是否按照市场最低成本编制。</w:t>
      </w:r>
    </w:p>
    <w:p w14:paraId="5B5D4E21">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rPr>
        <w:t>资金分配合理性：因素分析法，综合分析资金的分配依据是否充分，分配金额是否与项目实施单位需求金额一致</w:t>
      </w:r>
      <w:r>
        <w:rPr>
          <w:rFonts w:hint="eastAsia" w:ascii="宋体" w:hAnsi="宋体" w:eastAsia="宋体" w:cs="宋体"/>
          <w:b w:val="0"/>
          <w:bCs/>
          <w:color w:val="auto"/>
          <w:sz w:val="24"/>
          <w:szCs w:val="24"/>
          <w:lang w:eastAsia="zh-CN"/>
        </w:rPr>
        <w:t>。</w:t>
      </w:r>
    </w:p>
    <w:p w14:paraId="76D13F49">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资金到位率：比较法，资金到位率预期指标值应为100%，通过实际计算，分析实际完成值和预期指标值之间的差距和原因。</w:t>
      </w:r>
    </w:p>
    <w:p w14:paraId="16AEE57E">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预算执行率：比较法，预算执行率预期指标值应为100%，通过实际计算，分析实际完成值和预期指标值之间的差距和原因。</w:t>
      </w:r>
    </w:p>
    <w:p w14:paraId="6BA61AF6">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资金使用合规性：文献法、实地勘察法，一是查找资金管理办法，包括专项资金管理办法和单位自有资金管理办法；二是通过查账了解具体开支情况，是否专用专用，是否按照标准支出。</w:t>
      </w:r>
    </w:p>
    <w:p w14:paraId="0F452602">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管理制度健全性：文献法、比较法，查阅项目实施人员提供的财务和业务管理制度，将已建立的制度与现行的法律法规和政策要求进行对比，分析项目制度的合法性、合规性、完整性。</w:t>
      </w:r>
    </w:p>
    <w:p w14:paraId="776D80C4">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制度执行有效性：比较法，结合项目实际实施过程性文件，根据已建设的财务管理制度和项目管理制度综合分析制度执行的有效性。</w:t>
      </w:r>
    </w:p>
    <w:p w14:paraId="2A7DA4AD">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418EC902">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定性指标：公众评判法，通过问卷及抽样调查等方式评价本项目实施后社会公众对于其实施效果的满意程度。</w:t>
      </w:r>
    </w:p>
    <w:p w14:paraId="6FA1C45A">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4. 绩效评价标准</w:t>
      </w:r>
    </w:p>
    <w:p w14:paraId="7700DC02">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bookmarkStart w:id="5" w:name="_Toc68364663"/>
      <w:r>
        <w:rPr>
          <w:rFonts w:hint="eastAsia" w:ascii="宋体" w:hAnsi="宋体" w:eastAsia="宋体" w:cs="宋体"/>
          <w:color w:val="auto"/>
          <w:sz w:val="24"/>
          <w:szCs w:val="24"/>
        </w:rPr>
        <w:t>绩效评价标准通常包括计划标准、行业标准、历史标准等，用于对绩效指标完成情况进行比较、分析、评价。本次评价主要采用了计划标准</w:t>
      </w:r>
      <w:r>
        <w:rPr>
          <w:rFonts w:hint="eastAsia" w:ascii="宋体" w:hAnsi="宋体" w:eastAsia="宋体" w:cs="宋体"/>
          <w:color w:val="auto"/>
          <w:sz w:val="24"/>
          <w:szCs w:val="24"/>
          <w:lang w:eastAsia="zh-CN"/>
        </w:rPr>
        <w:t>、历史标准</w:t>
      </w:r>
      <w:r>
        <w:rPr>
          <w:rFonts w:hint="eastAsia" w:ascii="宋体" w:hAnsi="宋体" w:eastAsia="宋体" w:cs="宋体"/>
          <w:color w:val="auto"/>
          <w:sz w:val="24"/>
          <w:szCs w:val="24"/>
        </w:rPr>
        <w:t>。</w:t>
      </w:r>
    </w:p>
    <w:p w14:paraId="05246E9E">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bookmarkStart w:id="6" w:name="_Toc17882"/>
      <w:bookmarkStart w:id="7" w:name="_Toc31464"/>
      <w:r>
        <w:rPr>
          <w:rFonts w:hint="eastAsia" w:ascii="宋体" w:hAnsi="宋体" w:eastAsia="宋体" w:cs="宋体"/>
          <w:b/>
          <w:bCs/>
          <w:color w:val="auto"/>
          <w:sz w:val="24"/>
          <w:szCs w:val="24"/>
        </w:rPr>
        <w:t>计划标准：</w:t>
      </w:r>
      <w:r>
        <w:rPr>
          <w:rFonts w:hint="eastAsia" w:ascii="宋体" w:hAnsi="宋体" w:eastAsia="宋体" w:cs="宋体"/>
          <w:color w:val="auto"/>
          <w:sz w:val="24"/>
          <w:szCs w:val="24"/>
        </w:rPr>
        <w:t>指以预先制定的目标、计划、预算、定额等作为评价标准。</w:t>
      </w:r>
      <w:bookmarkEnd w:id="6"/>
      <w:bookmarkEnd w:id="7"/>
    </w:p>
    <w:p w14:paraId="44C57239">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bookmarkStart w:id="8" w:name="_Toc16028"/>
      <w:bookmarkStart w:id="9" w:name="_Toc430"/>
      <w:r>
        <w:rPr>
          <w:rFonts w:hint="eastAsia" w:ascii="宋体" w:hAnsi="宋体" w:eastAsia="宋体" w:cs="宋体"/>
          <w:b/>
          <w:bCs/>
          <w:color w:val="auto"/>
          <w:sz w:val="24"/>
          <w:szCs w:val="24"/>
        </w:rPr>
        <w:t>历史标准：</w:t>
      </w:r>
      <w:r>
        <w:rPr>
          <w:rFonts w:hint="eastAsia" w:ascii="宋体" w:hAnsi="宋体" w:eastAsia="宋体" w:cs="宋体"/>
          <w:color w:val="auto"/>
          <w:sz w:val="24"/>
          <w:szCs w:val="24"/>
        </w:rPr>
        <w:t>指参照历史数据制定的评价标准，为体现绩效改进的原则，在可实现的条件下应当确定相对较高的评价标准。</w:t>
      </w:r>
      <w:bookmarkEnd w:id="8"/>
      <w:bookmarkEnd w:id="9"/>
    </w:p>
    <w:p w14:paraId="3C575ACD">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（三）绩效评价工作过程</w:t>
      </w:r>
      <w:bookmarkEnd w:id="5"/>
    </w:p>
    <w:p w14:paraId="3C0FD025">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bookmarkStart w:id="10" w:name="_Toc68364664"/>
      <w:r>
        <w:rPr>
          <w:rFonts w:hint="eastAsia" w:ascii="宋体" w:hAnsi="宋体" w:eastAsia="宋体" w:cs="宋体"/>
          <w:b/>
          <w:bCs/>
          <w:color w:val="000000"/>
          <w:sz w:val="24"/>
          <w:szCs w:val="24"/>
          <w:highlight w:val="none"/>
        </w:rPr>
        <w:t>1.前期准备</w:t>
      </w:r>
    </w:p>
    <w:p w14:paraId="16A14525">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我单位于</w:t>
      </w: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14:paraId="04724950">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许伟</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（评价小组组长）：主要负责</w:t>
      </w:r>
      <w:r>
        <w:rPr>
          <w:rFonts w:hint="eastAsia" w:ascii="宋体" w:hAnsi="宋体" w:eastAsia="宋体" w:cs="宋体"/>
          <w:color w:val="auto"/>
          <w:sz w:val="24"/>
          <w:szCs w:val="24"/>
          <w:lang w:val="en-US" w:eastAsia="zh-CN"/>
        </w:rPr>
        <w:t>组织安排绩效评价工作</w:t>
      </w:r>
      <w:r>
        <w:rPr>
          <w:rFonts w:hint="eastAsia" w:ascii="宋体" w:hAnsi="宋体" w:eastAsia="宋体" w:cs="宋体"/>
          <w:color w:val="auto"/>
          <w:sz w:val="24"/>
          <w:szCs w:val="24"/>
        </w:rPr>
        <w:t>;</w:t>
      </w:r>
    </w:p>
    <w:p w14:paraId="44ECC8A0">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图尔荪麦麦提</w:t>
      </w:r>
      <w:r>
        <w:rPr>
          <w:rFonts w:hint="eastAsia" w:ascii="宋体" w:hAnsi="宋体" w:eastAsia="宋体" w:cs="宋体"/>
          <w:color w:val="auto"/>
          <w:sz w:val="24"/>
          <w:szCs w:val="24"/>
        </w:rPr>
        <w:t>（评价小组组员）：主要负责</w:t>
      </w:r>
      <w:r>
        <w:rPr>
          <w:rFonts w:hint="eastAsia" w:ascii="宋体" w:hAnsi="宋体" w:eastAsia="宋体" w:cs="宋体"/>
          <w:color w:val="auto"/>
          <w:sz w:val="24"/>
          <w:szCs w:val="24"/>
          <w:lang w:val="en-US" w:eastAsia="zh-CN"/>
        </w:rPr>
        <w:t>资料整理及信息汇总工作</w:t>
      </w:r>
      <w:r>
        <w:rPr>
          <w:rFonts w:hint="eastAsia" w:ascii="宋体" w:hAnsi="宋体" w:eastAsia="宋体" w:cs="宋体"/>
          <w:color w:val="auto"/>
          <w:sz w:val="24"/>
          <w:szCs w:val="24"/>
        </w:rPr>
        <w:t>;</w:t>
      </w:r>
    </w:p>
    <w:p w14:paraId="2B7CB723">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谭丹丹</w:t>
      </w:r>
      <w:r>
        <w:rPr>
          <w:rFonts w:hint="eastAsia" w:ascii="宋体" w:hAnsi="宋体" w:eastAsia="宋体" w:cs="宋体"/>
          <w:color w:val="auto"/>
          <w:sz w:val="24"/>
          <w:szCs w:val="24"/>
        </w:rPr>
        <w:t>（评价小组组员）：主要负责</w:t>
      </w:r>
      <w:r>
        <w:rPr>
          <w:rFonts w:hint="eastAsia" w:ascii="宋体" w:hAnsi="宋体" w:eastAsia="宋体" w:cs="宋体"/>
          <w:color w:val="auto"/>
          <w:sz w:val="24"/>
          <w:szCs w:val="24"/>
          <w:lang w:val="en-US" w:eastAsia="zh-CN"/>
        </w:rPr>
        <w:t>出具项目绩效评价报告</w:t>
      </w:r>
      <w:r>
        <w:rPr>
          <w:rFonts w:hint="eastAsia" w:ascii="宋体" w:hAnsi="宋体" w:eastAsia="宋体" w:cs="宋体"/>
          <w:color w:val="auto"/>
          <w:sz w:val="24"/>
          <w:szCs w:val="24"/>
        </w:rPr>
        <w:t>。</w:t>
      </w:r>
    </w:p>
    <w:p w14:paraId="3EE8745F">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2.组织实施</w:t>
      </w:r>
    </w:p>
    <w:p w14:paraId="5210836E">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14</w:t>
      </w:r>
      <w:r>
        <w:rPr>
          <w:rFonts w:hint="eastAsia" w:ascii="宋体" w:hAnsi="宋体" w:eastAsia="宋体" w:cs="宋体"/>
          <w:color w:val="auto"/>
          <w:sz w:val="24"/>
          <w:szCs w:val="24"/>
        </w:rPr>
        <w:t>日，评价工作进入实施阶段。在数据采集方面，评价小组整理单位前期提交的资料，与项目实施负责人沟通，了解资金的内容、操作流程、管理机制、资金使用方向等情况并采集信息，了解项目设置背景及资金使用等情况。</w:t>
      </w:r>
    </w:p>
    <w:p w14:paraId="00B36998">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3.分析评价</w:t>
      </w:r>
    </w:p>
    <w:p w14:paraId="09BD9E35">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28</w:t>
      </w:r>
      <w:r>
        <w:rPr>
          <w:rFonts w:hint="eastAsia" w:ascii="宋体" w:hAnsi="宋体" w:eastAsia="宋体" w:cs="宋体"/>
          <w:color w:val="auto"/>
          <w:sz w:val="24"/>
          <w:szCs w:val="24"/>
        </w:rPr>
        <w:t>日，评价小组按照绩效评价的原则和规范，对取得的资料进行审查核实，对采集的数据进行分析，按照绩效评价指标评分表逐项进行打分、分析、汇总各方评价结果。</w:t>
      </w:r>
    </w:p>
    <w:p w14:paraId="30BD20C8">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4.撰写与提交评价报告</w:t>
      </w:r>
    </w:p>
    <w:p w14:paraId="33E2EAEF">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color w:val="auto"/>
          <w:sz w:val="24"/>
          <w:szCs w:val="24"/>
          <w:highlight w:val="none"/>
        </w:rPr>
        <w:t>撰写绩效评价报告，按照新疆</w:t>
      </w:r>
      <w:r>
        <w:rPr>
          <w:rFonts w:hint="eastAsia" w:ascii="宋体" w:hAnsi="宋体" w:eastAsia="宋体" w:cs="宋体"/>
          <w:color w:val="auto"/>
          <w:sz w:val="24"/>
          <w:szCs w:val="24"/>
          <w:highlight w:val="none"/>
          <w:lang w:eastAsia="zh-CN"/>
        </w:rPr>
        <w:t>维吾尔自治区财政绩效管理信息系统</w:t>
      </w:r>
      <w:r>
        <w:rPr>
          <w:rFonts w:hint="eastAsia" w:ascii="宋体" w:hAnsi="宋体" w:eastAsia="宋体" w:cs="宋体"/>
          <w:color w:val="auto"/>
          <w:sz w:val="24"/>
          <w:szCs w:val="24"/>
          <w:highlight w:val="none"/>
        </w:rPr>
        <w:t>绩效评价模块中统一格式和文本框架撰写绩效评价报告并提交审核。</w:t>
      </w:r>
    </w:p>
    <w:p w14:paraId="33C97389">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5.问题整改</w:t>
      </w:r>
    </w:p>
    <w:p w14:paraId="211FB4FB">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5664BBAF">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6.档案整理</w:t>
      </w:r>
    </w:p>
    <w:p w14:paraId="4D33CB52">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宋体" w:hAnsi="宋体" w:eastAsia="宋体" w:cs="宋体"/>
          <w:color w:val="auto"/>
          <w:sz w:val="24"/>
          <w:szCs w:val="24"/>
        </w:rPr>
        <w:t>建立和落实档案管理制度，将项目相关资料存档，包括但不限于：评价项目基本情况和相关文件、评价实施方案、项目支付资料等相关档案。</w:t>
      </w:r>
    </w:p>
    <w:p w14:paraId="15C0D041">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黑体" w:hAnsi="黑体" w:eastAsia="黑体" w:cs="黑体"/>
          <w:color w:val="auto"/>
          <w:sz w:val="24"/>
          <w:szCs w:val="24"/>
        </w:rPr>
        <w:t>三、综合评价情况及评价结论</w:t>
      </w:r>
      <w:bookmarkEnd w:id="10"/>
    </w:p>
    <w:p w14:paraId="5C3D1192">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1" w:name="_Toc68364665"/>
      <w:r>
        <w:rPr>
          <w:rFonts w:hint="eastAsia" w:ascii="宋体" w:hAnsi="宋体" w:eastAsia="宋体" w:cs="宋体"/>
          <w:color w:val="auto"/>
          <w:sz w:val="24"/>
          <w:szCs w:val="24"/>
        </w:rPr>
        <w:t>（一）综合评价情况</w:t>
      </w:r>
      <w:bookmarkEnd w:id="11"/>
    </w:p>
    <w:p w14:paraId="2B6336A0">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bookmarkStart w:id="12" w:name="_Toc68364666"/>
      <w:r>
        <w:rPr>
          <w:rFonts w:hint="eastAsia" w:ascii="宋体" w:hAnsi="宋体" w:eastAsia="宋体" w:cs="宋体"/>
          <w:color w:val="auto"/>
          <w:sz w:val="24"/>
          <w:szCs w:val="24"/>
        </w:rPr>
        <w:t>通过实施洛浦县多鲁乡-拜什托格拉克乡农村道路改建工程项目可增加农民的收入，改善当地落后的生产生活面貌，使农户不断改变落后的局面，逐渐走向富裕。项目实施主要通过项目决策、项目过程、项目产出以及项目效益等方面进行评价，其中：</w:t>
      </w:r>
    </w:p>
    <w:p w14:paraId="0D3BC386">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项目决策：该项目主要通过洛浦县多鲁乡-拜什托格拉克乡农村道路改建工程</w:t>
      </w:r>
      <w:r>
        <w:rPr>
          <w:rFonts w:hint="eastAsia" w:ascii="宋体" w:hAnsi="宋体" w:eastAsia="宋体" w:cs="宋体"/>
          <w:color w:val="auto"/>
          <w:sz w:val="24"/>
          <w:szCs w:val="24"/>
          <w:lang w:val="en-US" w:eastAsia="zh-CN"/>
        </w:rPr>
        <w:t>实施方案</w:t>
      </w:r>
      <w:r>
        <w:rPr>
          <w:rFonts w:hint="eastAsia" w:ascii="宋体" w:hAnsi="宋体" w:eastAsia="宋体" w:cs="宋体"/>
          <w:color w:val="auto"/>
          <w:sz w:val="24"/>
          <w:szCs w:val="24"/>
        </w:rPr>
        <w:t>立项，项目实施符合</w:t>
      </w:r>
      <w:r>
        <w:rPr>
          <w:rFonts w:hint="eastAsia" w:ascii="宋体" w:hAnsi="宋体" w:eastAsia="宋体" w:cs="宋体"/>
          <w:color w:val="auto"/>
          <w:sz w:val="24"/>
          <w:szCs w:val="24"/>
          <w:lang w:val="en-US" w:eastAsia="zh-CN"/>
        </w:rPr>
        <w:t>实施方案</w:t>
      </w:r>
      <w:r>
        <w:rPr>
          <w:rFonts w:hint="eastAsia" w:ascii="宋体" w:hAnsi="宋体" w:eastAsia="宋体" w:cs="宋体"/>
          <w:color w:val="auto"/>
          <w:sz w:val="24"/>
          <w:szCs w:val="24"/>
        </w:rPr>
        <w:t xml:space="preserve">要求，项目立项依据充分，立项程序规范。 </w:t>
      </w:r>
    </w:p>
    <w:p w14:paraId="2BEE6731">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项目过程：洛浦县多鲁乡-拜什托格拉克乡农村道路改建工程项目预算安排</w:t>
      </w:r>
      <w:r>
        <w:rPr>
          <w:rFonts w:hint="eastAsia" w:ascii="宋体" w:hAnsi="宋体" w:eastAsia="宋体" w:cs="宋体"/>
          <w:color w:val="auto"/>
          <w:sz w:val="24"/>
          <w:szCs w:val="24"/>
          <w:lang w:val="en-US" w:eastAsia="zh-CN"/>
        </w:rPr>
        <w:t>1469.4</w:t>
      </w:r>
      <w:r>
        <w:rPr>
          <w:rFonts w:hint="eastAsia" w:ascii="宋体" w:hAnsi="宋体" w:eastAsia="宋体" w:cs="宋体"/>
          <w:color w:val="auto"/>
          <w:sz w:val="24"/>
          <w:szCs w:val="24"/>
        </w:rPr>
        <w:t>万元，实际支出</w:t>
      </w:r>
      <w:r>
        <w:rPr>
          <w:rFonts w:hint="eastAsia" w:ascii="宋体" w:hAnsi="宋体" w:eastAsia="宋体" w:cs="宋体"/>
          <w:color w:val="auto"/>
          <w:sz w:val="24"/>
          <w:szCs w:val="24"/>
          <w:lang w:val="en-US" w:eastAsia="zh-CN"/>
        </w:rPr>
        <w:t>1454.31</w:t>
      </w:r>
      <w:r>
        <w:rPr>
          <w:rFonts w:hint="eastAsia" w:ascii="宋体" w:hAnsi="宋体" w:eastAsia="宋体" w:cs="宋体"/>
          <w:color w:val="auto"/>
          <w:sz w:val="24"/>
          <w:szCs w:val="24"/>
        </w:rPr>
        <w:t>万元，预算执行率</w:t>
      </w:r>
      <w:r>
        <w:rPr>
          <w:rFonts w:hint="eastAsia" w:ascii="宋体" w:hAnsi="宋体" w:eastAsia="宋体" w:cs="宋体"/>
          <w:color w:val="auto"/>
          <w:sz w:val="24"/>
          <w:szCs w:val="24"/>
          <w:lang w:val="en-US" w:eastAsia="zh-CN"/>
        </w:rPr>
        <w:t>99.96</w:t>
      </w:r>
      <w:r>
        <w:rPr>
          <w:rFonts w:hint="eastAsia" w:ascii="宋体" w:hAnsi="宋体" w:eastAsia="宋体" w:cs="宋体"/>
          <w:color w:val="auto"/>
          <w:sz w:val="24"/>
          <w:szCs w:val="24"/>
        </w:rPr>
        <w:t>%。项目资金使用合规，项目财务管理制度健全，财务监控到位，所有资金支付均按照国库集中支付制度严格执行，现有项目管理制度执行情况良好。</w:t>
      </w:r>
    </w:p>
    <w:p w14:paraId="27DE083A">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rPr>
        <w:t>项目</w:t>
      </w:r>
      <w:r>
        <w:rPr>
          <w:rFonts w:hint="eastAsia" w:ascii="宋体" w:hAnsi="宋体" w:eastAsia="宋体" w:cs="宋体"/>
          <w:color w:val="auto"/>
          <w:sz w:val="24"/>
          <w:szCs w:val="24"/>
          <w:highlight w:val="none"/>
        </w:rPr>
        <w:t>产出：截止2024年12月31日，该项目已实施完毕，已支付资金1454.31万元。项目完成的主要内容：多鲁镇-拜什托格拉克乡主干道路线长度23.602km，共计1条路线2座危桥，包括路基工程、路面工程、桥涵工程、交叉工程、交通安全及附属设施。</w:t>
      </w:r>
    </w:p>
    <w:p w14:paraId="0076EB46">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项目效益：通过该项目的实施，可增加农民的收入，改善当地落后的生产生活面貌，使农户不断改变落后的局面，逐渐走向富裕。</w:t>
      </w:r>
    </w:p>
    <w:p w14:paraId="08227F5A">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（二）综合评价结论</w:t>
      </w:r>
    </w:p>
    <w:p w14:paraId="43C5A9D2">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宋体" w:hAnsi="宋体" w:eastAsia="宋体" w:cs="宋体"/>
          <w:color w:val="auto"/>
          <w:sz w:val="24"/>
          <w:szCs w:val="24"/>
          <w:highlight w:val="none"/>
        </w:rPr>
        <w:t>依据《中共中央国务院关于全面实施预算绩效管理的意见》《项目支出绩效评价管理办法》（财预〔2020〕10号）文件，绩效评价总分设置为100分，划分为四档：90（含）-100分为“优”、80（含）-90分为“良”、70（含）-80分为“中”、70分以下为“差”。经对洛浦县多鲁乡-拜什托格拉克乡农村道路改建工程项目进行客观评价，最终评分结果：评价总分</w:t>
      </w:r>
      <w:r>
        <w:rPr>
          <w:rFonts w:hint="eastAsia" w:ascii="宋体" w:hAnsi="宋体" w:eastAsia="宋体" w:cs="宋体"/>
          <w:color w:val="auto"/>
          <w:sz w:val="24"/>
          <w:szCs w:val="24"/>
          <w:highlight w:val="none"/>
          <w:lang w:val="en-US" w:eastAsia="zh-CN"/>
        </w:rPr>
        <w:t>99.96</w:t>
      </w:r>
      <w:r>
        <w:rPr>
          <w:rFonts w:hint="eastAsia" w:ascii="宋体" w:hAnsi="宋体" w:eastAsia="宋体" w:cs="宋体"/>
          <w:color w:val="auto"/>
          <w:sz w:val="24"/>
          <w:szCs w:val="24"/>
          <w:highlight w:val="none"/>
        </w:rPr>
        <w:t>分，绩效等级为“</w:t>
      </w:r>
      <w:r>
        <w:rPr>
          <w:rFonts w:hint="eastAsia" w:ascii="宋体" w:hAnsi="宋体" w:eastAsia="宋体" w:cs="宋体"/>
          <w:color w:val="auto"/>
          <w:sz w:val="24"/>
          <w:szCs w:val="24"/>
          <w:highlight w:val="none"/>
          <w:lang w:eastAsia="zh-CN"/>
        </w:rPr>
        <w:t>优</w:t>
      </w:r>
      <w:r>
        <w:rPr>
          <w:rFonts w:hint="eastAsia" w:ascii="宋体" w:hAnsi="宋体" w:eastAsia="宋体" w:cs="宋体"/>
          <w:color w:val="auto"/>
          <w:sz w:val="24"/>
          <w:szCs w:val="24"/>
          <w:highlight w:val="none"/>
        </w:rPr>
        <w:t>”。</w:t>
      </w:r>
      <w:bookmarkEnd w:id="12"/>
      <w:bookmarkStart w:id="13" w:name="_Toc68364667"/>
    </w:p>
    <w:p w14:paraId="7ABAF5C0">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四、绩效评价指标分析</w:t>
      </w:r>
      <w:bookmarkEnd w:id="13"/>
    </w:p>
    <w:p w14:paraId="15F19283">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4" w:name="_Toc68364668"/>
      <w:r>
        <w:rPr>
          <w:rFonts w:hint="eastAsia" w:ascii="宋体" w:hAnsi="宋体" w:eastAsia="宋体" w:cs="宋体"/>
          <w:color w:val="auto"/>
          <w:sz w:val="24"/>
          <w:szCs w:val="24"/>
          <w:highlight w:val="none"/>
        </w:rPr>
        <w:t>（一）项目决策情况</w:t>
      </w:r>
    </w:p>
    <w:p w14:paraId="2FED736A">
      <w:pPr>
        <w:keepNext w:val="0"/>
        <w:keepLines w:val="0"/>
        <w:pageBreakBefore w:val="0"/>
        <w:widowControl w:val="0"/>
        <w:kinsoku/>
        <w:wordWrap/>
        <w:overflowPunct w:val="0"/>
        <w:topLinePunct w:val="0"/>
        <w:autoSpaceDE/>
        <w:autoSpaceDN/>
        <w:bidi w:val="0"/>
        <w:adjustRightInd/>
        <w:snapToGrid/>
        <w:spacing w:line="360" w:lineRule="auto"/>
        <w:ind w:left="0" w:leftChars="0" w:firstLine="480" w:firstLineChars="200"/>
        <w:contextualSpacing/>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项目决策类指标包括项目立项、绩效目标和资金投入三方面的内容，由6个三级指标构成，权重分为</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008E9FBA">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1.</w:t>
      </w:r>
      <w:r>
        <w:rPr>
          <w:rFonts w:hint="eastAsia" w:ascii="宋体" w:hAnsi="宋体" w:eastAsia="宋体" w:cs="宋体"/>
          <w:b/>
          <w:bCs/>
          <w:color w:val="000000"/>
          <w:sz w:val="24"/>
          <w:szCs w:val="24"/>
          <w:highlight w:val="none"/>
        </w:rPr>
        <w:t>立项依据充分性</w:t>
      </w:r>
    </w:p>
    <w:p w14:paraId="3FCCB098">
      <w:pPr>
        <w:keepNext w:val="0"/>
        <w:keepLines w:val="0"/>
        <w:pageBreakBefore w:val="0"/>
        <w:widowControl w:val="0"/>
        <w:numPr>
          <w:ilvl w:val="0"/>
          <w:numId w:val="0"/>
        </w:numPr>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本项目立项符合</w:t>
      </w:r>
      <w:r>
        <w:rPr>
          <w:rFonts w:hint="eastAsia" w:ascii="宋体" w:hAnsi="宋体" w:eastAsia="宋体" w:cs="宋体"/>
          <w:color w:val="000000"/>
          <w:sz w:val="24"/>
          <w:szCs w:val="24"/>
          <w:highlight w:val="none"/>
        </w:rPr>
        <w:t>《关于</w:t>
      </w:r>
      <w:r>
        <w:rPr>
          <w:rFonts w:hint="eastAsia" w:ascii="宋体" w:hAnsi="宋体" w:eastAsia="宋体" w:cs="宋体"/>
          <w:color w:val="000000"/>
          <w:sz w:val="24"/>
          <w:szCs w:val="24"/>
          <w:highlight w:val="none"/>
          <w:lang w:eastAsia="zh-CN"/>
        </w:rPr>
        <w:t>提前</w:t>
      </w:r>
      <w:r>
        <w:rPr>
          <w:rFonts w:hint="eastAsia" w:ascii="宋体" w:hAnsi="宋体" w:eastAsia="宋体" w:cs="宋体"/>
          <w:color w:val="000000"/>
          <w:sz w:val="24"/>
          <w:szCs w:val="24"/>
          <w:highlight w:val="none"/>
        </w:rPr>
        <w:t>下达</w:t>
      </w:r>
      <w:r>
        <w:rPr>
          <w:rFonts w:hint="eastAsia" w:ascii="宋体" w:hAnsi="宋体" w:eastAsia="宋体" w:cs="宋体"/>
          <w:color w:val="000000"/>
          <w:sz w:val="24"/>
          <w:szCs w:val="24"/>
          <w:highlight w:val="none"/>
          <w:lang w:val="en-US" w:eastAsia="zh-CN"/>
        </w:rPr>
        <w:t>2024年车辆购置税收入补助地方（第一批）用于普通省道及农村公路建设“以奖代补”资金预算</w:t>
      </w:r>
      <w:r>
        <w:rPr>
          <w:rFonts w:hint="eastAsia" w:ascii="宋体" w:hAnsi="宋体" w:eastAsia="宋体" w:cs="宋体"/>
          <w:color w:val="000000"/>
          <w:sz w:val="24"/>
          <w:szCs w:val="24"/>
          <w:highlight w:val="none"/>
        </w:rPr>
        <w:t>的通知》（和地财</w:t>
      </w:r>
      <w:r>
        <w:rPr>
          <w:rFonts w:hint="eastAsia" w:ascii="宋体" w:hAnsi="宋体" w:eastAsia="宋体" w:cs="宋体"/>
          <w:color w:val="000000"/>
          <w:sz w:val="24"/>
          <w:szCs w:val="24"/>
          <w:highlight w:val="none"/>
          <w:lang w:eastAsia="zh-CN"/>
        </w:rPr>
        <w:t>建</w:t>
      </w:r>
      <w:r>
        <w:rPr>
          <w:rFonts w:hint="eastAsia" w:ascii="宋体" w:hAnsi="宋体" w:eastAsia="宋体" w:cs="宋体"/>
          <w:color w:val="000000"/>
          <w:sz w:val="24"/>
          <w:szCs w:val="24"/>
          <w:highlight w:val="none"/>
        </w:rPr>
        <w:t>〔2023〕</w:t>
      </w:r>
      <w:r>
        <w:rPr>
          <w:rFonts w:hint="eastAsia" w:ascii="宋体" w:hAnsi="宋体" w:eastAsia="宋体" w:cs="宋体"/>
          <w:color w:val="000000"/>
          <w:sz w:val="24"/>
          <w:szCs w:val="24"/>
          <w:highlight w:val="none"/>
          <w:lang w:val="en-US" w:eastAsia="zh-CN"/>
        </w:rPr>
        <w:t>117</w:t>
      </w:r>
      <w:r>
        <w:rPr>
          <w:rFonts w:hint="eastAsia" w:ascii="宋体" w:hAnsi="宋体" w:eastAsia="宋体" w:cs="宋体"/>
          <w:color w:val="000000"/>
          <w:sz w:val="24"/>
          <w:szCs w:val="24"/>
          <w:highlight w:val="none"/>
        </w:rPr>
        <w:t>号）文件</w:t>
      </w:r>
      <w:r>
        <w:rPr>
          <w:rFonts w:hint="eastAsia" w:ascii="宋体" w:hAnsi="宋体" w:eastAsia="宋体" w:cs="宋体"/>
          <w:color w:val="auto"/>
          <w:sz w:val="24"/>
          <w:szCs w:val="24"/>
          <w:highlight w:val="none"/>
        </w:rPr>
        <w:t>；本项目立项符合</w:t>
      </w:r>
      <w:r>
        <w:rPr>
          <w:rFonts w:hint="eastAsia" w:ascii="宋体" w:hAnsi="宋体" w:eastAsia="宋体" w:cs="宋体"/>
          <w:b w:val="0"/>
          <w:bCs w:val="0"/>
          <w:color w:val="auto"/>
          <w:sz w:val="24"/>
          <w:szCs w:val="24"/>
          <w:highlight w:val="none"/>
          <w:lang w:val="en-US" w:eastAsia="zh-CN"/>
        </w:rPr>
        <w:t>洛浦县发改委下达《关于洛浦县多鲁乡-拜什托格拉克乡农村道路改建工程实方案的批复》（洛发改项目〔2024〕40号）内容</w:t>
      </w:r>
      <w:r>
        <w:rPr>
          <w:rFonts w:hint="eastAsia" w:ascii="宋体" w:hAnsi="宋体" w:eastAsia="宋体" w:cs="宋体"/>
          <w:color w:val="auto"/>
          <w:sz w:val="24"/>
          <w:szCs w:val="24"/>
          <w:highlight w:val="none"/>
        </w:rPr>
        <w:t>，符合行业发展规划和政策要求；经检查我单位财政应用平台指标，本项目不存在重复。</w:t>
      </w:r>
    </w:p>
    <w:p w14:paraId="5C347104">
      <w:pPr>
        <w:keepNext w:val="0"/>
        <w:keepLines w:val="0"/>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分，根据评分标准得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分，本项目立项依据充分。</w:t>
      </w:r>
    </w:p>
    <w:p w14:paraId="702CD63C">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2.立项程序规范性</w:t>
      </w:r>
    </w:p>
    <w:p w14:paraId="6A60FF4B">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本项目洛浦县多鲁乡-拜什托格拉克乡农村道路改建工程，项目立项过程中产生的文件均符合相关要求。本项目为</w:t>
      </w:r>
      <w:r>
        <w:rPr>
          <w:rFonts w:hint="eastAsia" w:ascii="宋体" w:hAnsi="宋体" w:eastAsia="宋体" w:cs="宋体"/>
          <w:color w:val="auto"/>
          <w:sz w:val="24"/>
          <w:szCs w:val="24"/>
          <w:highlight w:val="none"/>
          <w:lang w:eastAsia="zh-CN"/>
        </w:rPr>
        <w:t>基建</w:t>
      </w:r>
      <w:r>
        <w:rPr>
          <w:rFonts w:hint="eastAsia" w:ascii="宋体" w:hAnsi="宋体" w:eastAsia="宋体" w:cs="宋体"/>
          <w:color w:val="auto"/>
          <w:sz w:val="24"/>
          <w:szCs w:val="24"/>
          <w:highlight w:val="none"/>
        </w:rPr>
        <w:t>类项目，属于经常性项目，项目预算金额为</w:t>
      </w:r>
      <w:r>
        <w:rPr>
          <w:rFonts w:hint="eastAsia" w:ascii="宋体" w:hAnsi="宋体" w:eastAsia="宋体" w:cs="宋体"/>
          <w:color w:val="auto"/>
          <w:sz w:val="24"/>
          <w:szCs w:val="24"/>
          <w:highlight w:val="none"/>
          <w:lang w:val="en-US" w:eastAsia="zh-CN"/>
        </w:rPr>
        <w:t>1469.4</w:t>
      </w:r>
      <w:r>
        <w:rPr>
          <w:rFonts w:hint="eastAsia" w:ascii="宋体" w:hAnsi="宋体" w:eastAsia="宋体" w:cs="宋体"/>
          <w:color w:val="auto"/>
          <w:sz w:val="24"/>
          <w:szCs w:val="24"/>
          <w:highlight w:val="none"/>
        </w:rPr>
        <w:t>万元，不涉及事前绩效评估和风险评估，已委托爱建信达工程咨询有限公司完成本项目可行性研究报告的编制，并经过专家论证。</w:t>
      </w:r>
    </w:p>
    <w:p w14:paraId="1BA38311">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综上所述，本指标满分为3分，根据评分标准得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分，本项目立项程序合规。</w:t>
      </w:r>
    </w:p>
    <w:p w14:paraId="56218FA0">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highlight w:val="none"/>
        </w:rPr>
      </w:pPr>
      <w:r>
        <w:rPr>
          <w:rFonts w:hint="eastAsia" w:ascii="宋体" w:hAnsi="宋体" w:eastAsia="宋体" w:cs="宋体"/>
          <w:b/>
          <w:bCs/>
          <w:color w:val="000000"/>
          <w:sz w:val="24"/>
          <w:szCs w:val="24"/>
          <w:highlight w:val="none"/>
          <w:lang w:val="en-US" w:eastAsia="zh-CN"/>
        </w:rPr>
        <w:t>3.绩效目标合理性</w:t>
      </w:r>
    </w:p>
    <w:p w14:paraId="14B397C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该项目已设置年度绩效目标，具体内容为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改建</w:t>
      </w:r>
      <w:r>
        <w:rPr>
          <w:rFonts w:hint="eastAsia" w:ascii="宋体" w:hAnsi="宋体" w:eastAsia="宋体" w:cs="宋体"/>
          <w:color w:val="auto"/>
          <w:sz w:val="24"/>
          <w:szCs w:val="24"/>
          <w:highlight w:val="none"/>
        </w:rPr>
        <w:t>路线长度23.602km，共计1条路线2座危桥，包括路基工程、路面工程、桥涵工程、交叉工程、交通安全及附属设施。该项目批复的预算金额为</w:t>
      </w:r>
      <w:r>
        <w:rPr>
          <w:rFonts w:hint="eastAsia" w:ascii="宋体" w:hAnsi="宋体" w:eastAsia="宋体" w:cs="宋体"/>
          <w:color w:val="auto"/>
          <w:sz w:val="24"/>
          <w:szCs w:val="24"/>
          <w:highlight w:val="none"/>
          <w:lang w:val="en-US" w:eastAsia="zh-CN"/>
        </w:rPr>
        <w:t>1469.4</w:t>
      </w:r>
      <w:r>
        <w:rPr>
          <w:rFonts w:hint="eastAsia" w:ascii="宋体" w:hAnsi="宋体" w:eastAsia="宋体" w:cs="宋体"/>
          <w:color w:val="auto"/>
          <w:sz w:val="24"/>
          <w:szCs w:val="24"/>
          <w:highlight w:val="none"/>
        </w:rPr>
        <w:t>万元，《洛浦县多鲁乡-拜什托格拉克乡农村道路改建工程项目支出绩效目标表》中预算金额为</w:t>
      </w:r>
      <w:r>
        <w:rPr>
          <w:rFonts w:hint="eastAsia" w:ascii="宋体" w:hAnsi="宋体" w:eastAsia="宋体" w:cs="宋体"/>
          <w:color w:val="auto"/>
          <w:sz w:val="24"/>
          <w:szCs w:val="24"/>
          <w:highlight w:val="none"/>
          <w:lang w:val="en-US" w:eastAsia="zh-CN"/>
        </w:rPr>
        <w:t>1469.4</w:t>
      </w:r>
      <w:r>
        <w:rPr>
          <w:rFonts w:hint="eastAsia" w:ascii="宋体" w:hAnsi="宋体" w:eastAsia="宋体" w:cs="宋体"/>
          <w:color w:val="auto"/>
          <w:sz w:val="24"/>
          <w:szCs w:val="24"/>
          <w:highlight w:val="none"/>
        </w:rPr>
        <w:t>万元，预算确定的项目资金与预算确定的项目投资额相匹配。</w:t>
      </w:r>
      <w:r>
        <w:rPr>
          <w:rFonts w:hint="eastAsia" w:ascii="宋体" w:hAnsi="宋体" w:eastAsia="宋体" w:cs="宋体"/>
          <w:color w:val="auto"/>
          <w:sz w:val="24"/>
          <w:szCs w:val="24"/>
          <w:highlight w:val="none"/>
          <w:lang w:eastAsia="zh-CN"/>
        </w:rPr>
        <w:t>并</w:t>
      </w:r>
      <w:r>
        <w:rPr>
          <w:rFonts w:hint="eastAsia" w:ascii="宋体" w:hAnsi="宋体" w:eastAsia="宋体" w:cs="宋体"/>
          <w:color w:val="auto"/>
          <w:sz w:val="24"/>
          <w:szCs w:val="24"/>
          <w:highlight w:val="none"/>
        </w:rPr>
        <w:t>制定了实施方案，明确了总体思路及目标、并对任务进行了详细分解</w:t>
      </w:r>
      <w:r>
        <w:rPr>
          <w:rFonts w:hint="eastAsia" w:ascii="宋体" w:hAnsi="宋体" w:eastAsia="宋体" w:cs="宋体"/>
          <w:color w:val="auto"/>
          <w:sz w:val="24"/>
          <w:szCs w:val="24"/>
          <w:highlight w:val="none"/>
          <w:lang w:eastAsia="zh-CN"/>
        </w:rPr>
        <w:t>。</w:t>
      </w:r>
    </w:p>
    <w:p w14:paraId="421D55EB">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绩效目标合理</w:t>
      </w:r>
      <w:r>
        <w:rPr>
          <w:rFonts w:hint="eastAsia" w:ascii="宋体" w:hAnsi="宋体" w:eastAsia="宋体" w:cs="宋体"/>
          <w:color w:val="000000"/>
          <w:sz w:val="24"/>
          <w:szCs w:val="24"/>
          <w:highlight w:val="none"/>
        </w:rPr>
        <w:t>。</w:t>
      </w:r>
    </w:p>
    <w:p w14:paraId="3099B3B2">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4.绩效指标明确性</w:t>
      </w:r>
    </w:p>
    <w:p w14:paraId="727947DC">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经检查我单位年初设置的《洛浦县多鲁乡-拜什托格拉克乡农村道路改建工程项目支出绩效目标表》，得出如下结论：本项目已将年度绩效目标进行细化为绩效指标</w:t>
      </w:r>
      <w:r>
        <w:rPr>
          <w:rFonts w:hint="eastAsia" w:ascii="宋体" w:hAnsi="宋体" w:eastAsia="宋体" w:cs="宋体"/>
          <w:color w:val="000000"/>
          <w:sz w:val="24"/>
          <w:szCs w:val="24"/>
          <w:highlight w:val="none"/>
          <w:lang w:val="en-US" w:eastAsia="zh-CN"/>
        </w:rPr>
        <w:t>体系</w:t>
      </w:r>
      <w:r>
        <w:rPr>
          <w:rFonts w:hint="eastAsia" w:ascii="宋体" w:hAnsi="宋体" w:eastAsia="宋体" w:cs="宋体"/>
          <w:color w:val="000000"/>
          <w:sz w:val="24"/>
          <w:szCs w:val="24"/>
          <w:highlight w:val="none"/>
        </w:rPr>
        <w:t>，共设置一级指标</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个，二级指标</w:t>
      </w: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rPr>
        <w:t>个，三级指标</w:t>
      </w:r>
      <w:r>
        <w:rPr>
          <w:rFonts w:hint="eastAsia" w:ascii="宋体" w:hAnsi="宋体" w:eastAsia="宋体" w:cs="宋体"/>
          <w:color w:val="000000"/>
          <w:sz w:val="24"/>
          <w:szCs w:val="24"/>
          <w:highlight w:val="none"/>
          <w:lang w:val="en-US" w:eastAsia="zh-CN"/>
        </w:rPr>
        <w:t>9</w:t>
      </w:r>
      <w:r>
        <w:rPr>
          <w:rFonts w:hint="eastAsia" w:ascii="宋体" w:hAnsi="宋体" w:eastAsia="宋体" w:cs="宋体"/>
          <w:color w:val="000000"/>
          <w:sz w:val="24"/>
          <w:szCs w:val="24"/>
          <w:highlight w:val="none"/>
        </w:rPr>
        <w:t>个，</w:t>
      </w:r>
      <w:r>
        <w:rPr>
          <w:rFonts w:hint="eastAsia" w:ascii="宋体" w:hAnsi="宋体" w:eastAsia="宋体" w:cs="宋体"/>
          <w:color w:val="000000"/>
          <w:sz w:val="24"/>
          <w:szCs w:val="24"/>
          <w:highlight w:val="none"/>
          <w:lang w:val="en-US" w:eastAsia="zh-CN"/>
        </w:rPr>
        <w:t>定量指标8个，定性指1个，指标量化率为88.89%，量化率达70.0%以上</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将项目绩效目标细化分解为具体的绩效指标</w:t>
      </w:r>
      <w:r>
        <w:rPr>
          <w:rFonts w:hint="eastAsia" w:ascii="宋体" w:hAnsi="宋体" w:eastAsia="宋体" w:cs="宋体"/>
          <w:color w:val="000000"/>
          <w:sz w:val="24"/>
          <w:szCs w:val="24"/>
          <w:highlight w:val="none"/>
          <w:lang w:eastAsia="zh-CN"/>
        </w:rPr>
        <w:t>。</w:t>
      </w:r>
    </w:p>
    <w:p w14:paraId="1D66E036">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该《洛浦县多鲁乡-拜什托格拉克乡农村道路改建工程项目绩效目标申报表》中，数量指标指标值为</w:t>
      </w:r>
      <w:r>
        <w:rPr>
          <w:rFonts w:hint="eastAsia" w:ascii="宋体" w:hAnsi="宋体" w:eastAsia="宋体" w:cs="宋体"/>
          <w:color w:val="000000"/>
          <w:sz w:val="24"/>
          <w:szCs w:val="24"/>
          <w:highlight w:val="none"/>
          <w:lang w:eastAsia="zh-CN"/>
        </w:rPr>
        <w:t>道路改建长度</w:t>
      </w:r>
      <w:r>
        <w:rPr>
          <w:rFonts w:hint="eastAsia" w:ascii="宋体" w:hAnsi="宋体" w:eastAsia="宋体" w:cs="宋体"/>
          <w:color w:val="000000"/>
          <w:sz w:val="24"/>
          <w:szCs w:val="24"/>
          <w:highlight w:val="none"/>
        </w:rPr>
        <w:t>，三级指标的年度指标值与年度绩效目标中任务数一致，已设置时效指标“</w:t>
      </w:r>
      <w:r>
        <w:rPr>
          <w:rFonts w:hint="eastAsia" w:ascii="宋体" w:hAnsi="宋体" w:eastAsia="宋体" w:cs="宋体"/>
          <w:color w:val="000000"/>
          <w:sz w:val="24"/>
          <w:szCs w:val="24"/>
          <w:highlight w:val="none"/>
          <w:lang w:val="en-US" w:eastAsia="zh-CN"/>
        </w:rPr>
        <w:t>项目开始时间、项目完工时间、资金支付及时率</w:t>
      </w:r>
      <w:r>
        <w:rPr>
          <w:rFonts w:hint="eastAsia" w:ascii="宋体" w:hAnsi="宋体" w:eastAsia="宋体" w:cs="宋体"/>
          <w:color w:val="000000"/>
          <w:sz w:val="24"/>
          <w:szCs w:val="24"/>
          <w:highlight w:val="none"/>
        </w:rPr>
        <w:t>”。已设置的绩效目标具备明确性、可衡量性、可实现性、相关性、时限性。</w:t>
      </w:r>
    </w:p>
    <w:p w14:paraId="6406E935">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绩效目标明确</w:t>
      </w:r>
      <w:r>
        <w:rPr>
          <w:rFonts w:hint="eastAsia" w:ascii="宋体" w:hAnsi="宋体" w:eastAsia="宋体" w:cs="宋体"/>
          <w:color w:val="000000"/>
          <w:sz w:val="24"/>
          <w:szCs w:val="24"/>
          <w:highlight w:val="none"/>
        </w:rPr>
        <w:t>。</w:t>
      </w:r>
    </w:p>
    <w:p w14:paraId="5D9FDF45">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5.预算编制科学性</w:t>
      </w:r>
    </w:p>
    <w:p w14:paraId="1660094C">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该</w:t>
      </w:r>
      <w:r>
        <w:rPr>
          <w:rFonts w:hint="eastAsia" w:ascii="宋体" w:hAnsi="宋体" w:eastAsia="宋体" w:cs="宋体"/>
          <w:color w:val="000000"/>
          <w:sz w:val="24"/>
          <w:szCs w:val="24"/>
          <w:highlight w:val="none"/>
        </w:rPr>
        <w:t>项目预算编制较科学且经过论证；</w:t>
      </w:r>
      <w:r>
        <w:rPr>
          <w:rFonts w:hint="eastAsia" w:ascii="宋体" w:hAnsi="宋体" w:eastAsia="宋体" w:cs="宋体"/>
          <w:color w:val="000000"/>
          <w:sz w:val="24"/>
          <w:szCs w:val="24"/>
          <w:highlight w:val="none"/>
          <w:lang w:eastAsia="zh-CN"/>
        </w:rPr>
        <w:t>预</w:t>
      </w:r>
      <w:r>
        <w:rPr>
          <w:rFonts w:hint="eastAsia" w:ascii="宋体" w:hAnsi="宋体" w:eastAsia="宋体" w:cs="宋体"/>
          <w:color w:val="000000"/>
          <w:sz w:val="24"/>
          <w:szCs w:val="24"/>
          <w:highlight w:val="none"/>
        </w:rPr>
        <w:t>算申请内容为</w:t>
      </w:r>
      <w:r>
        <w:rPr>
          <w:rFonts w:hint="eastAsia" w:ascii="宋体" w:hAnsi="宋体" w:eastAsia="宋体" w:cs="宋体"/>
          <w:color w:val="000000"/>
          <w:sz w:val="24"/>
          <w:szCs w:val="24"/>
          <w:highlight w:val="none"/>
          <w:lang w:eastAsia="zh-CN"/>
        </w:rPr>
        <w:t>：改建</w:t>
      </w:r>
      <w:r>
        <w:rPr>
          <w:rFonts w:hint="eastAsia" w:ascii="宋体" w:hAnsi="宋体" w:eastAsia="宋体" w:cs="宋体"/>
          <w:color w:val="000000"/>
          <w:sz w:val="24"/>
          <w:szCs w:val="24"/>
          <w:highlight w:val="none"/>
        </w:rPr>
        <w:t>路线长度23.602km，共计1条路线2座危桥，本项目采用三级公路设计等级。包括路基工程、路面工程、桥涵工程、交叉工程、交通安全及附属设施。项目实际内容为</w:t>
      </w:r>
      <w:r>
        <w:rPr>
          <w:rFonts w:hint="eastAsia" w:ascii="宋体" w:hAnsi="宋体" w:eastAsia="宋体" w:cs="宋体"/>
          <w:color w:val="000000"/>
          <w:sz w:val="24"/>
          <w:szCs w:val="24"/>
          <w:highlight w:val="none"/>
          <w:lang w:eastAsia="zh-CN"/>
        </w:rPr>
        <w:t>改建</w:t>
      </w:r>
      <w:r>
        <w:rPr>
          <w:rFonts w:hint="eastAsia" w:ascii="宋体" w:hAnsi="宋体" w:eastAsia="宋体" w:cs="宋体"/>
          <w:color w:val="000000"/>
          <w:sz w:val="24"/>
          <w:szCs w:val="24"/>
          <w:highlight w:val="none"/>
        </w:rPr>
        <w:t>路线长度23.602km，共计1条路线2座危桥，本项目采用三级公路设计等级。包括路基工程、路面工程、桥涵工程、交叉工程、交通安全及附属设施，预算申请与《洛浦县多鲁乡-拜什托格拉克乡农村道路改建工程项目实施方案》中涉及的项目内容匹配；本项目预算申请资金</w:t>
      </w:r>
      <w:r>
        <w:rPr>
          <w:rFonts w:hint="eastAsia" w:ascii="宋体" w:hAnsi="宋体" w:eastAsia="宋体" w:cs="宋体"/>
          <w:color w:val="000000"/>
          <w:sz w:val="24"/>
          <w:szCs w:val="24"/>
          <w:highlight w:val="none"/>
          <w:lang w:val="en-US" w:eastAsia="zh-CN"/>
        </w:rPr>
        <w:t>1469.4</w:t>
      </w:r>
      <w:r>
        <w:rPr>
          <w:rFonts w:hint="eastAsia" w:ascii="宋体" w:hAnsi="宋体" w:eastAsia="宋体" w:cs="宋体"/>
          <w:color w:val="000000"/>
          <w:sz w:val="24"/>
          <w:szCs w:val="24"/>
          <w:highlight w:val="none"/>
        </w:rPr>
        <w:t>万元，我单位在预算申请中严格按照项目实施内容及测算标准进行核算，其中：</w:t>
      </w:r>
      <w:r>
        <w:rPr>
          <w:rFonts w:hint="eastAsia" w:ascii="宋体" w:hAnsi="宋体" w:eastAsia="宋体" w:cs="宋体"/>
          <w:color w:val="000000"/>
          <w:sz w:val="24"/>
          <w:szCs w:val="24"/>
          <w:highlight w:val="none"/>
          <w:lang w:eastAsia="zh-CN"/>
        </w:rPr>
        <w:t>工程</w:t>
      </w:r>
      <w:r>
        <w:rPr>
          <w:rFonts w:hint="eastAsia" w:ascii="宋体" w:hAnsi="宋体" w:eastAsia="宋体" w:cs="宋体"/>
          <w:color w:val="000000"/>
          <w:sz w:val="24"/>
          <w:szCs w:val="24"/>
          <w:highlight w:val="none"/>
        </w:rPr>
        <w:t>费用</w:t>
      </w:r>
      <w:r>
        <w:rPr>
          <w:rFonts w:hint="eastAsia" w:ascii="宋体" w:hAnsi="宋体" w:eastAsia="宋体" w:cs="宋体"/>
          <w:color w:val="000000"/>
          <w:sz w:val="24"/>
          <w:szCs w:val="24"/>
          <w:highlight w:val="none"/>
          <w:lang w:val="en-US" w:eastAsia="zh-CN"/>
        </w:rPr>
        <w:t>1378.21</w:t>
      </w:r>
      <w:r>
        <w:rPr>
          <w:rFonts w:hint="eastAsia" w:ascii="宋体" w:hAnsi="宋体" w:eastAsia="宋体" w:cs="宋体"/>
          <w:color w:val="000000"/>
          <w:sz w:val="24"/>
          <w:szCs w:val="24"/>
          <w:highlight w:val="none"/>
        </w:rPr>
        <w:t>万元、</w:t>
      </w:r>
      <w:r>
        <w:rPr>
          <w:rFonts w:hint="eastAsia" w:ascii="宋体" w:hAnsi="宋体" w:eastAsia="宋体" w:cs="宋体"/>
          <w:color w:val="000000"/>
          <w:sz w:val="24"/>
          <w:szCs w:val="24"/>
          <w:highlight w:val="none"/>
          <w:lang w:eastAsia="zh-CN"/>
        </w:rPr>
        <w:t>监理</w:t>
      </w:r>
      <w:r>
        <w:rPr>
          <w:rFonts w:hint="eastAsia" w:ascii="宋体" w:hAnsi="宋体" w:eastAsia="宋体" w:cs="宋体"/>
          <w:color w:val="000000"/>
          <w:sz w:val="24"/>
          <w:szCs w:val="24"/>
          <w:highlight w:val="none"/>
        </w:rPr>
        <w:t>费用</w:t>
      </w:r>
      <w:r>
        <w:rPr>
          <w:rFonts w:hint="eastAsia" w:ascii="宋体" w:hAnsi="宋体" w:eastAsia="宋体" w:cs="宋体"/>
          <w:color w:val="000000"/>
          <w:sz w:val="24"/>
          <w:szCs w:val="24"/>
          <w:highlight w:val="none"/>
          <w:lang w:val="en-US" w:eastAsia="zh-CN"/>
        </w:rPr>
        <w:t>29.325</w:t>
      </w:r>
      <w:r>
        <w:rPr>
          <w:rFonts w:hint="eastAsia" w:ascii="宋体" w:hAnsi="宋体" w:eastAsia="宋体" w:cs="宋体"/>
          <w:color w:val="000000"/>
          <w:sz w:val="24"/>
          <w:szCs w:val="24"/>
          <w:highlight w:val="none"/>
        </w:rPr>
        <w:t>万元、</w:t>
      </w:r>
      <w:r>
        <w:rPr>
          <w:rFonts w:hint="eastAsia" w:ascii="宋体" w:hAnsi="宋体" w:eastAsia="宋体" w:cs="宋体"/>
          <w:color w:val="000000"/>
          <w:sz w:val="24"/>
          <w:szCs w:val="24"/>
          <w:highlight w:val="none"/>
          <w:lang w:eastAsia="zh-CN"/>
        </w:rPr>
        <w:t>二类</w:t>
      </w:r>
      <w:r>
        <w:rPr>
          <w:rFonts w:hint="eastAsia" w:ascii="宋体" w:hAnsi="宋体" w:eastAsia="宋体" w:cs="宋体"/>
          <w:color w:val="000000"/>
          <w:sz w:val="24"/>
          <w:szCs w:val="24"/>
          <w:highlight w:val="none"/>
        </w:rPr>
        <w:t>费用</w:t>
      </w:r>
      <w:r>
        <w:rPr>
          <w:rFonts w:hint="eastAsia" w:ascii="宋体" w:hAnsi="宋体" w:eastAsia="宋体" w:cs="宋体"/>
          <w:color w:val="000000"/>
          <w:sz w:val="24"/>
          <w:szCs w:val="24"/>
          <w:highlight w:val="none"/>
          <w:lang w:val="en-US" w:eastAsia="zh-CN"/>
        </w:rPr>
        <w:t>46.77</w:t>
      </w:r>
      <w:r>
        <w:rPr>
          <w:rFonts w:hint="eastAsia" w:ascii="宋体" w:hAnsi="宋体" w:eastAsia="宋体" w:cs="宋体"/>
          <w:color w:val="000000"/>
          <w:sz w:val="24"/>
          <w:szCs w:val="24"/>
          <w:highlight w:val="none"/>
        </w:rPr>
        <w:t>万元。预算确定资金量与实际工作任务相匹配。本项目预算额度测算依据充分，严格按照标准编制，预算确定资金量与实际工作任务相匹配</w:t>
      </w:r>
      <w:r>
        <w:rPr>
          <w:rFonts w:hint="eastAsia" w:ascii="宋体" w:hAnsi="宋体" w:eastAsia="宋体" w:cs="宋体"/>
          <w:color w:val="000000"/>
          <w:sz w:val="24"/>
          <w:szCs w:val="24"/>
          <w:highlight w:val="none"/>
          <w:lang w:eastAsia="zh-CN"/>
        </w:rPr>
        <w:t>。</w:t>
      </w:r>
    </w:p>
    <w:p w14:paraId="4828E3DF">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预算编制科学</w:t>
      </w:r>
      <w:r>
        <w:rPr>
          <w:rFonts w:hint="eastAsia" w:ascii="宋体" w:hAnsi="宋体" w:eastAsia="宋体" w:cs="宋体"/>
          <w:color w:val="000000"/>
          <w:sz w:val="24"/>
          <w:szCs w:val="24"/>
          <w:highlight w:val="none"/>
        </w:rPr>
        <w:t>。</w:t>
      </w:r>
    </w:p>
    <w:p w14:paraId="67BFF0B8">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6.资金分配合理性</w:t>
      </w:r>
    </w:p>
    <w:p w14:paraId="1B5E7CE4">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本项目实际分配资金以</w:t>
      </w:r>
      <w:r>
        <w:rPr>
          <w:rFonts w:hint="eastAsia" w:ascii="宋体" w:hAnsi="宋体" w:eastAsia="宋体" w:cs="宋体"/>
          <w:color w:val="000000"/>
          <w:sz w:val="24"/>
          <w:szCs w:val="24"/>
          <w:highlight w:val="none"/>
          <w:lang w:val="en-US"/>
        </w:rPr>
        <w:t>《关于</w:t>
      </w:r>
      <w:r>
        <w:rPr>
          <w:rFonts w:hint="eastAsia" w:ascii="宋体" w:hAnsi="宋体" w:eastAsia="宋体" w:cs="宋体"/>
          <w:color w:val="000000"/>
          <w:sz w:val="24"/>
          <w:szCs w:val="24"/>
          <w:highlight w:val="none"/>
          <w:lang w:val="en-US" w:eastAsia="zh-CN"/>
        </w:rPr>
        <w:t>申请洛浦县多鲁乡-拜什托格拉克乡农村道路改建工程项目资金的请示</w:t>
      </w:r>
      <w:r>
        <w:rPr>
          <w:rFonts w:hint="eastAsia" w:ascii="宋体" w:hAnsi="宋体" w:eastAsia="宋体" w:cs="宋体"/>
          <w:color w:val="000000"/>
          <w:sz w:val="24"/>
          <w:szCs w:val="24"/>
          <w:highlight w:val="none"/>
          <w:lang w:val="en-US"/>
        </w:rPr>
        <w:t>》</w:t>
      </w:r>
      <w:r>
        <w:rPr>
          <w:rFonts w:hint="eastAsia" w:ascii="宋体" w:hAnsi="宋体" w:eastAsia="宋体" w:cs="宋体"/>
          <w:color w:val="000000"/>
          <w:sz w:val="24"/>
          <w:szCs w:val="24"/>
          <w:highlight w:val="none"/>
          <w:lang w:val="en-US" w:eastAsia="zh-CN"/>
        </w:rPr>
        <w:t>和《洛浦县多鲁乡-拜什托格拉克乡农村道路改建工程项目实施方案》</w:t>
      </w:r>
      <w:r>
        <w:rPr>
          <w:rFonts w:hint="eastAsia" w:ascii="宋体" w:hAnsi="宋体" w:eastAsia="宋体" w:cs="宋体"/>
          <w:color w:val="000000"/>
          <w:sz w:val="24"/>
          <w:szCs w:val="24"/>
          <w:highlight w:val="none"/>
          <w:lang w:val="en-US"/>
        </w:rPr>
        <w:t>为依据进行资金分配，预算资金分配依据充分</w:t>
      </w:r>
      <w:r>
        <w:rPr>
          <w:rFonts w:hint="eastAsia" w:ascii="宋体" w:hAnsi="宋体" w:eastAsia="宋体" w:cs="宋体"/>
          <w:color w:val="000000"/>
          <w:sz w:val="24"/>
          <w:szCs w:val="24"/>
          <w:highlight w:val="none"/>
          <w:lang w:val="en-US" w:eastAsia="zh-CN"/>
        </w:rPr>
        <w:t>。根据《关于提前下达2024年车辆购置税收入补助地方（第一批）用于普通省道及农村公路建设“以奖代补”资金预算的通知》（和地财建〔2023〕117号）文件实施，本项目实际到位资金1469.4万元，</w:t>
      </w:r>
      <w:r>
        <w:rPr>
          <w:rFonts w:hint="eastAsia" w:ascii="宋体" w:hAnsi="宋体" w:eastAsia="宋体" w:cs="宋体"/>
          <w:color w:val="000000"/>
          <w:sz w:val="24"/>
          <w:szCs w:val="24"/>
          <w:highlight w:val="none"/>
          <w:lang w:val="en-US"/>
        </w:rPr>
        <w:t>资金分配额度合理，与</w:t>
      </w:r>
      <w:r>
        <w:rPr>
          <w:rFonts w:hint="eastAsia" w:ascii="宋体" w:hAnsi="宋体" w:eastAsia="宋体" w:cs="宋体"/>
          <w:color w:val="000000"/>
          <w:sz w:val="24"/>
          <w:szCs w:val="24"/>
          <w:highlight w:val="none"/>
          <w:lang w:val="en-US" w:eastAsia="zh-CN"/>
        </w:rPr>
        <w:t>我</w:t>
      </w:r>
      <w:r>
        <w:rPr>
          <w:rFonts w:hint="eastAsia" w:ascii="宋体" w:hAnsi="宋体" w:eastAsia="宋体" w:cs="宋体"/>
          <w:color w:val="000000"/>
          <w:sz w:val="24"/>
          <w:szCs w:val="24"/>
          <w:highlight w:val="none"/>
          <w:lang w:val="en-US"/>
        </w:rPr>
        <w:t>单位实际</w:t>
      </w:r>
      <w:r>
        <w:rPr>
          <w:rFonts w:hint="eastAsia" w:ascii="宋体" w:hAnsi="宋体" w:eastAsia="宋体" w:cs="宋体"/>
          <w:color w:val="000000"/>
          <w:sz w:val="24"/>
          <w:szCs w:val="24"/>
          <w:highlight w:val="none"/>
          <w:lang w:val="en-US" w:eastAsia="zh-CN"/>
        </w:rPr>
        <w:t>需求</w:t>
      </w:r>
      <w:r>
        <w:rPr>
          <w:rFonts w:hint="eastAsia" w:ascii="宋体" w:hAnsi="宋体" w:eastAsia="宋体" w:cs="宋体"/>
          <w:color w:val="000000"/>
          <w:sz w:val="24"/>
          <w:szCs w:val="24"/>
          <w:highlight w:val="none"/>
          <w:lang w:val="en-US"/>
        </w:rPr>
        <w:t>相适应</w:t>
      </w:r>
      <w:r>
        <w:rPr>
          <w:rFonts w:hint="eastAsia" w:ascii="宋体" w:hAnsi="宋体" w:eastAsia="宋体" w:cs="宋体"/>
          <w:color w:val="000000"/>
          <w:sz w:val="24"/>
          <w:szCs w:val="24"/>
          <w:highlight w:val="none"/>
          <w:lang w:val="en-US" w:eastAsia="zh-CN"/>
        </w:rPr>
        <w:t>。</w:t>
      </w:r>
    </w:p>
    <w:p w14:paraId="0280064C">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 xml:space="preserve"> 综上所述，本指标满分为4分，根据评分标准得4分，本项目资金分配合理。</w:t>
      </w:r>
    </w:p>
    <w:p w14:paraId="2AF42CA0">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（二）项目过程情况</w:t>
      </w:r>
    </w:p>
    <w:p w14:paraId="0940C3C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项目过程类指标包括资金管理和组织实施两方面的内容，由 5个三级指标构成，权重分为</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11.98</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99.83</w:t>
      </w:r>
      <w:r>
        <w:rPr>
          <w:rFonts w:hint="eastAsia" w:ascii="宋体" w:hAnsi="宋体" w:eastAsia="宋体" w:cs="宋体"/>
          <w:color w:val="auto"/>
          <w:sz w:val="24"/>
          <w:szCs w:val="24"/>
          <w:highlight w:val="none"/>
        </w:rPr>
        <w:t>%。</w:t>
      </w:r>
    </w:p>
    <w:p w14:paraId="2C471B40">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1.资金到位率：</w:t>
      </w:r>
    </w:p>
    <w:p w14:paraId="20EEF87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本项目预算资金为</w:t>
      </w:r>
      <w:r>
        <w:rPr>
          <w:rFonts w:hint="eastAsia" w:ascii="宋体" w:hAnsi="宋体" w:eastAsia="宋体" w:cs="宋体"/>
          <w:color w:val="auto"/>
          <w:sz w:val="24"/>
          <w:szCs w:val="24"/>
          <w:highlight w:val="none"/>
          <w:lang w:val="en-US" w:eastAsia="zh-CN"/>
        </w:rPr>
        <w:t>1469.4</w:t>
      </w:r>
      <w:r>
        <w:rPr>
          <w:rFonts w:hint="eastAsia" w:ascii="宋体" w:hAnsi="宋体" w:eastAsia="宋体" w:cs="宋体"/>
          <w:color w:val="auto"/>
          <w:sz w:val="24"/>
          <w:szCs w:val="24"/>
          <w:highlight w:val="none"/>
        </w:rPr>
        <w:t>万元，其中：财政安排资金</w:t>
      </w:r>
      <w:r>
        <w:rPr>
          <w:rFonts w:hint="eastAsia" w:ascii="宋体" w:hAnsi="宋体" w:eastAsia="宋体" w:cs="宋体"/>
          <w:color w:val="auto"/>
          <w:sz w:val="24"/>
          <w:szCs w:val="24"/>
          <w:highlight w:val="none"/>
          <w:lang w:val="en-US" w:eastAsia="zh-CN"/>
        </w:rPr>
        <w:t>1469.4</w:t>
      </w:r>
      <w:r>
        <w:rPr>
          <w:rFonts w:hint="eastAsia" w:ascii="宋体" w:hAnsi="宋体" w:eastAsia="宋体" w:cs="宋体"/>
          <w:color w:val="auto"/>
          <w:sz w:val="24"/>
          <w:szCs w:val="24"/>
          <w:highlight w:val="none"/>
        </w:rPr>
        <w:t>万元，其他资金</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万元，实际到位资金</w:t>
      </w:r>
      <w:r>
        <w:rPr>
          <w:rFonts w:hint="eastAsia" w:ascii="宋体" w:hAnsi="宋体" w:eastAsia="宋体" w:cs="宋体"/>
          <w:color w:val="auto"/>
          <w:sz w:val="24"/>
          <w:szCs w:val="24"/>
          <w:highlight w:val="none"/>
          <w:lang w:val="en-US" w:eastAsia="zh-CN"/>
        </w:rPr>
        <w:t>1469.4</w:t>
      </w:r>
      <w:r>
        <w:rPr>
          <w:rFonts w:hint="eastAsia" w:ascii="宋体" w:hAnsi="宋体" w:eastAsia="宋体" w:cs="宋体"/>
          <w:color w:val="auto"/>
          <w:sz w:val="24"/>
          <w:szCs w:val="24"/>
          <w:highlight w:val="none"/>
        </w:rPr>
        <w:t>万元，资金到位率</w:t>
      </w:r>
      <w:r>
        <w:rPr>
          <w:rFonts w:hint="eastAsia" w:ascii="宋体" w:hAnsi="宋体" w:eastAsia="宋体" w:cs="宋体"/>
          <w:color w:val="auto"/>
          <w:sz w:val="24"/>
          <w:szCs w:val="24"/>
          <w:highlight w:val="none"/>
          <w:lang w:val="en-US" w:eastAsia="zh-CN"/>
        </w:rPr>
        <w:t>100%；通过分析可知，该项目</w:t>
      </w:r>
      <w:r>
        <w:rPr>
          <w:rFonts w:hint="eastAsia" w:ascii="宋体" w:hAnsi="宋体" w:eastAsia="宋体" w:cs="宋体"/>
          <w:color w:val="auto"/>
          <w:sz w:val="24"/>
          <w:szCs w:val="24"/>
          <w:highlight w:val="none"/>
        </w:rPr>
        <w:t>财政资金足额拨付到位，能够及时足额</w:t>
      </w:r>
      <w:r>
        <w:rPr>
          <w:rFonts w:hint="eastAsia" w:ascii="宋体" w:hAnsi="宋体" w:eastAsia="宋体" w:cs="宋体"/>
          <w:color w:val="auto"/>
          <w:sz w:val="24"/>
          <w:szCs w:val="24"/>
          <w:highlight w:val="none"/>
          <w:lang w:val="en-US" w:eastAsia="zh-CN"/>
        </w:rPr>
        <w:t>支付</w:t>
      </w:r>
      <w:r>
        <w:rPr>
          <w:rFonts w:hint="eastAsia" w:ascii="宋体" w:hAnsi="宋体" w:eastAsia="宋体" w:cs="宋体"/>
          <w:color w:val="auto"/>
          <w:sz w:val="24"/>
          <w:szCs w:val="24"/>
          <w:highlight w:val="none"/>
        </w:rPr>
        <w:t>给</w:t>
      </w:r>
      <w:r>
        <w:rPr>
          <w:rFonts w:hint="eastAsia" w:ascii="宋体" w:hAnsi="宋体" w:eastAsia="宋体" w:cs="宋体"/>
          <w:color w:val="auto"/>
          <w:sz w:val="24"/>
          <w:szCs w:val="24"/>
          <w:highlight w:val="none"/>
          <w:lang w:val="en-US" w:eastAsia="zh-CN"/>
        </w:rPr>
        <w:t>实施</w:t>
      </w:r>
      <w:r>
        <w:rPr>
          <w:rFonts w:hint="eastAsia" w:ascii="宋体" w:hAnsi="宋体" w:eastAsia="宋体" w:cs="宋体"/>
          <w:color w:val="auto"/>
          <w:sz w:val="24"/>
          <w:szCs w:val="24"/>
          <w:highlight w:val="none"/>
        </w:rPr>
        <w:t>单位</w:t>
      </w:r>
      <w:r>
        <w:rPr>
          <w:rFonts w:hint="eastAsia" w:ascii="宋体" w:hAnsi="宋体" w:eastAsia="宋体" w:cs="宋体"/>
          <w:color w:val="auto"/>
          <w:sz w:val="24"/>
          <w:szCs w:val="24"/>
          <w:highlight w:val="none"/>
          <w:lang w:eastAsia="zh-CN"/>
        </w:rPr>
        <w:t>。</w:t>
      </w:r>
    </w:p>
    <w:p w14:paraId="299B28B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 xml:space="preserve">分。   </w:t>
      </w:r>
    </w:p>
    <w:p w14:paraId="547693FC">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2.预算执行率：</w:t>
      </w:r>
    </w:p>
    <w:p w14:paraId="6564C1C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本项目实际支出资金</w:t>
      </w:r>
      <w:r>
        <w:rPr>
          <w:rFonts w:hint="eastAsia" w:ascii="宋体" w:hAnsi="宋体" w:eastAsia="宋体" w:cs="宋体"/>
          <w:color w:val="auto"/>
          <w:sz w:val="24"/>
          <w:szCs w:val="24"/>
          <w:highlight w:val="none"/>
          <w:lang w:val="en-US" w:eastAsia="zh-CN"/>
        </w:rPr>
        <w:t>1454.31</w:t>
      </w:r>
      <w:r>
        <w:rPr>
          <w:rFonts w:hint="eastAsia" w:ascii="宋体" w:hAnsi="宋体" w:eastAsia="宋体" w:cs="宋体"/>
          <w:color w:val="auto"/>
          <w:sz w:val="24"/>
          <w:szCs w:val="24"/>
          <w:highlight w:val="none"/>
        </w:rPr>
        <w:t>万元，预算执行率</w:t>
      </w:r>
      <w:r>
        <w:rPr>
          <w:rFonts w:hint="eastAsia" w:ascii="宋体" w:hAnsi="宋体" w:eastAsia="宋体" w:cs="宋体"/>
          <w:color w:val="auto"/>
          <w:sz w:val="24"/>
          <w:szCs w:val="24"/>
          <w:highlight w:val="none"/>
          <w:lang w:val="en-US" w:eastAsia="zh-CN"/>
        </w:rPr>
        <w:t>98.97</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通过分析可知，该项目</w:t>
      </w:r>
      <w:r>
        <w:rPr>
          <w:rFonts w:hint="eastAsia" w:ascii="宋体" w:hAnsi="宋体" w:eastAsia="宋体" w:cs="宋体"/>
          <w:color w:val="auto"/>
          <w:sz w:val="24"/>
          <w:szCs w:val="24"/>
          <w:highlight w:val="none"/>
        </w:rPr>
        <w:t>预算编制较为详细，项目资金支出总体能够按照预算执行，预算执行率</w:t>
      </w:r>
      <w:r>
        <w:rPr>
          <w:rFonts w:hint="eastAsia" w:ascii="宋体" w:hAnsi="宋体" w:eastAsia="宋体" w:cs="宋体"/>
          <w:color w:val="auto"/>
          <w:sz w:val="24"/>
          <w:szCs w:val="24"/>
          <w:highlight w:val="none"/>
          <w:lang w:val="en-US" w:eastAsia="zh-CN"/>
        </w:rPr>
        <w:t>98.97</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p>
    <w:p w14:paraId="42E3BC3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根据评分标准，该指标扣分，得</w:t>
      </w:r>
      <w:r>
        <w:rPr>
          <w:rFonts w:hint="eastAsia" w:ascii="宋体" w:hAnsi="宋体" w:eastAsia="宋体" w:cs="宋体"/>
          <w:color w:val="auto"/>
          <w:sz w:val="24"/>
          <w:szCs w:val="24"/>
          <w:highlight w:val="none"/>
          <w:lang w:val="en-US" w:eastAsia="zh-CN"/>
        </w:rPr>
        <w:t>1.98</w:t>
      </w:r>
      <w:r>
        <w:rPr>
          <w:rFonts w:hint="eastAsia" w:ascii="宋体" w:hAnsi="宋体" w:eastAsia="宋体" w:cs="宋体"/>
          <w:color w:val="auto"/>
          <w:sz w:val="24"/>
          <w:szCs w:val="24"/>
          <w:highlight w:val="none"/>
        </w:rPr>
        <w:t>分。</w:t>
      </w:r>
    </w:p>
    <w:p w14:paraId="0B1C555D">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3.资金使用合规性：</w:t>
      </w:r>
    </w:p>
    <w:p w14:paraId="6048A74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通过检查项目资金申请文件、</w:t>
      </w:r>
      <w:r>
        <w:rPr>
          <w:rFonts w:hint="eastAsia" w:ascii="宋体" w:hAnsi="宋体" w:eastAsia="宋体" w:cs="宋体"/>
          <w:color w:val="auto"/>
          <w:sz w:val="24"/>
          <w:szCs w:val="24"/>
          <w:highlight w:val="none"/>
          <w:lang w:val="en-US" w:eastAsia="zh-CN"/>
        </w:rPr>
        <w:t>国库支付凭证</w:t>
      </w:r>
      <w:r>
        <w:rPr>
          <w:rFonts w:hint="eastAsia" w:ascii="宋体" w:hAnsi="宋体" w:eastAsia="宋体" w:cs="宋体"/>
          <w:color w:val="auto"/>
          <w:sz w:val="24"/>
          <w:szCs w:val="24"/>
          <w:highlight w:val="none"/>
        </w:rPr>
        <w:t>等财务</w:t>
      </w:r>
      <w:r>
        <w:rPr>
          <w:rFonts w:hint="eastAsia" w:ascii="宋体" w:hAnsi="宋体" w:eastAsia="宋体" w:cs="宋体"/>
          <w:color w:val="auto"/>
          <w:sz w:val="24"/>
          <w:szCs w:val="24"/>
          <w:highlight w:val="none"/>
          <w:lang w:val="en-US" w:eastAsia="zh-CN"/>
        </w:rPr>
        <w:t>资料</w:t>
      </w:r>
      <w:r>
        <w:rPr>
          <w:rFonts w:hint="eastAsia" w:ascii="宋体" w:hAnsi="宋体" w:eastAsia="宋体" w:cs="宋体"/>
          <w:color w:val="auto"/>
          <w:sz w:val="24"/>
          <w:szCs w:val="24"/>
          <w:highlight w:val="none"/>
        </w:rPr>
        <w:t>，得出本项目资金支出符合国家财经法规、《政府会计制度》《</w:t>
      </w:r>
      <w:r>
        <w:rPr>
          <w:rFonts w:hint="eastAsia" w:ascii="宋体" w:hAnsi="宋体" w:eastAsia="宋体" w:cs="宋体"/>
          <w:color w:val="auto"/>
          <w:sz w:val="24"/>
          <w:szCs w:val="24"/>
          <w:highlight w:val="none"/>
          <w:lang w:eastAsia="zh-CN"/>
        </w:rPr>
        <w:t>洛浦县</w:t>
      </w:r>
      <w:r>
        <w:rPr>
          <w:rFonts w:hint="eastAsia" w:ascii="宋体" w:hAnsi="宋体" w:eastAsia="宋体" w:cs="宋体"/>
          <w:color w:val="auto"/>
          <w:sz w:val="24"/>
          <w:szCs w:val="24"/>
          <w:highlight w:val="none"/>
          <w:lang w:val="en-US" w:eastAsia="zh-CN"/>
        </w:rPr>
        <w:t>交通运输局</w:t>
      </w:r>
      <w:r>
        <w:rPr>
          <w:rFonts w:hint="eastAsia" w:ascii="宋体" w:hAnsi="宋体" w:eastAsia="宋体" w:cs="宋体"/>
          <w:color w:val="auto"/>
          <w:sz w:val="24"/>
          <w:szCs w:val="24"/>
          <w:highlight w:val="none"/>
        </w:rPr>
        <w:t>单位资金管理办法》《</w:t>
      </w:r>
      <w:r>
        <w:rPr>
          <w:rFonts w:hint="eastAsia" w:ascii="宋体" w:hAnsi="宋体" w:eastAsia="宋体" w:cs="宋体"/>
          <w:color w:val="auto"/>
          <w:sz w:val="24"/>
          <w:szCs w:val="24"/>
          <w:highlight w:val="none"/>
          <w:lang w:eastAsia="zh-CN"/>
        </w:rPr>
        <w:t>洛浦县</w:t>
      </w:r>
      <w:r>
        <w:rPr>
          <w:rFonts w:hint="eastAsia" w:ascii="宋体" w:hAnsi="宋体" w:eastAsia="宋体" w:cs="宋体"/>
          <w:color w:val="auto"/>
          <w:sz w:val="24"/>
          <w:szCs w:val="24"/>
          <w:highlight w:val="none"/>
          <w:lang w:val="en-US" w:eastAsia="zh-CN"/>
        </w:rPr>
        <w:t>交通运输局</w:t>
      </w:r>
      <w:r>
        <w:rPr>
          <w:rFonts w:hint="eastAsia" w:ascii="宋体" w:hAnsi="宋体" w:eastAsia="宋体" w:cs="宋体"/>
          <w:color w:val="auto"/>
          <w:sz w:val="24"/>
          <w:szCs w:val="24"/>
          <w:highlight w:val="none"/>
        </w:rPr>
        <w:t>专项资金管理办法》，资金的拨付有完整的审批程序和手续，资金实际使用方向与预算批复用途一致，不存在截留、挤占、挪用、虚列支出的情况。</w:t>
      </w:r>
    </w:p>
    <w:p w14:paraId="712D974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428DE6B0">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4.管理制度健全性：</w:t>
      </w:r>
    </w:p>
    <w:p w14:paraId="1760805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我单位已制定《</w:t>
      </w:r>
      <w:r>
        <w:rPr>
          <w:rFonts w:hint="eastAsia" w:ascii="宋体" w:hAnsi="宋体" w:eastAsia="宋体" w:cs="宋体"/>
          <w:color w:val="auto"/>
          <w:sz w:val="24"/>
          <w:szCs w:val="24"/>
          <w:highlight w:val="none"/>
          <w:lang w:eastAsia="zh-CN"/>
        </w:rPr>
        <w:t>洛浦县</w:t>
      </w:r>
      <w:r>
        <w:rPr>
          <w:rFonts w:hint="eastAsia" w:ascii="宋体" w:hAnsi="宋体" w:eastAsia="宋体" w:cs="宋体"/>
          <w:color w:val="auto"/>
          <w:sz w:val="24"/>
          <w:szCs w:val="24"/>
          <w:highlight w:val="none"/>
          <w:lang w:val="en-US" w:eastAsia="zh-CN"/>
        </w:rPr>
        <w:t>交通运输局</w:t>
      </w:r>
      <w:r>
        <w:rPr>
          <w:rFonts w:hint="eastAsia" w:ascii="宋体" w:hAnsi="宋体" w:eastAsia="宋体" w:cs="宋体"/>
          <w:color w:val="auto"/>
          <w:sz w:val="24"/>
          <w:szCs w:val="24"/>
          <w:highlight w:val="none"/>
          <w:lang w:eastAsia="zh-CN"/>
        </w:rPr>
        <w:t>专项</w:t>
      </w:r>
      <w:r>
        <w:rPr>
          <w:rFonts w:hint="eastAsia" w:ascii="宋体" w:hAnsi="宋体" w:eastAsia="宋体" w:cs="宋体"/>
          <w:color w:val="auto"/>
          <w:sz w:val="24"/>
          <w:szCs w:val="24"/>
          <w:highlight w:val="none"/>
        </w:rPr>
        <w:t>资金管理办法》《</w:t>
      </w:r>
      <w:r>
        <w:rPr>
          <w:rFonts w:hint="eastAsia" w:ascii="宋体" w:hAnsi="宋体" w:eastAsia="宋体" w:cs="宋体"/>
          <w:color w:val="auto"/>
          <w:sz w:val="24"/>
          <w:szCs w:val="24"/>
          <w:highlight w:val="none"/>
          <w:lang w:eastAsia="zh-CN"/>
        </w:rPr>
        <w:t>洛浦县</w:t>
      </w:r>
      <w:r>
        <w:rPr>
          <w:rFonts w:hint="eastAsia" w:ascii="宋体" w:hAnsi="宋体" w:eastAsia="宋体" w:cs="宋体"/>
          <w:color w:val="auto"/>
          <w:sz w:val="24"/>
          <w:szCs w:val="24"/>
          <w:highlight w:val="none"/>
          <w:lang w:val="en-US" w:eastAsia="zh-CN"/>
        </w:rPr>
        <w:t>交通运输局</w:t>
      </w:r>
      <w:r>
        <w:rPr>
          <w:rFonts w:hint="eastAsia" w:ascii="宋体" w:hAnsi="宋体" w:eastAsia="宋体" w:cs="宋体"/>
          <w:color w:val="auto"/>
          <w:sz w:val="24"/>
          <w:szCs w:val="24"/>
          <w:highlight w:val="none"/>
          <w:lang w:eastAsia="zh-CN"/>
        </w:rPr>
        <w:t>财务</w:t>
      </w:r>
      <w:r>
        <w:rPr>
          <w:rFonts w:hint="eastAsia" w:ascii="宋体" w:hAnsi="宋体" w:eastAsia="宋体" w:cs="宋体"/>
          <w:color w:val="auto"/>
          <w:sz w:val="24"/>
          <w:szCs w:val="24"/>
          <w:highlight w:val="none"/>
        </w:rPr>
        <w:t>收支业务管理制度》《</w:t>
      </w:r>
      <w:r>
        <w:rPr>
          <w:rFonts w:hint="eastAsia" w:ascii="宋体" w:hAnsi="宋体" w:eastAsia="宋体" w:cs="宋体"/>
          <w:color w:val="auto"/>
          <w:sz w:val="24"/>
          <w:szCs w:val="24"/>
          <w:highlight w:val="none"/>
          <w:lang w:eastAsia="zh-CN"/>
        </w:rPr>
        <w:t>洛浦县</w:t>
      </w:r>
      <w:r>
        <w:rPr>
          <w:rFonts w:hint="eastAsia" w:ascii="宋体" w:hAnsi="宋体" w:eastAsia="宋体" w:cs="宋体"/>
          <w:color w:val="auto"/>
          <w:sz w:val="24"/>
          <w:szCs w:val="24"/>
          <w:highlight w:val="none"/>
          <w:lang w:val="en-US" w:eastAsia="zh-CN"/>
        </w:rPr>
        <w:t>交通运输局</w:t>
      </w:r>
      <w:r>
        <w:rPr>
          <w:rFonts w:hint="eastAsia" w:ascii="宋体" w:hAnsi="宋体" w:eastAsia="宋体" w:cs="宋体"/>
          <w:color w:val="auto"/>
          <w:sz w:val="24"/>
          <w:szCs w:val="24"/>
          <w:highlight w:val="none"/>
        </w:rPr>
        <w:t>政府采购业务管理制度》《</w:t>
      </w:r>
      <w:r>
        <w:rPr>
          <w:rFonts w:hint="eastAsia" w:ascii="宋体" w:hAnsi="宋体" w:eastAsia="宋体" w:cs="宋体"/>
          <w:color w:val="auto"/>
          <w:sz w:val="24"/>
          <w:szCs w:val="24"/>
          <w:highlight w:val="none"/>
          <w:lang w:eastAsia="zh-CN"/>
        </w:rPr>
        <w:t>洛浦县</w:t>
      </w:r>
      <w:r>
        <w:rPr>
          <w:rFonts w:hint="eastAsia" w:ascii="宋体" w:hAnsi="宋体" w:eastAsia="宋体" w:cs="宋体"/>
          <w:color w:val="auto"/>
          <w:sz w:val="24"/>
          <w:szCs w:val="24"/>
          <w:highlight w:val="none"/>
          <w:lang w:val="en-US" w:eastAsia="zh-CN"/>
        </w:rPr>
        <w:t>交通运输局</w:t>
      </w:r>
      <w:r>
        <w:rPr>
          <w:rFonts w:hint="eastAsia" w:ascii="宋体" w:hAnsi="宋体" w:eastAsia="宋体" w:cs="宋体"/>
          <w:color w:val="auto"/>
          <w:sz w:val="24"/>
          <w:szCs w:val="24"/>
          <w:highlight w:val="none"/>
          <w:lang w:eastAsia="zh-CN"/>
        </w:rPr>
        <w:t>工程</w:t>
      </w:r>
      <w:r>
        <w:rPr>
          <w:rFonts w:hint="eastAsia" w:ascii="宋体" w:hAnsi="宋体" w:eastAsia="宋体" w:cs="宋体"/>
          <w:color w:val="auto"/>
          <w:sz w:val="24"/>
          <w:szCs w:val="24"/>
          <w:highlight w:val="none"/>
        </w:rPr>
        <w:t>合同管理制度》，</w:t>
      </w:r>
      <w:r>
        <w:rPr>
          <w:rFonts w:hint="eastAsia" w:ascii="宋体" w:hAnsi="宋体" w:eastAsia="宋体" w:cs="宋体"/>
          <w:color w:val="auto"/>
          <w:sz w:val="24"/>
          <w:szCs w:val="24"/>
          <w:highlight w:val="none"/>
          <w:lang w:val="en-US" w:eastAsia="zh-CN"/>
        </w:rPr>
        <w:t>相关</w:t>
      </w:r>
      <w:r>
        <w:rPr>
          <w:rFonts w:hint="eastAsia" w:ascii="宋体" w:hAnsi="宋体" w:eastAsia="宋体" w:cs="宋体"/>
          <w:color w:val="auto"/>
          <w:sz w:val="24"/>
          <w:szCs w:val="24"/>
          <w:highlight w:val="none"/>
        </w:rPr>
        <w:t>制度均符合行政事业单位内控管理要求，财务和业务管理制度合法、合规、完整，本项目执行符合上述制度规定。</w:t>
      </w:r>
    </w:p>
    <w:p w14:paraId="101D6B3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005268D8">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5.制度执行有效性：</w:t>
      </w:r>
    </w:p>
    <w:p w14:paraId="34ADB828">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①该项目的实施符合《</w:t>
      </w:r>
      <w:r>
        <w:rPr>
          <w:rFonts w:hint="eastAsia" w:ascii="宋体" w:hAnsi="宋体" w:eastAsia="宋体" w:cs="宋体"/>
          <w:color w:val="auto"/>
          <w:sz w:val="24"/>
          <w:szCs w:val="24"/>
          <w:highlight w:val="none"/>
          <w:lang w:eastAsia="zh-CN"/>
        </w:rPr>
        <w:t>洛浦县</w:t>
      </w:r>
      <w:r>
        <w:rPr>
          <w:rFonts w:hint="eastAsia" w:ascii="宋体" w:hAnsi="宋体" w:eastAsia="宋体" w:cs="宋体"/>
          <w:color w:val="auto"/>
          <w:sz w:val="24"/>
          <w:szCs w:val="24"/>
          <w:highlight w:val="none"/>
          <w:lang w:val="en-US" w:eastAsia="zh-CN"/>
        </w:rPr>
        <w:t>交通运输局项目资金管理</w:t>
      </w:r>
      <w:r>
        <w:rPr>
          <w:rFonts w:hint="eastAsia" w:ascii="宋体" w:hAnsi="宋体" w:eastAsia="宋体" w:cs="宋体"/>
          <w:color w:val="auto"/>
          <w:sz w:val="24"/>
          <w:szCs w:val="24"/>
          <w:highlight w:val="none"/>
        </w:rPr>
        <w:t>办法》《</w:t>
      </w:r>
      <w:r>
        <w:rPr>
          <w:rFonts w:hint="eastAsia" w:ascii="宋体" w:hAnsi="宋体" w:eastAsia="宋体" w:cs="宋体"/>
          <w:color w:val="auto"/>
          <w:sz w:val="24"/>
          <w:szCs w:val="24"/>
          <w:highlight w:val="none"/>
          <w:lang w:eastAsia="zh-CN"/>
        </w:rPr>
        <w:t>洛浦县</w:t>
      </w:r>
      <w:r>
        <w:rPr>
          <w:rFonts w:hint="eastAsia" w:ascii="宋体" w:hAnsi="宋体" w:eastAsia="宋体" w:cs="宋体"/>
          <w:color w:val="auto"/>
          <w:sz w:val="24"/>
          <w:szCs w:val="24"/>
          <w:highlight w:val="none"/>
          <w:lang w:val="en-US" w:eastAsia="zh-CN"/>
        </w:rPr>
        <w:t>交通运输局工程项目</w:t>
      </w:r>
      <w:r>
        <w:rPr>
          <w:rFonts w:hint="eastAsia" w:ascii="宋体" w:hAnsi="宋体" w:eastAsia="宋体" w:cs="宋体"/>
          <w:color w:val="auto"/>
          <w:sz w:val="24"/>
          <w:szCs w:val="24"/>
          <w:highlight w:val="none"/>
        </w:rPr>
        <w:t>管理制度》《</w:t>
      </w:r>
      <w:r>
        <w:rPr>
          <w:rFonts w:hint="eastAsia" w:ascii="宋体" w:hAnsi="宋体" w:eastAsia="宋体" w:cs="宋体"/>
          <w:color w:val="auto"/>
          <w:sz w:val="24"/>
          <w:szCs w:val="24"/>
          <w:highlight w:val="none"/>
          <w:lang w:eastAsia="zh-CN"/>
        </w:rPr>
        <w:t>洛浦县</w:t>
      </w:r>
      <w:r>
        <w:rPr>
          <w:rFonts w:hint="eastAsia" w:ascii="宋体" w:hAnsi="宋体" w:eastAsia="宋体" w:cs="宋体"/>
          <w:color w:val="auto"/>
          <w:sz w:val="24"/>
          <w:szCs w:val="24"/>
          <w:highlight w:val="none"/>
          <w:lang w:val="en-US" w:eastAsia="zh-CN"/>
        </w:rPr>
        <w:t>交通运输局工程</w:t>
      </w:r>
      <w:r>
        <w:rPr>
          <w:rFonts w:hint="eastAsia" w:ascii="宋体" w:hAnsi="宋体" w:eastAsia="宋体" w:cs="宋体"/>
          <w:color w:val="auto"/>
          <w:sz w:val="24"/>
          <w:szCs w:val="24"/>
          <w:highlight w:val="none"/>
        </w:rPr>
        <w:t>采购业务管理制度》《</w:t>
      </w:r>
      <w:r>
        <w:rPr>
          <w:rFonts w:hint="eastAsia" w:ascii="宋体" w:hAnsi="宋体" w:eastAsia="宋体" w:cs="宋体"/>
          <w:color w:val="auto"/>
          <w:sz w:val="24"/>
          <w:szCs w:val="24"/>
          <w:highlight w:val="none"/>
          <w:lang w:eastAsia="zh-CN"/>
        </w:rPr>
        <w:t>洛浦县</w:t>
      </w:r>
      <w:r>
        <w:rPr>
          <w:rFonts w:hint="eastAsia" w:ascii="宋体" w:hAnsi="宋体" w:eastAsia="宋体" w:cs="宋体"/>
          <w:color w:val="auto"/>
          <w:sz w:val="24"/>
          <w:szCs w:val="24"/>
          <w:highlight w:val="none"/>
          <w:lang w:val="en-US" w:eastAsia="zh-CN"/>
        </w:rPr>
        <w:t>交通运输局工程</w:t>
      </w:r>
      <w:r>
        <w:rPr>
          <w:rFonts w:hint="eastAsia" w:ascii="宋体" w:hAnsi="宋体" w:eastAsia="宋体" w:cs="宋体"/>
          <w:color w:val="auto"/>
          <w:sz w:val="24"/>
          <w:szCs w:val="24"/>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788A6C1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②经现场查证项目合同书、验收评审表、财务支付凭证等资料齐全并及时归档。</w:t>
      </w:r>
    </w:p>
    <w:p w14:paraId="47D5860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③该项目是否存在调整，调整手续是否齐全，如未调整，则填“该项目实施过程中不存在调整事项”。</w:t>
      </w:r>
    </w:p>
    <w:p w14:paraId="2971043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实施所需要的项目人员和场地设备均已落实到位，具体涉及内容包括：项目资金支出严格按照自治区、地区以及本单位资金管理办法执行，项目启动实施后，为了加快本项目的实施，成立了洛浦县多鲁乡-拜什托格拉克乡农村道路改建工程项目工作领导小组，由</w:t>
      </w:r>
      <w:r>
        <w:rPr>
          <w:rFonts w:hint="eastAsia" w:ascii="宋体" w:hAnsi="宋体" w:eastAsia="宋体" w:cs="宋体"/>
          <w:color w:val="auto"/>
          <w:sz w:val="24"/>
          <w:szCs w:val="24"/>
          <w:highlight w:val="none"/>
          <w:lang w:eastAsia="zh-CN"/>
        </w:rPr>
        <w:t>许伟</w:t>
      </w:r>
      <w:r>
        <w:rPr>
          <w:rFonts w:hint="eastAsia" w:ascii="宋体" w:hAnsi="宋体" w:eastAsia="宋体" w:cs="宋体"/>
          <w:color w:val="auto"/>
          <w:sz w:val="24"/>
          <w:szCs w:val="24"/>
          <w:highlight w:val="none"/>
        </w:rPr>
        <w:t>任组长，负责项目的组织工作；</w:t>
      </w:r>
      <w:r>
        <w:rPr>
          <w:rFonts w:hint="eastAsia" w:ascii="宋体" w:hAnsi="宋体" w:eastAsia="宋体" w:cs="宋体"/>
          <w:color w:val="auto"/>
          <w:sz w:val="24"/>
          <w:szCs w:val="24"/>
          <w:highlight w:val="none"/>
          <w:lang w:eastAsia="zh-CN"/>
        </w:rPr>
        <w:t>图尔荪麦麦提</w:t>
      </w:r>
      <w:r>
        <w:rPr>
          <w:rFonts w:hint="eastAsia" w:ascii="宋体" w:hAnsi="宋体" w:eastAsia="宋体" w:cs="宋体"/>
          <w:color w:val="auto"/>
          <w:sz w:val="24"/>
          <w:szCs w:val="24"/>
          <w:highlight w:val="none"/>
        </w:rPr>
        <w:t>任副组长，负责项目的实施工作；组员包括：</w:t>
      </w:r>
      <w:r>
        <w:rPr>
          <w:rFonts w:hint="eastAsia" w:ascii="宋体" w:hAnsi="宋体" w:eastAsia="宋体" w:cs="宋体"/>
          <w:color w:val="auto"/>
          <w:sz w:val="24"/>
          <w:szCs w:val="24"/>
          <w:highlight w:val="none"/>
          <w:lang w:eastAsia="zh-CN"/>
        </w:rPr>
        <w:t>古海尔妮萨</w:t>
      </w:r>
      <w:r>
        <w:rPr>
          <w:rFonts w:hint="eastAsia" w:ascii="宋体" w:hAnsi="宋体" w:eastAsia="宋体" w:cs="宋体"/>
          <w:color w:val="auto"/>
          <w:sz w:val="24"/>
          <w:szCs w:val="24"/>
          <w:highlight w:val="none"/>
        </w:rPr>
        <w:t>和</w:t>
      </w:r>
      <w:r>
        <w:rPr>
          <w:rFonts w:hint="eastAsia" w:ascii="宋体" w:hAnsi="宋体" w:eastAsia="宋体" w:cs="宋体"/>
          <w:color w:val="auto"/>
          <w:sz w:val="24"/>
          <w:szCs w:val="24"/>
          <w:highlight w:val="none"/>
          <w:lang w:eastAsia="zh-CN"/>
        </w:rPr>
        <w:t>谭丹丹</w:t>
      </w:r>
      <w:r>
        <w:rPr>
          <w:rFonts w:hint="eastAsia" w:ascii="宋体" w:hAnsi="宋体" w:eastAsia="宋体" w:cs="宋体"/>
          <w:color w:val="auto"/>
          <w:sz w:val="24"/>
          <w:szCs w:val="24"/>
          <w:highlight w:val="none"/>
        </w:rPr>
        <w:t>，主要负责项目监督管理、验收以及资金核拨等工作。</w:t>
      </w:r>
    </w:p>
    <w:p w14:paraId="4FC82E9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519FC4E2">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520461E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个三级指标构成，权重分为</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54A1D05B">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1.对于“产出数量”</w:t>
      </w:r>
    </w:p>
    <w:p w14:paraId="7782CC6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道路改建长度</w:t>
      </w:r>
      <w:r>
        <w:rPr>
          <w:rFonts w:hint="eastAsia" w:ascii="宋体" w:hAnsi="宋体" w:eastAsia="宋体" w:cs="宋体"/>
          <w:color w:val="auto"/>
          <w:sz w:val="24"/>
          <w:szCs w:val="24"/>
          <w:highlight w:val="none"/>
        </w:rPr>
        <w:t>，预期指标值</w:t>
      </w:r>
      <w:r>
        <w:rPr>
          <w:rFonts w:hint="eastAsia" w:ascii="宋体" w:hAnsi="宋体" w:eastAsia="宋体" w:cs="宋体"/>
          <w:color w:val="auto"/>
          <w:sz w:val="24"/>
          <w:szCs w:val="24"/>
          <w:highlight w:val="none"/>
          <w:lang w:eastAsia="zh-CN"/>
        </w:rPr>
        <w:t>大于等于</w:t>
      </w:r>
      <w:r>
        <w:rPr>
          <w:rFonts w:hint="eastAsia" w:ascii="宋体" w:hAnsi="宋体" w:eastAsia="宋体" w:cs="宋体"/>
          <w:color w:val="auto"/>
          <w:sz w:val="24"/>
          <w:szCs w:val="24"/>
          <w:highlight w:val="none"/>
          <w:lang w:val="en-US" w:eastAsia="zh-CN"/>
        </w:rPr>
        <w:t>23.602千米</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23.602千米</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0304A15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合计得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724125BB">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2.对于“产出质量”</w:t>
      </w:r>
    </w:p>
    <w:p w14:paraId="0BEB514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实施路段技术状况水平提高率</w:t>
      </w:r>
      <w:r>
        <w:rPr>
          <w:rFonts w:hint="eastAsia" w:ascii="宋体" w:hAnsi="宋体" w:eastAsia="宋体" w:cs="宋体"/>
          <w:color w:val="auto"/>
          <w:sz w:val="24"/>
          <w:szCs w:val="24"/>
          <w:highlight w:val="none"/>
        </w:rPr>
        <w:t>，预期指标值</w:t>
      </w:r>
      <w:r>
        <w:rPr>
          <w:rFonts w:hint="eastAsia" w:ascii="宋体" w:hAnsi="宋体" w:eastAsia="宋体" w:cs="宋体"/>
          <w:color w:val="auto"/>
          <w:sz w:val="24"/>
          <w:szCs w:val="24"/>
          <w:highlight w:val="none"/>
          <w:lang w:val="en-US" w:eastAsia="zh-CN"/>
        </w:rPr>
        <w:t>等于100%</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，与预期目标一致，根据评分标准，该指标不扣分，得5分。</w:t>
      </w:r>
    </w:p>
    <w:p w14:paraId="06555506">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color w:val="auto"/>
          <w:sz w:val="24"/>
          <w:szCs w:val="24"/>
          <w:highlight w:val="none"/>
          <w:lang w:eastAsia="zh-CN"/>
        </w:rPr>
        <w:t>工程验收合格率</w:t>
      </w:r>
      <w:r>
        <w:rPr>
          <w:rFonts w:hint="eastAsia" w:ascii="宋体" w:hAnsi="宋体" w:eastAsia="宋体" w:cs="宋体"/>
          <w:b w:val="0"/>
          <w:color w:val="auto"/>
          <w:sz w:val="24"/>
          <w:szCs w:val="24"/>
          <w:highlight w:val="none"/>
        </w:rPr>
        <w:t>，预期指标值</w:t>
      </w:r>
      <w:r>
        <w:rPr>
          <w:rFonts w:hint="eastAsia" w:ascii="宋体" w:hAnsi="宋体" w:eastAsia="宋体" w:cs="宋体"/>
          <w:b w:val="0"/>
          <w:color w:val="auto"/>
          <w:sz w:val="24"/>
          <w:szCs w:val="24"/>
          <w:highlight w:val="none"/>
          <w:lang w:val="en-US" w:eastAsia="zh-CN"/>
        </w:rPr>
        <w:t>等于100%</w:t>
      </w:r>
      <w:r>
        <w:rPr>
          <w:rFonts w:hint="eastAsia" w:ascii="宋体" w:hAnsi="宋体" w:eastAsia="宋体" w:cs="宋体"/>
          <w:b w:val="0"/>
          <w:color w:val="auto"/>
          <w:sz w:val="24"/>
          <w:szCs w:val="24"/>
          <w:highlight w:val="none"/>
        </w:rPr>
        <w:t>，实际完成值为</w:t>
      </w:r>
      <w:r>
        <w:rPr>
          <w:rFonts w:hint="eastAsia" w:ascii="宋体" w:hAnsi="宋体" w:eastAsia="宋体" w:cs="宋体"/>
          <w:b w:val="0"/>
          <w:color w:val="auto"/>
          <w:sz w:val="24"/>
          <w:szCs w:val="24"/>
          <w:highlight w:val="none"/>
          <w:lang w:val="en-US" w:eastAsia="zh-CN"/>
        </w:rPr>
        <w:t>100%</w:t>
      </w:r>
      <w:r>
        <w:rPr>
          <w:rFonts w:hint="eastAsia" w:ascii="宋体" w:hAnsi="宋体" w:eastAsia="宋体" w:cs="宋体"/>
          <w:b w:val="0"/>
          <w:color w:val="auto"/>
          <w:sz w:val="24"/>
          <w:szCs w:val="24"/>
          <w:highlight w:val="none"/>
        </w:rPr>
        <w:t>，指标完成率为</w:t>
      </w:r>
      <w:r>
        <w:rPr>
          <w:rFonts w:hint="eastAsia" w:ascii="宋体" w:hAnsi="宋体" w:eastAsia="宋体" w:cs="宋体"/>
          <w:b w:val="0"/>
          <w:color w:val="auto"/>
          <w:sz w:val="24"/>
          <w:szCs w:val="24"/>
          <w:highlight w:val="none"/>
          <w:lang w:val="en-US" w:eastAsia="zh-CN"/>
        </w:rPr>
        <w:t>100%</w:t>
      </w:r>
      <w:r>
        <w:rPr>
          <w:rFonts w:hint="eastAsia" w:ascii="宋体" w:hAnsi="宋体" w:eastAsia="宋体" w:cs="宋体"/>
          <w:b w:val="0"/>
          <w:color w:val="auto"/>
          <w:sz w:val="24"/>
          <w:szCs w:val="24"/>
          <w:highlight w:val="none"/>
        </w:rPr>
        <w:t>，与预期目标一致，根据评分标准，该指标不扣分，</w:t>
      </w:r>
      <w:r>
        <w:rPr>
          <w:rFonts w:hint="eastAsia" w:ascii="宋体" w:hAnsi="宋体" w:eastAsia="宋体" w:cs="宋体"/>
          <w:b w:val="0"/>
          <w:bCs/>
          <w:color w:val="auto"/>
          <w:sz w:val="24"/>
          <w:szCs w:val="24"/>
          <w:highlight w:val="none"/>
        </w:rPr>
        <w:t>得5分。</w:t>
      </w:r>
    </w:p>
    <w:p w14:paraId="2115BA8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合计得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76E0A60B">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3.对于“产出时效”</w:t>
      </w:r>
    </w:p>
    <w:p w14:paraId="7BF684B3">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lang w:eastAsia="zh-CN"/>
        </w:rPr>
        <w:t>项目开始时间</w:t>
      </w:r>
      <w:r>
        <w:rPr>
          <w:rFonts w:hint="eastAsia" w:ascii="宋体" w:hAnsi="宋体" w:eastAsia="宋体" w:cs="宋体"/>
          <w:b w:val="0"/>
          <w:color w:val="auto"/>
          <w:sz w:val="24"/>
          <w:szCs w:val="24"/>
          <w:highlight w:val="none"/>
        </w:rPr>
        <w:t>，预期指标值为</w:t>
      </w:r>
      <w:r>
        <w:rPr>
          <w:rFonts w:hint="eastAsia" w:ascii="宋体" w:hAnsi="宋体" w:eastAsia="宋体" w:cs="宋体"/>
          <w:b w:val="0"/>
          <w:color w:val="auto"/>
          <w:sz w:val="24"/>
          <w:szCs w:val="24"/>
          <w:highlight w:val="none"/>
          <w:lang w:val="en-US" w:eastAsia="zh-CN"/>
        </w:rPr>
        <w:t>2024年1月</w:t>
      </w:r>
      <w:r>
        <w:rPr>
          <w:rFonts w:hint="eastAsia" w:ascii="宋体" w:hAnsi="宋体" w:eastAsia="宋体" w:cs="宋体"/>
          <w:b w:val="0"/>
          <w:color w:val="auto"/>
          <w:sz w:val="24"/>
          <w:szCs w:val="24"/>
          <w:highlight w:val="none"/>
        </w:rPr>
        <w:t>，实际完成值为</w:t>
      </w:r>
      <w:r>
        <w:rPr>
          <w:rFonts w:hint="eastAsia" w:ascii="宋体" w:hAnsi="宋体" w:eastAsia="宋体" w:cs="宋体"/>
          <w:b w:val="0"/>
          <w:color w:val="auto"/>
          <w:sz w:val="24"/>
          <w:szCs w:val="24"/>
          <w:highlight w:val="none"/>
          <w:lang w:val="en-US" w:eastAsia="zh-CN"/>
        </w:rPr>
        <w:t>2024年1月</w:t>
      </w:r>
      <w:r>
        <w:rPr>
          <w:rFonts w:hint="eastAsia" w:ascii="宋体" w:hAnsi="宋体" w:eastAsia="宋体" w:cs="宋体"/>
          <w:b w:val="0"/>
          <w:color w:val="auto"/>
          <w:sz w:val="24"/>
          <w:szCs w:val="24"/>
          <w:highlight w:val="none"/>
        </w:rPr>
        <w:t>，指标完成率为</w:t>
      </w:r>
      <w:r>
        <w:rPr>
          <w:rFonts w:hint="eastAsia" w:ascii="宋体" w:hAnsi="宋体" w:eastAsia="宋体" w:cs="宋体"/>
          <w:b w:val="0"/>
          <w:color w:val="auto"/>
          <w:sz w:val="24"/>
          <w:szCs w:val="24"/>
          <w:highlight w:val="none"/>
          <w:lang w:val="en-US" w:eastAsia="zh-CN"/>
        </w:rPr>
        <w:t>100%</w:t>
      </w:r>
      <w:r>
        <w:rPr>
          <w:rFonts w:hint="eastAsia" w:ascii="宋体" w:hAnsi="宋体" w:eastAsia="宋体" w:cs="宋体"/>
          <w:b w:val="0"/>
          <w:color w:val="auto"/>
          <w:sz w:val="24"/>
          <w:szCs w:val="24"/>
          <w:highlight w:val="none"/>
        </w:rPr>
        <w:t>，与预期目标一致，根据评分标准，该指标不扣分，</w:t>
      </w:r>
      <w:r>
        <w:rPr>
          <w:rFonts w:hint="eastAsia" w:ascii="宋体" w:hAnsi="宋体" w:eastAsia="宋体" w:cs="宋体"/>
          <w:b w:val="0"/>
          <w:bCs/>
          <w:color w:val="auto"/>
          <w:sz w:val="24"/>
          <w:szCs w:val="24"/>
          <w:highlight w:val="none"/>
        </w:rPr>
        <w:t>得</w:t>
      </w:r>
      <w:r>
        <w:rPr>
          <w:rFonts w:hint="eastAsia" w:ascii="宋体" w:hAnsi="宋体" w:eastAsia="宋体" w:cs="宋体"/>
          <w:b w:val="0"/>
          <w:bCs/>
          <w:color w:val="auto"/>
          <w:sz w:val="24"/>
          <w:szCs w:val="24"/>
          <w:highlight w:val="none"/>
          <w:lang w:val="en-US" w:eastAsia="zh-CN"/>
        </w:rPr>
        <w:t>3</w:t>
      </w:r>
      <w:r>
        <w:rPr>
          <w:rFonts w:hint="eastAsia" w:ascii="宋体" w:hAnsi="宋体" w:eastAsia="宋体" w:cs="宋体"/>
          <w:b w:val="0"/>
          <w:bCs/>
          <w:color w:val="auto"/>
          <w:sz w:val="24"/>
          <w:szCs w:val="24"/>
          <w:highlight w:val="none"/>
        </w:rPr>
        <w:t>分</w:t>
      </w:r>
      <w:r>
        <w:rPr>
          <w:rFonts w:hint="eastAsia" w:ascii="宋体" w:hAnsi="宋体" w:eastAsia="宋体" w:cs="宋体"/>
          <w:b w:val="0"/>
          <w:color w:val="auto"/>
          <w:sz w:val="24"/>
          <w:szCs w:val="24"/>
          <w:highlight w:val="none"/>
        </w:rPr>
        <w:t>。</w:t>
      </w:r>
    </w:p>
    <w:p w14:paraId="2DC3ED93">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lang w:eastAsia="zh-CN"/>
        </w:rPr>
        <w:t>项目结束时间</w:t>
      </w:r>
      <w:r>
        <w:rPr>
          <w:rFonts w:hint="eastAsia" w:ascii="宋体" w:hAnsi="宋体" w:eastAsia="宋体" w:cs="宋体"/>
          <w:b w:val="0"/>
          <w:color w:val="auto"/>
          <w:sz w:val="24"/>
          <w:szCs w:val="24"/>
          <w:highlight w:val="none"/>
        </w:rPr>
        <w:t>，预期指标值为</w:t>
      </w:r>
      <w:r>
        <w:rPr>
          <w:rFonts w:hint="eastAsia" w:ascii="宋体" w:hAnsi="宋体" w:eastAsia="宋体" w:cs="宋体"/>
          <w:b w:val="0"/>
          <w:color w:val="auto"/>
          <w:sz w:val="24"/>
          <w:szCs w:val="24"/>
          <w:highlight w:val="none"/>
          <w:lang w:val="en-US" w:eastAsia="zh-CN"/>
        </w:rPr>
        <w:t>2024年6月</w:t>
      </w:r>
      <w:r>
        <w:rPr>
          <w:rFonts w:hint="eastAsia" w:ascii="宋体" w:hAnsi="宋体" w:eastAsia="宋体" w:cs="宋体"/>
          <w:b w:val="0"/>
          <w:color w:val="auto"/>
          <w:sz w:val="24"/>
          <w:szCs w:val="24"/>
          <w:highlight w:val="none"/>
        </w:rPr>
        <w:t>，实际完成值为</w:t>
      </w:r>
      <w:r>
        <w:rPr>
          <w:rFonts w:hint="eastAsia" w:ascii="宋体" w:hAnsi="宋体" w:eastAsia="宋体" w:cs="宋体"/>
          <w:b w:val="0"/>
          <w:color w:val="auto"/>
          <w:sz w:val="24"/>
          <w:szCs w:val="24"/>
          <w:highlight w:val="none"/>
          <w:lang w:val="en-US" w:eastAsia="zh-CN"/>
        </w:rPr>
        <w:t>2024年6月</w:t>
      </w:r>
      <w:r>
        <w:rPr>
          <w:rFonts w:hint="eastAsia" w:ascii="宋体" w:hAnsi="宋体" w:eastAsia="宋体" w:cs="宋体"/>
          <w:b w:val="0"/>
          <w:color w:val="auto"/>
          <w:sz w:val="24"/>
          <w:szCs w:val="24"/>
          <w:highlight w:val="none"/>
        </w:rPr>
        <w:t>，指标完成率为</w:t>
      </w:r>
      <w:r>
        <w:rPr>
          <w:rFonts w:hint="eastAsia" w:ascii="宋体" w:hAnsi="宋体" w:eastAsia="宋体" w:cs="宋体"/>
          <w:b w:val="0"/>
          <w:color w:val="auto"/>
          <w:sz w:val="24"/>
          <w:szCs w:val="24"/>
          <w:highlight w:val="none"/>
          <w:lang w:val="en-US" w:eastAsia="zh-CN"/>
        </w:rPr>
        <w:t>100%</w:t>
      </w:r>
      <w:r>
        <w:rPr>
          <w:rFonts w:hint="eastAsia" w:ascii="宋体" w:hAnsi="宋体" w:eastAsia="宋体" w:cs="宋体"/>
          <w:b w:val="0"/>
          <w:color w:val="auto"/>
          <w:sz w:val="24"/>
          <w:szCs w:val="24"/>
          <w:highlight w:val="none"/>
        </w:rPr>
        <w:t>，与预期目标一致，根据评分标准，该指标不扣分，</w:t>
      </w:r>
      <w:r>
        <w:rPr>
          <w:rFonts w:hint="eastAsia" w:ascii="宋体" w:hAnsi="宋体" w:eastAsia="宋体" w:cs="宋体"/>
          <w:b w:val="0"/>
          <w:bCs/>
          <w:color w:val="auto"/>
          <w:sz w:val="24"/>
          <w:szCs w:val="24"/>
          <w:highlight w:val="none"/>
        </w:rPr>
        <w:t>得</w:t>
      </w:r>
      <w:r>
        <w:rPr>
          <w:rFonts w:hint="eastAsia" w:ascii="宋体" w:hAnsi="宋体" w:eastAsia="宋体" w:cs="宋体"/>
          <w:b w:val="0"/>
          <w:bCs/>
          <w:color w:val="auto"/>
          <w:sz w:val="24"/>
          <w:szCs w:val="24"/>
          <w:highlight w:val="none"/>
          <w:lang w:val="en-US" w:eastAsia="zh-CN"/>
        </w:rPr>
        <w:t>3</w:t>
      </w:r>
      <w:r>
        <w:rPr>
          <w:rFonts w:hint="eastAsia" w:ascii="宋体" w:hAnsi="宋体" w:eastAsia="宋体" w:cs="宋体"/>
          <w:b w:val="0"/>
          <w:bCs/>
          <w:color w:val="auto"/>
          <w:sz w:val="24"/>
          <w:szCs w:val="24"/>
          <w:highlight w:val="none"/>
        </w:rPr>
        <w:t>分</w:t>
      </w:r>
      <w:r>
        <w:rPr>
          <w:rFonts w:hint="eastAsia" w:ascii="宋体" w:hAnsi="宋体" w:eastAsia="宋体" w:cs="宋体"/>
          <w:b w:val="0"/>
          <w:color w:val="auto"/>
          <w:sz w:val="24"/>
          <w:szCs w:val="24"/>
          <w:highlight w:val="none"/>
        </w:rPr>
        <w:t>。</w:t>
      </w:r>
    </w:p>
    <w:p w14:paraId="269FAAA2">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lang w:eastAsia="zh-CN"/>
        </w:rPr>
        <w:t>资金支付及时率</w:t>
      </w:r>
      <w:r>
        <w:rPr>
          <w:rFonts w:hint="eastAsia" w:ascii="宋体" w:hAnsi="宋体" w:eastAsia="宋体" w:cs="宋体"/>
          <w:b w:val="0"/>
          <w:color w:val="auto"/>
          <w:sz w:val="24"/>
          <w:szCs w:val="24"/>
          <w:highlight w:val="none"/>
        </w:rPr>
        <w:t>，预期指标值</w:t>
      </w:r>
      <w:r>
        <w:rPr>
          <w:rFonts w:hint="eastAsia" w:ascii="宋体" w:hAnsi="宋体" w:eastAsia="宋体" w:cs="宋体"/>
          <w:b w:val="0"/>
          <w:color w:val="auto"/>
          <w:sz w:val="24"/>
          <w:szCs w:val="24"/>
          <w:highlight w:val="none"/>
          <w:lang w:val="en-US" w:eastAsia="zh-CN"/>
        </w:rPr>
        <w:t>等于100%</w:t>
      </w:r>
      <w:r>
        <w:rPr>
          <w:rFonts w:hint="eastAsia" w:ascii="宋体" w:hAnsi="宋体" w:eastAsia="宋体" w:cs="宋体"/>
          <w:b w:val="0"/>
          <w:color w:val="auto"/>
          <w:sz w:val="24"/>
          <w:szCs w:val="24"/>
          <w:highlight w:val="none"/>
        </w:rPr>
        <w:t>，实际完成值为</w:t>
      </w:r>
      <w:r>
        <w:rPr>
          <w:rFonts w:hint="eastAsia" w:ascii="宋体" w:hAnsi="宋体" w:eastAsia="宋体" w:cs="宋体"/>
          <w:b w:val="0"/>
          <w:color w:val="auto"/>
          <w:sz w:val="24"/>
          <w:szCs w:val="24"/>
          <w:highlight w:val="none"/>
          <w:lang w:val="en-US" w:eastAsia="zh-CN"/>
        </w:rPr>
        <w:t>100%</w:t>
      </w:r>
      <w:r>
        <w:rPr>
          <w:rFonts w:hint="eastAsia" w:ascii="宋体" w:hAnsi="宋体" w:eastAsia="宋体" w:cs="宋体"/>
          <w:b w:val="0"/>
          <w:color w:val="auto"/>
          <w:sz w:val="24"/>
          <w:szCs w:val="24"/>
          <w:highlight w:val="none"/>
        </w:rPr>
        <w:t>，指标完成率为</w:t>
      </w:r>
      <w:r>
        <w:rPr>
          <w:rFonts w:hint="eastAsia" w:ascii="宋体" w:hAnsi="宋体" w:eastAsia="宋体" w:cs="宋体"/>
          <w:b w:val="0"/>
          <w:color w:val="auto"/>
          <w:sz w:val="24"/>
          <w:szCs w:val="24"/>
          <w:highlight w:val="none"/>
          <w:lang w:val="en-US" w:eastAsia="zh-CN"/>
        </w:rPr>
        <w:t>100%</w:t>
      </w:r>
      <w:r>
        <w:rPr>
          <w:rFonts w:hint="eastAsia" w:ascii="宋体" w:hAnsi="宋体" w:eastAsia="宋体" w:cs="宋体"/>
          <w:b w:val="0"/>
          <w:color w:val="auto"/>
          <w:sz w:val="24"/>
          <w:szCs w:val="24"/>
          <w:highlight w:val="none"/>
        </w:rPr>
        <w:t>，与预期目标一致，根据评分标准，该指标不扣分，</w:t>
      </w:r>
      <w:r>
        <w:rPr>
          <w:rFonts w:hint="eastAsia" w:ascii="宋体" w:hAnsi="宋体" w:eastAsia="宋体" w:cs="宋体"/>
          <w:b w:val="0"/>
          <w:bCs/>
          <w:color w:val="auto"/>
          <w:sz w:val="24"/>
          <w:szCs w:val="24"/>
          <w:highlight w:val="none"/>
        </w:rPr>
        <w:t>得</w:t>
      </w:r>
      <w:r>
        <w:rPr>
          <w:rFonts w:hint="eastAsia" w:ascii="宋体" w:hAnsi="宋体" w:eastAsia="宋体" w:cs="宋体"/>
          <w:b w:val="0"/>
          <w:bCs/>
          <w:color w:val="auto"/>
          <w:sz w:val="24"/>
          <w:szCs w:val="24"/>
          <w:highlight w:val="none"/>
          <w:lang w:val="en-US" w:eastAsia="zh-CN"/>
        </w:rPr>
        <w:t>4</w:t>
      </w:r>
      <w:r>
        <w:rPr>
          <w:rFonts w:hint="eastAsia" w:ascii="宋体" w:hAnsi="宋体" w:eastAsia="宋体" w:cs="宋体"/>
          <w:b w:val="0"/>
          <w:bCs/>
          <w:color w:val="auto"/>
          <w:sz w:val="24"/>
          <w:szCs w:val="24"/>
          <w:highlight w:val="none"/>
        </w:rPr>
        <w:t>分</w:t>
      </w:r>
      <w:r>
        <w:rPr>
          <w:rFonts w:hint="eastAsia" w:ascii="宋体" w:hAnsi="宋体" w:eastAsia="宋体" w:cs="宋体"/>
          <w:b w:val="0"/>
          <w:color w:val="auto"/>
          <w:sz w:val="24"/>
          <w:szCs w:val="24"/>
          <w:highlight w:val="none"/>
        </w:rPr>
        <w:t>。</w:t>
      </w:r>
    </w:p>
    <w:p w14:paraId="6F7550B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合计得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16F3850E">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4.对于“产出成本”</w:t>
      </w:r>
    </w:p>
    <w:p w14:paraId="1BC4F31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道路改建成本</w:t>
      </w:r>
      <w:r>
        <w:rPr>
          <w:rFonts w:hint="eastAsia" w:ascii="宋体" w:hAnsi="宋体" w:eastAsia="宋体" w:cs="宋体"/>
          <w:color w:val="auto"/>
          <w:sz w:val="24"/>
          <w:szCs w:val="24"/>
          <w:highlight w:val="none"/>
        </w:rPr>
        <w:t>，预期指标值为</w:t>
      </w:r>
      <w:r>
        <w:rPr>
          <w:rFonts w:hint="eastAsia" w:ascii="宋体" w:hAnsi="宋体" w:eastAsia="宋体" w:cs="宋体"/>
          <w:color w:val="auto"/>
          <w:sz w:val="24"/>
          <w:szCs w:val="24"/>
          <w:highlight w:val="none"/>
          <w:lang w:eastAsia="zh-CN"/>
        </w:rPr>
        <w:t>小于等于</w:t>
      </w:r>
      <w:r>
        <w:rPr>
          <w:rFonts w:hint="eastAsia" w:ascii="宋体" w:hAnsi="宋体" w:eastAsia="宋体" w:cs="宋体"/>
          <w:color w:val="auto"/>
          <w:sz w:val="24"/>
          <w:szCs w:val="24"/>
          <w:highlight w:val="none"/>
          <w:lang w:val="en-US" w:eastAsia="zh-CN"/>
        </w:rPr>
        <w:t>62.25万元/千米</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61.61万元/千米</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，项目经费都能控制绩效目标范围内，根据评分标准，该指标不扣分，得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6D127EE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合计得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59B046EA">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（四）项目效益情况</w:t>
      </w:r>
    </w:p>
    <w:p w14:paraId="2F0C32C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项目效益类指标包括项目效益1个方面的内容，由</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个三级指标构成，权重分为2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分，实际得分2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分，得分率为100%。</w:t>
      </w:r>
    </w:p>
    <w:p w14:paraId="71699D06">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1.对于“社会效益指标”</w:t>
      </w:r>
    </w:p>
    <w:p w14:paraId="504BEDB5">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基本公共服务水平及公路安全水平，预期指标值为</w:t>
      </w:r>
      <w:r>
        <w:rPr>
          <w:rFonts w:hint="eastAsia" w:ascii="宋体" w:hAnsi="宋体" w:eastAsia="宋体" w:cs="宋体"/>
          <w:color w:val="auto"/>
          <w:sz w:val="24"/>
          <w:szCs w:val="24"/>
          <w:highlight w:val="none"/>
          <w:lang w:val="en-US" w:eastAsia="zh-CN"/>
        </w:rPr>
        <w:t>有效提升</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有效提升</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，与预期指标一致，根据评分标准，该指标不扣分，得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57922982">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2.对于“经济效益指标”</w:t>
      </w:r>
    </w:p>
    <w:p w14:paraId="61CD4D33">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val="en-US" w:eastAsia="zh-CN"/>
        </w:rPr>
        <w:t>该项目不涉及</w:t>
      </w:r>
      <w:r>
        <w:rPr>
          <w:rFonts w:hint="eastAsia" w:ascii="宋体" w:hAnsi="宋体" w:eastAsia="宋体" w:cs="宋体"/>
          <w:b w:val="0"/>
          <w:bCs w:val="0"/>
          <w:color w:val="000000"/>
          <w:sz w:val="24"/>
          <w:szCs w:val="24"/>
          <w:highlight w:val="none"/>
        </w:rPr>
        <w:t>经济效益指标</w:t>
      </w:r>
      <w:r>
        <w:rPr>
          <w:rFonts w:hint="eastAsia" w:ascii="宋体" w:hAnsi="宋体" w:eastAsia="宋体" w:cs="宋体"/>
          <w:b w:val="0"/>
          <w:bCs w:val="0"/>
          <w:color w:val="000000"/>
          <w:sz w:val="24"/>
          <w:szCs w:val="24"/>
          <w:highlight w:val="none"/>
          <w:lang w:val="en-US" w:eastAsia="zh-CN"/>
        </w:rPr>
        <w:t>。</w:t>
      </w:r>
    </w:p>
    <w:p w14:paraId="458BB132">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3.对于“生态效益指标”</w:t>
      </w:r>
    </w:p>
    <w:p w14:paraId="6A95C5EE">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该项目不涉及生态效益指标。</w:t>
      </w:r>
    </w:p>
    <w:p w14:paraId="7FDC5408">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4.满意度指标分析</w:t>
      </w:r>
    </w:p>
    <w:p w14:paraId="400CAAA1">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改善通行服务水平群众满意度，预期指标值为</w:t>
      </w:r>
      <w:r>
        <w:rPr>
          <w:rFonts w:hint="eastAsia" w:ascii="宋体" w:hAnsi="宋体" w:eastAsia="宋体" w:cs="宋体"/>
          <w:color w:val="auto"/>
          <w:sz w:val="24"/>
          <w:szCs w:val="24"/>
          <w:highlight w:val="none"/>
          <w:lang w:val="en-US" w:eastAsia="zh-CN"/>
        </w:rPr>
        <w:t>大于等于95%</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，与预期目标一致，根据评分标准，该指标不扣分,得10分。</w:t>
      </w:r>
      <w:bookmarkEnd w:id="14"/>
    </w:p>
    <w:p w14:paraId="7813D97F">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val="0"/>
          <w:bCs/>
          <w:color w:val="000000"/>
          <w:sz w:val="24"/>
          <w:szCs w:val="24"/>
          <w:highlight w:val="none"/>
        </w:rPr>
        <w:t>合计得</w:t>
      </w:r>
      <w:r>
        <w:rPr>
          <w:rFonts w:hint="eastAsia" w:ascii="宋体" w:hAnsi="宋体" w:eastAsia="宋体" w:cs="宋体"/>
          <w:b w:val="0"/>
          <w:bCs/>
          <w:color w:val="000000"/>
          <w:sz w:val="24"/>
          <w:szCs w:val="24"/>
          <w:highlight w:val="none"/>
          <w:lang w:val="en-US" w:eastAsia="zh-CN"/>
        </w:rPr>
        <w:t>25</w:t>
      </w:r>
      <w:r>
        <w:rPr>
          <w:rFonts w:hint="eastAsia" w:ascii="宋体" w:hAnsi="宋体" w:eastAsia="宋体" w:cs="宋体"/>
          <w:b w:val="0"/>
          <w:bCs/>
          <w:color w:val="000000"/>
          <w:sz w:val="24"/>
          <w:szCs w:val="24"/>
          <w:highlight w:val="none"/>
        </w:rPr>
        <w:t>分。</w:t>
      </w:r>
    </w:p>
    <w:p w14:paraId="7FAE6CC8">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五、预算执行进度与绩效指标偏差情况</w:t>
      </w:r>
    </w:p>
    <w:p w14:paraId="2C680E94">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rPr>
        <w:t>本项目年初预算资金总额为</w:t>
      </w:r>
      <w:r>
        <w:rPr>
          <w:rFonts w:hint="eastAsia" w:ascii="宋体" w:hAnsi="宋体" w:eastAsia="宋体" w:cs="宋体"/>
          <w:b w:val="0"/>
          <w:bCs/>
          <w:color w:val="000000"/>
          <w:sz w:val="24"/>
          <w:szCs w:val="24"/>
          <w:highlight w:val="none"/>
          <w:lang w:val="en-US" w:eastAsia="zh-CN"/>
        </w:rPr>
        <w:t>1469.4</w:t>
      </w:r>
      <w:r>
        <w:rPr>
          <w:rFonts w:hint="eastAsia" w:ascii="宋体" w:hAnsi="宋体" w:eastAsia="宋体" w:cs="宋体"/>
          <w:b w:val="0"/>
          <w:bCs/>
          <w:color w:val="000000"/>
          <w:sz w:val="24"/>
          <w:szCs w:val="24"/>
          <w:highlight w:val="none"/>
        </w:rPr>
        <w:t>万元，全年预算数为</w:t>
      </w:r>
      <w:r>
        <w:rPr>
          <w:rFonts w:hint="eastAsia" w:ascii="宋体" w:hAnsi="宋体" w:eastAsia="宋体" w:cs="宋体"/>
          <w:b w:val="0"/>
          <w:bCs/>
          <w:color w:val="000000"/>
          <w:sz w:val="24"/>
          <w:szCs w:val="24"/>
          <w:highlight w:val="none"/>
          <w:lang w:val="en-US" w:eastAsia="zh-CN"/>
        </w:rPr>
        <w:t>1469.4</w:t>
      </w:r>
      <w:r>
        <w:rPr>
          <w:rFonts w:hint="eastAsia" w:ascii="宋体" w:hAnsi="宋体" w:eastAsia="宋体" w:cs="宋体"/>
          <w:b w:val="0"/>
          <w:bCs/>
          <w:color w:val="000000"/>
          <w:sz w:val="24"/>
          <w:szCs w:val="24"/>
          <w:highlight w:val="none"/>
        </w:rPr>
        <w:t>万元，全年执行数为</w:t>
      </w:r>
      <w:r>
        <w:rPr>
          <w:rFonts w:hint="eastAsia" w:ascii="宋体" w:hAnsi="宋体" w:eastAsia="宋体" w:cs="宋体"/>
          <w:b w:val="0"/>
          <w:bCs/>
          <w:color w:val="000000"/>
          <w:sz w:val="24"/>
          <w:szCs w:val="24"/>
          <w:highlight w:val="none"/>
          <w:lang w:val="en-US" w:eastAsia="zh-CN"/>
        </w:rPr>
        <w:t>1454.31</w:t>
      </w:r>
      <w:r>
        <w:rPr>
          <w:rFonts w:hint="eastAsia" w:ascii="宋体" w:hAnsi="宋体" w:eastAsia="宋体" w:cs="宋体"/>
          <w:b w:val="0"/>
          <w:bCs/>
          <w:color w:val="000000"/>
          <w:sz w:val="24"/>
          <w:szCs w:val="24"/>
          <w:highlight w:val="none"/>
        </w:rPr>
        <w:t>万元，预算执行率为</w:t>
      </w:r>
      <w:r>
        <w:rPr>
          <w:rFonts w:hint="eastAsia" w:ascii="宋体" w:hAnsi="宋体" w:eastAsia="宋体" w:cs="宋体"/>
          <w:b w:val="0"/>
          <w:bCs/>
          <w:color w:val="000000"/>
          <w:sz w:val="24"/>
          <w:szCs w:val="24"/>
          <w:highlight w:val="none"/>
          <w:lang w:val="en-US" w:eastAsia="zh-CN"/>
        </w:rPr>
        <w:t>99.96</w:t>
      </w:r>
      <w:r>
        <w:rPr>
          <w:rFonts w:hint="eastAsia" w:ascii="宋体" w:hAnsi="宋体" w:eastAsia="宋体" w:cs="宋体"/>
          <w:b w:val="0"/>
          <w:bCs/>
          <w:color w:val="000000"/>
          <w:sz w:val="24"/>
          <w:szCs w:val="24"/>
          <w:highlight w:val="none"/>
        </w:rPr>
        <w:t>%。</w:t>
      </w:r>
    </w:p>
    <w:p w14:paraId="30D86673">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rPr>
        <w:t>本项目共设置三级指标数量</w:t>
      </w:r>
      <w:r>
        <w:rPr>
          <w:rFonts w:hint="eastAsia" w:ascii="宋体" w:hAnsi="宋体" w:eastAsia="宋体" w:cs="宋体"/>
          <w:b w:val="0"/>
          <w:bCs/>
          <w:color w:val="000000"/>
          <w:sz w:val="24"/>
          <w:szCs w:val="24"/>
          <w:highlight w:val="none"/>
          <w:lang w:val="en-US" w:eastAsia="zh-CN"/>
        </w:rPr>
        <w:t>17</w:t>
      </w:r>
      <w:r>
        <w:rPr>
          <w:rFonts w:hint="eastAsia" w:ascii="宋体" w:hAnsi="宋体" w:eastAsia="宋体" w:cs="宋体"/>
          <w:b w:val="0"/>
          <w:bCs/>
          <w:color w:val="000000"/>
          <w:sz w:val="24"/>
          <w:szCs w:val="24"/>
          <w:highlight w:val="none"/>
        </w:rPr>
        <w:t>个，满分指标数量</w:t>
      </w:r>
      <w:r>
        <w:rPr>
          <w:rFonts w:hint="eastAsia" w:ascii="宋体" w:hAnsi="宋体" w:eastAsia="宋体" w:cs="宋体"/>
          <w:b w:val="0"/>
          <w:bCs/>
          <w:color w:val="000000"/>
          <w:sz w:val="24"/>
          <w:szCs w:val="24"/>
          <w:highlight w:val="none"/>
          <w:lang w:val="en-US" w:eastAsia="zh-CN"/>
        </w:rPr>
        <w:t>17</w:t>
      </w:r>
      <w:r>
        <w:rPr>
          <w:rFonts w:hint="eastAsia" w:ascii="宋体" w:hAnsi="宋体" w:eastAsia="宋体" w:cs="宋体"/>
          <w:b w:val="0"/>
          <w:bCs/>
          <w:color w:val="000000"/>
          <w:sz w:val="24"/>
          <w:szCs w:val="24"/>
          <w:highlight w:val="none"/>
        </w:rPr>
        <w:t>个，扣分指标数量</w:t>
      </w:r>
      <w:r>
        <w:rPr>
          <w:rFonts w:hint="eastAsia" w:ascii="宋体" w:hAnsi="宋体" w:eastAsia="宋体" w:cs="宋体"/>
          <w:b w:val="0"/>
          <w:bCs/>
          <w:color w:val="000000"/>
          <w:sz w:val="24"/>
          <w:szCs w:val="24"/>
          <w:highlight w:val="none"/>
          <w:lang w:val="en-US" w:eastAsia="zh-CN"/>
        </w:rPr>
        <w:t>0</w:t>
      </w:r>
      <w:r>
        <w:rPr>
          <w:rFonts w:hint="eastAsia" w:ascii="宋体" w:hAnsi="宋体" w:eastAsia="宋体" w:cs="宋体"/>
          <w:b w:val="0"/>
          <w:bCs/>
          <w:color w:val="000000"/>
          <w:sz w:val="24"/>
          <w:szCs w:val="24"/>
          <w:highlight w:val="none"/>
        </w:rPr>
        <w:t>个，经分析计算所有三级指标完成率得出，本项目总体完成率为</w:t>
      </w:r>
      <w:r>
        <w:rPr>
          <w:rFonts w:hint="eastAsia" w:ascii="宋体" w:hAnsi="宋体" w:eastAsia="宋体" w:cs="宋体"/>
          <w:b w:val="0"/>
          <w:bCs/>
          <w:color w:val="000000"/>
          <w:sz w:val="24"/>
          <w:szCs w:val="24"/>
          <w:highlight w:val="none"/>
          <w:lang w:val="en-US" w:eastAsia="zh-CN"/>
        </w:rPr>
        <w:t>99.96</w:t>
      </w:r>
      <w:r>
        <w:rPr>
          <w:rFonts w:hint="eastAsia" w:ascii="宋体" w:hAnsi="宋体" w:eastAsia="宋体" w:cs="宋体"/>
          <w:b w:val="0"/>
          <w:bCs/>
          <w:color w:val="000000"/>
          <w:sz w:val="24"/>
          <w:szCs w:val="24"/>
          <w:highlight w:val="none"/>
        </w:rPr>
        <w:t>%。</w:t>
      </w:r>
    </w:p>
    <w:p w14:paraId="741E8EDD">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宋体" w:hAnsi="宋体" w:eastAsia="宋体" w:cs="宋体"/>
          <w:b w:val="0"/>
          <w:bCs/>
          <w:color w:val="000000"/>
          <w:sz w:val="24"/>
          <w:szCs w:val="24"/>
          <w:highlight w:val="none"/>
        </w:rPr>
        <w:t>综上所述本项目预算执行率与总体完成率之间的偏差为</w:t>
      </w:r>
      <w:r>
        <w:rPr>
          <w:rFonts w:hint="eastAsia" w:ascii="宋体" w:hAnsi="宋体" w:eastAsia="宋体" w:cs="宋体"/>
          <w:b w:val="0"/>
          <w:bCs/>
          <w:color w:val="000000"/>
          <w:sz w:val="24"/>
          <w:szCs w:val="24"/>
          <w:highlight w:val="none"/>
          <w:lang w:val="en-US" w:eastAsia="zh-CN"/>
        </w:rPr>
        <w:t>0.04</w:t>
      </w:r>
      <w:r>
        <w:rPr>
          <w:rFonts w:hint="eastAsia" w:ascii="宋体" w:hAnsi="宋体" w:eastAsia="宋体" w:cs="宋体"/>
          <w:b w:val="0"/>
          <w:bCs/>
          <w:color w:val="000000"/>
          <w:sz w:val="24"/>
          <w:szCs w:val="24"/>
          <w:highlight w:val="none"/>
        </w:rPr>
        <w:t>%。</w:t>
      </w:r>
      <w:bookmarkStart w:id="15" w:name="_Toc68364673"/>
    </w:p>
    <w:p w14:paraId="7D6623E2">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六、主要经验及做法、存在的问题及原因分析</w:t>
      </w:r>
    </w:p>
    <w:p w14:paraId="1E584D30">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rPr>
      </w:pPr>
      <w:r>
        <w:rPr>
          <w:rFonts w:hint="eastAsia" w:ascii="宋体" w:hAnsi="宋体" w:eastAsia="宋体" w:cs="宋体"/>
          <w:color w:val="auto"/>
          <w:sz w:val="24"/>
          <w:szCs w:val="24"/>
        </w:rPr>
        <w:t>（一）主要经验及做法</w:t>
      </w:r>
      <w:bookmarkEnd w:id="15"/>
    </w:p>
    <w:p w14:paraId="55C75CA6">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lang w:eastAsia="zh-CN"/>
        </w:rPr>
      </w:pPr>
      <w:r>
        <w:rPr>
          <w:rFonts w:hint="eastAsia" w:ascii="宋体" w:hAnsi="宋体" w:eastAsia="宋体" w:cs="宋体"/>
          <w:b w:val="0"/>
          <w:bCs/>
          <w:color w:val="000000"/>
          <w:sz w:val="24"/>
          <w:szCs w:val="24"/>
          <w:highlight w:val="none"/>
          <w:lang w:eastAsia="zh-CN"/>
        </w:rPr>
        <w:t>一是精细规划，在项目前期，对施工流程、资源调配和时间安排进行细致规划，明确各工序先后顺序与持续时间，精准安排人力、物力，避免资源闲置或者短缺，确保工程有序推进。</w:t>
      </w:r>
    </w:p>
    <w:p w14:paraId="1E5819BC">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二是高效沟通，定期组织施工单位和监理单位参加工程例会，及时交流工程进度、质量问题及解决方案，有效协调各方工作；并及时向领导汇报项目建设进度，加强与施工单位的沟通，确保项目按期完工。</w:t>
      </w:r>
    </w:p>
    <w:p w14:paraId="4DB26148">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rPr>
      </w:pPr>
      <w:bookmarkStart w:id="16" w:name="_Toc68364674"/>
      <w:r>
        <w:rPr>
          <w:rFonts w:hint="eastAsia" w:ascii="宋体" w:hAnsi="宋体" w:eastAsia="宋体" w:cs="宋体"/>
          <w:color w:val="auto"/>
          <w:sz w:val="24"/>
          <w:szCs w:val="24"/>
        </w:rPr>
        <w:t>（二）存在问题及原因分析</w:t>
      </w:r>
      <w:bookmarkEnd w:id="16"/>
    </w:p>
    <w:p w14:paraId="6872E39C">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1.项目资金管理环节：</w:t>
      </w:r>
    </w:p>
    <w:p w14:paraId="41591513">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存在问题：资金拨付不及时，影响项目进度；资金使用过程中存在挪用、挤占现象。</w:t>
      </w:r>
    </w:p>
    <w:p w14:paraId="187BEA41">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原因分析：审批环节繁琐，各部门衔接不畅；监管机制缺失，对资金流向监控不力。</w:t>
      </w:r>
    </w:p>
    <w:p w14:paraId="07742C73">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2.项目绩效管理环节</w:t>
      </w:r>
    </w:p>
    <w:p w14:paraId="5F6BFB9B">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存在问题：绩效评价指标不科学，不能准确衡量项目资金使用效果；评价结果应用不充分，未与预算安排、奖惩挂钩。</w:t>
      </w:r>
    </w:p>
    <w:p w14:paraId="2C25CD0D">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原因分析：对项目目标和资金效益理解不深入，未结合项目特点设计指标；缺乏绩效评价结果应用机制，评价工作流于形式。</w:t>
      </w:r>
    </w:p>
    <w:p w14:paraId="27BCABCE">
      <w:pPr>
        <w:pStyle w:val="3"/>
        <w:pageBreakBefore w:val="0"/>
        <w:widowControl w:val="0"/>
        <w:numPr>
          <w:ilvl w:val="0"/>
          <w:numId w:val="5"/>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bookmarkStart w:id="17" w:name="_Toc68364675"/>
      <w:r>
        <w:rPr>
          <w:rFonts w:hint="eastAsia" w:ascii="黑体" w:hAnsi="黑体" w:eastAsia="黑体" w:cs="黑体"/>
          <w:color w:val="auto"/>
          <w:sz w:val="24"/>
          <w:szCs w:val="24"/>
        </w:rPr>
        <w:t>有关建议</w:t>
      </w:r>
      <w:bookmarkEnd w:id="17"/>
      <w:bookmarkStart w:id="18" w:name="_Toc68364676"/>
    </w:p>
    <w:p w14:paraId="7A67A993">
      <w:pPr>
        <w:pStyle w:val="45"/>
        <w:pageBreakBefore w:val="0"/>
        <w:widowControl w:val="0"/>
        <w:numPr>
          <w:ilvl w:val="0"/>
          <w:numId w:val="6"/>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一是建立信息化管理系统。利用信息化手段，实现资金拨付申请、审批、拨付环节的在线操作，实时跟踪资金拨付进度，便于各部门及时了解信息，加强沟通协调，减少人为因素导致的延误。二是完善监管制度。制定严格的资金监管制度，明确资金使用范围、审批程序和违规处罚措施，从制度上杜绝挪用、挤占资金的行为。</w:t>
      </w:r>
    </w:p>
    <w:p w14:paraId="19C1BD33">
      <w:pPr>
        <w:pStyle w:val="45"/>
        <w:pageBreakBefore w:val="0"/>
        <w:widowControl w:val="0"/>
        <w:numPr>
          <w:ilvl w:val="0"/>
          <w:numId w:val="6"/>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宋体" w:hAnsi="宋体" w:eastAsia="宋体" w:cs="宋体"/>
          <w:color w:val="auto"/>
          <w:sz w:val="24"/>
          <w:szCs w:val="24"/>
          <w:lang w:val="en-US" w:eastAsia="zh-CN"/>
        </w:rPr>
        <w:t>一是明确项目目标与指标关联。深入分析项目目标，确保绩效评价指标与项目的战略目标、具体任务和预期成果紧密相关；采用多元化指标，除财务指标外，增加非财务指标，如项目实施过程中的管理效率、社会效益、环境影响等；量化与细化指标，尽量将指标量化，便于准确衡量和比较。对于难以直接量化的指标，可通过分级、分类等方式进行细化。二是与预算安排挂钩，与奖惩机制结合。建立明确的奖惩机制，将绩效评价结果与项目成员的奖金和晋升等挂钩，对绩效优秀的给予奖励，对绩效不佳的进行惩罚。将绩效评价结果作为项目改进的重要依据，深入分析项目实施过程中存在的问题，总结经验教训，制定争对性的改进措施，不断提高项目管理水平和资金使用效益。</w:t>
      </w:r>
    </w:p>
    <w:p w14:paraId="32FDF3C6">
      <w:pPr>
        <w:pStyle w:val="3"/>
        <w:pageBreakBefore w:val="0"/>
        <w:widowControl w:val="0"/>
        <w:numPr>
          <w:ilvl w:val="0"/>
          <w:numId w:val="0"/>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八、其他需要说明的问题</w:t>
      </w:r>
      <w:bookmarkEnd w:id="18"/>
    </w:p>
    <w:p w14:paraId="0C84F4F4">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我单位对上述项目支出绩效评价报告内反映内容的真实性、完整性负责，</w:t>
      </w:r>
      <w:r>
        <w:rPr>
          <w:rFonts w:hint="eastAsia" w:ascii="宋体" w:hAnsi="宋体" w:eastAsia="宋体" w:cs="宋体"/>
          <w:color w:val="auto"/>
          <w:sz w:val="24"/>
          <w:szCs w:val="24"/>
          <w:lang w:val="en-US" w:eastAsia="zh-CN"/>
        </w:rPr>
        <w:t>愿</w:t>
      </w:r>
      <w:r>
        <w:rPr>
          <w:rFonts w:hint="eastAsia" w:ascii="宋体" w:hAnsi="宋体" w:eastAsia="宋体" w:cs="宋体"/>
          <w:color w:val="auto"/>
          <w:sz w:val="24"/>
          <w:szCs w:val="24"/>
        </w:rPr>
        <w:t>接受上级部门及社会公众监督。</w:t>
      </w:r>
    </w:p>
    <w:p w14:paraId="4016628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p>
    <w:p w14:paraId="2ED455FB">
      <w:pPr>
        <w:pageBreakBefore w:val="0"/>
        <w:kinsoku/>
        <w:wordWrap/>
        <w:topLinePunct w:val="0"/>
        <w:autoSpaceDE/>
        <w:autoSpaceDN/>
        <w:bidi w:val="0"/>
        <w:adjustRightInd/>
        <w:snapToGrid/>
        <w:spacing w:line="360" w:lineRule="auto"/>
        <w:ind w:left="0" w:leftChars="0" w:firstLine="480" w:firstLineChars="200"/>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附件1：洛浦县多鲁乡-拜什托格拉克乡农村道路改建工程项目绩效评价指标体系</w:t>
      </w:r>
    </w:p>
    <w:p w14:paraId="6013DC21">
      <w:pPr>
        <w:pageBreakBefore w:val="0"/>
        <w:kinsoku/>
        <w:wordWrap/>
        <w:topLinePunct w:val="0"/>
        <w:autoSpaceDE/>
        <w:autoSpaceDN/>
        <w:bidi w:val="0"/>
        <w:adjustRightInd/>
        <w:snapToGrid/>
        <w:spacing w:line="360" w:lineRule="auto"/>
        <w:ind w:left="0" w:leftChars="0" w:firstLine="480" w:firstLineChars="200"/>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附件2：洛浦县多鲁乡-拜什托格拉克乡农村道路改建工程项目综合得分表</w:t>
      </w:r>
    </w:p>
    <w:p w14:paraId="758C12EF">
      <w:pPr>
        <w:pageBreakBefore w:val="0"/>
        <w:kinsoku/>
        <w:wordWrap/>
        <w:topLinePunct w:val="0"/>
        <w:autoSpaceDE/>
        <w:autoSpaceDN/>
        <w:bidi w:val="0"/>
        <w:adjustRightInd/>
        <w:snapToGrid/>
        <w:spacing w:line="360" w:lineRule="auto"/>
        <w:ind w:left="0" w:leftChars="0" w:firstLine="480" w:firstLineChars="200"/>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附件3：满意度调查问分析情况</w:t>
      </w:r>
    </w:p>
    <w:p w14:paraId="0E323CE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p>
    <w:p w14:paraId="193CB424">
      <w:pPr>
        <w:pStyle w:val="10"/>
        <w:pageBreakBefore w:val="0"/>
        <w:kinsoku/>
        <w:wordWrap/>
        <w:topLinePunct w:val="0"/>
        <w:autoSpaceDE/>
        <w:autoSpaceDN/>
        <w:bidi w:val="0"/>
        <w:adjustRightInd/>
        <w:snapToGrid/>
        <w:spacing w:before="0" w:after="0" w:line="360" w:lineRule="auto"/>
        <w:ind w:left="0" w:leftChars="0" w:firstLine="480" w:firstLineChars="200"/>
        <w:jc w:val="both"/>
        <w:rPr>
          <w:rFonts w:hint="eastAsia" w:ascii="宋体" w:hAnsi="宋体" w:eastAsia="宋体" w:cs="宋体"/>
          <w:color w:val="auto"/>
          <w:sz w:val="24"/>
          <w:szCs w:val="24"/>
        </w:rPr>
      </w:pPr>
    </w:p>
    <w:p w14:paraId="04D4B02A">
      <w:pPr>
        <w:pStyle w:val="10"/>
        <w:pageBreakBefore w:val="0"/>
        <w:kinsoku/>
        <w:wordWrap/>
        <w:topLinePunct w:val="0"/>
        <w:autoSpaceDE/>
        <w:autoSpaceDN/>
        <w:bidi w:val="0"/>
        <w:adjustRightInd/>
        <w:snapToGrid/>
        <w:spacing w:before="0" w:after="0" w:line="360" w:lineRule="auto"/>
        <w:ind w:left="0" w:leftChars="0" w:firstLine="480" w:firstLineChars="200"/>
        <w:jc w:val="both"/>
        <w:rPr>
          <w:rFonts w:hint="eastAsia" w:ascii="宋体" w:hAnsi="宋体" w:eastAsia="宋体" w:cs="宋体"/>
          <w:color w:val="auto"/>
          <w:sz w:val="24"/>
          <w:szCs w:val="24"/>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p>
    <w:tbl>
      <w:tblPr>
        <w:tblStyle w:val="23"/>
        <w:tblW w:w="0" w:type="auto"/>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12"/>
        <w:gridCol w:w="516"/>
        <w:gridCol w:w="164"/>
        <w:gridCol w:w="480"/>
        <w:gridCol w:w="680"/>
        <w:gridCol w:w="700"/>
        <w:gridCol w:w="700"/>
        <w:gridCol w:w="2212"/>
        <w:gridCol w:w="1099"/>
        <w:gridCol w:w="4171"/>
        <w:gridCol w:w="1030"/>
        <w:gridCol w:w="808"/>
      </w:tblGrid>
      <w:tr w14:paraId="06292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3272" w:type="dxa"/>
            <w:gridSpan w:val="12"/>
            <w:tcBorders>
              <w:top w:val="nil"/>
              <w:left w:val="nil"/>
              <w:bottom w:val="nil"/>
              <w:right w:val="nil"/>
            </w:tcBorders>
            <w:noWrap/>
            <w:vAlign w:val="center"/>
          </w:tcPr>
          <w:p w14:paraId="40406448">
            <w:pPr>
              <w:keepNext w:val="0"/>
              <w:keepLines w:val="0"/>
              <w:pageBreakBefore w:val="0"/>
              <w:widowControl/>
              <w:kinsoku/>
              <w:wordWrap/>
              <w:overflowPunct/>
              <w:topLinePunct w:val="0"/>
              <w:autoSpaceDE/>
              <w:autoSpaceDN/>
              <w:bidi w:val="0"/>
              <w:adjustRightInd/>
              <w:snapToGrid/>
              <w:spacing w:line="240" w:lineRule="exact"/>
              <w:ind w:firstLine="0" w:firstLineChars="0"/>
              <w:jc w:val="both"/>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附件1：</w:t>
            </w:r>
          </w:p>
        </w:tc>
      </w:tr>
      <w:tr w14:paraId="657432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0" w:hRule="atLeast"/>
        </w:trPr>
        <w:tc>
          <w:tcPr>
            <w:tcW w:w="13272" w:type="dxa"/>
            <w:gridSpan w:val="12"/>
            <w:tcBorders>
              <w:top w:val="nil"/>
              <w:left w:val="nil"/>
              <w:bottom w:val="nil"/>
              <w:right w:val="nil"/>
            </w:tcBorders>
            <w:noWrap w:val="0"/>
            <w:vAlign w:val="center"/>
          </w:tcPr>
          <w:p w14:paraId="4B4F0F4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24"/>
                <w:szCs w:val="24"/>
                <w:u w:val="none"/>
                <w:lang w:val="en-US" w:eastAsia="zh-CN"/>
              </w:rPr>
              <w:t>洛浦县多鲁乡-拜什托格拉克乡农村道路改建工程项目绩效评价指标体系综合评分表</w:t>
            </w:r>
          </w:p>
        </w:tc>
      </w:tr>
      <w:tr w14:paraId="28A37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712" w:type="dxa"/>
            <w:tcBorders>
              <w:top w:val="single" w:color="auto" w:sz="4" w:space="0"/>
              <w:left w:val="single" w:color="auto" w:sz="4" w:space="0"/>
              <w:bottom w:val="single" w:color="auto" w:sz="4" w:space="0"/>
              <w:right w:val="single" w:color="auto" w:sz="4" w:space="0"/>
            </w:tcBorders>
            <w:noWrap w:val="0"/>
            <w:vAlign w:val="center"/>
          </w:tcPr>
          <w:p w14:paraId="52D2792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一级指标</w:t>
            </w:r>
          </w:p>
        </w:tc>
        <w:tc>
          <w:tcPr>
            <w:tcW w:w="516" w:type="dxa"/>
            <w:tcBorders>
              <w:top w:val="single" w:color="auto" w:sz="4" w:space="0"/>
              <w:left w:val="single" w:color="auto" w:sz="4" w:space="0"/>
              <w:bottom w:val="single" w:color="auto" w:sz="4" w:space="0"/>
              <w:right w:val="single" w:color="auto" w:sz="4" w:space="0"/>
            </w:tcBorders>
            <w:noWrap w:val="0"/>
            <w:vAlign w:val="center"/>
          </w:tcPr>
          <w:p w14:paraId="57A4AB2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分值</w:t>
            </w:r>
          </w:p>
        </w:tc>
        <w:tc>
          <w:tcPr>
            <w:tcW w:w="644" w:type="dxa"/>
            <w:gridSpan w:val="2"/>
            <w:tcBorders>
              <w:top w:val="single" w:color="auto" w:sz="4" w:space="0"/>
              <w:left w:val="single" w:color="auto" w:sz="4" w:space="0"/>
              <w:bottom w:val="single" w:color="auto" w:sz="4" w:space="0"/>
              <w:right w:val="single" w:color="auto" w:sz="4" w:space="0"/>
            </w:tcBorders>
            <w:noWrap w:val="0"/>
            <w:vAlign w:val="center"/>
          </w:tcPr>
          <w:p w14:paraId="5D20AF9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二级指标</w:t>
            </w:r>
          </w:p>
        </w:tc>
        <w:tc>
          <w:tcPr>
            <w:tcW w:w="680" w:type="dxa"/>
            <w:tcBorders>
              <w:top w:val="single" w:color="auto" w:sz="4" w:space="0"/>
              <w:left w:val="single" w:color="auto" w:sz="4" w:space="0"/>
              <w:bottom w:val="single" w:color="auto" w:sz="4" w:space="0"/>
              <w:right w:val="single" w:color="auto" w:sz="4" w:space="0"/>
            </w:tcBorders>
            <w:noWrap w:val="0"/>
            <w:vAlign w:val="center"/>
          </w:tcPr>
          <w:p w14:paraId="22FD5D9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分值</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4BD9252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三级指标</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4FF8C3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分值</w:t>
            </w:r>
          </w:p>
        </w:tc>
        <w:tc>
          <w:tcPr>
            <w:tcW w:w="2212" w:type="dxa"/>
            <w:tcBorders>
              <w:top w:val="single" w:color="auto" w:sz="4" w:space="0"/>
              <w:left w:val="single" w:color="auto" w:sz="4" w:space="0"/>
              <w:bottom w:val="single" w:color="auto" w:sz="4" w:space="0"/>
              <w:right w:val="single" w:color="auto" w:sz="4" w:space="0"/>
            </w:tcBorders>
            <w:noWrap w:val="0"/>
            <w:vAlign w:val="center"/>
          </w:tcPr>
          <w:p w14:paraId="6C7380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指标解释</w:t>
            </w:r>
          </w:p>
        </w:tc>
        <w:tc>
          <w:tcPr>
            <w:tcW w:w="1099" w:type="dxa"/>
            <w:tcBorders>
              <w:top w:val="single" w:color="auto" w:sz="4" w:space="0"/>
              <w:left w:val="single" w:color="auto" w:sz="4" w:space="0"/>
              <w:bottom w:val="single" w:color="auto" w:sz="4" w:space="0"/>
              <w:right w:val="single" w:color="auto" w:sz="4" w:space="0"/>
            </w:tcBorders>
            <w:noWrap w:val="0"/>
            <w:vAlign w:val="center"/>
          </w:tcPr>
          <w:p w14:paraId="53DEDF4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标杆值</w:t>
            </w:r>
          </w:p>
        </w:tc>
        <w:tc>
          <w:tcPr>
            <w:tcW w:w="4171" w:type="dxa"/>
            <w:tcBorders>
              <w:top w:val="single" w:color="auto" w:sz="4" w:space="0"/>
              <w:left w:val="single" w:color="auto" w:sz="4" w:space="0"/>
              <w:bottom w:val="single" w:color="auto" w:sz="4" w:space="0"/>
              <w:right w:val="single" w:color="auto" w:sz="4" w:space="0"/>
            </w:tcBorders>
            <w:noWrap w:val="0"/>
            <w:vAlign w:val="center"/>
          </w:tcPr>
          <w:p w14:paraId="61CA93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评分标准</w:t>
            </w:r>
          </w:p>
        </w:tc>
        <w:tc>
          <w:tcPr>
            <w:tcW w:w="1030" w:type="dxa"/>
            <w:tcBorders>
              <w:top w:val="single" w:color="auto" w:sz="4" w:space="0"/>
              <w:left w:val="single" w:color="auto" w:sz="4" w:space="0"/>
              <w:bottom w:val="single" w:color="auto" w:sz="4" w:space="0"/>
              <w:right w:val="single" w:color="auto" w:sz="4" w:space="0"/>
            </w:tcBorders>
            <w:noWrap w:val="0"/>
            <w:vAlign w:val="center"/>
          </w:tcPr>
          <w:p w14:paraId="12159A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完成值</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34EA606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得分</w:t>
            </w:r>
          </w:p>
        </w:tc>
      </w:tr>
      <w:tr w14:paraId="6E700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712" w:type="dxa"/>
            <w:vMerge w:val="restart"/>
            <w:tcBorders>
              <w:top w:val="single" w:color="auto" w:sz="4" w:space="0"/>
              <w:left w:val="single" w:color="auto" w:sz="4" w:space="0"/>
              <w:bottom w:val="single" w:color="auto" w:sz="4" w:space="0"/>
              <w:right w:val="single" w:color="auto" w:sz="4" w:space="0"/>
            </w:tcBorders>
            <w:noWrap w:val="0"/>
            <w:vAlign w:val="center"/>
          </w:tcPr>
          <w:p w14:paraId="34968E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项目决策</w:t>
            </w:r>
          </w:p>
        </w:tc>
        <w:tc>
          <w:tcPr>
            <w:tcW w:w="680"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6CD69E3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23</w:t>
            </w:r>
          </w:p>
        </w:tc>
        <w:tc>
          <w:tcPr>
            <w:tcW w:w="480" w:type="dxa"/>
            <w:vMerge w:val="restart"/>
            <w:tcBorders>
              <w:top w:val="single" w:color="auto" w:sz="4" w:space="0"/>
              <w:left w:val="single" w:color="auto" w:sz="4" w:space="0"/>
              <w:bottom w:val="single" w:color="auto" w:sz="4" w:space="0"/>
              <w:right w:val="single" w:color="auto" w:sz="4" w:space="0"/>
            </w:tcBorders>
            <w:noWrap w:val="0"/>
            <w:vAlign w:val="center"/>
          </w:tcPr>
          <w:p w14:paraId="120FFFB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项目立项</w:t>
            </w:r>
          </w:p>
        </w:tc>
        <w:tc>
          <w:tcPr>
            <w:tcW w:w="680" w:type="dxa"/>
            <w:vMerge w:val="restart"/>
            <w:tcBorders>
              <w:top w:val="single" w:color="auto" w:sz="4" w:space="0"/>
              <w:left w:val="single" w:color="auto" w:sz="4" w:space="0"/>
              <w:bottom w:val="single" w:color="auto" w:sz="4" w:space="0"/>
              <w:right w:val="single" w:color="auto" w:sz="4" w:space="0"/>
            </w:tcBorders>
            <w:noWrap w:val="0"/>
            <w:vAlign w:val="center"/>
          </w:tcPr>
          <w:p w14:paraId="14D0EA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19384F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立项依据充分性</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18A7724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c>
          <w:tcPr>
            <w:tcW w:w="2212" w:type="dxa"/>
            <w:tcBorders>
              <w:top w:val="single" w:color="auto" w:sz="4" w:space="0"/>
              <w:left w:val="single" w:color="auto" w:sz="4" w:space="0"/>
              <w:bottom w:val="single" w:color="auto" w:sz="4" w:space="0"/>
              <w:right w:val="single" w:color="auto" w:sz="4" w:space="0"/>
            </w:tcBorders>
            <w:noWrap w:val="0"/>
            <w:vAlign w:val="center"/>
          </w:tcPr>
          <w:p w14:paraId="51EF870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项目立项是否符合法律法规、相关政策、发展规划以及部门职责，用以反映和考核项目立项依据情况。</w:t>
            </w:r>
          </w:p>
        </w:tc>
        <w:tc>
          <w:tcPr>
            <w:tcW w:w="1099" w:type="dxa"/>
            <w:tcBorders>
              <w:top w:val="single" w:color="auto" w:sz="4" w:space="0"/>
              <w:left w:val="single" w:color="auto" w:sz="4" w:space="0"/>
              <w:bottom w:val="single" w:color="auto" w:sz="4" w:space="0"/>
              <w:right w:val="single" w:color="auto" w:sz="4" w:space="0"/>
            </w:tcBorders>
            <w:noWrap w:val="0"/>
            <w:vAlign w:val="center"/>
          </w:tcPr>
          <w:p w14:paraId="00DD285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充分</w:t>
            </w:r>
          </w:p>
        </w:tc>
        <w:tc>
          <w:tcPr>
            <w:tcW w:w="4171" w:type="dxa"/>
            <w:tcBorders>
              <w:top w:val="single" w:color="auto" w:sz="4" w:space="0"/>
              <w:left w:val="single" w:color="auto" w:sz="4" w:space="0"/>
              <w:bottom w:val="single" w:color="auto" w:sz="4" w:space="0"/>
              <w:right w:val="single" w:color="auto" w:sz="4" w:space="0"/>
            </w:tcBorders>
            <w:noWrap w:val="0"/>
            <w:vAlign w:val="center"/>
          </w:tcPr>
          <w:p w14:paraId="08BDE11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①项目立项是否符合国家法律法规、国民经济发展规划和相关政策；</w:t>
            </w:r>
          </w:p>
          <w:p w14:paraId="6D7394C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②项目立项是否符合行业发展规划和政策要求；</w:t>
            </w:r>
          </w:p>
          <w:p w14:paraId="3B5700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③项目立项是否与部门职责范围相符，属于部门履职所需；</w:t>
            </w:r>
          </w:p>
          <w:p w14:paraId="040548F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④项目是否属于公共财政支持范围，是否符合中央、地方事权支出责任划分原则；</w:t>
            </w:r>
          </w:p>
          <w:p w14:paraId="3188C6D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⑤项目是否与相关部门同类项目或部门内部相关项目重复。</w:t>
            </w:r>
          </w:p>
          <w:p w14:paraId="24322EE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以上每条要素占权重分的20%，每有一条不符合，扣除对应权重分，扣完为止。</w:t>
            </w:r>
          </w:p>
        </w:tc>
        <w:tc>
          <w:tcPr>
            <w:tcW w:w="1030" w:type="dxa"/>
            <w:tcBorders>
              <w:top w:val="single" w:color="auto" w:sz="4" w:space="0"/>
              <w:left w:val="single" w:color="auto" w:sz="4" w:space="0"/>
              <w:bottom w:val="single" w:color="auto" w:sz="4" w:space="0"/>
              <w:right w:val="single" w:color="auto" w:sz="4" w:space="0"/>
            </w:tcBorders>
            <w:noWrap w:val="0"/>
            <w:vAlign w:val="center"/>
          </w:tcPr>
          <w:p w14:paraId="755371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充分</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5D96AB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r>
      <w:tr w14:paraId="76B303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12" w:type="dxa"/>
            <w:vMerge w:val="continue"/>
            <w:tcBorders>
              <w:top w:val="single" w:color="auto" w:sz="4" w:space="0"/>
              <w:left w:val="single" w:color="auto" w:sz="4" w:space="0"/>
              <w:bottom w:val="single" w:color="auto" w:sz="4" w:space="0"/>
              <w:right w:val="single" w:color="auto" w:sz="4" w:space="0"/>
            </w:tcBorders>
            <w:noWrap w:val="0"/>
            <w:vAlign w:val="center"/>
          </w:tcPr>
          <w:p w14:paraId="40C9878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8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079EA7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80" w:type="dxa"/>
            <w:vMerge w:val="continue"/>
            <w:tcBorders>
              <w:top w:val="single" w:color="auto" w:sz="4" w:space="0"/>
              <w:left w:val="single" w:color="auto" w:sz="4" w:space="0"/>
              <w:bottom w:val="single" w:color="auto" w:sz="4" w:space="0"/>
              <w:right w:val="single" w:color="auto" w:sz="4" w:space="0"/>
            </w:tcBorders>
            <w:noWrap w:val="0"/>
            <w:vAlign w:val="center"/>
          </w:tcPr>
          <w:p w14:paraId="31BD2F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80" w:type="dxa"/>
            <w:vMerge w:val="continue"/>
            <w:tcBorders>
              <w:top w:val="single" w:color="auto" w:sz="4" w:space="0"/>
              <w:left w:val="single" w:color="auto" w:sz="4" w:space="0"/>
              <w:bottom w:val="single" w:color="auto" w:sz="4" w:space="0"/>
              <w:right w:val="single" w:color="auto" w:sz="4" w:space="0"/>
            </w:tcBorders>
            <w:noWrap w:val="0"/>
            <w:vAlign w:val="center"/>
          </w:tcPr>
          <w:p w14:paraId="646C8A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06F5A5B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立项程序规范性</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7AB4D4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2212" w:type="dxa"/>
            <w:tcBorders>
              <w:top w:val="single" w:color="auto" w:sz="4" w:space="0"/>
              <w:left w:val="single" w:color="auto" w:sz="4" w:space="0"/>
              <w:bottom w:val="single" w:color="auto" w:sz="4" w:space="0"/>
              <w:right w:val="single" w:color="auto" w:sz="4" w:space="0"/>
            </w:tcBorders>
            <w:noWrap w:val="0"/>
            <w:vAlign w:val="center"/>
          </w:tcPr>
          <w:p w14:paraId="2425A9C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项目申请、设立过程是否符合相关要求，用以反映和考核项目立项的规范情况。</w:t>
            </w:r>
          </w:p>
        </w:tc>
        <w:tc>
          <w:tcPr>
            <w:tcW w:w="1099" w:type="dxa"/>
            <w:tcBorders>
              <w:top w:val="single" w:color="auto" w:sz="4" w:space="0"/>
              <w:left w:val="single" w:color="auto" w:sz="4" w:space="0"/>
              <w:bottom w:val="single" w:color="auto" w:sz="4" w:space="0"/>
              <w:right w:val="single" w:color="auto" w:sz="4" w:space="0"/>
            </w:tcBorders>
            <w:noWrap w:val="0"/>
            <w:vAlign w:val="center"/>
          </w:tcPr>
          <w:p w14:paraId="12F3430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规范</w:t>
            </w:r>
          </w:p>
        </w:tc>
        <w:tc>
          <w:tcPr>
            <w:tcW w:w="4171" w:type="dxa"/>
            <w:tcBorders>
              <w:top w:val="single" w:color="auto" w:sz="4" w:space="0"/>
              <w:left w:val="single" w:color="auto" w:sz="4" w:space="0"/>
              <w:bottom w:val="single" w:color="auto" w:sz="4" w:space="0"/>
              <w:right w:val="single" w:color="auto" w:sz="4" w:space="0"/>
            </w:tcBorders>
            <w:noWrap w:val="0"/>
            <w:vAlign w:val="center"/>
          </w:tcPr>
          <w:p w14:paraId="3FF4308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①项目是否按照规定的程序申请设立；</w:t>
            </w:r>
          </w:p>
          <w:p w14:paraId="6B45FCB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②审批文件、材料是否符合相关要求；</w:t>
            </w:r>
          </w:p>
          <w:p w14:paraId="17AE062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③事前是否已经过必要的可行性研究、专家论证、风险评估、绩效评估、集体决策。</w:t>
            </w:r>
          </w:p>
          <w:p w14:paraId="6E4944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①②③齐全得权重分的100%，缺①扣权重分的40%，缺②扣权重分的30%，缺③扣权重分的30%。</w:t>
            </w:r>
          </w:p>
        </w:tc>
        <w:tc>
          <w:tcPr>
            <w:tcW w:w="1030" w:type="dxa"/>
            <w:tcBorders>
              <w:top w:val="single" w:color="auto" w:sz="4" w:space="0"/>
              <w:left w:val="single" w:color="auto" w:sz="4" w:space="0"/>
              <w:bottom w:val="single" w:color="auto" w:sz="4" w:space="0"/>
              <w:right w:val="single" w:color="auto" w:sz="4" w:space="0"/>
            </w:tcBorders>
            <w:noWrap w:val="0"/>
            <w:vAlign w:val="center"/>
          </w:tcPr>
          <w:p w14:paraId="7C2050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规范</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03EB3C0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34FCAB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 w:hRule="atLeast"/>
        </w:trPr>
        <w:tc>
          <w:tcPr>
            <w:tcW w:w="712" w:type="dxa"/>
            <w:vMerge w:val="continue"/>
            <w:tcBorders>
              <w:top w:val="single" w:color="auto" w:sz="4" w:space="0"/>
              <w:left w:val="single" w:color="auto" w:sz="4" w:space="0"/>
              <w:bottom w:val="single" w:color="auto" w:sz="4" w:space="0"/>
              <w:right w:val="single" w:color="auto" w:sz="4" w:space="0"/>
            </w:tcBorders>
            <w:noWrap w:val="0"/>
            <w:vAlign w:val="center"/>
          </w:tcPr>
          <w:p w14:paraId="58FAEE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8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005DE1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80" w:type="dxa"/>
            <w:vMerge w:val="restart"/>
            <w:tcBorders>
              <w:top w:val="single" w:color="auto" w:sz="4" w:space="0"/>
              <w:left w:val="single" w:color="auto" w:sz="4" w:space="0"/>
              <w:bottom w:val="single" w:color="auto" w:sz="4" w:space="0"/>
              <w:right w:val="single" w:color="auto" w:sz="4" w:space="0"/>
            </w:tcBorders>
            <w:noWrap w:val="0"/>
            <w:vAlign w:val="center"/>
          </w:tcPr>
          <w:p w14:paraId="1262D3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绩效目标</w:t>
            </w:r>
          </w:p>
        </w:tc>
        <w:tc>
          <w:tcPr>
            <w:tcW w:w="680" w:type="dxa"/>
            <w:vMerge w:val="restart"/>
            <w:tcBorders>
              <w:top w:val="single" w:color="auto" w:sz="4" w:space="0"/>
              <w:left w:val="single" w:color="auto" w:sz="4" w:space="0"/>
              <w:bottom w:val="single" w:color="auto" w:sz="4" w:space="0"/>
              <w:right w:val="single" w:color="auto" w:sz="4" w:space="0"/>
            </w:tcBorders>
            <w:noWrap w:val="0"/>
            <w:vAlign w:val="center"/>
          </w:tcPr>
          <w:p w14:paraId="37239A5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6638A16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绩效目标合理性</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4449FFB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212" w:type="dxa"/>
            <w:tcBorders>
              <w:top w:val="single" w:color="auto" w:sz="4" w:space="0"/>
              <w:left w:val="single" w:color="auto" w:sz="4" w:space="0"/>
              <w:bottom w:val="single" w:color="auto" w:sz="4" w:space="0"/>
              <w:right w:val="single" w:color="auto" w:sz="4" w:space="0"/>
            </w:tcBorders>
            <w:noWrap w:val="0"/>
            <w:vAlign w:val="center"/>
          </w:tcPr>
          <w:p w14:paraId="1B707F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项目所设定的绩效目标是否依据充分，是否符合客观实际，用以反映和考核项目绩效目标与项目实施的相符情况。</w:t>
            </w:r>
          </w:p>
        </w:tc>
        <w:tc>
          <w:tcPr>
            <w:tcW w:w="1099" w:type="dxa"/>
            <w:tcBorders>
              <w:top w:val="single" w:color="auto" w:sz="4" w:space="0"/>
              <w:left w:val="single" w:color="auto" w:sz="4" w:space="0"/>
              <w:bottom w:val="single" w:color="auto" w:sz="4" w:space="0"/>
              <w:right w:val="single" w:color="auto" w:sz="4" w:space="0"/>
            </w:tcBorders>
            <w:noWrap w:val="0"/>
            <w:vAlign w:val="center"/>
          </w:tcPr>
          <w:p w14:paraId="02034C3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4171" w:type="dxa"/>
            <w:tcBorders>
              <w:top w:val="single" w:color="auto" w:sz="4" w:space="0"/>
              <w:left w:val="single" w:color="auto" w:sz="4" w:space="0"/>
              <w:bottom w:val="single" w:color="auto" w:sz="4" w:space="0"/>
              <w:right w:val="single" w:color="auto" w:sz="4" w:space="0"/>
            </w:tcBorders>
            <w:noWrap w:val="0"/>
            <w:vAlign w:val="center"/>
          </w:tcPr>
          <w:p w14:paraId="3914A22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①项目是否有绩效目标；</w:t>
            </w:r>
          </w:p>
          <w:p w14:paraId="7FB09A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②项目绩效目标与实际工作内容是否具有相关性；</w:t>
            </w:r>
          </w:p>
          <w:p w14:paraId="0C0442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③项目预期产出效益和效果是否符合正常的业绩水平；</w:t>
            </w:r>
          </w:p>
          <w:p w14:paraId="569D8FB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④是否与预算确定的项目投资额或资金量相匹配。</w:t>
            </w:r>
          </w:p>
          <w:p w14:paraId="228422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1030" w:type="dxa"/>
            <w:tcBorders>
              <w:top w:val="single" w:color="auto" w:sz="4" w:space="0"/>
              <w:left w:val="single" w:color="auto" w:sz="4" w:space="0"/>
              <w:bottom w:val="single" w:color="auto" w:sz="4" w:space="0"/>
              <w:right w:val="single" w:color="auto" w:sz="4" w:space="0"/>
            </w:tcBorders>
            <w:noWrap w:val="0"/>
            <w:vAlign w:val="center"/>
          </w:tcPr>
          <w:p w14:paraId="288BE76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2ED87BB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791014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12" w:type="dxa"/>
            <w:vMerge w:val="continue"/>
            <w:tcBorders>
              <w:top w:val="single" w:color="auto" w:sz="4" w:space="0"/>
              <w:left w:val="single" w:color="auto" w:sz="4" w:space="0"/>
              <w:bottom w:val="single" w:color="auto" w:sz="4" w:space="0"/>
              <w:right w:val="single" w:color="auto" w:sz="4" w:space="0"/>
            </w:tcBorders>
            <w:noWrap w:val="0"/>
            <w:vAlign w:val="center"/>
          </w:tcPr>
          <w:p w14:paraId="7962ED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8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20FE3B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80" w:type="dxa"/>
            <w:vMerge w:val="continue"/>
            <w:tcBorders>
              <w:top w:val="single" w:color="auto" w:sz="4" w:space="0"/>
              <w:left w:val="single" w:color="auto" w:sz="4" w:space="0"/>
              <w:bottom w:val="single" w:color="auto" w:sz="4" w:space="0"/>
              <w:right w:val="single" w:color="auto" w:sz="4" w:space="0"/>
            </w:tcBorders>
            <w:noWrap w:val="0"/>
            <w:vAlign w:val="center"/>
          </w:tcPr>
          <w:p w14:paraId="21B3E00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80" w:type="dxa"/>
            <w:vMerge w:val="continue"/>
            <w:tcBorders>
              <w:top w:val="single" w:color="auto" w:sz="4" w:space="0"/>
              <w:left w:val="single" w:color="auto" w:sz="4" w:space="0"/>
              <w:bottom w:val="single" w:color="auto" w:sz="4" w:space="0"/>
              <w:right w:val="single" w:color="auto" w:sz="4" w:space="0"/>
            </w:tcBorders>
            <w:noWrap w:val="0"/>
            <w:vAlign w:val="center"/>
          </w:tcPr>
          <w:p w14:paraId="4517386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2BE2A8A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绩效指标明确性</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2615A0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212" w:type="dxa"/>
            <w:tcBorders>
              <w:top w:val="single" w:color="auto" w:sz="4" w:space="0"/>
              <w:left w:val="single" w:color="auto" w:sz="4" w:space="0"/>
              <w:bottom w:val="single" w:color="auto" w:sz="4" w:space="0"/>
              <w:right w:val="single" w:color="auto" w:sz="4" w:space="0"/>
            </w:tcBorders>
            <w:noWrap w:val="0"/>
            <w:vAlign w:val="center"/>
          </w:tcPr>
          <w:p w14:paraId="0BDAC4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依据绩效目标设定的绩效指标是否清晰、细化、可衡量等，用以反映和考核项目绩效目标的明细化情况。</w:t>
            </w:r>
          </w:p>
        </w:tc>
        <w:tc>
          <w:tcPr>
            <w:tcW w:w="1099" w:type="dxa"/>
            <w:tcBorders>
              <w:top w:val="single" w:color="auto" w:sz="4" w:space="0"/>
              <w:left w:val="single" w:color="auto" w:sz="4" w:space="0"/>
              <w:bottom w:val="single" w:color="auto" w:sz="4" w:space="0"/>
              <w:right w:val="single" w:color="auto" w:sz="4" w:space="0"/>
            </w:tcBorders>
            <w:noWrap w:val="0"/>
            <w:vAlign w:val="center"/>
          </w:tcPr>
          <w:p w14:paraId="425BB7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明确</w:t>
            </w:r>
          </w:p>
        </w:tc>
        <w:tc>
          <w:tcPr>
            <w:tcW w:w="4171" w:type="dxa"/>
            <w:tcBorders>
              <w:top w:val="single" w:color="auto" w:sz="4" w:space="0"/>
              <w:left w:val="single" w:color="auto" w:sz="4" w:space="0"/>
              <w:bottom w:val="single" w:color="auto" w:sz="4" w:space="0"/>
              <w:right w:val="single" w:color="auto" w:sz="4" w:space="0"/>
            </w:tcBorders>
            <w:noWrap w:val="0"/>
            <w:vAlign w:val="center"/>
          </w:tcPr>
          <w:p w14:paraId="2639DF1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①是否将项目绩效目标细化分解为具体的绩效指标；</w:t>
            </w:r>
          </w:p>
          <w:p w14:paraId="6D0144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②是否通过清晰、可衡量的指标值予以体现；</w:t>
            </w:r>
          </w:p>
          <w:p w14:paraId="4EB797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③是否与项目目标任务数或计划数相对应。</w:t>
            </w:r>
          </w:p>
          <w:p w14:paraId="1DC8C5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①②③齐全得权重分的100%，缺①扣权重分的20%，缺②扣权重分的50%，缺③扣权重分的30%。</w:t>
            </w:r>
          </w:p>
        </w:tc>
        <w:tc>
          <w:tcPr>
            <w:tcW w:w="1030" w:type="dxa"/>
            <w:tcBorders>
              <w:top w:val="single" w:color="auto" w:sz="4" w:space="0"/>
              <w:left w:val="single" w:color="auto" w:sz="4" w:space="0"/>
              <w:bottom w:val="single" w:color="auto" w:sz="4" w:space="0"/>
              <w:right w:val="single" w:color="auto" w:sz="4" w:space="0"/>
            </w:tcBorders>
            <w:noWrap w:val="0"/>
            <w:vAlign w:val="center"/>
          </w:tcPr>
          <w:p w14:paraId="094F30A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明确</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3473C6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0275ED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3" w:hRule="atLeast"/>
        </w:trPr>
        <w:tc>
          <w:tcPr>
            <w:tcW w:w="712" w:type="dxa"/>
            <w:vMerge w:val="continue"/>
            <w:tcBorders>
              <w:top w:val="single" w:color="auto" w:sz="4" w:space="0"/>
              <w:left w:val="single" w:color="auto" w:sz="4" w:space="0"/>
              <w:bottom w:val="single" w:color="auto" w:sz="4" w:space="0"/>
              <w:right w:val="single" w:color="auto" w:sz="4" w:space="0"/>
            </w:tcBorders>
            <w:noWrap w:val="0"/>
            <w:vAlign w:val="center"/>
          </w:tcPr>
          <w:p w14:paraId="6D9388A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8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4F96703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80" w:type="dxa"/>
            <w:vMerge w:val="restart"/>
            <w:tcBorders>
              <w:top w:val="single" w:color="auto" w:sz="4" w:space="0"/>
              <w:left w:val="single" w:color="auto" w:sz="4" w:space="0"/>
              <w:bottom w:val="single" w:color="auto" w:sz="4" w:space="0"/>
              <w:right w:val="single" w:color="auto" w:sz="4" w:space="0"/>
            </w:tcBorders>
            <w:noWrap w:val="0"/>
            <w:vAlign w:val="center"/>
          </w:tcPr>
          <w:p w14:paraId="3FC1B6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资金投入</w:t>
            </w:r>
          </w:p>
        </w:tc>
        <w:tc>
          <w:tcPr>
            <w:tcW w:w="680" w:type="dxa"/>
            <w:vMerge w:val="restart"/>
            <w:tcBorders>
              <w:top w:val="single" w:color="auto" w:sz="4" w:space="0"/>
              <w:left w:val="single" w:color="auto" w:sz="4" w:space="0"/>
              <w:bottom w:val="single" w:color="auto" w:sz="4" w:space="0"/>
              <w:right w:val="single" w:color="auto" w:sz="4" w:space="0"/>
            </w:tcBorders>
            <w:noWrap w:val="0"/>
            <w:vAlign w:val="center"/>
          </w:tcPr>
          <w:p w14:paraId="311EED4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8</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65DE4F1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预算编制科学性</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47FCE2A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c>
          <w:tcPr>
            <w:tcW w:w="2212" w:type="dxa"/>
            <w:tcBorders>
              <w:top w:val="single" w:color="auto" w:sz="4" w:space="0"/>
              <w:left w:val="single" w:color="auto" w:sz="4" w:space="0"/>
              <w:bottom w:val="single" w:color="auto" w:sz="4" w:space="0"/>
              <w:right w:val="single" w:color="auto" w:sz="4" w:space="0"/>
            </w:tcBorders>
            <w:noWrap w:val="0"/>
            <w:vAlign w:val="center"/>
          </w:tcPr>
          <w:p w14:paraId="32106F3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项目预算编制是否经过科学论证、有明确标准，资金额度与年度目标是否相适应，用以反映和考核项目预算编制的科学性、合理性情况。</w:t>
            </w:r>
          </w:p>
        </w:tc>
        <w:tc>
          <w:tcPr>
            <w:tcW w:w="1099" w:type="dxa"/>
            <w:tcBorders>
              <w:top w:val="single" w:color="auto" w:sz="4" w:space="0"/>
              <w:left w:val="single" w:color="auto" w:sz="4" w:space="0"/>
              <w:bottom w:val="single" w:color="auto" w:sz="4" w:space="0"/>
              <w:right w:val="single" w:color="auto" w:sz="4" w:space="0"/>
            </w:tcBorders>
            <w:noWrap w:val="0"/>
            <w:vAlign w:val="center"/>
          </w:tcPr>
          <w:p w14:paraId="28DA4D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科学</w:t>
            </w:r>
          </w:p>
        </w:tc>
        <w:tc>
          <w:tcPr>
            <w:tcW w:w="4171" w:type="dxa"/>
            <w:tcBorders>
              <w:top w:val="single" w:color="auto" w:sz="4" w:space="0"/>
              <w:left w:val="single" w:color="auto" w:sz="4" w:space="0"/>
              <w:bottom w:val="single" w:color="auto" w:sz="4" w:space="0"/>
              <w:right w:val="single" w:color="auto" w:sz="4" w:space="0"/>
            </w:tcBorders>
            <w:noWrap w:val="0"/>
            <w:vAlign w:val="center"/>
          </w:tcPr>
          <w:p w14:paraId="770354A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①预算编制是否经过科学论证；</w:t>
            </w:r>
          </w:p>
          <w:p w14:paraId="531152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②预算内容与项目内容是否匹配；</w:t>
            </w:r>
          </w:p>
          <w:p w14:paraId="0D0E0B4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③预算额度测算依据是否充分，是否按照标准编制；</w:t>
            </w:r>
          </w:p>
          <w:p w14:paraId="58FD440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④预算确定的项目投资额或资金量是否与工作任务相匹配。</w:t>
            </w:r>
          </w:p>
          <w:p w14:paraId="58AD0AC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1030" w:type="dxa"/>
            <w:tcBorders>
              <w:top w:val="single" w:color="auto" w:sz="4" w:space="0"/>
              <w:left w:val="single" w:color="auto" w:sz="4" w:space="0"/>
              <w:bottom w:val="single" w:color="auto" w:sz="4" w:space="0"/>
              <w:right w:val="single" w:color="auto" w:sz="4" w:space="0"/>
            </w:tcBorders>
            <w:noWrap w:val="0"/>
            <w:vAlign w:val="center"/>
          </w:tcPr>
          <w:p w14:paraId="41924BE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科学</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0A666B3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r>
      <w:tr w14:paraId="6A2BD7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12" w:type="dxa"/>
            <w:vMerge w:val="continue"/>
            <w:tcBorders>
              <w:top w:val="single" w:color="auto" w:sz="4" w:space="0"/>
              <w:left w:val="single" w:color="auto" w:sz="4" w:space="0"/>
              <w:bottom w:val="single" w:color="auto" w:sz="4" w:space="0"/>
              <w:right w:val="single" w:color="auto" w:sz="4" w:space="0"/>
            </w:tcBorders>
            <w:noWrap w:val="0"/>
            <w:vAlign w:val="center"/>
          </w:tcPr>
          <w:p w14:paraId="277DC4C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8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354D6D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80" w:type="dxa"/>
            <w:vMerge w:val="continue"/>
            <w:tcBorders>
              <w:top w:val="single" w:color="auto" w:sz="4" w:space="0"/>
              <w:left w:val="single" w:color="auto" w:sz="4" w:space="0"/>
              <w:bottom w:val="single" w:color="auto" w:sz="4" w:space="0"/>
              <w:right w:val="single" w:color="auto" w:sz="4" w:space="0"/>
            </w:tcBorders>
            <w:noWrap w:val="0"/>
            <w:vAlign w:val="center"/>
          </w:tcPr>
          <w:p w14:paraId="5659948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80" w:type="dxa"/>
            <w:vMerge w:val="continue"/>
            <w:tcBorders>
              <w:top w:val="single" w:color="auto" w:sz="4" w:space="0"/>
              <w:left w:val="single" w:color="auto" w:sz="4" w:space="0"/>
              <w:bottom w:val="single" w:color="auto" w:sz="4" w:space="0"/>
              <w:right w:val="single" w:color="auto" w:sz="4" w:space="0"/>
            </w:tcBorders>
            <w:noWrap w:val="0"/>
            <w:vAlign w:val="center"/>
          </w:tcPr>
          <w:p w14:paraId="552678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6E1C0C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资金分配合理性</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5DB8E3F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c>
          <w:tcPr>
            <w:tcW w:w="2212" w:type="dxa"/>
            <w:tcBorders>
              <w:top w:val="single" w:color="auto" w:sz="4" w:space="0"/>
              <w:left w:val="single" w:color="auto" w:sz="4" w:space="0"/>
              <w:bottom w:val="single" w:color="auto" w:sz="4" w:space="0"/>
              <w:right w:val="single" w:color="auto" w:sz="4" w:space="0"/>
            </w:tcBorders>
            <w:noWrap w:val="0"/>
            <w:vAlign w:val="center"/>
          </w:tcPr>
          <w:p w14:paraId="51B82A9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项目预算资金分配是否有测算依据，与补助单位或地方实际是否相适应，用以反映和考核项目预算资金分配的科学性、合理性情况。</w:t>
            </w:r>
          </w:p>
        </w:tc>
        <w:tc>
          <w:tcPr>
            <w:tcW w:w="1099" w:type="dxa"/>
            <w:tcBorders>
              <w:top w:val="single" w:color="auto" w:sz="4" w:space="0"/>
              <w:left w:val="single" w:color="auto" w:sz="4" w:space="0"/>
              <w:bottom w:val="single" w:color="auto" w:sz="4" w:space="0"/>
              <w:right w:val="single" w:color="auto" w:sz="4" w:space="0"/>
            </w:tcBorders>
            <w:noWrap w:val="0"/>
            <w:vAlign w:val="center"/>
          </w:tcPr>
          <w:p w14:paraId="53E381B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4171" w:type="dxa"/>
            <w:tcBorders>
              <w:top w:val="single" w:color="auto" w:sz="4" w:space="0"/>
              <w:left w:val="single" w:color="auto" w:sz="4" w:space="0"/>
              <w:bottom w:val="single" w:color="auto" w:sz="4" w:space="0"/>
              <w:right w:val="single" w:color="auto" w:sz="4" w:space="0"/>
            </w:tcBorders>
            <w:noWrap w:val="0"/>
            <w:vAlign w:val="center"/>
          </w:tcPr>
          <w:p w14:paraId="5F95B1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①预算资金分配依据是否充分；</w:t>
            </w:r>
          </w:p>
          <w:p w14:paraId="417287A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②资金分配额度是否合理，与项目单位或地方实际是否相适应。</w:t>
            </w:r>
          </w:p>
          <w:p w14:paraId="5F8A44D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1030" w:type="dxa"/>
            <w:tcBorders>
              <w:top w:val="single" w:color="auto" w:sz="4" w:space="0"/>
              <w:left w:val="single" w:color="auto" w:sz="4" w:space="0"/>
              <w:bottom w:val="single" w:color="auto" w:sz="4" w:space="0"/>
              <w:right w:val="single" w:color="auto" w:sz="4" w:space="0"/>
            </w:tcBorders>
            <w:noWrap w:val="0"/>
            <w:vAlign w:val="center"/>
          </w:tcPr>
          <w:p w14:paraId="1BA4FF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550562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r>
      <w:tr w14:paraId="6635B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12" w:type="dxa"/>
            <w:vMerge w:val="restart"/>
            <w:tcBorders>
              <w:top w:val="single" w:color="auto" w:sz="4" w:space="0"/>
              <w:left w:val="single" w:color="auto" w:sz="4" w:space="0"/>
              <w:bottom w:val="single" w:color="auto" w:sz="4" w:space="0"/>
              <w:right w:val="single" w:color="auto" w:sz="4" w:space="0"/>
            </w:tcBorders>
            <w:noWrap w:val="0"/>
            <w:vAlign w:val="center"/>
          </w:tcPr>
          <w:p w14:paraId="64875E9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项目过程</w:t>
            </w:r>
          </w:p>
        </w:tc>
        <w:tc>
          <w:tcPr>
            <w:tcW w:w="680"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0B4F18C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12</w:t>
            </w:r>
          </w:p>
        </w:tc>
        <w:tc>
          <w:tcPr>
            <w:tcW w:w="480" w:type="dxa"/>
            <w:vMerge w:val="restart"/>
            <w:tcBorders>
              <w:top w:val="single" w:color="auto" w:sz="4" w:space="0"/>
              <w:left w:val="single" w:color="auto" w:sz="4" w:space="0"/>
              <w:bottom w:val="single" w:color="auto" w:sz="4" w:space="0"/>
              <w:right w:val="single" w:color="auto" w:sz="4" w:space="0"/>
            </w:tcBorders>
            <w:noWrap w:val="0"/>
            <w:vAlign w:val="center"/>
          </w:tcPr>
          <w:p w14:paraId="189F82A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资金管理</w:t>
            </w:r>
          </w:p>
        </w:tc>
        <w:tc>
          <w:tcPr>
            <w:tcW w:w="680" w:type="dxa"/>
            <w:vMerge w:val="restart"/>
            <w:tcBorders>
              <w:top w:val="single" w:color="auto" w:sz="4" w:space="0"/>
              <w:left w:val="single" w:color="auto" w:sz="4" w:space="0"/>
              <w:bottom w:val="single" w:color="auto" w:sz="4" w:space="0"/>
              <w:right w:val="single" w:color="auto" w:sz="4" w:space="0"/>
            </w:tcBorders>
            <w:noWrap w:val="0"/>
            <w:vAlign w:val="center"/>
          </w:tcPr>
          <w:p w14:paraId="7FAE876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6</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408B161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1845C2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w:t>
            </w:r>
          </w:p>
        </w:tc>
        <w:tc>
          <w:tcPr>
            <w:tcW w:w="2212" w:type="dxa"/>
            <w:tcBorders>
              <w:top w:val="single" w:color="auto" w:sz="4" w:space="0"/>
              <w:left w:val="single" w:color="auto" w:sz="4" w:space="0"/>
              <w:bottom w:val="single" w:color="auto" w:sz="4" w:space="0"/>
              <w:right w:val="single" w:color="auto" w:sz="4" w:space="0"/>
            </w:tcBorders>
            <w:noWrap w:val="0"/>
            <w:vAlign w:val="center"/>
          </w:tcPr>
          <w:p w14:paraId="1BA3B5C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实际到位资金与预算资金的比率，用以反映和考核资金落实情况对项目实施的总体保障程度。</w:t>
            </w:r>
          </w:p>
        </w:tc>
        <w:tc>
          <w:tcPr>
            <w:tcW w:w="1099" w:type="dxa"/>
            <w:tcBorders>
              <w:top w:val="single" w:color="auto" w:sz="4" w:space="0"/>
              <w:left w:val="single" w:color="auto" w:sz="4" w:space="0"/>
              <w:bottom w:val="single" w:color="auto" w:sz="4" w:space="0"/>
              <w:right w:val="single" w:color="auto" w:sz="4" w:space="0"/>
            </w:tcBorders>
            <w:noWrap w:val="0"/>
            <w:vAlign w:val="center"/>
          </w:tcPr>
          <w:p w14:paraId="089E08B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171" w:type="dxa"/>
            <w:tcBorders>
              <w:top w:val="single" w:color="auto" w:sz="4" w:space="0"/>
              <w:left w:val="single" w:color="auto" w:sz="4" w:space="0"/>
              <w:bottom w:val="single" w:color="auto" w:sz="4" w:space="0"/>
              <w:right w:val="single" w:color="auto" w:sz="4" w:space="0"/>
            </w:tcBorders>
            <w:noWrap w:val="0"/>
            <w:vAlign w:val="center"/>
          </w:tcPr>
          <w:p w14:paraId="394B96D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资金到位率=（实际到位资金/预算资金）×100%。</w:t>
            </w:r>
          </w:p>
          <w:p w14:paraId="527E651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资金到位率=100%，得权重分满分，每降低1%，扣除5%权重分，扣完为止。</w:t>
            </w:r>
          </w:p>
        </w:tc>
        <w:tc>
          <w:tcPr>
            <w:tcW w:w="1030" w:type="dxa"/>
            <w:tcBorders>
              <w:top w:val="single" w:color="auto" w:sz="4" w:space="0"/>
              <w:left w:val="single" w:color="auto" w:sz="4" w:space="0"/>
              <w:bottom w:val="single" w:color="auto" w:sz="4" w:space="0"/>
              <w:right w:val="single" w:color="auto" w:sz="4" w:space="0"/>
            </w:tcBorders>
            <w:noWrap w:val="0"/>
            <w:vAlign w:val="center"/>
          </w:tcPr>
          <w:p w14:paraId="6991B35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5E1A030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w:t>
            </w:r>
          </w:p>
        </w:tc>
      </w:tr>
      <w:tr w14:paraId="332F7C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12" w:type="dxa"/>
            <w:vMerge w:val="continue"/>
            <w:tcBorders>
              <w:top w:val="single" w:color="auto" w:sz="4" w:space="0"/>
              <w:left w:val="single" w:color="auto" w:sz="4" w:space="0"/>
              <w:bottom w:val="single" w:color="auto" w:sz="4" w:space="0"/>
              <w:right w:val="single" w:color="auto" w:sz="4" w:space="0"/>
            </w:tcBorders>
            <w:noWrap w:val="0"/>
            <w:vAlign w:val="center"/>
          </w:tcPr>
          <w:p w14:paraId="6A18146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8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4ABB413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80" w:type="dxa"/>
            <w:vMerge w:val="continue"/>
            <w:tcBorders>
              <w:top w:val="single" w:color="auto" w:sz="4" w:space="0"/>
              <w:left w:val="single" w:color="auto" w:sz="4" w:space="0"/>
              <w:bottom w:val="single" w:color="auto" w:sz="4" w:space="0"/>
              <w:right w:val="single" w:color="auto" w:sz="4" w:space="0"/>
            </w:tcBorders>
            <w:noWrap w:val="0"/>
            <w:vAlign w:val="center"/>
          </w:tcPr>
          <w:p w14:paraId="239B7F0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80" w:type="dxa"/>
            <w:vMerge w:val="continue"/>
            <w:tcBorders>
              <w:top w:val="single" w:color="auto" w:sz="4" w:space="0"/>
              <w:left w:val="single" w:color="auto" w:sz="4" w:space="0"/>
              <w:bottom w:val="single" w:color="auto" w:sz="4" w:space="0"/>
              <w:right w:val="single" w:color="auto" w:sz="4" w:space="0"/>
            </w:tcBorders>
            <w:noWrap w:val="0"/>
            <w:vAlign w:val="center"/>
          </w:tcPr>
          <w:p w14:paraId="7737FC1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3E23575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65E94D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c>
          <w:tcPr>
            <w:tcW w:w="2212" w:type="dxa"/>
            <w:tcBorders>
              <w:top w:val="single" w:color="auto" w:sz="4" w:space="0"/>
              <w:left w:val="single" w:color="auto" w:sz="4" w:space="0"/>
              <w:bottom w:val="single" w:color="auto" w:sz="4" w:space="0"/>
              <w:right w:val="single" w:color="auto" w:sz="4" w:space="0"/>
            </w:tcBorders>
            <w:noWrap w:val="0"/>
            <w:vAlign w:val="center"/>
          </w:tcPr>
          <w:p w14:paraId="6781D7C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项目预算资金是否按照计划执行，用以反映或考核项目预算执行情况。</w:t>
            </w:r>
          </w:p>
        </w:tc>
        <w:tc>
          <w:tcPr>
            <w:tcW w:w="1099" w:type="dxa"/>
            <w:tcBorders>
              <w:top w:val="single" w:color="auto" w:sz="4" w:space="0"/>
              <w:left w:val="single" w:color="auto" w:sz="4" w:space="0"/>
              <w:bottom w:val="single" w:color="auto" w:sz="4" w:space="0"/>
              <w:right w:val="single" w:color="auto" w:sz="4" w:space="0"/>
            </w:tcBorders>
            <w:noWrap w:val="0"/>
            <w:vAlign w:val="center"/>
          </w:tcPr>
          <w:p w14:paraId="576A80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171" w:type="dxa"/>
            <w:tcBorders>
              <w:top w:val="single" w:color="auto" w:sz="4" w:space="0"/>
              <w:left w:val="single" w:color="auto" w:sz="4" w:space="0"/>
              <w:bottom w:val="single" w:color="auto" w:sz="4" w:space="0"/>
              <w:right w:val="single" w:color="auto" w:sz="4" w:space="0"/>
            </w:tcBorders>
            <w:noWrap w:val="0"/>
            <w:vAlign w:val="center"/>
          </w:tcPr>
          <w:p w14:paraId="6F8A829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预算执行率=（实际支出资金/实际到位资金）×100%。</w:t>
            </w:r>
          </w:p>
          <w:p w14:paraId="794BD23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预算执行率=100%，得权重分满分；若预算执行率＜100%，得分=预算执行率*分值；若执行率≤60%，则不得分。</w:t>
            </w:r>
          </w:p>
        </w:tc>
        <w:tc>
          <w:tcPr>
            <w:tcW w:w="1030" w:type="dxa"/>
            <w:tcBorders>
              <w:top w:val="single" w:color="auto" w:sz="4" w:space="0"/>
              <w:left w:val="single" w:color="auto" w:sz="4" w:space="0"/>
              <w:bottom w:val="single" w:color="auto" w:sz="4" w:space="0"/>
              <w:right w:val="single" w:color="auto" w:sz="4" w:space="0"/>
            </w:tcBorders>
            <w:noWrap w:val="0"/>
            <w:vAlign w:val="center"/>
          </w:tcPr>
          <w:p w14:paraId="2515F3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98.97%</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6A836B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 xml:space="preserve">1.98 </w:t>
            </w:r>
          </w:p>
        </w:tc>
      </w:tr>
      <w:tr w14:paraId="1296A4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12" w:type="dxa"/>
            <w:vMerge w:val="continue"/>
            <w:tcBorders>
              <w:top w:val="single" w:color="auto" w:sz="4" w:space="0"/>
              <w:left w:val="single" w:color="auto" w:sz="4" w:space="0"/>
              <w:bottom w:val="single" w:color="auto" w:sz="4" w:space="0"/>
              <w:right w:val="single" w:color="auto" w:sz="4" w:space="0"/>
            </w:tcBorders>
            <w:noWrap w:val="0"/>
            <w:vAlign w:val="center"/>
          </w:tcPr>
          <w:p w14:paraId="17EC4E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8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09F0C2E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80" w:type="dxa"/>
            <w:vMerge w:val="continue"/>
            <w:tcBorders>
              <w:top w:val="single" w:color="auto" w:sz="4" w:space="0"/>
              <w:left w:val="single" w:color="auto" w:sz="4" w:space="0"/>
              <w:bottom w:val="single" w:color="auto" w:sz="4" w:space="0"/>
              <w:right w:val="single" w:color="auto" w:sz="4" w:space="0"/>
            </w:tcBorders>
            <w:noWrap w:val="0"/>
            <w:vAlign w:val="center"/>
          </w:tcPr>
          <w:p w14:paraId="2A6290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80" w:type="dxa"/>
            <w:vMerge w:val="continue"/>
            <w:tcBorders>
              <w:top w:val="single" w:color="auto" w:sz="4" w:space="0"/>
              <w:left w:val="single" w:color="auto" w:sz="4" w:space="0"/>
              <w:bottom w:val="single" w:color="auto" w:sz="4" w:space="0"/>
              <w:right w:val="single" w:color="auto" w:sz="4" w:space="0"/>
            </w:tcBorders>
            <w:noWrap w:val="0"/>
            <w:vAlign w:val="center"/>
          </w:tcPr>
          <w:p w14:paraId="4D33AB8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14EBFD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资金使用合规性</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4A6BB73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2212" w:type="dxa"/>
            <w:tcBorders>
              <w:top w:val="single" w:color="auto" w:sz="4" w:space="0"/>
              <w:left w:val="single" w:color="auto" w:sz="4" w:space="0"/>
              <w:bottom w:val="single" w:color="auto" w:sz="4" w:space="0"/>
              <w:right w:val="single" w:color="auto" w:sz="4" w:space="0"/>
            </w:tcBorders>
            <w:noWrap w:val="0"/>
            <w:vAlign w:val="center"/>
          </w:tcPr>
          <w:p w14:paraId="3F67375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项目资金使用是否符合相关的财务管理制度规定，用以反映和考核项目资金的规范运行情况。</w:t>
            </w:r>
          </w:p>
        </w:tc>
        <w:tc>
          <w:tcPr>
            <w:tcW w:w="1099" w:type="dxa"/>
            <w:tcBorders>
              <w:top w:val="single" w:color="auto" w:sz="4" w:space="0"/>
              <w:left w:val="single" w:color="auto" w:sz="4" w:space="0"/>
              <w:bottom w:val="single" w:color="auto" w:sz="4" w:space="0"/>
              <w:right w:val="single" w:color="auto" w:sz="4" w:space="0"/>
            </w:tcBorders>
            <w:noWrap w:val="0"/>
            <w:vAlign w:val="center"/>
          </w:tcPr>
          <w:p w14:paraId="398C8F7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合规</w:t>
            </w:r>
          </w:p>
        </w:tc>
        <w:tc>
          <w:tcPr>
            <w:tcW w:w="4171" w:type="dxa"/>
            <w:tcBorders>
              <w:top w:val="single" w:color="auto" w:sz="4" w:space="0"/>
              <w:left w:val="single" w:color="auto" w:sz="4" w:space="0"/>
              <w:bottom w:val="single" w:color="auto" w:sz="4" w:space="0"/>
              <w:right w:val="single" w:color="auto" w:sz="4" w:space="0"/>
            </w:tcBorders>
            <w:noWrap w:val="0"/>
            <w:vAlign w:val="center"/>
          </w:tcPr>
          <w:p w14:paraId="2560679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①否符合国家财经法规和财务管理制度以及有关专项资金管理办法的规定；</w:t>
            </w:r>
          </w:p>
          <w:p w14:paraId="3AD842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②资金的拨付是否有完整的审批程序和手续；</w:t>
            </w:r>
          </w:p>
          <w:p w14:paraId="406CD7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③是否符合项目预算批复或合同规定的用途；</w:t>
            </w:r>
          </w:p>
          <w:p w14:paraId="47EB55A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④是否存在截留、挤占、挪用、虚列支出等情况。</w:t>
            </w:r>
          </w:p>
          <w:p w14:paraId="46227E1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以上每条指标各占权重分的25%，要素①②不符合，扣除对应权重分；要素③④不符合属于重大违纪，该指标不得分。</w:t>
            </w:r>
          </w:p>
        </w:tc>
        <w:tc>
          <w:tcPr>
            <w:tcW w:w="1030" w:type="dxa"/>
            <w:tcBorders>
              <w:top w:val="single" w:color="auto" w:sz="4" w:space="0"/>
              <w:left w:val="single" w:color="auto" w:sz="4" w:space="0"/>
              <w:bottom w:val="single" w:color="auto" w:sz="4" w:space="0"/>
              <w:right w:val="single" w:color="auto" w:sz="4" w:space="0"/>
            </w:tcBorders>
            <w:noWrap w:val="0"/>
            <w:vAlign w:val="center"/>
          </w:tcPr>
          <w:p w14:paraId="2D91C5F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合规</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4D1199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20C166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8" w:hRule="atLeast"/>
        </w:trPr>
        <w:tc>
          <w:tcPr>
            <w:tcW w:w="712" w:type="dxa"/>
            <w:vMerge w:val="continue"/>
            <w:tcBorders>
              <w:top w:val="single" w:color="auto" w:sz="4" w:space="0"/>
              <w:left w:val="single" w:color="auto" w:sz="4" w:space="0"/>
              <w:bottom w:val="single" w:color="auto" w:sz="4" w:space="0"/>
              <w:right w:val="single" w:color="auto" w:sz="4" w:space="0"/>
            </w:tcBorders>
            <w:noWrap w:val="0"/>
            <w:vAlign w:val="center"/>
          </w:tcPr>
          <w:p w14:paraId="1224149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8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0D71E6B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80" w:type="dxa"/>
            <w:vMerge w:val="restart"/>
            <w:tcBorders>
              <w:top w:val="single" w:color="auto" w:sz="4" w:space="0"/>
              <w:left w:val="single" w:color="auto" w:sz="4" w:space="0"/>
              <w:bottom w:val="single" w:color="auto" w:sz="4" w:space="0"/>
              <w:right w:val="single" w:color="auto" w:sz="4" w:space="0"/>
            </w:tcBorders>
            <w:noWrap w:val="0"/>
            <w:vAlign w:val="center"/>
          </w:tcPr>
          <w:p w14:paraId="48C5537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组织实施</w:t>
            </w:r>
          </w:p>
        </w:tc>
        <w:tc>
          <w:tcPr>
            <w:tcW w:w="680" w:type="dxa"/>
            <w:vMerge w:val="restart"/>
            <w:tcBorders>
              <w:top w:val="single" w:color="auto" w:sz="4" w:space="0"/>
              <w:left w:val="single" w:color="auto" w:sz="4" w:space="0"/>
              <w:bottom w:val="single" w:color="auto" w:sz="4" w:space="0"/>
              <w:right w:val="single" w:color="auto" w:sz="4" w:space="0"/>
            </w:tcBorders>
            <w:noWrap w:val="0"/>
            <w:vAlign w:val="center"/>
          </w:tcPr>
          <w:p w14:paraId="12502D5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6</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4E111B1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管理制度健全性</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0A07AD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2212" w:type="dxa"/>
            <w:tcBorders>
              <w:top w:val="single" w:color="auto" w:sz="4" w:space="0"/>
              <w:left w:val="single" w:color="auto" w:sz="4" w:space="0"/>
              <w:bottom w:val="single" w:color="auto" w:sz="4" w:space="0"/>
              <w:right w:val="single" w:color="auto" w:sz="4" w:space="0"/>
            </w:tcBorders>
            <w:noWrap w:val="0"/>
            <w:vAlign w:val="center"/>
          </w:tcPr>
          <w:p w14:paraId="422037F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项目实施单位的财务和业务管理制度是否健全，用以反映和考核财务和业务管理制度对项目顺利实施的保障情况。</w:t>
            </w:r>
          </w:p>
        </w:tc>
        <w:tc>
          <w:tcPr>
            <w:tcW w:w="1099" w:type="dxa"/>
            <w:tcBorders>
              <w:top w:val="single" w:color="auto" w:sz="4" w:space="0"/>
              <w:left w:val="single" w:color="auto" w:sz="4" w:space="0"/>
              <w:bottom w:val="single" w:color="auto" w:sz="4" w:space="0"/>
              <w:right w:val="single" w:color="auto" w:sz="4" w:space="0"/>
            </w:tcBorders>
            <w:noWrap w:val="0"/>
            <w:vAlign w:val="center"/>
          </w:tcPr>
          <w:p w14:paraId="30D292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健全</w:t>
            </w:r>
          </w:p>
        </w:tc>
        <w:tc>
          <w:tcPr>
            <w:tcW w:w="4171" w:type="dxa"/>
            <w:tcBorders>
              <w:top w:val="single" w:color="auto" w:sz="4" w:space="0"/>
              <w:left w:val="single" w:color="auto" w:sz="4" w:space="0"/>
              <w:bottom w:val="single" w:color="auto" w:sz="4" w:space="0"/>
              <w:right w:val="single" w:color="auto" w:sz="4" w:space="0"/>
            </w:tcBorders>
            <w:noWrap w:val="0"/>
            <w:vAlign w:val="center"/>
          </w:tcPr>
          <w:p w14:paraId="1F81DEB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①是否已制定或具有相应的财务和业务管理制度；</w:t>
            </w:r>
          </w:p>
          <w:p w14:paraId="7C12F4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②财务和业务管理制度是否合法、合规、完整。</w:t>
            </w:r>
          </w:p>
          <w:p w14:paraId="14D54B3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1030" w:type="dxa"/>
            <w:tcBorders>
              <w:top w:val="single" w:color="auto" w:sz="4" w:space="0"/>
              <w:left w:val="single" w:color="auto" w:sz="4" w:space="0"/>
              <w:bottom w:val="single" w:color="auto" w:sz="4" w:space="0"/>
              <w:right w:val="single" w:color="auto" w:sz="4" w:space="0"/>
            </w:tcBorders>
            <w:noWrap w:val="0"/>
            <w:vAlign w:val="center"/>
          </w:tcPr>
          <w:p w14:paraId="5361ED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健全</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4B19F42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50C69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12" w:type="dxa"/>
            <w:vMerge w:val="continue"/>
            <w:tcBorders>
              <w:top w:val="single" w:color="auto" w:sz="4" w:space="0"/>
              <w:left w:val="single" w:color="auto" w:sz="4" w:space="0"/>
              <w:bottom w:val="single" w:color="auto" w:sz="4" w:space="0"/>
              <w:right w:val="single" w:color="auto" w:sz="4" w:space="0"/>
            </w:tcBorders>
            <w:noWrap w:val="0"/>
            <w:vAlign w:val="center"/>
          </w:tcPr>
          <w:p w14:paraId="12420DB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8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10750D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80" w:type="dxa"/>
            <w:vMerge w:val="continue"/>
            <w:tcBorders>
              <w:top w:val="single" w:color="auto" w:sz="4" w:space="0"/>
              <w:left w:val="single" w:color="auto" w:sz="4" w:space="0"/>
              <w:bottom w:val="single" w:color="auto" w:sz="4" w:space="0"/>
              <w:right w:val="single" w:color="auto" w:sz="4" w:space="0"/>
            </w:tcBorders>
            <w:noWrap w:val="0"/>
            <w:vAlign w:val="center"/>
          </w:tcPr>
          <w:p w14:paraId="21EC895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80" w:type="dxa"/>
            <w:vMerge w:val="continue"/>
            <w:tcBorders>
              <w:top w:val="single" w:color="auto" w:sz="4" w:space="0"/>
              <w:left w:val="single" w:color="auto" w:sz="4" w:space="0"/>
              <w:bottom w:val="single" w:color="auto" w:sz="4" w:space="0"/>
              <w:right w:val="single" w:color="auto" w:sz="4" w:space="0"/>
            </w:tcBorders>
            <w:noWrap w:val="0"/>
            <w:vAlign w:val="center"/>
          </w:tcPr>
          <w:p w14:paraId="790C37C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6DBBEC8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制度执行有效性</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106DC45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2212" w:type="dxa"/>
            <w:tcBorders>
              <w:top w:val="single" w:color="auto" w:sz="4" w:space="0"/>
              <w:left w:val="single" w:color="auto" w:sz="4" w:space="0"/>
              <w:bottom w:val="single" w:color="auto" w:sz="4" w:space="0"/>
              <w:right w:val="single" w:color="auto" w:sz="4" w:space="0"/>
            </w:tcBorders>
            <w:noWrap w:val="0"/>
            <w:vAlign w:val="center"/>
          </w:tcPr>
          <w:p w14:paraId="65F037C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项目实施是否符合相关管理规定，用以反映和考核相关管理制度的有效执行情况。</w:t>
            </w:r>
          </w:p>
        </w:tc>
        <w:tc>
          <w:tcPr>
            <w:tcW w:w="1099" w:type="dxa"/>
            <w:tcBorders>
              <w:top w:val="single" w:color="auto" w:sz="4" w:space="0"/>
              <w:left w:val="single" w:color="auto" w:sz="4" w:space="0"/>
              <w:bottom w:val="single" w:color="auto" w:sz="4" w:space="0"/>
              <w:right w:val="single" w:color="auto" w:sz="4" w:space="0"/>
            </w:tcBorders>
            <w:noWrap w:val="0"/>
            <w:vAlign w:val="center"/>
          </w:tcPr>
          <w:p w14:paraId="1028F1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w:t>
            </w:r>
          </w:p>
        </w:tc>
        <w:tc>
          <w:tcPr>
            <w:tcW w:w="4171" w:type="dxa"/>
            <w:tcBorders>
              <w:top w:val="single" w:color="auto" w:sz="4" w:space="0"/>
              <w:left w:val="single" w:color="auto" w:sz="4" w:space="0"/>
              <w:bottom w:val="single" w:color="auto" w:sz="4" w:space="0"/>
              <w:right w:val="single" w:color="auto" w:sz="4" w:space="0"/>
            </w:tcBorders>
            <w:noWrap w:val="0"/>
            <w:vAlign w:val="center"/>
          </w:tcPr>
          <w:p w14:paraId="08E4FBC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①否遵守相关法律法规和相关管理规定；</w:t>
            </w:r>
          </w:p>
          <w:p w14:paraId="1E66E8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②项目调整及支出调整手续是否完备；</w:t>
            </w:r>
          </w:p>
          <w:p w14:paraId="502C45E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③项目资料是否齐全并及时归档。</w:t>
            </w:r>
          </w:p>
          <w:p w14:paraId="0027959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①②③齐全得权重分的100%，缺①扣权重分的30%，缺②扣权重分的40%，缺③扣权重分的30%。</w:t>
            </w:r>
          </w:p>
        </w:tc>
        <w:tc>
          <w:tcPr>
            <w:tcW w:w="1030" w:type="dxa"/>
            <w:tcBorders>
              <w:top w:val="single" w:color="auto" w:sz="4" w:space="0"/>
              <w:left w:val="single" w:color="auto" w:sz="4" w:space="0"/>
              <w:bottom w:val="single" w:color="auto" w:sz="4" w:space="0"/>
              <w:right w:val="single" w:color="auto" w:sz="4" w:space="0"/>
            </w:tcBorders>
            <w:noWrap w:val="0"/>
            <w:vAlign w:val="center"/>
          </w:tcPr>
          <w:p w14:paraId="68109C4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37F0F9F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2C31E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12" w:type="dxa"/>
            <w:vMerge w:val="restart"/>
            <w:tcBorders>
              <w:top w:val="single" w:color="auto" w:sz="4" w:space="0"/>
              <w:left w:val="single" w:color="auto" w:sz="4" w:space="0"/>
              <w:bottom w:val="single" w:color="auto" w:sz="4" w:space="0"/>
              <w:right w:val="single" w:color="auto" w:sz="4" w:space="0"/>
            </w:tcBorders>
            <w:noWrap w:val="0"/>
            <w:vAlign w:val="center"/>
          </w:tcPr>
          <w:p w14:paraId="3C49F64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项目产出</w:t>
            </w:r>
          </w:p>
        </w:tc>
        <w:tc>
          <w:tcPr>
            <w:tcW w:w="680"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1A309E0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40</w:t>
            </w:r>
          </w:p>
        </w:tc>
        <w:tc>
          <w:tcPr>
            <w:tcW w:w="480" w:type="dxa"/>
            <w:tcBorders>
              <w:top w:val="single" w:color="auto" w:sz="4" w:space="0"/>
              <w:left w:val="single" w:color="auto" w:sz="4" w:space="0"/>
              <w:bottom w:val="single" w:color="auto" w:sz="4" w:space="0"/>
              <w:right w:val="single" w:color="auto" w:sz="4" w:space="0"/>
            </w:tcBorders>
            <w:noWrap w:val="0"/>
            <w:vAlign w:val="center"/>
          </w:tcPr>
          <w:p w14:paraId="79B103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产出数量</w:t>
            </w:r>
          </w:p>
        </w:tc>
        <w:tc>
          <w:tcPr>
            <w:tcW w:w="680" w:type="dxa"/>
            <w:tcBorders>
              <w:top w:val="single" w:color="auto" w:sz="4" w:space="0"/>
              <w:left w:val="single" w:color="auto" w:sz="4" w:space="0"/>
              <w:bottom w:val="single" w:color="auto" w:sz="4" w:space="0"/>
              <w:right w:val="single" w:color="auto" w:sz="4" w:space="0"/>
            </w:tcBorders>
            <w:noWrap w:val="0"/>
            <w:vAlign w:val="center"/>
          </w:tcPr>
          <w:p w14:paraId="41DFE04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64C9A6A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实际完成率</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1BADCA0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2212" w:type="dxa"/>
            <w:tcBorders>
              <w:top w:val="single" w:color="auto" w:sz="4" w:space="0"/>
              <w:left w:val="single" w:color="auto" w:sz="4" w:space="0"/>
              <w:bottom w:val="single" w:color="auto" w:sz="4" w:space="0"/>
              <w:right w:val="single" w:color="auto" w:sz="4" w:space="0"/>
            </w:tcBorders>
            <w:noWrap w:val="0"/>
            <w:vAlign w:val="center"/>
          </w:tcPr>
          <w:p w14:paraId="49DC3A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道路改建长度</w:t>
            </w:r>
          </w:p>
        </w:tc>
        <w:tc>
          <w:tcPr>
            <w:tcW w:w="1099" w:type="dxa"/>
            <w:tcBorders>
              <w:top w:val="single" w:color="auto" w:sz="4" w:space="0"/>
              <w:left w:val="single" w:color="auto" w:sz="4" w:space="0"/>
              <w:bottom w:val="single" w:color="auto" w:sz="4" w:space="0"/>
              <w:right w:val="single" w:color="auto" w:sz="4" w:space="0"/>
            </w:tcBorders>
            <w:noWrap w:val="0"/>
            <w:vAlign w:val="center"/>
          </w:tcPr>
          <w:p w14:paraId="7A108D8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≥23.602千米</w:t>
            </w:r>
          </w:p>
        </w:tc>
        <w:tc>
          <w:tcPr>
            <w:tcW w:w="4171" w:type="dxa"/>
            <w:tcBorders>
              <w:top w:val="single" w:color="auto" w:sz="4" w:space="0"/>
              <w:left w:val="single" w:color="auto" w:sz="4" w:space="0"/>
              <w:bottom w:val="single" w:color="auto" w:sz="4" w:space="0"/>
              <w:right w:val="single" w:color="auto" w:sz="4" w:space="0"/>
            </w:tcBorders>
            <w:noWrap w:val="0"/>
            <w:vAlign w:val="center"/>
          </w:tcPr>
          <w:p w14:paraId="57BF832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实际完成率=（实际完成/预期完成）×100%。</w:t>
            </w:r>
          </w:p>
          <w:p w14:paraId="056E8BE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①实际完成率≥100%，且偏离程度＜20%，得满分；</w:t>
            </w:r>
          </w:p>
          <w:p w14:paraId="1719B19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②实际完成率≥100%，偏离程度≥20%，得0分；</w:t>
            </w:r>
          </w:p>
          <w:p w14:paraId="467FDD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③实际完成率×100%＜100%，得分=实际完成率×指标分值。</w:t>
            </w:r>
          </w:p>
        </w:tc>
        <w:tc>
          <w:tcPr>
            <w:tcW w:w="1030" w:type="dxa"/>
            <w:tcBorders>
              <w:top w:val="single" w:color="auto" w:sz="4" w:space="0"/>
              <w:left w:val="single" w:color="auto" w:sz="4" w:space="0"/>
              <w:bottom w:val="single" w:color="auto" w:sz="4" w:space="0"/>
              <w:right w:val="single" w:color="auto" w:sz="4" w:space="0"/>
            </w:tcBorders>
            <w:noWrap w:val="0"/>
            <w:vAlign w:val="center"/>
          </w:tcPr>
          <w:p w14:paraId="7B8C854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23.602千米</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256B57E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r>
      <w:tr w14:paraId="53B82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3" w:hRule="atLeast"/>
        </w:trPr>
        <w:tc>
          <w:tcPr>
            <w:tcW w:w="712" w:type="dxa"/>
            <w:vMerge w:val="continue"/>
            <w:tcBorders>
              <w:top w:val="single" w:color="auto" w:sz="4" w:space="0"/>
              <w:left w:val="single" w:color="auto" w:sz="4" w:space="0"/>
              <w:bottom w:val="single" w:color="auto" w:sz="4" w:space="0"/>
              <w:right w:val="single" w:color="auto" w:sz="4" w:space="0"/>
            </w:tcBorders>
            <w:noWrap w:val="0"/>
            <w:vAlign w:val="center"/>
          </w:tcPr>
          <w:p w14:paraId="111F4D8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8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4ABC515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80" w:type="dxa"/>
            <w:vMerge w:val="restart"/>
            <w:tcBorders>
              <w:top w:val="single" w:color="auto" w:sz="4" w:space="0"/>
              <w:left w:val="single" w:color="auto" w:sz="4" w:space="0"/>
              <w:bottom w:val="single" w:color="auto" w:sz="4" w:space="0"/>
              <w:right w:val="single" w:color="auto" w:sz="4" w:space="0"/>
            </w:tcBorders>
            <w:noWrap w:val="0"/>
            <w:vAlign w:val="center"/>
          </w:tcPr>
          <w:p w14:paraId="1DED80C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产出质量</w:t>
            </w:r>
          </w:p>
        </w:tc>
        <w:tc>
          <w:tcPr>
            <w:tcW w:w="680" w:type="dxa"/>
            <w:vMerge w:val="restart"/>
            <w:tcBorders>
              <w:top w:val="single" w:color="auto" w:sz="4" w:space="0"/>
              <w:left w:val="single" w:color="auto" w:sz="4" w:space="0"/>
              <w:bottom w:val="single" w:color="auto" w:sz="4" w:space="0"/>
              <w:right w:val="single" w:color="auto" w:sz="4" w:space="0"/>
            </w:tcBorders>
            <w:noWrap w:val="0"/>
            <w:vAlign w:val="center"/>
          </w:tcPr>
          <w:p w14:paraId="0E45A3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700" w:type="dxa"/>
            <w:vMerge w:val="restart"/>
            <w:tcBorders>
              <w:top w:val="single" w:color="auto" w:sz="4" w:space="0"/>
              <w:left w:val="single" w:color="auto" w:sz="4" w:space="0"/>
              <w:bottom w:val="single" w:color="auto" w:sz="4" w:space="0"/>
              <w:right w:val="single" w:color="auto" w:sz="4" w:space="0"/>
            </w:tcBorders>
            <w:noWrap w:val="0"/>
            <w:vAlign w:val="center"/>
          </w:tcPr>
          <w:p w14:paraId="6C927E4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质量达标率</w:t>
            </w:r>
          </w:p>
        </w:tc>
        <w:tc>
          <w:tcPr>
            <w:tcW w:w="700" w:type="dxa"/>
            <w:vMerge w:val="restart"/>
            <w:tcBorders>
              <w:top w:val="single" w:color="auto" w:sz="4" w:space="0"/>
              <w:left w:val="single" w:color="auto" w:sz="4" w:space="0"/>
              <w:bottom w:val="single" w:color="auto" w:sz="4" w:space="0"/>
              <w:right w:val="single" w:color="auto" w:sz="4" w:space="0"/>
            </w:tcBorders>
            <w:noWrap w:val="0"/>
            <w:vAlign w:val="center"/>
          </w:tcPr>
          <w:p w14:paraId="477A9A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2212" w:type="dxa"/>
            <w:tcBorders>
              <w:top w:val="single" w:color="auto" w:sz="4" w:space="0"/>
              <w:left w:val="single" w:color="auto" w:sz="4" w:space="0"/>
              <w:bottom w:val="single" w:color="auto" w:sz="4" w:space="0"/>
              <w:right w:val="single" w:color="auto" w:sz="4" w:space="0"/>
            </w:tcBorders>
            <w:noWrap w:val="0"/>
            <w:vAlign w:val="center"/>
          </w:tcPr>
          <w:p w14:paraId="02605B5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实施路段技术状况水平提高率</w:t>
            </w:r>
          </w:p>
        </w:tc>
        <w:tc>
          <w:tcPr>
            <w:tcW w:w="1099" w:type="dxa"/>
            <w:tcBorders>
              <w:top w:val="single" w:color="auto" w:sz="4" w:space="0"/>
              <w:left w:val="single" w:color="auto" w:sz="4" w:space="0"/>
              <w:bottom w:val="single" w:color="auto" w:sz="4" w:space="0"/>
              <w:right w:val="single" w:color="auto" w:sz="4" w:space="0"/>
            </w:tcBorders>
            <w:noWrap w:val="0"/>
            <w:vAlign w:val="center"/>
          </w:tcPr>
          <w:p w14:paraId="2DD444F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171" w:type="dxa"/>
            <w:vMerge w:val="restart"/>
            <w:tcBorders>
              <w:top w:val="single" w:color="auto" w:sz="4" w:space="0"/>
              <w:left w:val="single" w:color="auto" w:sz="4" w:space="0"/>
              <w:right w:val="single" w:color="auto" w:sz="4" w:space="0"/>
            </w:tcBorders>
            <w:noWrap w:val="0"/>
            <w:vAlign w:val="center"/>
          </w:tcPr>
          <w:p w14:paraId="1F190B0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若指标达到标杆值，则得100%权重分；否则，得分=（实际完成/预期完成）×100%×指标分值。</w:t>
            </w:r>
          </w:p>
          <w:p w14:paraId="6613336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若指标完成值达到标杆值，则得100%权重分；否则，不得分。</w:t>
            </w:r>
          </w:p>
        </w:tc>
        <w:tc>
          <w:tcPr>
            <w:tcW w:w="1030" w:type="dxa"/>
            <w:tcBorders>
              <w:top w:val="single" w:color="auto" w:sz="4" w:space="0"/>
              <w:left w:val="single" w:color="auto" w:sz="4" w:space="0"/>
              <w:bottom w:val="single" w:color="auto" w:sz="4" w:space="0"/>
              <w:right w:val="single" w:color="auto" w:sz="4" w:space="0"/>
            </w:tcBorders>
            <w:noWrap w:val="0"/>
            <w:vAlign w:val="center"/>
          </w:tcPr>
          <w:p w14:paraId="3DD8957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0952A4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710DC3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6" w:hRule="atLeast"/>
        </w:trPr>
        <w:tc>
          <w:tcPr>
            <w:tcW w:w="712" w:type="dxa"/>
            <w:vMerge w:val="continue"/>
            <w:tcBorders>
              <w:top w:val="single" w:color="auto" w:sz="4" w:space="0"/>
              <w:left w:val="single" w:color="auto" w:sz="4" w:space="0"/>
              <w:bottom w:val="single" w:color="auto" w:sz="4" w:space="0"/>
              <w:right w:val="single" w:color="auto" w:sz="4" w:space="0"/>
            </w:tcBorders>
            <w:noWrap w:val="0"/>
            <w:vAlign w:val="center"/>
          </w:tcPr>
          <w:p w14:paraId="4345BC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8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44CA7AA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80" w:type="dxa"/>
            <w:vMerge w:val="continue"/>
            <w:tcBorders>
              <w:top w:val="single" w:color="auto" w:sz="4" w:space="0"/>
              <w:left w:val="single" w:color="auto" w:sz="4" w:space="0"/>
              <w:bottom w:val="single" w:color="auto" w:sz="4" w:space="0"/>
              <w:right w:val="single" w:color="auto" w:sz="4" w:space="0"/>
            </w:tcBorders>
            <w:noWrap w:val="0"/>
            <w:vAlign w:val="center"/>
          </w:tcPr>
          <w:p w14:paraId="2B2134E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80" w:type="dxa"/>
            <w:vMerge w:val="continue"/>
            <w:tcBorders>
              <w:top w:val="single" w:color="auto" w:sz="4" w:space="0"/>
              <w:left w:val="single" w:color="auto" w:sz="4" w:space="0"/>
              <w:bottom w:val="single" w:color="auto" w:sz="4" w:space="0"/>
              <w:right w:val="single" w:color="auto" w:sz="4" w:space="0"/>
            </w:tcBorders>
            <w:noWrap w:val="0"/>
            <w:vAlign w:val="center"/>
          </w:tcPr>
          <w:p w14:paraId="43EFA17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00" w:type="dxa"/>
            <w:vMerge w:val="continue"/>
            <w:tcBorders>
              <w:top w:val="single" w:color="auto" w:sz="4" w:space="0"/>
              <w:left w:val="single" w:color="auto" w:sz="4" w:space="0"/>
              <w:bottom w:val="single" w:color="auto" w:sz="4" w:space="0"/>
              <w:right w:val="single" w:color="auto" w:sz="4" w:space="0"/>
            </w:tcBorders>
            <w:noWrap w:val="0"/>
            <w:vAlign w:val="center"/>
          </w:tcPr>
          <w:p w14:paraId="5A99A1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00" w:type="dxa"/>
            <w:vMerge w:val="continue"/>
            <w:tcBorders>
              <w:top w:val="single" w:color="auto" w:sz="4" w:space="0"/>
              <w:left w:val="single" w:color="auto" w:sz="4" w:space="0"/>
              <w:bottom w:val="single" w:color="auto" w:sz="4" w:space="0"/>
              <w:right w:val="single" w:color="auto" w:sz="4" w:space="0"/>
            </w:tcBorders>
            <w:noWrap w:val="0"/>
            <w:vAlign w:val="center"/>
          </w:tcPr>
          <w:p w14:paraId="3C16DBE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212" w:type="dxa"/>
            <w:tcBorders>
              <w:top w:val="single" w:color="auto" w:sz="4" w:space="0"/>
              <w:left w:val="single" w:color="auto" w:sz="4" w:space="0"/>
              <w:bottom w:val="single" w:color="auto" w:sz="4" w:space="0"/>
              <w:right w:val="single" w:color="auto" w:sz="4" w:space="0"/>
            </w:tcBorders>
            <w:noWrap w:val="0"/>
            <w:vAlign w:val="center"/>
          </w:tcPr>
          <w:p w14:paraId="4DC2D35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工程验收合格率</w:t>
            </w:r>
          </w:p>
        </w:tc>
        <w:tc>
          <w:tcPr>
            <w:tcW w:w="1099" w:type="dxa"/>
            <w:tcBorders>
              <w:top w:val="single" w:color="auto" w:sz="4" w:space="0"/>
              <w:left w:val="single" w:color="auto" w:sz="4" w:space="0"/>
              <w:bottom w:val="single" w:color="auto" w:sz="4" w:space="0"/>
              <w:right w:val="single" w:color="auto" w:sz="4" w:space="0"/>
            </w:tcBorders>
            <w:noWrap w:val="0"/>
            <w:vAlign w:val="center"/>
          </w:tcPr>
          <w:p w14:paraId="6FF8CB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171" w:type="dxa"/>
            <w:vMerge w:val="continue"/>
            <w:tcBorders>
              <w:left w:val="single" w:color="auto" w:sz="4" w:space="0"/>
              <w:bottom w:val="single" w:color="auto" w:sz="4" w:space="0"/>
              <w:right w:val="single" w:color="auto" w:sz="4" w:space="0"/>
            </w:tcBorders>
            <w:noWrap w:val="0"/>
            <w:vAlign w:val="center"/>
          </w:tcPr>
          <w:p w14:paraId="4C9CEBA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p>
        </w:tc>
        <w:tc>
          <w:tcPr>
            <w:tcW w:w="1030" w:type="dxa"/>
            <w:tcBorders>
              <w:top w:val="single" w:color="auto" w:sz="4" w:space="0"/>
              <w:left w:val="single" w:color="auto" w:sz="4" w:space="0"/>
              <w:bottom w:val="single" w:color="auto" w:sz="4" w:space="0"/>
              <w:right w:val="single" w:color="auto" w:sz="4" w:space="0"/>
            </w:tcBorders>
            <w:noWrap w:val="0"/>
            <w:vAlign w:val="center"/>
          </w:tcPr>
          <w:p w14:paraId="49ACB34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4C6F7C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5EF35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3" w:hRule="atLeast"/>
        </w:trPr>
        <w:tc>
          <w:tcPr>
            <w:tcW w:w="712" w:type="dxa"/>
            <w:vMerge w:val="continue"/>
            <w:tcBorders>
              <w:top w:val="single" w:color="auto" w:sz="4" w:space="0"/>
              <w:left w:val="single" w:color="auto" w:sz="4" w:space="0"/>
              <w:bottom w:val="single" w:color="auto" w:sz="4" w:space="0"/>
              <w:right w:val="single" w:color="auto" w:sz="4" w:space="0"/>
            </w:tcBorders>
            <w:noWrap w:val="0"/>
            <w:vAlign w:val="center"/>
          </w:tcPr>
          <w:p w14:paraId="552F09D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8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79788B0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80" w:type="dxa"/>
            <w:vMerge w:val="restart"/>
            <w:tcBorders>
              <w:top w:val="single" w:color="auto" w:sz="4" w:space="0"/>
              <w:left w:val="single" w:color="auto" w:sz="4" w:space="0"/>
              <w:bottom w:val="single" w:color="auto" w:sz="4" w:space="0"/>
              <w:right w:val="single" w:color="auto" w:sz="4" w:space="0"/>
            </w:tcBorders>
            <w:noWrap w:val="0"/>
            <w:vAlign w:val="center"/>
          </w:tcPr>
          <w:p w14:paraId="354BD73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产出时效</w:t>
            </w:r>
          </w:p>
        </w:tc>
        <w:tc>
          <w:tcPr>
            <w:tcW w:w="680" w:type="dxa"/>
            <w:vMerge w:val="restart"/>
            <w:tcBorders>
              <w:top w:val="single" w:color="auto" w:sz="4" w:space="0"/>
              <w:left w:val="single" w:color="auto" w:sz="4" w:space="0"/>
              <w:bottom w:val="single" w:color="auto" w:sz="4" w:space="0"/>
              <w:right w:val="single" w:color="auto" w:sz="4" w:space="0"/>
            </w:tcBorders>
            <w:noWrap w:val="0"/>
            <w:vAlign w:val="center"/>
          </w:tcPr>
          <w:p w14:paraId="3C925F1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700" w:type="dxa"/>
            <w:vMerge w:val="restart"/>
            <w:tcBorders>
              <w:top w:val="single" w:color="auto" w:sz="4" w:space="0"/>
              <w:left w:val="single" w:color="auto" w:sz="4" w:space="0"/>
              <w:bottom w:val="single" w:color="auto" w:sz="4" w:space="0"/>
              <w:right w:val="single" w:color="auto" w:sz="4" w:space="0"/>
            </w:tcBorders>
            <w:noWrap w:val="0"/>
            <w:vAlign w:val="center"/>
          </w:tcPr>
          <w:p w14:paraId="4A8546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完成及时率</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342DB5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2212" w:type="dxa"/>
            <w:tcBorders>
              <w:top w:val="single" w:color="auto" w:sz="4" w:space="0"/>
              <w:left w:val="single" w:color="auto" w:sz="4" w:space="0"/>
              <w:bottom w:val="single" w:color="auto" w:sz="4" w:space="0"/>
              <w:right w:val="single" w:color="auto" w:sz="4" w:space="0"/>
            </w:tcBorders>
            <w:noWrap w:val="0"/>
            <w:vAlign w:val="center"/>
          </w:tcPr>
          <w:p w14:paraId="26B741E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项目开始时间</w:t>
            </w:r>
          </w:p>
        </w:tc>
        <w:tc>
          <w:tcPr>
            <w:tcW w:w="1099" w:type="dxa"/>
            <w:tcBorders>
              <w:top w:val="single" w:color="auto" w:sz="4" w:space="0"/>
              <w:left w:val="single" w:color="auto" w:sz="4" w:space="0"/>
              <w:bottom w:val="single" w:color="auto" w:sz="4" w:space="0"/>
              <w:right w:val="single" w:color="auto" w:sz="4" w:space="0"/>
            </w:tcBorders>
            <w:noWrap w:val="0"/>
            <w:vAlign w:val="center"/>
          </w:tcPr>
          <w:p w14:paraId="541C81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2024年1月</w:t>
            </w:r>
          </w:p>
        </w:tc>
        <w:tc>
          <w:tcPr>
            <w:tcW w:w="4171" w:type="dxa"/>
            <w:vMerge w:val="restart"/>
            <w:tcBorders>
              <w:top w:val="single" w:color="auto" w:sz="4" w:space="0"/>
              <w:left w:val="single" w:color="auto" w:sz="4" w:space="0"/>
              <w:right w:val="single" w:color="auto" w:sz="4" w:space="0"/>
            </w:tcBorders>
            <w:noWrap w:val="0"/>
            <w:vAlign w:val="center"/>
          </w:tcPr>
          <w:p w14:paraId="0B0E217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若指标完成值达到标杆值，则得100%权重分；否则，得分=（实际完成/预期完成）×100%×指标分值。</w:t>
            </w:r>
          </w:p>
          <w:p w14:paraId="2C1E1EF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若指标完成值达到标杆值，则得100%权重分；否则，得分=（实际完成/预期完成）×100%×指标分值。</w:t>
            </w:r>
          </w:p>
          <w:p w14:paraId="3B421D9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若指标完成值达到标杆值，则得100%权重分；否则，得分=（实际完成/预期完成）×100%×指标分值。</w:t>
            </w:r>
          </w:p>
          <w:p w14:paraId="782250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若在规定时间内完成，得100%权重分；若未在规定的时间内完成，得分=（1-未在规定时间内完成工作数/实际完成工作总数）×分值。</w:t>
            </w:r>
          </w:p>
        </w:tc>
        <w:tc>
          <w:tcPr>
            <w:tcW w:w="1030" w:type="dxa"/>
            <w:tcBorders>
              <w:top w:val="single" w:color="auto" w:sz="4" w:space="0"/>
              <w:left w:val="single" w:color="auto" w:sz="4" w:space="0"/>
              <w:bottom w:val="single" w:color="auto" w:sz="4" w:space="0"/>
              <w:right w:val="single" w:color="auto" w:sz="4" w:space="0"/>
            </w:tcBorders>
            <w:noWrap w:val="0"/>
            <w:vAlign w:val="center"/>
          </w:tcPr>
          <w:p w14:paraId="6E661D7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2024年1月</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7B875F0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77FA9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12" w:type="dxa"/>
            <w:vMerge w:val="continue"/>
            <w:tcBorders>
              <w:top w:val="single" w:color="auto" w:sz="4" w:space="0"/>
              <w:left w:val="single" w:color="auto" w:sz="4" w:space="0"/>
              <w:bottom w:val="single" w:color="auto" w:sz="4" w:space="0"/>
              <w:right w:val="single" w:color="auto" w:sz="4" w:space="0"/>
            </w:tcBorders>
            <w:noWrap w:val="0"/>
            <w:vAlign w:val="center"/>
          </w:tcPr>
          <w:p w14:paraId="58A016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8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7DFFFE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80" w:type="dxa"/>
            <w:vMerge w:val="continue"/>
            <w:tcBorders>
              <w:top w:val="single" w:color="auto" w:sz="4" w:space="0"/>
              <w:left w:val="single" w:color="auto" w:sz="4" w:space="0"/>
              <w:bottom w:val="single" w:color="auto" w:sz="4" w:space="0"/>
              <w:right w:val="single" w:color="auto" w:sz="4" w:space="0"/>
            </w:tcBorders>
            <w:noWrap w:val="0"/>
            <w:vAlign w:val="center"/>
          </w:tcPr>
          <w:p w14:paraId="4848CF1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80" w:type="dxa"/>
            <w:vMerge w:val="continue"/>
            <w:tcBorders>
              <w:top w:val="single" w:color="auto" w:sz="4" w:space="0"/>
              <w:left w:val="single" w:color="auto" w:sz="4" w:space="0"/>
              <w:bottom w:val="single" w:color="auto" w:sz="4" w:space="0"/>
              <w:right w:val="single" w:color="auto" w:sz="4" w:space="0"/>
            </w:tcBorders>
            <w:noWrap w:val="0"/>
            <w:vAlign w:val="center"/>
          </w:tcPr>
          <w:p w14:paraId="67F4F1F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00" w:type="dxa"/>
            <w:vMerge w:val="continue"/>
            <w:tcBorders>
              <w:top w:val="single" w:color="auto" w:sz="4" w:space="0"/>
              <w:left w:val="single" w:color="auto" w:sz="4" w:space="0"/>
              <w:bottom w:val="single" w:color="auto" w:sz="4" w:space="0"/>
              <w:right w:val="single" w:color="auto" w:sz="4" w:space="0"/>
            </w:tcBorders>
            <w:noWrap w:val="0"/>
            <w:vAlign w:val="center"/>
          </w:tcPr>
          <w:p w14:paraId="5E6DE39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2C92827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2212" w:type="dxa"/>
            <w:tcBorders>
              <w:top w:val="single" w:color="auto" w:sz="4" w:space="0"/>
              <w:left w:val="single" w:color="auto" w:sz="4" w:space="0"/>
              <w:bottom w:val="single" w:color="auto" w:sz="4" w:space="0"/>
              <w:right w:val="single" w:color="auto" w:sz="4" w:space="0"/>
            </w:tcBorders>
            <w:noWrap w:val="0"/>
            <w:vAlign w:val="center"/>
          </w:tcPr>
          <w:p w14:paraId="6CAF07F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项目完工时间</w:t>
            </w:r>
          </w:p>
        </w:tc>
        <w:tc>
          <w:tcPr>
            <w:tcW w:w="1099" w:type="dxa"/>
            <w:tcBorders>
              <w:top w:val="single" w:color="auto" w:sz="4" w:space="0"/>
              <w:left w:val="single" w:color="auto" w:sz="4" w:space="0"/>
              <w:bottom w:val="single" w:color="auto" w:sz="4" w:space="0"/>
              <w:right w:val="single" w:color="auto" w:sz="4" w:space="0"/>
            </w:tcBorders>
            <w:noWrap w:val="0"/>
            <w:vAlign w:val="center"/>
          </w:tcPr>
          <w:p w14:paraId="107D33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2024年6月</w:t>
            </w:r>
          </w:p>
        </w:tc>
        <w:tc>
          <w:tcPr>
            <w:tcW w:w="4171" w:type="dxa"/>
            <w:vMerge w:val="continue"/>
            <w:tcBorders>
              <w:left w:val="single" w:color="auto" w:sz="4" w:space="0"/>
              <w:right w:val="single" w:color="auto" w:sz="4" w:space="0"/>
            </w:tcBorders>
            <w:noWrap w:val="0"/>
            <w:vAlign w:val="center"/>
          </w:tcPr>
          <w:p w14:paraId="0EAAC95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p>
        </w:tc>
        <w:tc>
          <w:tcPr>
            <w:tcW w:w="1030" w:type="dxa"/>
            <w:tcBorders>
              <w:top w:val="single" w:color="auto" w:sz="4" w:space="0"/>
              <w:left w:val="single" w:color="auto" w:sz="4" w:space="0"/>
              <w:bottom w:val="single" w:color="auto" w:sz="4" w:space="0"/>
              <w:right w:val="single" w:color="auto" w:sz="4" w:space="0"/>
            </w:tcBorders>
            <w:noWrap w:val="0"/>
            <w:vAlign w:val="center"/>
          </w:tcPr>
          <w:p w14:paraId="6DC721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2024年6月</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602EFCC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2FB8C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712" w:type="dxa"/>
            <w:vMerge w:val="continue"/>
            <w:tcBorders>
              <w:top w:val="single" w:color="auto" w:sz="4" w:space="0"/>
              <w:left w:val="single" w:color="auto" w:sz="4" w:space="0"/>
              <w:bottom w:val="single" w:color="auto" w:sz="4" w:space="0"/>
              <w:right w:val="single" w:color="auto" w:sz="4" w:space="0"/>
            </w:tcBorders>
            <w:noWrap w:val="0"/>
            <w:vAlign w:val="center"/>
          </w:tcPr>
          <w:p w14:paraId="5FC296D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8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60A8875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80" w:type="dxa"/>
            <w:vMerge w:val="continue"/>
            <w:tcBorders>
              <w:top w:val="single" w:color="auto" w:sz="4" w:space="0"/>
              <w:left w:val="single" w:color="auto" w:sz="4" w:space="0"/>
              <w:bottom w:val="single" w:color="auto" w:sz="4" w:space="0"/>
              <w:right w:val="single" w:color="auto" w:sz="4" w:space="0"/>
            </w:tcBorders>
            <w:noWrap w:val="0"/>
            <w:vAlign w:val="center"/>
          </w:tcPr>
          <w:p w14:paraId="0315D8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80" w:type="dxa"/>
            <w:vMerge w:val="continue"/>
            <w:tcBorders>
              <w:top w:val="single" w:color="auto" w:sz="4" w:space="0"/>
              <w:left w:val="single" w:color="auto" w:sz="4" w:space="0"/>
              <w:bottom w:val="single" w:color="auto" w:sz="4" w:space="0"/>
              <w:right w:val="single" w:color="auto" w:sz="4" w:space="0"/>
            </w:tcBorders>
            <w:noWrap w:val="0"/>
            <w:vAlign w:val="center"/>
          </w:tcPr>
          <w:p w14:paraId="079774A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00" w:type="dxa"/>
            <w:vMerge w:val="continue"/>
            <w:tcBorders>
              <w:top w:val="single" w:color="auto" w:sz="4" w:space="0"/>
              <w:left w:val="single" w:color="auto" w:sz="4" w:space="0"/>
              <w:bottom w:val="single" w:color="auto" w:sz="4" w:space="0"/>
              <w:right w:val="single" w:color="auto" w:sz="4" w:space="0"/>
            </w:tcBorders>
            <w:noWrap w:val="0"/>
            <w:vAlign w:val="center"/>
          </w:tcPr>
          <w:p w14:paraId="1340A1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6653F5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c>
          <w:tcPr>
            <w:tcW w:w="2212" w:type="dxa"/>
            <w:tcBorders>
              <w:top w:val="single" w:color="auto" w:sz="4" w:space="0"/>
              <w:left w:val="single" w:color="auto" w:sz="4" w:space="0"/>
              <w:bottom w:val="single" w:color="auto" w:sz="4" w:space="0"/>
              <w:right w:val="single" w:color="auto" w:sz="4" w:space="0"/>
            </w:tcBorders>
            <w:noWrap w:val="0"/>
            <w:vAlign w:val="center"/>
          </w:tcPr>
          <w:p w14:paraId="195E67B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资金支付及时率</w:t>
            </w:r>
          </w:p>
        </w:tc>
        <w:tc>
          <w:tcPr>
            <w:tcW w:w="1099" w:type="dxa"/>
            <w:tcBorders>
              <w:top w:val="single" w:color="auto" w:sz="4" w:space="0"/>
              <w:left w:val="single" w:color="auto" w:sz="4" w:space="0"/>
              <w:bottom w:val="single" w:color="auto" w:sz="4" w:space="0"/>
              <w:right w:val="single" w:color="auto" w:sz="4" w:space="0"/>
            </w:tcBorders>
            <w:noWrap w:val="0"/>
            <w:vAlign w:val="center"/>
          </w:tcPr>
          <w:p w14:paraId="2451533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171" w:type="dxa"/>
            <w:vMerge w:val="continue"/>
            <w:tcBorders>
              <w:left w:val="single" w:color="auto" w:sz="4" w:space="0"/>
              <w:right w:val="single" w:color="auto" w:sz="4" w:space="0"/>
            </w:tcBorders>
            <w:noWrap w:val="0"/>
            <w:vAlign w:val="center"/>
          </w:tcPr>
          <w:p w14:paraId="6E2B30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p>
        </w:tc>
        <w:tc>
          <w:tcPr>
            <w:tcW w:w="1030" w:type="dxa"/>
            <w:tcBorders>
              <w:top w:val="single" w:color="auto" w:sz="4" w:space="0"/>
              <w:left w:val="single" w:color="auto" w:sz="4" w:space="0"/>
              <w:bottom w:val="single" w:color="auto" w:sz="4" w:space="0"/>
              <w:right w:val="single" w:color="auto" w:sz="4" w:space="0"/>
            </w:tcBorders>
            <w:noWrap w:val="0"/>
            <w:vAlign w:val="center"/>
          </w:tcPr>
          <w:p w14:paraId="1CC3427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2E95029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r>
      <w:tr w14:paraId="7CA64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12" w:type="dxa"/>
            <w:vMerge w:val="continue"/>
            <w:tcBorders>
              <w:top w:val="single" w:color="auto" w:sz="4" w:space="0"/>
              <w:left w:val="single" w:color="auto" w:sz="4" w:space="0"/>
              <w:bottom w:val="single" w:color="auto" w:sz="4" w:space="0"/>
              <w:right w:val="single" w:color="auto" w:sz="4" w:space="0"/>
            </w:tcBorders>
            <w:noWrap w:val="0"/>
            <w:vAlign w:val="center"/>
          </w:tcPr>
          <w:p w14:paraId="67B270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8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6C9CEB6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80" w:type="dxa"/>
            <w:tcBorders>
              <w:top w:val="single" w:color="auto" w:sz="4" w:space="0"/>
              <w:left w:val="single" w:color="auto" w:sz="4" w:space="0"/>
              <w:bottom w:val="single" w:color="auto" w:sz="4" w:space="0"/>
              <w:right w:val="single" w:color="auto" w:sz="4" w:space="0"/>
            </w:tcBorders>
            <w:noWrap w:val="0"/>
            <w:vAlign w:val="center"/>
          </w:tcPr>
          <w:p w14:paraId="1183C6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产出成本</w:t>
            </w:r>
          </w:p>
        </w:tc>
        <w:tc>
          <w:tcPr>
            <w:tcW w:w="680" w:type="dxa"/>
            <w:tcBorders>
              <w:top w:val="single" w:color="auto" w:sz="4" w:space="0"/>
              <w:left w:val="single" w:color="auto" w:sz="4" w:space="0"/>
              <w:bottom w:val="single" w:color="auto" w:sz="4" w:space="0"/>
              <w:right w:val="single" w:color="auto" w:sz="4" w:space="0"/>
            </w:tcBorders>
            <w:noWrap w:val="0"/>
            <w:vAlign w:val="center"/>
          </w:tcPr>
          <w:p w14:paraId="0FE144E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5C5019A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成本节约率</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27C2F69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2212" w:type="dxa"/>
            <w:tcBorders>
              <w:top w:val="single" w:color="auto" w:sz="4" w:space="0"/>
              <w:left w:val="single" w:color="auto" w:sz="4" w:space="0"/>
              <w:bottom w:val="single" w:color="auto" w:sz="4" w:space="0"/>
              <w:right w:val="single" w:color="auto" w:sz="4" w:space="0"/>
            </w:tcBorders>
            <w:noWrap w:val="0"/>
            <w:vAlign w:val="center"/>
          </w:tcPr>
          <w:p w14:paraId="0E38BE7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道路改建成本</w:t>
            </w:r>
          </w:p>
        </w:tc>
        <w:tc>
          <w:tcPr>
            <w:tcW w:w="1099" w:type="dxa"/>
            <w:tcBorders>
              <w:top w:val="single" w:color="auto" w:sz="4" w:space="0"/>
              <w:left w:val="single" w:color="auto" w:sz="4" w:space="0"/>
              <w:bottom w:val="single" w:color="auto" w:sz="4" w:space="0"/>
              <w:right w:val="single" w:color="auto" w:sz="4" w:space="0"/>
            </w:tcBorders>
            <w:noWrap w:val="0"/>
            <w:vAlign w:val="center"/>
          </w:tcPr>
          <w:p w14:paraId="70F1A95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≤62.25万元/千米</w:t>
            </w:r>
          </w:p>
        </w:tc>
        <w:tc>
          <w:tcPr>
            <w:tcW w:w="4171" w:type="dxa"/>
            <w:tcBorders>
              <w:top w:val="single" w:color="auto" w:sz="4" w:space="0"/>
              <w:left w:val="single" w:color="auto" w:sz="4" w:space="0"/>
              <w:bottom w:val="single" w:color="auto" w:sz="4" w:space="0"/>
              <w:right w:val="single" w:color="auto" w:sz="4" w:space="0"/>
            </w:tcBorders>
            <w:noWrap w:val="0"/>
            <w:vAlign w:val="center"/>
          </w:tcPr>
          <w:p w14:paraId="0B3A43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实际完成率=（实际支付资金数/计划应支付资金数）×100%。</w:t>
            </w:r>
          </w:p>
          <w:p w14:paraId="3A4958B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①实际完成率＞年度指标值，得0得分；</w:t>
            </w:r>
          </w:p>
          <w:p w14:paraId="78211BB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②实际完成率≤年度指标值，且偏离程度＜20%，得满分；</w:t>
            </w:r>
          </w:p>
          <w:p w14:paraId="7B55D6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③实际完成率＜年度指标值，且偏离程度≥20%，得分=实际完成率×分值。</w:t>
            </w:r>
          </w:p>
        </w:tc>
        <w:tc>
          <w:tcPr>
            <w:tcW w:w="1030" w:type="dxa"/>
            <w:tcBorders>
              <w:top w:val="single" w:color="auto" w:sz="4" w:space="0"/>
              <w:left w:val="single" w:color="auto" w:sz="4" w:space="0"/>
              <w:bottom w:val="single" w:color="auto" w:sz="4" w:space="0"/>
              <w:right w:val="single" w:color="auto" w:sz="4" w:space="0"/>
            </w:tcBorders>
            <w:noWrap w:val="0"/>
            <w:vAlign w:val="center"/>
          </w:tcPr>
          <w:p w14:paraId="2296DF1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61.61万元/千米</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1E468EC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r>
      <w:tr w14:paraId="5C5B67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12" w:type="dxa"/>
            <w:vMerge w:val="restart"/>
            <w:tcBorders>
              <w:top w:val="single" w:color="auto" w:sz="4" w:space="0"/>
              <w:left w:val="single" w:color="auto" w:sz="4" w:space="0"/>
              <w:bottom w:val="single" w:color="auto" w:sz="4" w:space="0"/>
              <w:right w:val="single" w:color="auto" w:sz="4" w:space="0"/>
            </w:tcBorders>
            <w:noWrap w:val="0"/>
            <w:vAlign w:val="center"/>
          </w:tcPr>
          <w:p w14:paraId="45D07F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项目效益</w:t>
            </w:r>
          </w:p>
        </w:tc>
        <w:tc>
          <w:tcPr>
            <w:tcW w:w="680"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18C5A2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25</w:t>
            </w:r>
          </w:p>
        </w:tc>
        <w:tc>
          <w:tcPr>
            <w:tcW w:w="480" w:type="dxa"/>
            <w:vMerge w:val="restart"/>
            <w:tcBorders>
              <w:top w:val="single" w:color="auto" w:sz="4" w:space="0"/>
              <w:left w:val="single" w:color="auto" w:sz="4" w:space="0"/>
              <w:bottom w:val="single" w:color="auto" w:sz="4" w:space="0"/>
              <w:right w:val="single" w:color="auto" w:sz="4" w:space="0"/>
            </w:tcBorders>
            <w:noWrap w:val="0"/>
            <w:vAlign w:val="center"/>
          </w:tcPr>
          <w:p w14:paraId="480A45B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项目效益</w:t>
            </w:r>
          </w:p>
        </w:tc>
        <w:tc>
          <w:tcPr>
            <w:tcW w:w="680" w:type="dxa"/>
            <w:vMerge w:val="restart"/>
            <w:tcBorders>
              <w:top w:val="single" w:color="auto" w:sz="4" w:space="0"/>
              <w:left w:val="single" w:color="auto" w:sz="4" w:space="0"/>
              <w:bottom w:val="single" w:color="auto" w:sz="4" w:space="0"/>
              <w:right w:val="single" w:color="auto" w:sz="4" w:space="0"/>
            </w:tcBorders>
            <w:noWrap w:val="0"/>
            <w:vAlign w:val="center"/>
          </w:tcPr>
          <w:p w14:paraId="5C7611F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25</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5FA9F3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社会效益</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2A8EA69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15</w:t>
            </w:r>
          </w:p>
        </w:tc>
        <w:tc>
          <w:tcPr>
            <w:tcW w:w="2212" w:type="dxa"/>
            <w:tcBorders>
              <w:top w:val="single" w:color="auto" w:sz="4" w:space="0"/>
              <w:left w:val="single" w:color="auto" w:sz="4" w:space="0"/>
              <w:bottom w:val="single" w:color="auto" w:sz="4" w:space="0"/>
              <w:right w:val="single" w:color="auto" w:sz="4" w:space="0"/>
            </w:tcBorders>
            <w:noWrap w:val="0"/>
            <w:vAlign w:val="center"/>
          </w:tcPr>
          <w:p w14:paraId="2F5DB16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基本公共服务水平及公路安全水平</w:t>
            </w:r>
          </w:p>
        </w:tc>
        <w:tc>
          <w:tcPr>
            <w:tcW w:w="1099" w:type="dxa"/>
            <w:tcBorders>
              <w:top w:val="single" w:color="auto" w:sz="4" w:space="0"/>
              <w:left w:val="single" w:color="auto" w:sz="4" w:space="0"/>
              <w:bottom w:val="single" w:color="auto" w:sz="4" w:space="0"/>
              <w:right w:val="single" w:color="auto" w:sz="4" w:space="0"/>
            </w:tcBorders>
            <w:noWrap w:val="0"/>
            <w:vAlign w:val="center"/>
          </w:tcPr>
          <w:p w14:paraId="5AD07CC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有效提升</w:t>
            </w:r>
          </w:p>
        </w:tc>
        <w:tc>
          <w:tcPr>
            <w:tcW w:w="4171" w:type="dxa"/>
            <w:tcBorders>
              <w:top w:val="single" w:color="auto" w:sz="4" w:space="0"/>
              <w:left w:val="single" w:color="auto" w:sz="4" w:space="0"/>
              <w:bottom w:val="single" w:color="auto" w:sz="4" w:space="0"/>
              <w:right w:val="single" w:color="auto" w:sz="4" w:space="0"/>
            </w:tcBorders>
            <w:noWrap w:val="0"/>
            <w:vAlign w:val="center"/>
          </w:tcPr>
          <w:p w14:paraId="64B9EEB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按评判等级赋分。分为基本达成目标、部分实现目标、实现目标程度较低三个档次，并分别按照该指标对应分值区间100%-80%（含）、80%-60%（含）、60%-0%合理确定分值。</w:t>
            </w:r>
          </w:p>
        </w:tc>
        <w:tc>
          <w:tcPr>
            <w:tcW w:w="1030" w:type="dxa"/>
            <w:tcBorders>
              <w:top w:val="single" w:color="auto" w:sz="4" w:space="0"/>
              <w:left w:val="single" w:color="auto" w:sz="4" w:space="0"/>
              <w:bottom w:val="single" w:color="auto" w:sz="4" w:space="0"/>
              <w:right w:val="single" w:color="auto" w:sz="4" w:space="0"/>
            </w:tcBorders>
            <w:noWrap w:val="0"/>
            <w:vAlign w:val="center"/>
          </w:tcPr>
          <w:p w14:paraId="2E63CE7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有效提升</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0A1AA95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15</w:t>
            </w:r>
          </w:p>
        </w:tc>
      </w:tr>
      <w:tr w14:paraId="66D165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12" w:type="dxa"/>
            <w:vMerge w:val="continue"/>
            <w:tcBorders>
              <w:top w:val="single" w:color="auto" w:sz="4" w:space="0"/>
              <w:left w:val="single" w:color="auto" w:sz="4" w:space="0"/>
              <w:bottom w:val="single" w:color="auto" w:sz="4" w:space="0"/>
              <w:right w:val="single" w:color="auto" w:sz="4" w:space="0"/>
            </w:tcBorders>
            <w:noWrap w:val="0"/>
            <w:vAlign w:val="center"/>
          </w:tcPr>
          <w:p w14:paraId="656C93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8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67C29C3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80" w:type="dxa"/>
            <w:vMerge w:val="continue"/>
            <w:tcBorders>
              <w:top w:val="single" w:color="auto" w:sz="4" w:space="0"/>
              <w:left w:val="single" w:color="auto" w:sz="4" w:space="0"/>
              <w:bottom w:val="single" w:color="auto" w:sz="4" w:space="0"/>
              <w:right w:val="single" w:color="auto" w:sz="4" w:space="0"/>
            </w:tcBorders>
            <w:noWrap w:val="0"/>
            <w:vAlign w:val="center"/>
          </w:tcPr>
          <w:p w14:paraId="0D5137C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80" w:type="dxa"/>
            <w:vMerge w:val="continue"/>
            <w:tcBorders>
              <w:top w:val="single" w:color="auto" w:sz="4" w:space="0"/>
              <w:left w:val="single" w:color="auto" w:sz="4" w:space="0"/>
              <w:bottom w:val="single" w:color="auto" w:sz="4" w:space="0"/>
              <w:right w:val="single" w:color="auto" w:sz="4" w:space="0"/>
            </w:tcBorders>
            <w:noWrap w:val="0"/>
            <w:vAlign w:val="center"/>
          </w:tcPr>
          <w:p w14:paraId="5065FE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63699ED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服务对象满意度</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7E510B1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2212" w:type="dxa"/>
            <w:tcBorders>
              <w:top w:val="single" w:color="auto" w:sz="4" w:space="0"/>
              <w:left w:val="single" w:color="auto" w:sz="4" w:space="0"/>
              <w:bottom w:val="single" w:color="auto" w:sz="4" w:space="0"/>
              <w:right w:val="single" w:color="auto" w:sz="4" w:space="0"/>
            </w:tcBorders>
            <w:noWrap w:val="0"/>
            <w:vAlign w:val="center"/>
          </w:tcPr>
          <w:p w14:paraId="621471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改善通行服务水平群众满意度</w:t>
            </w:r>
          </w:p>
        </w:tc>
        <w:tc>
          <w:tcPr>
            <w:tcW w:w="1099" w:type="dxa"/>
            <w:tcBorders>
              <w:top w:val="single" w:color="auto" w:sz="4" w:space="0"/>
              <w:left w:val="single" w:color="auto" w:sz="4" w:space="0"/>
              <w:bottom w:val="single" w:color="auto" w:sz="4" w:space="0"/>
              <w:right w:val="single" w:color="auto" w:sz="4" w:space="0"/>
            </w:tcBorders>
            <w:noWrap w:val="0"/>
            <w:vAlign w:val="center"/>
          </w:tcPr>
          <w:p w14:paraId="7D59273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&gt;=95%</w:t>
            </w:r>
          </w:p>
        </w:tc>
        <w:tc>
          <w:tcPr>
            <w:tcW w:w="4171" w:type="dxa"/>
            <w:tcBorders>
              <w:top w:val="single" w:color="auto" w:sz="4" w:space="0"/>
              <w:left w:val="single" w:color="auto" w:sz="4" w:space="0"/>
              <w:bottom w:val="single" w:color="auto" w:sz="4" w:space="0"/>
              <w:right w:val="single" w:color="auto" w:sz="4" w:space="0"/>
            </w:tcBorders>
            <w:noWrap w:val="0"/>
            <w:vAlign w:val="center"/>
          </w:tcPr>
          <w:p w14:paraId="1ABBAFF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根据问卷调查，满意度达到标杆值，得权重分的100%；否则低于95%，得分=实际满意度*指标分值。</w:t>
            </w:r>
          </w:p>
        </w:tc>
        <w:tc>
          <w:tcPr>
            <w:tcW w:w="1030" w:type="dxa"/>
            <w:tcBorders>
              <w:top w:val="single" w:color="auto" w:sz="4" w:space="0"/>
              <w:left w:val="single" w:color="auto" w:sz="4" w:space="0"/>
              <w:bottom w:val="single" w:color="auto" w:sz="4" w:space="0"/>
              <w:right w:val="single" w:color="auto" w:sz="4" w:space="0"/>
            </w:tcBorders>
            <w:noWrap w:val="0"/>
            <w:vAlign w:val="center"/>
          </w:tcPr>
          <w:p w14:paraId="6DDBBE3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346437B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r>
      <w:tr w14:paraId="5C9F2D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12" w:type="dxa"/>
            <w:tcBorders>
              <w:top w:val="single" w:color="auto" w:sz="4" w:space="0"/>
              <w:left w:val="single" w:color="auto" w:sz="4" w:space="0"/>
              <w:bottom w:val="single" w:color="auto" w:sz="4" w:space="0"/>
              <w:right w:val="single" w:color="auto" w:sz="4" w:space="0"/>
            </w:tcBorders>
            <w:noWrap w:val="0"/>
            <w:vAlign w:val="center"/>
          </w:tcPr>
          <w:p w14:paraId="026F757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总分</w:t>
            </w:r>
          </w:p>
        </w:tc>
        <w:tc>
          <w:tcPr>
            <w:tcW w:w="680" w:type="dxa"/>
            <w:gridSpan w:val="2"/>
            <w:tcBorders>
              <w:top w:val="single" w:color="auto" w:sz="4" w:space="0"/>
              <w:left w:val="single" w:color="auto" w:sz="4" w:space="0"/>
              <w:bottom w:val="single" w:color="auto" w:sz="4" w:space="0"/>
              <w:right w:val="single" w:color="auto" w:sz="4" w:space="0"/>
            </w:tcBorders>
            <w:noWrap w:val="0"/>
            <w:vAlign w:val="center"/>
          </w:tcPr>
          <w:p w14:paraId="40FB48A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80" w:type="dxa"/>
            <w:tcBorders>
              <w:top w:val="single" w:color="auto" w:sz="4" w:space="0"/>
              <w:left w:val="single" w:color="auto" w:sz="4" w:space="0"/>
              <w:bottom w:val="single" w:color="auto" w:sz="4" w:space="0"/>
              <w:right w:val="single" w:color="auto" w:sz="4" w:space="0"/>
            </w:tcBorders>
            <w:noWrap w:val="0"/>
            <w:vAlign w:val="center"/>
          </w:tcPr>
          <w:p w14:paraId="6205C5C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80" w:type="dxa"/>
            <w:tcBorders>
              <w:top w:val="single" w:color="auto" w:sz="4" w:space="0"/>
              <w:left w:val="single" w:color="auto" w:sz="4" w:space="0"/>
              <w:bottom w:val="single" w:color="auto" w:sz="4" w:space="0"/>
              <w:right w:val="single" w:color="auto" w:sz="4" w:space="0"/>
            </w:tcBorders>
            <w:noWrap w:val="0"/>
            <w:vAlign w:val="center"/>
          </w:tcPr>
          <w:p w14:paraId="290D7B9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5E1973E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340FD0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2212" w:type="dxa"/>
            <w:tcBorders>
              <w:top w:val="single" w:color="auto" w:sz="4" w:space="0"/>
              <w:left w:val="single" w:color="auto" w:sz="4" w:space="0"/>
              <w:bottom w:val="single" w:color="auto" w:sz="4" w:space="0"/>
              <w:right w:val="single" w:color="auto" w:sz="4" w:space="0"/>
            </w:tcBorders>
            <w:noWrap w:val="0"/>
            <w:vAlign w:val="center"/>
          </w:tcPr>
          <w:p w14:paraId="1B6E362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099" w:type="dxa"/>
            <w:tcBorders>
              <w:top w:val="single" w:color="auto" w:sz="4" w:space="0"/>
              <w:left w:val="single" w:color="auto" w:sz="4" w:space="0"/>
              <w:bottom w:val="single" w:color="auto" w:sz="4" w:space="0"/>
              <w:right w:val="single" w:color="auto" w:sz="4" w:space="0"/>
            </w:tcBorders>
            <w:noWrap w:val="0"/>
            <w:vAlign w:val="center"/>
          </w:tcPr>
          <w:p w14:paraId="418D5C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171" w:type="dxa"/>
            <w:tcBorders>
              <w:top w:val="single" w:color="auto" w:sz="4" w:space="0"/>
              <w:left w:val="single" w:color="auto" w:sz="4" w:space="0"/>
              <w:bottom w:val="single" w:color="auto" w:sz="4" w:space="0"/>
              <w:right w:val="single" w:color="auto" w:sz="4" w:space="0"/>
            </w:tcBorders>
            <w:noWrap w:val="0"/>
            <w:vAlign w:val="center"/>
          </w:tcPr>
          <w:p w14:paraId="15BA01F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030" w:type="dxa"/>
            <w:tcBorders>
              <w:top w:val="single" w:color="auto" w:sz="4" w:space="0"/>
              <w:left w:val="single" w:color="auto" w:sz="4" w:space="0"/>
              <w:bottom w:val="single" w:color="auto" w:sz="4" w:space="0"/>
              <w:right w:val="single" w:color="auto" w:sz="4" w:space="0"/>
            </w:tcBorders>
            <w:noWrap w:val="0"/>
            <w:vAlign w:val="center"/>
          </w:tcPr>
          <w:p w14:paraId="2B1166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808" w:type="dxa"/>
            <w:tcBorders>
              <w:top w:val="single" w:color="auto" w:sz="4" w:space="0"/>
              <w:left w:val="single" w:color="auto" w:sz="4" w:space="0"/>
              <w:bottom w:val="single" w:color="auto" w:sz="4" w:space="0"/>
              <w:right w:val="single" w:color="auto" w:sz="4" w:space="0"/>
            </w:tcBorders>
            <w:noWrap/>
            <w:vAlign w:val="center"/>
          </w:tcPr>
          <w:p w14:paraId="3C63A92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 xml:space="preserve">99.98 </w:t>
            </w:r>
          </w:p>
        </w:tc>
      </w:tr>
    </w:tbl>
    <w:p w14:paraId="53BC70AF">
      <w:pPr>
        <w:pStyle w:val="10"/>
        <w:pageBreakBefore w:val="0"/>
        <w:kinsoku/>
        <w:wordWrap/>
        <w:topLinePunct w:val="0"/>
        <w:autoSpaceDE/>
        <w:autoSpaceDN/>
        <w:bidi w:val="0"/>
        <w:adjustRightInd/>
        <w:snapToGrid/>
        <w:spacing w:before="0" w:after="0" w:line="360" w:lineRule="auto"/>
        <w:ind w:left="0" w:leftChars="0" w:firstLine="480" w:firstLineChars="200"/>
        <w:jc w:val="both"/>
        <w:rPr>
          <w:rFonts w:hint="eastAsia" w:ascii="宋体" w:hAnsi="宋体" w:eastAsia="宋体" w:cs="宋体"/>
          <w:color w:val="auto"/>
          <w:sz w:val="24"/>
          <w:szCs w:val="24"/>
          <w:lang w:eastAsia="zh-CN"/>
        </w:rPr>
      </w:pPr>
    </w:p>
    <w:p w14:paraId="764FE70C">
      <w:pPr>
        <w:pStyle w:val="10"/>
        <w:pageBreakBefore w:val="0"/>
        <w:kinsoku/>
        <w:wordWrap/>
        <w:topLinePunct w:val="0"/>
        <w:autoSpaceDE/>
        <w:autoSpaceDN/>
        <w:bidi w:val="0"/>
        <w:adjustRightInd/>
        <w:snapToGrid/>
        <w:spacing w:before="0" w:after="0" w:line="360" w:lineRule="auto"/>
        <w:ind w:left="0" w:leftChars="0" w:firstLine="480" w:firstLineChars="200"/>
        <w:rPr>
          <w:rFonts w:hint="eastAsia" w:ascii="宋体" w:hAnsi="宋体" w:eastAsia="宋体" w:cs="宋体"/>
          <w:color w:val="auto"/>
          <w:sz w:val="24"/>
          <w:szCs w:val="24"/>
          <w:lang w:eastAsia="zh-CN"/>
        </w:rPr>
      </w:pPr>
    </w:p>
    <w:p w14:paraId="337485F4">
      <w:pPr>
        <w:pStyle w:val="10"/>
        <w:pageBreakBefore w:val="0"/>
        <w:kinsoku/>
        <w:wordWrap/>
        <w:topLinePunct w:val="0"/>
        <w:autoSpaceDE/>
        <w:autoSpaceDN/>
        <w:bidi w:val="0"/>
        <w:adjustRightInd/>
        <w:snapToGrid/>
        <w:spacing w:before="0" w:after="0" w:line="360" w:lineRule="auto"/>
        <w:ind w:left="0" w:leftChars="0" w:firstLine="480" w:firstLineChars="200"/>
        <w:rPr>
          <w:rFonts w:hint="eastAsia" w:ascii="宋体" w:hAnsi="宋体" w:eastAsia="宋体" w:cs="宋体"/>
          <w:color w:val="auto"/>
          <w:sz w:val="24"/>
          <w:szCs w:val="24"/>
          <w:lang w:eastAsia="zh-CN"/>
        </w:rPr>
      </w:pPr>
    </w:p>
    <w:p w14:paraId="28E64C15">
      <w:pPr>
        <w:pStyle w:val="10"/>
        <w:pageBreakBefore w:val="0"/>
        <w:kinsoku/>
        <w:wordWrap/>
        <w:topLinePunct w:val="0"/>
        <w:autoSpaceDE/>
        <w:autoSpaceDN/>
        <w:bidi w:val="0"/>
        <w:adjustRightInd/>
        <w:snapToGrid/>
        <w:spacing w:before="0" w:after="0" w:line="360" w:lineRule="auto"/>
        <w:ind w:left="0" w:leftChars="0" w:firstLine="480" w:firstLineChars="200"/>
        <w:rPr>
          <w:rFonts w:hint="eastAsia" w:ascii="宋体" w:hAnsi="宋体" w:eastAsia="宋体" w:cs="宋体"/>
          <w:color w:val="auto"/>
          <w:sz w:val="24"/>
          <w:szCs w:val="24"/>
          <w:lang w:eastAsia="zh-CN"/>
        </w:rPr>
      </w:pPr>
    </w:p>
    <w:p w14:paraId="28638BA4">
      <w:pPr>
        <w:pStyle w:val="10"/>
        <w:pageBreakBefore w:val="0"/>
        <w:kinsoku/>
        <w:wordWrap/>
        <w:topLinePunct w:val="0"/>
        <w:autoSpaceDE/>
        <w:autoSpaceDN/>
        <w:bidi w:val="0"/>
        <w:adjustRightInd/>
        <w:snapToGrid/>
        <w:spacing w:before="0" w:after="0" w:line="360" w:lineRule="auto"/>
        <w:ind w:left="0" w:leftChars="0" w:firstLine="480" w:firstLineChars="200"/>
        <w:rPr>
          <w:rFonts w:hint="eastAsia" w:ascii="宋体" w:hAnsi="宋体" w:eastAsia="宋体" w:cs="宋体"/>
          <w:color w:val="auto"/>
          <w:sz w:val="24"/>
          <w:szCs w:val="24"/>
          <w:lang w:eastAsia="zh-CN"/>
        </w:rPr>
      </w:pPr>
    </w:p>
    <w:p w14:paraId="75BE3A42">
      <w:pPr>
        <w:pStyle w:val="10"/>
        <w:pageBreakBefore w:val="0"/>
        <w:kinsoku/>
        <w:wordWrap/>
        <w:topLinePunct w:val="0"/>
        <w:autoSpaceDE/>
        <w:autoSpaceDN/>
        <w:bidi w:val="0"/>
        <w:adjustRightInd/>
        <w:snapToGrid/>
        <w:spacing w:before="0" w:after="0" w:line="360" w:lineRule="auto"/>
        <w:ind w:left="0" w:leftChars="0" w:firstLine="0" w:firstLineChars="0"/>
        <w:jc w:val="both"/>
        <w:rPr>
          <w:rFonts w:hint="eastAsia" w:ascii="宋体" w:hAnsi="宋体" w:eastAsia="宋体" w:cs="宋体"/>
          <w:color w:val="auto"/>
          <w:sz w:val="24"/>
          <w:szCs w:val="24"/>
          <w:lang w:eastAsia="zh-CN"/>
        </w:rPr>
      </w:pPr>
    </w:p>
    <w:p w14:paraId="139AD024">
      <w:pPr>
        <w:pStyle w:val="10"/>
        <w:pageBreakBefore w:val="0"/>
        <w:kinsoku/>
        <w:wordWrap/>
        <w:topLinePunct w:val="0"/>
        <w:autoSpaceDE/>
        <w:autoSpaceDN/>
        <w:bidi w:val="0"/>
        <w:adjustRightInd/>
        <w:snapToGrid/>
        <w:spacing w:before="0" w:after="0" w:line="360" w:lineRule="auto"/>
        <w:ind w:left="0" w:leftChars="0" w:firstLine="480" w:firstLineChars="200"/>
        <w:rPr>
          <w:rFonts w:hint="eastAsia" w:ascii="宋体" w:hAnsi="宋体" w:eastAsia="宋体" w:cs="宋体"/>
          <w:color w:val="auto"/>
          <w:sz w:val="24"/>
          <w:szCs w:val="24"/>
          <w:lang w:eastAsia="zh-CN"/>
        </w:rPr>
      </w:pPr>
    </w:p>
    <w:p w14:paraId="01A8D60E">
      <w:pPr>
        <w:pStyle w:val="10"/>
        <w:pageBreakBefore w:val="0"/>
        <w:kinsoku/>
        <w:wordWrap/>
        <w:topLinePunct w:val="0"/>
        <w:autoSpaceDE/>
        <w:autoSpaceDN/>
        <w:bidi w:val="0"/>
        <w:adjustRightInd/>
        <w:snapToGrid/>
        <w:spacing w:before="0" w:after="0" w:line="360" w:lineRule="auto"/>
        <w:ind w:left="0" w:leftChars="0" w:firstLine="480" w:firstLineChars="200"/>
        <w:jc w:val="both"/>
        <w:rPr>
          <w:rFonts w:hint="eastAsia" w:ascii="宋体" w:hAnsi="宋体" w:eastAsia="宋体" w:cs="宋体"/>
          <w:color w:val="auto"/>
          <w:sz w:val="24"/>
          <w:szCs w:val="24"/>
          <w:lang w:val="en-US" w:eastAsia="zh-CN"/>
        </w:rPr>
      </w:pPr>
    </w:p>
    <w:p w14:paraId="506CDCFE">
      <w:pPr>
        <w:pStyle w:val="10"/>
        <w:pageBreakBefore w:val="0"/>
        <w:kinsoku/>
        <w:wordWrap/>
        <w:topLinePunct w:val="0"/>
        <w:autoSpaceDE/>
        <w:autoSpaceDN/>
        <w:bidi w:val="0"/>
        <w:adjustRightInd/>
        <w:snapToGrid/>
        <w:spacing w:before="0" w:after="0" w:line="360" w:lineRule="auto"/>
        <w:ind w:left="0" w:leftChars="0" w:firstLine="480" w:firstLineChars="200"/>
        <w:jc w:val="both"/>
        <w:rPr>
          <w:rFonts w:hint="eastAsia" w:ascii="宋体" w:hAnsi="宋体" w:eastAsia="宋体" w:cs="宋体"/>
          <w:color w:val="auto"/>
          <w:sz w:val="24"/>
          <w:szCs w:val="24"/>
          <w:lang w:val="en-US" w:eastAsia="zh-CN"/>
        </w:rPr>
      </w:pPr>
    </w:p>
    <w:p w14:paraId="7FBC9617">
      <w:pPr>
        <w:pStyle w:val="10"/>
        <w:pageBreakBefore w:val="0"/>
        <w:kinsoku/>
        <w:wordWrap/>
        <w:topLinePunct w:val="0"/>
        <w:autoSpaceDE/>
        <w:autoSpaceDN/>
        <w:bidi w:val="0"/>
        <w:adjustRightInd/>
        <w:snapToGrid/>
        <w:spacing w:before="0" w:after="0" w:line="360" w:lineRule="auto"/>
        <w:ind w:left="0" w:leftChars="0" w:firstLine="480" w:firstLineChars="200"/>
        <w:jc w:val="both"/>
        <w:rPr>
          <w:rFonts w:hint="eastAsia" w:ascii="宋体" w:hAnsi="宋体" w:eastAsia="宋体" w:cs="宋体"/>
          <w:color w:val="auto"/>
          <w:sz w:val="24"/>
          <w:szCs w:val="24"/>
          <w:lang w:val="en-US" w:eastAsia="zh-CN"/>
        </w:rPr>
      </w:pPr>
    </w:p>
    <w:p w14:paraId="3F344F3B">
      <w:pPr>
        <w:pStyle w:val="10"/>
        <w:pageBreakBefore w:val="0"/>
        <w:kinsoku/>
        <w:wordWrap/>
        <w:topLinePunct w:val="0"/>
        <w:autoSpaceDE/>
        <w:autoSpaceDN/>
        <w:bidi w:val="0"/>
        <w:adjustRightInd/>
        <w:snapToGrid/>
        <w:spacing w:before="0" w:after="0" w:line="360" w:lineRule="auto"/>
        <w:ind w:left="0" w:leftChars="0" w:firstLine="480" w:firstLineChars="200"/>
        <w:jc w:val="both"/>
        <w:rPr>
          <w:rFonts w:hint="eastAsia" w:ascii="宋体" w:hAnsi="宋体" w:eastAsia="宋体" w:cs="宋体"/>
          <w:color w:val="auto"/>
          <w:sz w:val="24"/>
          <w:szCs w:val="24"/>
          <w:lang w:val="en-US" w:eastAsia="zh-CN"/>
        </w:rPr>
      </w:pPr>
    </w:p>
    <w:p w14:paraId="48986788">
      <w:pPr>
        <w:pStyle w:val="10"/>
        <w:pageBreakBefore w:val="0"/>
        <w:kinsoku/>
        <w:wordWrap/>
        <w:topLinePunct w:val="0"/>
        <w:autoSpaceDE/>
        <w:autoSpaceDN/>
        <w:bidi w:val="0"/>
        <w:adjustRightInd/>
        <w:snapToGrid/>
        <w:spacing w:before="0" w:after="0" w:line="360" w:lineRule="auto"/>
        <w:ind w:left="0" w:leftChars="0" w:firstLine="480" w:firstLineChars="20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附件2：</w:t>
      </w:r>
    </w:p>
    <w:tbl>
      <w:tblPr>
        <w:tblStyle w:val="23"/>
        <w:tblW w:w="1302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094"/>
        <w:gridCol w:w="1686"/>
      </w:tblGrid>
      <w:tr w14:paraId="75B37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0B3D1483">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auto"/>
                <w:sz w:val="24"/>
                <w:szCs w:val="24"/>
                <w:u w:val="none"/>
              </w:rPr>
            </w:pPr>
          </w:p>
        </w:tc>
        <w:tc>
          <w:tcPr>
            <w:tcW w:w="1778" w:type="dxa"/>
            <w:tcBorders>
              <w:top w:val="nil"/>
              <w:left w:val="nil"/>
              <w:bottom w:val="nil"/>
              <w:right w:val="nil"/>
            </w:tcBorders>
            <w:noWrap/>
            <w:vAlign w:val="center"/>
          </w:tcPr>
          <w:p w14:paraId="55430BAA">
            <w:pPr>
              <w:keepNext w:val="0"/>
              <w:keepLines w:val="0"/>
              <w:pageBreakBefore w:val="0"/>
              <w:kinsoku/>
              <w:wordWrap/>
              <w:overflowPunct/>
              <w:topLinePunct w:val="0"/>
              <w:autoSpaceDE/>
              <w:autoSpaceDN/>
              <w:bidi w:val="0"/>
              <w:adjustRightInd/>
              <w:snapToGrid/>
              <w:spacing w:line="360" w:lineRule="auto"/>
              <w:ind w:left="0" w:leftChars="0" w:firstLine="0" w:firstLineChars="0"/>
              <w:rPr>
                <w:rFonts w:hint="eastAsia" w:ascii="宋体" w:hAnsi="宋体" w:eastAsia="宋体" w:cs="宋体"/>
                <w:i w:val="0"/>
                <w:iCs w:val="0"/>
                <w:color w:val="auto"/>
                <w:sz w:val="24"/>
                <w:szCs w:val="24"/>
                <w:u w:val="none"/>
              </w:rPr>
            </w:pPr>
          </w:p>
        </w:tc>
        <w:tc>
          <w:tcPr>
            <w:tcW w:w="2786" w:type="dxa"/>
            <w:tcBorders>
              <w:top w:val="nil"/>
              <w:left w:val="nil"/>
              <w:bottom w:val="nil"/>
              <w:right w:val="nil"/>
            </w:tcBorders>
            <w:noWrap/>
            <w:vAlign w:val="center"/>
          </w:tcPr>
          <w:p w14:paraId="4D1C83EA">
            <w:pPr>
              <w:keepNext w:val="0"/>
              <w:keepLines w:val="0"/>
              <w:pageBreakBefore w:val="0"/>
              <w:kinsoku/>
              <w:wordWrap/>
              <w:overflowPunct/>
              <w:topLinePunct w:val="0"/>
              <w:autoSpaceDE/>
              <w:autoSpaceDN/>
              <w:bidi w:val="0"/>
              <w:adjustRightInd/>
              <w:snapToGrid/>
              <w:spacing w:line="360" w:lineRule="auto"/>
              <w:ind w:left="0" w:leftChars="0" w:firstLine="0" w:firstLineChars="0"/>
              <w:rPr>
                <w:rFonts w:hint="eastAsia" w:ascii="宋体" w:hAnsi="宋体" w:eastAsia="宋体" w:cs="宋体"/>
                <w:i w:val="0"/>
                <w:iCs w:val="0"/>
                <w:color w:val="auto"/>
                <w:sz w:val="24"/>
                <w:szCs w:val="24"/>
                <w:u w:val="none"/>
              </w:rPr>
            </w:pPr>
          </w:p>
        </w:tc>
        <w:tc>
          <w:tcPr>
            <w:tcW w:w="2314" w:type="dxa"/>
            <w:tcBorders>
              <w:top w:val="nil"/>
              <w:left w:val="nil"/>
              <w:bottom w:val="nil"/>
              <w:right w:val="nil"/>
            </w:tcBorders>
            <w:noWrap/>
            <w:vAlign w:val="center"/>
          </w:tcPr>
          <w:p w14:paraId="60978CED">
            <w:pPr>
              <w:keepNext w:val="0"/>
              <w:keepLines w:val="0"/>
              <w:pageBreakBefore w:val="0"/>
              <w:kinsoku/>
              <w:wordWrap/>
              <w:overflowPunct/>
              <w:topLinePunct w:val="0"/>
              <w:autoSpaceDE/>
              <w:autoSpaceDN/>
              <w:bidi w:val="0"/>
              <w:adjustRightInd/>
              <w:snapToGrid/>
              <w:spacing w:line="360" w:lineRule="auto"/>
              <w:ind w:left="0" w:leftChars="0" w:firstLine="0" w:firstLineChars="0"/>
              <w:rPr>
                <w:rFonts w:hint="eastAsia" w:ascii="宋体" w:hAnsi="宋体" w:eastAsia="宋体" w:cs="宋体"/>
                <w:i w:val="0"/>
                <w:iCs w:val="0"/>
                <w:color w:val="auto"/>
                <w:sz w:val="24"/>
                <w:szCs w:val="24"/>
                <w:u w:val="none"/>
              </w:rPr>
            </w:pPr>
          </w:p>
        </w:tc>
        <w:tc>
          <w:tcPr>
            <w:tcW w:w="3094" w:type="dxa"/>
            <w:tcBorders>
              <w:top w:val="nil"/>
              <w:left w:val="nil"/>
              <w:bottom w:val="nil"/>
              <w:right w:val="nil"/>
            </w:tcBorders>
            <w:noWrap/>
            <w:vAlign w:val="center"/>
          </w:tcPr>
          <w:p w14:paraId="78D7C8BB">
            <w:pPr>
              <w:keepNext w:val="0"/>
              <w:keepLines w:val="0"/>
              <w:pageBreakBefore w:val="0"/>
              <w:kinsoku/>
              <w:wordWrap/>
              <w:overflowPunct/>
              <w:topLinePunct w:val="0"/>
              <w:autoSpaceDE/>
              <w:autoSpaceDN/>
              <w:bidi w:val="0"/>
              <w:adjustRightInd/>
              <w:snapToGrid/>
              <w:spacing w:line="360" w:lineRule="auto"/>
              <w:ind w:left="0" w:leftChars="0" w:firstLine="0" w:firstLineChars="0"/>
              <w:rPr>
                <w:rFonts w:hint="eastAsia" w:ascii="宋体" w:hAnsi="宋体" w:eastAsia="宋体" w:cs="宋体"/>
                <w:i w:val="0"/>
                <w:iCs w:val="0"/>
                <w:color w:val="auto"/>
                <w:sz w:val="24"/>
                <w:szCs w:val="24"/>
                <w:u w:val="none"/>
              </w:rPr>
            </w:pPr>
          </w:p>
        </w:tc>
        <w:tc>
          <w:tcPr>
            <w:tcW w:w="1686" w:type="dxa"/>
            <w:tcBorders>
              <w:top w:val="nil"/>
              <w:left w:val="nil"/>
              <w:bottom w:val="nil"/>
              <w:right w:val="nil"/>
            </w:tcBorders>
            <w:noWrap/>
            <w:vAlign w:val="center"/>
          </w:tcPr>
          <w:p w14:paraId="70FFA297">
            <w:pPr>
              <w:keepNext w:val="0"/>
              <w:keepLines w:val="0"/>
              <w:pageBreakBefore w:val="0"/>
              <w:kinsoku/>
              <w:wordWrap/>
              <w:overflowPunct/>
              <w:topLinePunct w:val="0"/>
              <w:autoSpaceDE/>
              <w:autoSpaceDN/>
              <w:bidi w:val="0"/>
              <w:adjustRightInd/>
              <w:snapToGrid/>
              <w:spacing w:line="360" w:lineRule="auto"/>
              <w:ind w:left="0" w:leftChars="0" w:firstLine="0" w:firstLineChars="0"/>
              <w:rPr>
                <w:rFonts w:hint="eastAsia" w:ascii="宋体" w:hAnsi="宋体" w:eastAsia="宋体" w:cs="宋体"/>
                <w:i w:val="0"/>
                <w:iCs w:val="0"/>
                <w:color w:val="auto"/>
                <w:sz w:val="24"/>
                <w:szCs w:val="24"/>
                <w:u w:val="none"/>
              </w:rPr>
            </w:pPr>
          </w:p>
        </w:tc>
      </w:tr>
      <w:tr w14:paraId="4470E7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2F19F7E1">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color w:val="auto"/>
                <w:sz w:val="32"/>
                <w:szCs w:val="32"/>
                <w:highlight w:val="none"/>
                <w:lang w:val="en-US" w:eastAsia="zh-CN"/>
              </w:rPr>
              <w:t>洛浦县多鲁乡-拜什托格拉克乡农村道路改建工程</w:t>
            </w:r>
            <w:r>
              <w:rPr>
                <w:rFonts w:hint="eastAsia" w:ascii="宋体" w:hAnsi="宋体" w:eastAsia="宋体" w:cs="宋体"/>
                <w:b/>
                <w:bCs/>
                <w:i w:val="0"/>
                <w:iCs w:val="0"/>
                <w:color w:val="auto"/>
                <w:kern w:val="0"/>
                <w:sz w:val="32"/>
                <w:szCs w:val="32"/>
                <w:u w:val="none"/>
                <w:lang w:val="en-US" w:eastAsia="zh-CN"/>
              </w:rPr>
              <w:t>项目综合得分表</w:t>
            </w:r>
          </w:p>
        </w:tc>
      </w:tr>
      <w:tr w14:paraId="2A149B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1095464">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A024A9D">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EA50A5C">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DB46660">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项目产出</w:t>
            </w:r>
          </w:p>
        </w:tc>
        <w:tc>
          <w:tcPr>
            <w:tcW w:w="309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E030AEB">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项目效益</w:t>
            </w:r>
          </w:p>
        </w:tc>
        <w:tc>
          <w:tcPr>
            <w:tcW w:w="16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2651E70">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合计</w:t>
            </w:r>
          </w:p>
        </w:tc>
      </w:tr>
      <w:tr w14:paraId="4D232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999987E">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798E2CCA">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480" w:firstLineChars="200"/>
              <w:jc w:val="both"/>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017D457D">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960" w:firstLineChars="400"/>
              <w:jc w:val="both"/>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34308A89">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40.00</w:t>
            </w:r>
          </w:p>
        </w:tc>
        <w:tc>
          <w:tcPr>
            <w:tcW w:w="3094" w:type="dxa"/>
            <w:tcBorders>
              <w:top w:val="single" w:color="auto" w:sz="4" w:space="0"/>
              <w:left w:val="single" w:color="auto" w:sz="4" w:space="0"/>
              <w:bottom w:val="single" w:color="auto" w:sz="4" w:space="0"/>
              <w:right w:val="single" w:color="auto" w:sz="4" w:space="0"/>
            </w:tcBorders>
            <w:noWrap w:val="0"/>
            <w:vAlign w:val="center"/>
          </w:tcPr>
          <w:p w14:paraId="08F99561">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25.00</w:t>
            </w:r>
          </w:p>
        </w:tc>
        <w:tc>
          <w:tcPr>
            <w:tcW w:w="1686" w:type="dxa"/>
            <w:tcBorders>
              <w:top w:val="single" w:color="auto" w:sz="4" w:space="0"/>
              <w:left w:val="single" w:color="auto" w:sz="4" w:space="0"/>
              <w:bottom w:val="single" w:color="auto" w:sz="4" w:space="0"/>
              <w:right w:val="single" w:color="auto" w:sz="4" w:space="0"/>
            </w:tcBorders>
            <w:noWrap w:val="0"/>
            <w:vAlign w:val="center"/>
          </w:tcPr>
          <w:p w14:paraId="4AA8DA67">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 xml:space="preserve">100.00 </w:t>
            </w:r>
          </w:p>
        </w:tc>
      </w:tr>
      <w:tr w14:paraId="1B3DD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1EEA26A">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B348B6D">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480" w:firstLineChars="200"/>
              <w:jc w:val="both"/>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F3AF428">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960" w:firstLineChars="400"/>
              <w:jc w:val="both"/>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11.98</w:t>
            </w:r>
          </w:p>
        </w:tc>
        <w:tc>
          <w:tcPr>
            <w:tcW w:w="23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93ADFF9">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40.00</w:t>
            </w:r>
          </w:p>
        </w:tc>
        <w:tc>
          <w:tcPr>
            <w:tcW w:w="309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6C40836">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25.00</w:t>
            </w:r>
          </w:p>
        </w:tc>
        <w:tc>
          <w:tcPr>
            <w:tcW w:w="1686" w:type="dxa"/>
            <w:tcBorders>
              <w:top w:val="single" w:color="auto" w:sz="4" w:space="0"/>
              <w:left w:val="single" w:color="auto" w:sz="4" w:space="0"/>
              <w:bottom w:val="single" w:color="auto" w:sz="4" w:space="0"/>
              <w:right w:val="single" w:color="auto" w:sz="4" w:space="0"/>
            </w:tcBorders>
            <w:noWrap w:val="0"/>
            <w:vAlign w:val="center"/>
          </w:tcPr>
          <w:p w14:paraId="581D53DD">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99.98</w:t>
            </w:r>
          </w:p>
        </w:tc>
      </w:tr>
      <w:tr w14:paraId="5061A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9AC36F9">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3CC38721">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7D0152DA">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99.83%</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343E2DD9">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c>
          <w:tcPr>
            <w:tcW w:w="3094" w:type="dxa"/>
            <w:tcBorders>
              <w:top w:val="single" w:color="auto" w:sz="4" w:space="0"/>
              <w:left w:val="single" w:color="auto" w:sz="4" w:space="0"/>
              <w:bottom w:val="single" w:color="auto" w:sz="4" w:space="0"/>
              <w:right w:val="single" w:color="auto" w:sz="4" w:space="0"/>
            </w:tcBorders>
            <w:noWrap w:val="0"/>
            <w:vAlign w:val="center"/>
          </w:tcPr>
          <w:p w14:paraId="14AD6985">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c>
          <w:tcPr>
            <w:tcW w:w="1686" w:type="dxa"/>
            <w:tcBorders>
              <w:top w:val="single" w:color="auto" w:sz="4" w:space="0"/>
              <w:left w:val="single" w:color="auto" w:sz="4" w:space="0"/>
              <w:bottom w:val="single" w:color="auto" w:sz="4" w:space="0"/>
              <w:right w:val="single" w:color="auto" w:sz="4" w:space="0"/>
            </w:tcBorders>
            <w:noWrap w:val="0"/>
            <w:vAlign w:val="center"/>
          </w:tcPr>
          <w:p w14:paraId="3E3FF72B">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99.98%</w:t>
            </w:r>
          </w:p>
        </w:tc>
      </w:tr>
    </w:tbl>
    <w:p w14:paraId="430FFE28">
      <w:pPr>
        <w:pStyle w:val="10"/>
        <w:pageBreakBefore w:val="0"/>
        <w:kinsoku/>
        <w:wordWrap/>
        <w:topLinePunct w:val="0"/>
        <w:autoSpaceDE/>
        <w:autoSpaceDN/>
        <w:bidi w:val="0"/>
        <w:adjustRightInd/>
        <w:snapToGrid/>
        <w:spacing w:before="0" w:after="0" w:line="360" w:lineRule="auto"/>
        <w:ind w:left="0" w:leftChars="0" w:firstLine="480" w:firstLineChars="200"/>
        <w:jc w:val="both"/>
        <w:rPr>
          <w:rFonts w:hint="eastAsia" w:ascii="宋体" w:hAnsi="宋体" w:eastAsia="宋体" w:cs="宋体"/>
          <w:color w:val="auto"/>
          <w:sz w:val="24"/>
          <w:szCs w:val="24"/>
          <w:lang w:val="en-US" w:eastAsia="zh-CN"/>
        </w:rPr>
      </w:pPr>
    </w:p>
    <w:p w14:paraId="10DC376A">
      <w:pPr>
        <w:pStyle w:val="10"/>
        <w:pageBreakBefore w:val="0"/>
        <w:kinsoku/>
        <w:wordWrap/>
        <w:topLinePunct w:val="0"/>
        <w:autoSpaceDE/>
        <w:autoSpaceDN/>
        <w:bidi w:val="0"/>
        <w:adjustRightInd/>
        <w:snapToGrid/>
        <w:spacing w:before="0" w:after="0" w:line="360" w:lineRule="auto"/>
        <w:ind w:left="0" w:leftChars="0" w:firstLine="480" w:firstLineChars="200"/>
        <w:jc w:val="both"/>
        <w:rPr>
          <w:rFonts w:hint="eastAsia" w:ascii="宋体" w:hAnsi="宋体" w:eastAsia="宋体" w:cs="宋体"/>
          <w:color w:val="auto"/>
          <w:sz w:val="24"/>
          <w:szCs w:val="24"/>
          <w:lang w:eastAsia="zh-CN"/>
        </w:rPr>
        <w:sectPr>
          <w:pgSz w:w="16838" w:h="11906" w:orient="landscape"/>
          <w:pgMar w:top="1531" w:right="1985" w:bottom="1531" w:left="1701" w:header="851" w:footer="992" w:gutter="0"/>
          <w:pgNumType w:start="1"/>
          <w:cols w:space="720" w:num="1"/>
          <w:docGrid w:type="linesAndChars" w:linePitch="386" w:charSpace="0"/>
        </w:sectPr>
      </w:pPr>
    </w:p>
    <w:p w14:paraId="657B3B79">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附件3：</w:t>
      </w:r>
    </w:p>
    <w:p w14:paraId="6524F76E">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center"/>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洛浦县多鲁乡-拜什托格拉克乡农村道路改建工程项目</w:t>
      </w:r>
    </w:p>
    <w:p w14:paraId="463A5EC9">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center"/>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满意度调查问卷分析报告</w:t>
      </w:r>
    </w:p>
    <w:p w14:paraId="1B4EABD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center"/>
        <w:textAlignment w:val="auto"/>
        <w:rPr>
          <w:rFonts w:hint="eastAsia" w:ascii="宋体" w:hAnsi="宋体" w:eastAsia="宋体" w:cs="宋体"/>
          <w:b/>
          <w:bCs/>
          <w:color w:val="auto"/>
          <w:sz w:val="24"/>
          <w:szCs w:val="24"/>
          <w:highlight w:val="none"/>
        </w:rPr>
      </w:pPr>
    </w:p>
    <w:p w14:paraId="4BFF8522">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为客观评价该项目的社会效果，了解</w:t>
      </w:r>
      <w:r>
        <w:rPr>
          <w:rFonts w:hint="eastAsia" w:ascii="宋体" w:hAnsi="宋体" w:eastAsia="宋体" w:cs="宋体"/>
          <w:color w:val="000000"/>
          <w:sz w:val="24"/>
          <w:szCs w:val="24"/>
          <w:highlight w:val="none"/>
          <w:lang w:val="en-US" w:eastAsia="zh-CN"/>
        </w:rPr>
        <w:t>项目受益群体</w:t>
      </w:r>
      <w:r>
        <w:rPr>
          <w:rFonts w:hint="eastAsia" w:ascii="宋体" w:hAnsi="宋体" w:eastAsia="宋体" w:cs="宋体"/>
          <w:color w:val="000000"/>
          <w:sz w:val="24"/>
          <w:szCs w:val="24"/>
          <w:highlight w:val="none"/>
        </w:rPr>
        <w:t>对项目</w:t>
      </w:r>
      <w:r>
        <w:rPr>
          <w:rFonts w:hint="eastAsia" w:ascii="宋体" w:hAnsi="宋体" w:eastAsia="宋体" w:cs="宋体"/>
          <w:color w:val="000000"/>
          <w:sz w:val="24"/>
          <w:szCs w:val="24"/>
          <w:highlight w:val="none"/>
          <w:lang w:val="en-US" w:eastAsia="zh-CN"/>
        </w:rPr>
        <w:t>实施后</w:t>
      </w:r>
      <w:r>
        <w:rPr>
          <w:rFonts w:hint="eastAsia" w:ascii="宋体" w:hAnsi="宋体" w:eastAsia="宋体" w:cs="宋体"/>
          <w:color w:val="000000"/>
          <w:sz w:val="24"/>
          <w:szCs w:val="24"/>
          <w:highlight w:val="none"/>
        </w:rPr>
        <w:t>的</w:t>
      </w:r>
      <w:r>
        <w:rPr>
          <w:rFonts w:hint="eastAsia" w:ascii="宋体" w:hAnsi="宋体" w:eastAsia="宋体" w:cs="宋体"/>
          <w:color w:val="000000"/>
          <w:sz w:val="24"/>
          <w:szCs w:val="24"/>
          <w:highlight w:val="none"/>
          <w:lang w:val="en-US" w:eastAsia="zh-CN"/>
        </w:rPr>
        <w:t>真实</w:t>
      </w:r>
      <w:r>
        <w:rPr>
          <w:rFonts w:hint="eastAsia" w:ascii="宋体" w:hAnsi="宋体" w:eastAsia="宋体" w:cs="宋体"/>
          <w:color w:val="000000"/>
          <w:sz w:val="24"/>
          <w:szCs w:val="24"/>
          <w:highlight w:val="none"/>
        </w:rPr>
        <w:t>评价情况，对本项目</w:t>
      </w:r>
      <w:r>
        <w:rPr>
          <w:rFonts w:hint="eastAsia" w:ascii="宋体" w:hAnsi="宋体" w:eastAsia="宋体" w:cs="宋体"/>
          <w:color w:val="000000"/>
          <w:sz w:val="24"/>
          <w:szCs w:val="24"/>
          <w:highlight w:val="none"/>
          <w:lang w:eastAsia="zh-CN"/>
        </w:rPr>
        <w:t>开展</w:t>
      </w:r>
      <w:r>
        <w:rPr>
          <w:rFonts w:hint="eastAsia" w:ascii="宋体" w:hAnsi="宋体" w:eastAsia="宋体" w:cs="宋体"/>
          <w:color w:val="000000"/>
          <w:sz w:val="24"/>
          <w:szCs w:val="24"/>
          <w:highlight w:val="none"/>
        </w:rPr>
        <w:t>满意度问卷调查。问卷调查工作情况如下。问卷调查工作情况如下：</w:t>
      </w:r>
    </w:p>
    <w:p w14:paraId="243F3FB0">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一、该问卷调查从2025年2月10日开始至2025年3月10日结束，调查问卷共设置3道题目。</w:t>
      </w:r>
    </w:p>
    <w:p w14:paraId="50C35B8B">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调查</w:t>
      </w:r>
      <w:r>
        <w:rPr>
          <w:rFonts w:hint="eastAsia" w:ascii="宋体" w:hAnsi="宋体" w:eastAsia="宋体" w:cs="宋体"/>
          <w:b/>
          <w:bCs/>
          <w:color w:val="auto"/>
          <w:sz w:val="24"/>
          <w:szCs w:val="24"/>
          <w:highlight w:val="none"/>
        </w:rPr>
        <w:t>对象</w:t>
      </w:r>
    </w:p>
    <w:p w14:paraId="7841B377">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本次</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的受益对象为</w:t>
      </w:r>
      <w:r>
        <w:rPr>
          <w:rFonts w:hint="eastAsia" w:ascii="宋体" w:hAnsi="宋体" w:eastAsia="宋体" w:cs="宋体"/>
          <w:color w:val="000000"/>
          <w:sz w:val="24"/>
          <w:szCs w:val="24"/>
          <w:highlight w:val="none"/>
          <w:lang w:val="en-US" w:eastAsia="zh-CN"/>
        </w:rPr>
        <w:t>改善通行服务水平群众</w:t>
      </w:r>
      <w:r>
        <w:rPr>
          <w:rFonts w:hint="eastAsia" w:ascii="宋体" w:hAnsi="宋体" w:eastAsia="宋体" w:cs="宋体"/>
          <w:color w:val="000000"/>
          <w:sz w:val="24"/>
          <w:szCs w:val="24"/>
          <w:highlight w:val="none"/>
        </w:rPr>
        <w:t>。</w:t>
      </w:r>
    </w:p>
    <w:p w14:paraId="71F51B40">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2.</w:t>
      </w:r>
      <w:r>
        <w:rPr>
          <w:rFonts w:hint="eastAsia" w:ascii="宋体" w:hAnsi="宋体" w:eastAsia="宋体" w:cs="宋体"/>
          <w:b/>
          <w:bCs/>
          <w:color w:val="auto"/>
          <w:sz w:val="24"/>
          <w:szCs w:val="24"/>
          <w:highlight w:val="none"/>
          <w:lang w:eastAsia="zh-CN"/>
        </w:rPr>
        <w:t>调查</w:t>
      </w:r>
      <w:r>
        <w:rPr>
          <w:rFonts w:hint="eastAsia" w:ascii="宋体" w:hAnsi="宋体" w:eastAsia="宋体" w:cs="宋体"/>
          <w:b/>
          <w:bCs/>
          <w:color w:val="auto"/>
          <w:sz w:val="24"/>
          <w:szCs w:val="24"/>
          <w:highlight w:val="none"/>
        </w:rPr>
        <w:t>内容</w:t>
      </w:r>
    </w:p>
    <w:p w14:paraId="2FF2B4D8">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①您觉得洛浦县多鲁乡-拜什托格拉克乡农村道路改建工程项目建设完成后给您日常出行带来了哪些便利?</w:t>
      </w:r>
    </w:p>
    <w:p w14:paraId="4466DE64">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路修好后，平坦宽敞，不管是骑车还是做公交车都很方便，又节省时间。周边的交通安全状况也有了非常明显的改善，为村里群众日常出行提供了便利条件，使群众真正受益。</w:t>
      </w:r>
    </w:p>
    <w:p w14:paraId="0B04F56B">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②您觉得洛浦县多鲁乡-拜什托格拉克乡农村道路改建工程项目的建设能否有效提升基本公共服务水平及公路安全水平？</w:t>
      </w:r>
    </w:p>
    <w:p w14:paraId="72D0A57B">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项目建成后，能有效提升当地的基本公共服务水平及公路安全水平，使群众出行更加便捷。</w:t>
      </w:r>
    </w:p>
    <w:p w14:paraId="68B164AA">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③总的来说，您对目前洛浦县多鲁乡-拜什托格拉克乡农村道路改建工程项目实施后的整体满意程度如何？</w:t>
      </w:r>
    </w:p>
    <w:p w14:paraId="57BB3EC7">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调查</w:t>
      </w:r>
      <w:r>
        <w:rPr>
          <w:rFonts w:hint="eastAsia" w:ascii="宋体" w:hAnsi="宋体" w:eastAsia="宋体" w:cs="宋体"/>
          <w:b/>
          <w:bCs/>
          <w:color w:val="auto"/>
          <w:sz w:val="24"/>
          <w:szCs w:val="24"/>
          <w:highlight w:val="none"/>
        </w:rPr>
        <w:t>方法</w:t>
      </w:r>
    </w:p>
    <w:p w14:paraId="0F557685">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问卷调查采取</w:t>
      </w:r>
      <w:r>
        <w:rPr>
          <w:rFonts w:hint="eastAsia" w:ascii="宋体" w:hAnsi="宋体" w:eastAsia="宋体" w:cs="宋体"/>
          <w:color w:val="000000"/>
          <w:sz w:val="24"/>
          <w:szCs w:val="24"/>
          <w:highlight w:val="none"/>
          <w:lang w:val="en-US" w:eastAsia="zh-CN"/>
        </w:rPr>
        <w:t>分层</w:t>
      </w:r>
      <w:r>
        <w:rPr>
          <w:rFonts w:hint="eastAsia" w:ascii="宋体" w:hAnsi="宋体" w:eastAsia="宋体" w:cs="宋体"/>
          <w:color w:val="000000"/>
          <w:sz w:val="24"/>
          <w:szCs w:val="24"/>
          <w:highlight w:val="none"/>
        </w:rPr>
        <w:t>抽</w:t>
      </w:r>
      <w:r>
        <w:rPr>
          <w:rFonts w:hint="eastAsia" w:ascii="宋体" w:hAnsi="宋体" w:eastAsia="宋体" w:cs="宋体"/>
          <w:color w:val="000000"/>
          <w:sz w:val="24"/>
          <w:szCs w:val="24"/>
          <w:highlight w:val="none"/>
          <w:lang w:val="en-US" w:eastAsia="zh-CN"/>
        </w:rPr>
        <w:t>样和随机抽样相结合的方式进行。在全面调查开展之前会先进行论证，依据论证结果对问卷和抽样方案再进行一次修改和调整之后再付诸实施。</w:t>
      </w:r>
    </w:p>
    <w:p w14:paraId="0722423E">
      <w:pPr>
        <w:pStyle w:val="10"/>
        <w:keepNext w:val="0"/>
        <w:keepLines w:val="0"/>
        <w:pageBreakBefore w:val="0"/>
        <w:widowControl w:val="0"/>
        <w:kinsoku/>
        <w:wordWrap/>
        <w:overflowPunct/>
        <w:topLinePunct w:val="0"/>
        <w:autoSpaceDE/>
        <w:autoSpaceDN/>
        <w:bidi w:val="0"/>
        <w:snapToGrid w:val="0"/>
        <w:spacing w:before="0" w:after="0" w:line="360" w:lineRule="auto"/>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抽样方式</w:t>
      </w:r>
    </w:p>
    <w:p w14:paraId="01F8F6DF">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为确保问卷调查的全面性和代表性，本次调查问卷调查采取随机抽样和分层抽样相结合方式进行。</w:t>
      </w:r>
    </w:p>
    <w:p w14:paraId="4913739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5.问卷的发放和回收</w:t>
      </w:r>
    </w:p>
    <w:p w14:paraId="237E7A07">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为了给调查对象营造良好的作答环境，保证调查的科学性和严谨性，由我单位工作人员在线下发放问卷，邀请相应的调查对象填写问卷。到目前为止共回收问卷30份，其中有效问卷30份，有效问卷回收率为100%。</w:t>
      </w:r>
    </w:p>
    <w:p w14:paraId="435B031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6.问卷调查分析结果</w:t>
      </w:r>
    </w:p>
    <w:p w14:paraId="0E5FF6E3">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本次调查过程中，评价小组实际发放问卷30份，回收问卷30份，问卷回收率为100.00%，有效问卷30份，有效回收率100.00%，本次调查的整体情况如下：</w:t>
      </w:r>
    </w:p>
    <w:p w14:paraId="27295A65">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第一个问题：该项统计有效问卷数量30份，选择非常满意的人数为30人。选择比较满意的人数为0人，选择一般的人数0人，选择不满意的人数0人，选择非常不满意的人数0人。</w:t>
      </w:r>
    </w:p>
    <w:p w14:paraId="47551225">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第二个问题：该项统计有效问卷数量30份，选择非常满意的人数为30人。选择比较满意的人数为0人，选择一般的人数0人，选择不满意的人数0人，选择非常不满意的人数0人。</w:t>
      </w:r>
    </w:p>
    <w:p w14:paraId="1F5615E4">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第三个问题：该项统计有效问卷数量30份，选择非常满意的人数为30人。选择比较满意的人数为0人，选择一般的人数0人，选择不满意的人数0人，选择非常不满意的人数0人。</w:t>
      </w:r>
    </w:p>
    <w:p w14:paraId="648881A2">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二、调查结果统计</w:t>
      </w:r>
    </w:p>
    <w:p w14:paraId="1340EE4C">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洛浦县多鲁乡-拜什托格拉克乡农村道路改建工程项目针对受益人员发放30份调查问卷，最终统计受益人群满意度为100%。</w:t>
      </w:r>
    </w:p>
    <w:p w14:paraId="2704767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right"/>
        <w:textAlignment w:val="auto"/>
        <w:rPr>
          <w:rFonts w:hint="eastAsia" w:ascii="宋体" w:hAnsi="宋体" w:eastAsia="宋体" w:cs="宋体"/>
          <w:color w:val="auto"/>
          <w:sz w:val="24"/>
          <w:szCs w:val="24"/>
          <w:highlight w:val="none"/>
          <w:lang w:val="en-US" w:eastAsia="zh-CN"/>
        </w:rPr>
      </w:pPr>
    </w:p>
    <w:p w14:paraId="3C78005A">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洛浦县交通运输局</w:t>
      </w:r>
    </w:p>
    <w:p w14:paraId="16D75384">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2025年3月5日</w:t>
      </w:r>
    </w:p>
    <w:sectPr>
      <w:pgSz w:w="11906" w:h="16838"/>
      <w:pgMar w:top="1440" w:right="1803" w:bottom="1440" w:left="1803" w:header="851" w:footer="992" w:gutter="0"/>
      <w:pgNumType w:start="1"/>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9F6D4">
    <w:pPr>
      <w:pStyle w:val="15"/>
      <w:ind w:firstLine="360"/>
    </w:pPr>
    <w:r>
      <w:pict>
        <v:shape id="文本框 1025"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14:paraId="6CA17070">
                <w:pPr>
                  <w:pStyle w:val="15"/>
                  <w:ind w:firstLine="420"/>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13</w:t>
                </w:r>
                <w:r>
                  <w:rPr>
                    <w:sz w:val="21"/>
                    <w:szCs w:val="21"/>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38843">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7"/>
      <w:numFmt w:val="chineseCounting"/>
      <w:suff w:val="nothing"/>
      <w:lvlText w:val="%1、"/>
      <w:lvlJc w:val="left"/>
      <w:rPr>
        <w:rFonts w:hint="eastAsia"/>
      </w:rPr>
    </w:lvl>
  </w:abstractNum>
  <w:abstractNum w:abstractNumId="1">
    <w:nsid w:val="BF205925"/>
    <w:multiLevelType w:val="singleLevel"/>
    <w:tmpl w:val="BF205925"/>
    <w:lvl w:ilvl="0" w:tentative="0">
      <w:start w:val="1"/>
      <w:numFmt w:val="decimal"/>
      <w:suff w:val="nothing"/>
      <w:lvlText w:val="%1）"/>
      <w:lvlJc w:val="left"/>
    </w:lvl>
  </w:abstractNum>
  <w:abstractNum w:abstractNumId="2">
    <w:nsid w:val="CF092B84"/>
    <w:multiLevelType w:val="singleLevel"/>
    <w:tmpl w:val="CF092B84"/>
    <w:lvl w:ilvl="0" w:tentative="0">
      <w:start w:val="2"/>
      <w:numFmt w:val="decimal"/>
      <w:lvlText w:val="%1."/>
      <w:lvlJc w:val="left"/>
      <w:pPr>
        <w:tabs>
          <w:tab w:val="left" w:pos="312"/>
        </w:tabs>
      </w:pPr>
    </w:lvl>
  </w:abstractNum>
  <w:abstractNum w:abstractNumId="3">
    <w:nsid w:val="0053208E"/>
    <w:multiLevelType w:val="multilevel"/>
    <w:tmpl w:val="0053208E"/>
    <w:lvl w:ilvl="0" w:tentative="0">
      <w:start w:val="1"/>
      <w:numFmt w:val="chineseCountingThousand"/>
      <w:pStyle w:val="5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3D62ECE"/>
    <w:multiLevelType w:val="singleLevel"/>
    <w:tmpl w:val="03D62ECE"/>
    <w:lvl w:ilvl="0" w:tentative="0">
      <w:start w:val="1"/>
      <w:numFmt w:val="decimal"/>
      <w:lvlText w:val="%1."/>
      <w:lvlJc w:val="left"/>
      <w:pPr>
        <w:tabs>
          <w:tab w:val="left" w:pos="312"/>
        </w:tabs>
      </w:pPr>
    </w:lvl>
  </w:abstractNum>
  <w:abstractNum w:abstractNumId="5">
    <w:nsid w:val="59ADCABA"/>
    <w:multiLevelType w:val="singleLevel"/>
    <w:tmpl w:val="59ADCABA"/>
    <w:lvl w:ilvl="0" w:tentative="0">
      <w:start w:val="1"/>
      <w:numFmt w:val="decimal"/>
      <w:suff w:val="nothing"/>
      <w:lvlText w:val="（%1）"/>
      <w:lvlJc w:val="left"/>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36304491"/>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3">
    <w:name w:val="heading 1"/>
    <w:basedOn w:val="1"/>
    <w:next w:val="4"/>
    <w:link w:val="31"/>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6">
    <w:name w:val="heading 2"/>
    <w:basedOn w:val="1"/>
    <w:next w:val="1"/>
    <w:link w:val="34"/>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2">
    <w:name w:val="heading 3"/>
    <w:basedOn w:val="1"/>
    <w:next w:val="1"/>
    <w:link w:val="30"/>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5"/>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5">
    <w:name w:val="Default Paragraph Font"/>
    <w:unhideWhenUsed/>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4">
    <w:name w:val="Body Text First Indent 2"/>
    <w:basedOn w:val="5"/>
    <w:link w:val="33"/>
    <w:unhideWhenUsed/>
    <w:uiPriority w:val="0"/>
    <w:pPr>
      <w:ind w:firstLine="420"/>
    </w:pPr>
  </w:style>
  <w:style w:type="paragraph" w:styleId="5">
    <w:name w:val="Body Text Indent"/>
    <w:basedOn w:val="1"/>
    <w:link w:val="32"/>
    <w:unhideWhenUsed/>
    <w:uiPriority w:val="99"/>
    <w:pPr>
      <w:spacing w:after="120"/>
      <w:ind w:left="420" w:leftChars="200"/>
    </w:pPr>
    <w:rPr>
      <w:rFonts w:cs="Times New Roman"/>
      <w:kern w:val="0"/>
      <w:szCs w:val="20"/>
    </w:rPr>
  </w:style>
  <w:style w:type="paragraph" w:styleId="8">
    <w:name w:val="toc 7"/>
    <w:basedOn w:val="1"/>
    <w:next w:val="1"/>
    <w:unhideWhenUsed/>
    <w:uiPriority w:val="39"/>
    <w:pPr>
      <w:ind w:left="1680"/>
      <w:jc w:val="left"/>
    </w:pPr>
    <w:rPr>
      <w:rFonts w:ascii="Calibri" w:hAnsi="Calibri" w:cs="Calibri"/>
      <w:sz w:val="18"/>
      <w:szCs w:val="18"/>
    </w:rPr>
  </w:style>
  <w:style w:type="paragraph" w:styleId="9">
    <w:name w:val="Document Map"/>
    <w:basedOn w:val="1"/>
    <w:link w:val="36"/>
    <w:unhideWhenUsed/>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uiPriority w:val="39"/>
    <w:pPr>
      <w:ind w:left="1120"/>
      <w:jc w:val="left"/>
    </w:pPr>
    <w:rPr>
      <w:rFonts w:ascii="Calibri" w:hAnsi="Calibri" w:cs="Calibri"/>
      <w:sz w:val="18"/>
      <w:szCs w:val="18"/>
    </w:rPr>
  </w:style>
  <w:style w:type="paragraph" w:styleId="12">
    <w:name w:val="toc 3"/>
    <w:basedOn w:val="1"/>
    <w:next w:val="1"/>
    <w:unhideWhenUsed/>
    <w:uiPriority w:val="39"/>
    <w:pPr>
      <w:ind w:left="560"/>
      <w:jc w:val="left"/>
    </w:pPr>
    <w:rPr>
      <w:rFonts w:ascii="Calibri" w:hAnsi="Calibri" w:cs="Calibri"/>
      <w:i/>
      <w:iCs/>
      <w:sz w:val="20"/>
      <w:szCs w:val="20"/>
    </w:rPr>
  </w:style>
  <w:style w:type="paragraph" w:styleId="13">
    <w:name w:val="toc 8"/>
    <w:basedOn w:val="1"/>
    <w:next w:val="1"/>
    <w:unhideWhenUsed/>
    <w:uiPriority w:val="39"/>
    <w:pPr>
      <w:ind w:left="1960"/>
      <w:jc w:val="left"/>
    </w:pPr>
    <w:rPr>
      <w:rFonts w:ascii="Calibri" w:hAnsi="Calibri" w:cs="Calibri"/>
      <w:sz w:val="18"/>
      <w:szCs w:val="18"/>
    </w:rPr>
  </w:style>
  <w:style w:type="paragraph" w:styleId="14">
    <w:name w:val="Balloon Text"/>
    <w:basedOn w:val="1"/>
    <w:link w:val="38"/>
    <w:unhideWhenUsed/>
    <w:uiPriority w:val="99"/>
    <w:rPr>
      <w:rFonts w:cs="Times New Roman"/>
      <w:kern w:val="0"/>
      <w:sz w:val="18"/>
      <w:szCs w:val="18"/>
    </w:rPr>
  </w:style>
  <w:style w:type="paragraph" w:styleId="15">
    <w:name w:val="footer"/>
    <w:basedOn w:val="1"/>
    <w:link w:val="39"/>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0"/>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uiPriority w:val="39"/>
    <w:pPr>
      <w:spacing w:before="120" w:after="120"/>
      <w:jc w:val="left"/>
    </w:pPr>
    <w:rPr>
      <w:rFonts w:ascii="Calibri" w:hAnsi="Calibri" w:cs="Calibri"/>
      <w:b/>
      <w:bCs/>
      <w:caps/>
      <w:sz w:val="20"/>
      <w:szCs w:val="20"/>
    </w:rPr>
  </w:style>
  <w:style w:type="paragraph" w:styleId="18">
    <w:name w:val="toc 4"/>
    <w:basedOn w:val="1"/>
    <w:next w:val="1"/>
    <w:unhideWhenUsed/>
    <w:uiPriority w:val="39"/>
    <w:pPr>
      <w:ind w:left="840"/>
      <w:jc w:val="left"/>
    </w:pPr>
    <w:rPr>
      <w:rFonts w:ascii="Calibri" w:hAnsi="Calibri" w:cs="Calibri"/>
      <w:sz w:val="18"/>
      <w:szCs w:val="18"/>
    </w:rPr>
  </w:style>
  <w:style w:type="paragraph" w:styleId="19">
    <w:name w:val="toc 6"/>
    <w:basedOn w:val="1"/>
    <w:next w:val="1"/>
    <w:unhideWhenUsed/>
    <w:uiPriority w:val="39"/>
    <w:pPr>
      <w:ind w:left="1400"/>
      <w:jc w:val="left"/>
    </w:pPr>
    <w:rPr>
      <w:rFonts w:ascii="Calibri" w:hAnsi="Calibri" w:cs="Calibri"/>
      <w:sz w:val="18"/>
      <w:szCs w:val="18"/>
    </w:rPr>
  </w:style>
  <w:style w:type="paragraph" w:styleId="20">
    <w:name w:val="toc 2"/>
    <w:basedOn w:val="1"/>
    <w:next w:val="1"/>
    <w:unhideWhenUsed/>
    <w:uiPriority w:val="39"/>
    <w:pPr>
      <w:ind w:left="280"/>
      <w:jc w:val="left"/>
    </w:pPr>
    <w:rPr>
      <w:rFonts w:ascii="Calibri" w:hAnsi="Calibri" w:cs="Calibri"/>
      <w:smallCaps/>
      <w:sz w:val="20"/>
      <w:szCs w:val="20"/>
    </w:rPr>
  </w:style>
  <w:style w:type="paragraph" w:styleId="21">
    <w:name w:val="toc 9"/>
    <w:basedOn w:val="1"/>
    <w:next w:val="1"/>
    <w:unhideWhenUsed/>
    <w:uiPriority w:val="39"/>
    <w:pPr>
      <w:ind w:left="2240"/>
      <w:jc w:val="left"/>
    </w:pPr>
    <w:rPr>
      <w:rFonts w:ascii="Calibri" w:hAnsi="Calibri" w:cs="Calibri"/>
      <w:sz w:val="18"/>
      <w:szCs w:val="18"/>
    </w:rPr>
  </w:style>
  <w:style w:type="paragraph" w:styleId="22">
    <w:name w:val="Title"/>
    <w:basedOn w:val="1"/>
    <w:next w:val="1"/>
    <w:link w:val="41"/>
    <w:qFormat/>
    <w:uiPriority w:val="10"/>
    <w:pPr>
      <w:spacing w:before="240" w:after="60"/>
      <w:jc w:val="center"/>
      <w:outlineLvl w:val="0"/>
    </w:pPr>
    <w:rPr>
      <w:rFonts w:ascii="Cambria" w:hAnsi="Cambria" w:eastAsia="宋体" w:cs="Times New Roman"/>
      <w:b/>
      <w:bCs/>
      <w:sz w:val="32"/>
      <w:szCs w:val="32"/>
    </w:rPr>
  </w:style>
  <w:style w:type="table" w:styleId="24">
    <w:name w:val="Table Grid"/>
    <w:basedOn w:val="2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unhideWhenUsed/>
    <w:uiPriority w:val="99"/>
    <w:rPr>
      <w:color w:val="0000FF"/>
      <w:u w:val="single"/>
    </w:rPr>
  </w:style>
  <w:style w:type="paragraph" w:customStyle="1" w:styleId="27">
    <w:name w:val="Comment Text"/>
    <w:basedOn w:val="1"/>
    <w:link w:val="37"/>
    <w:unhideWhenUsed/>
    <w:uiPriority w:val="99"/>
    <w:rPr>
      <w:rFonts w:cs="Times New Roman"/>
      <w:kern w:val="0"/>
      <w:sz w:val="20"/>
      <w:szCs w:val="20"/>
    </w:rPr>
  </w:style>
  <w:style w:type="paragraph" w:customStyle="1" w:styleId="28">
    <w:name w:val="Comment Subject"/>
    <w:basedOn w:val="27"/>
    <w:next w:val="27"/>
    <w:link w:val="42"/>
    <w:unhideWhenUsed/>
    <w:uiPriority w:val="99"/>
    <w:rPr>
      <w:b/>
      <w:bCs/>
    </w:rPr>
  </w:style>
  <w:style w:type="character" w:customStyle="1" w:styleId="29">
    <w:name w:val="Comment Reference"/>
    <w:unhideWhenUsed/>
    <w:uiPriority w:val="99"/>
    <w:rPr>
      <w:sz w:val="16"/>
      <w:szCs w:val="16"/>
    </w:rPr>
  </w:style>
  <w:style w:type="character" w:customStyle="1" w:styleId="30">
    <w:name w:val="标题 3 Char"/>
    <w:link w:val="2"/>
    <w:uiPriority w:val="9"/>
    <w:rPr>
      <w:rFonts w:ascii="Calibri" w:hAnsi="Calibri" w:eastAsia="仿宋_GB2312" w:cs="黑体"/>
      <w:bCs/>
      <w:sz w:val="28"/>
      <w:szCs w:val="32"/>
    </w:rPr>
  </w:style>
  <w:style w:type="character" w:customStyle="1" w:styleId="31">
    <w:name w:val="标题 1 Char"/>
    <w:link w:val="3"/>
    <w:uiPriority w:val="9"/>
    <w:rPr>
      <w:rFonts w:ascii="Times New Roman" w:hAnsi="Times New Roman" w:eastAsia="仿宋_GB2312" w:cs="Times New Roman"/>
      <w:b/>
      <w:bCs/>
      <w:kern w:val="44"/>
      <w:sz w:val="32"/>
      <w:szCs w:val="44"/>
    </w:rPr>
  </w:style>
  <w:style w:type="character" w:customStyle="1" w:styleId="32">
    <w:name w:val="正文文本缩进 Char"/>
    <w:link w:val="5"/>
    <w:semiHidden/>
    <w:uiPriority w:val="99"/>
    <w:rPr>
      <w:rFonts w:ascii="Calibri" w:hAnsi="Calibri" w:eastAsia="仿宋_GB2312" w:cs="黑体"/>
      <w:sz w:val="28"/>
    </w:rPr>
  </w:style>
  <w:style w:type="character" w:customStyle="1" w:styleId="33">
    <w:name w:val="正文首行缩进 2 Char"/>
    <w:link w:val="4"/>
    <w:uiPriority w:val="0"/>
    <w:rPr>
      <w:rFonts w:ascii="Calibri" w:hAnsi="Calibri" w:eastAsia="仿宋_GB2312" w:cs="黑体"/>
      <w:sz w:val="28"/>
    </w:rPr>
  </w:style>
  <w:style w:type="character" w:customStyle="1" w:styleId="34">
    <w:name w:val="标题 2 Char"/>
    <w:link w:val="6"/>
    <w:uiPriority w:val="0"/>
    <w:rPr>
      <w:rFonts w:ascii="Cambria" w:hAnsi="Cambria" w:eastAsia="仿宋_GB2312" w:cs="Times New Roman"/>
      <w:b/>
      <w:bCs/>
      <w:kern w:val="0"/>
      <w:sz w:val="30"/>
      <w:szCs w:val="32"/>
    </w:rPr>
  </w:style>
  <w:style w:type="character" w:customStyle="1" w:styleId="35">
    <w:name w:val="标题 4 Char"/>
    <w:link w:val="7"/>
    <w:semiHidden/>
    <w:uiPriority w:val="9"/>
    <w:rPr>
      <w:rFonts w:ascii="Cambria" w:hAnsi="Cambria" w:eastAsia="宋体" w:cs="Times New Roman"/>
      <w:b/>
      <w:bCs/>
      <w:sz w:val="28"/>
      <w:szCs w:val="28"/>
    </w:rPr>
  </w:style>
  <w:style w:type="character" w:customStyle="1" w:styleId="36">
    <w:name w:val="文档结构图 Char"/>
    <w:link w:val="9"/>
    <w:semiHidden/>
    <w:uiPriority w:val="99"/>
    <w:rPr>
      <w:rFonts w:ascii="宋体" w:hAnsi="Calibri" w:eastAsia="宋体" w:cs="黑体"/>
      <w:sz w:val="18"/>
      <w:szCs w:val="18"/>
    </w:rPr>
  </w:style>
  <w:style w:type="character" w:customStyle="1" w:styleId="37">
    <w:name w:val="批注文字 Char"/>
    <w:link w:val="27"/>
    <w:semiHidden/>
    <w:uiPriority w:val="99"/>
    <w:rPr>
      <w:rFonts w:ascii="Calibri" w:hAnsi="Calibri" w:eastAsia="仿宋_GB2312" w:cs="黑体"/>
      <w:sz w:val="20"/>
      <w:szCs w:val="20"/>
    </w:rPr>
  </w:style>
  <w:style w:type="character" w:customStyle="1" w:styleId="38">
    <w:name w:val="批注框文本 Char"/>
    <w:link w:val="14"/>
    <w:semiHidden/>
    <w:uiPriority w:val="99"/>
    <w:rPr>
      <w:rFonts w:ascii="Calibri" w:hAnsi="Calibri" w:eastAsia="仿宋_GB2312" w:cs="黑体"/>
      <w:sz w:val="18"/>
      <w:szCs w:val="18"/>
    </w:rPr>
  </w:style>
  <w:style w:type="character" w:customStyle="1" w:styleId="39">
    <w:name w:val="页脚 Char"/>
    <w:link w:val="15"/>
    <w:uiPriority w:val="99"/>
    <w:rPr>
      <w:rFonts w:ascii="Calibri" w:hAnsi="Calibri" w:eastAsia="仿宋_GB2312" w:cs="黑体"/>
      <w:sz w:val="18"/>
      <w:szCs w:val="18"/>
    </w:rPr>
  </w:style>
  <w:style w:type="character" w:customStyle="1" w:styleId="40">
    <w:name w:val="页眉 Char"/>
    <w:link w:val="16"/>
    <w:uiPriority w:val="99"/>
    <w:rPr>
      <w:rFonts w:ascii="Calibri" w:hAnsi="Calibri" w:eastAsia="仿宋_GB2312" w:cs="黑体"/>
      <w:sz w:val="18"/>
      <w:szCs w:val="18"/>
    </w:rPr>
  </w:style>
  <w:style w:type="character" w:customStyle="1" w:styleId="41">
    <w:name w:val="标题 Char"/>
    <w:link w:val="22"/>
    <w:uiPriority w:val="10"/>
    <w:rPr>
      <w:rFonts w:ascii="Cambria" w:hAnsi="Cambria"/>
      <w:b/>
      <w:bCs/>
      <w:kern w:val="2"/>
      <w:sz w:val="32"/>
      <w:szCs w:val="32"/>
    </w:rPr>
  </w:style>
  <w:style w:type="character" w:customStyle="1" w:styleId="42">
    <w:name w:val="批注主题 Char"/>
    <w:link w:val="28"/>
    <w:semiHidden/>
    <w:uiPriority w:val="99"/>
    <w:rPr>
      <w:rFonts w:ascii="Calibri" w:hAnsi="Calibri" w:eastAsia="仿宋_GB2312" w:cs="黑体"/>
      <w:b/>
      <w:bCs/>
      <w:sz w:val="20"/>
      <w:szCs w:val="20"/>
    </w:rPr>
  </w:style>
  <w:style w:type="character" w:customStyle="1" w:styleId="43">
    <w:name w:val="闻政-正文一级标题 Char"/>
    <w:link w:val="44"/>
    <w:qFormat/>
    <w:uiPriority w:val="3"/>
    <w:rPr>
      <w:rFonts w:ascii="黑体" w:hAnsi="黑体" w:eastAsia="黑体"/>
      <w:bCs/>
      <w:sz w:val="32"/>
      <w:szCs w:val="32"/>
    </w:rPr>
  </w:style>
  <w:style w:type="paragraph" w:customStyle="1" w:styleId="44">
    <w:name w:val="闻政-正文一级标题"/>
    <w:basedOn w:val="2"/>
    <w:next w:val="45"/>
    <w:link w:val="43"/>
    <w:qFormat/>
    <w:uiPriority w:val="3"/>
    <w:pPr>
      <w:spacing w:before="120" w:after="60" w:line="500" w:lineRule="exact"/>
      <w:ind w:firstLine="0" w:firstLineChars="0"/>
      <w:outlineLvl w:val="0"/>
    </w:pPr>
    <w:rPr>
      <w:rFonts w:ascii="黑体" w:hAnsi="黑体" w:eastAsia="黑体"/>
      <w:sz w:val="32"/>
    </w:rPr>
  </w:style>
  <w:style w:type="paragraph" w:customStyle="1" w:styleId="45">
    <w:name w:val="闻政-正文段落文字"/>
    <w:basedOn w:val="1"/>
    <w:link w:val="46"/>
    <w:qFormat/>
    <w:uiPriority w:val="3"/>
    <w:pPr>
      <w:spacing w:line="500" w:lineRule="exact"/>
      <w:ind w:firstLine="200"/>
    </w:pPr>
    <w:rPr>
      <w:rFonts w:ascii="Times New Roman" w:hAnsi="Times New Roman" w:cs="Times New Roman"/>
      <w:kern w:val="0"/>
      <w:szCs w:val="28"/>
    </w:rPr>
  </w:style>
  <w:style w:type="character" w:customStyle="1" w:styleId="46">
    <w:name w:val="闻政-正文段落文字 Char"/>
    <w:link w:val="45"/>
    <w:uiPriority w:val="3"/>
    <w:rPr>
      <w:rFonts w:ascii="Times New Roman" w:hAnsi="Times New Roman" w:eastAsia="仿宋_GB2312"/>
      <w:sz w:val="28"/>
      <w:szCs w:val="28"/>
    </w:rPr>
  </w:style>
  <w:style w:type="character" w:customStyle="1" w:styleId="47">
    <w:name w:val="闻政-正文二级标题 Char"/>
    <w:link w:val="48"/>
    <w:uiPriority w:val="3"/>
    <w:rPr>
      <w:rFonts w:ascii="Times New Roman" w:hAnsi="Times New Roman" w:eastAsia="仿宋_GB2312"/>
      <w:b/>
      <w:bCs/>
      <w:sz w:val="28"/>
      <w:szCs w:val="32"/>
    </w:rPr>
  </w:style>
  <w:style w:type="paragraph" w:customStyle="1" w:styleId="48">
    <w:name w:val="闻政-正文二级标题"/>
    <w:basedOn w:val="6"/>
    <w:next w:val="45"/>
    <w:link w:val="47"/>
    <w:qFormat/>
    <w:uiPriority w:val="3"/>
    <w:pPr>
      <w:spacing w:before="120" w:after="60" w:line="500" w:lineRule="exact"/>
      <w:ind w:left="200" w:leftChars="200" w:firstLine="0" w:firstLineChars="0"/>
    </w:pPr>
    <w:rPr>
      <w:rFonts w:ascii="Times New Roman" w:hAnsi="Times New Roman"/>
      <w:sz w:val="28"/>
    </w:rPr>
  </w:style>
  <w:style w:type="character" w:customStyle="1" w:styleId="49">
    <w:name w:val="font11"/>
    <w:uiPriority w:val="0"/>
    <w:rPr>
      <w:rFonts w:hint="eastAsia" w:ascii="方正仿宋_GBK" w:hAnsi="方正仿宋_GBK" w:eastAsia="方正仿宋_GBK" w:cs="方正仿宋_GBK"/>
      <w:color w:val="000000"/>
      <w:sz w:val="24"/>
      <w:szCs w:val="24"/>
      <w:u w:val="none"/>
    </w:rPr>
  </w:style>
  <w:style w:type="character" w:customStyle="1" w:styleId="50">
    <w:name w:val="50"/>
    <w:qFormat/>
    <w:uiPriority w:val="0"/>
    <w:rPr>
      <w:b/>
      <w:bCs/>
      <w:smallCaps/>
      <w:color w:val="C0504D"/>
      <w:spacing w:val="5"/>
      <w:u w:val="single"/>
    </w:rPr>
  </w:style>
  <w:style w:type="character" w:customStyle="1" w:styleId="51">
    <w:name w:val="闻政-正文三级标题 Char"/>
    <w:link w:val="52"/>
    <w:uiPriority w:val="3"/>
    <w:rPr>
      <w:rFonts w:ascii="Times New Roman" w:hAnsi="Times New Roman" w:eastAsia="仿宋_GB2312"/>
      <w:b/>
      <w:snapToGrid w:val="0"/>
      <w:sz w:val="28"/>
      <w:szCs w:val="28"/>
    </w:rPr>
  </w:style>
  <w:style w:type="paragraph" w:customStyle="1" w:styleId="52">
    <w:name w:val="闻政-正文三级标题"/>
    <w:basedOn w:val="1"/>
    <w:next w:val="45"/>
    <w:link w:val="51"/>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3">
    <w:name w:val="font21"/>
    <w:uiPriority w:val="0"/>
    <w:rPr>
      <w:rFonts w:hint="default" w:ascii="Times New Roman" w:hAnsi="Times New Roman" w:cs="Times New Roman"/>
      <w:color w:val="000000"/>
      <w:sz w:val="24"/>
      <w:szCs w:val="24"/>
      <w:u w:val="none"/>
    </w:rPr>
  </w:style>
  <w:style w:type="character" w:customStyle="1" w:styleId="54">
    <w:name w:val="无间隔 Char"/>
    <w:link w:val="55"/>
    <w:uiPriority w:val="1"/>
    <w:rPr>
      <w:rFonts w:eastAsia="仿宋_GB2312" w:cs="黑体"/>
      <w:kern w:val="2"/>
      <w:sz w:val="28"/>
      <w:szCs w:val="22"/>
      <w:lang w:val="en-US" w:eastAsia="zh-CN" w:bidi="ar-SA"/>
    </w:rPr>
  </w:style>
  <w:style w:type="paragraph" w:styleId="55">
    <w:name w:val="No Spacing"/>
    <w:link w:val="54"/>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56">
    <w:name w:val="List Paragraph"/>
    <w:basedOn w:val="1"/>
    <w:qFormat/>
    <w:uiPriority w:val="34"/>
    <w:pPr>
      <w:ind w:firstLine="420"/>
    </w:pPr>
  </w:style>
  <w:style w:type="paragraph" w:customStyle="1" w:styleId="57">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character" w:customStyle="1" w:styleId="58">
    <w:name w:val="font71"/>
    <w:basedOn w:val="25"/>
    <w:uiPriority w:val="0"/>
    <w:rPr>
      <w:rFonts w:hint="eastAsia" w:ascii="微软雅黑" w:hAnsi="微软雅黑" w:eastAsia="微软雅黑" w:cs="微软雅黑"/>
      <w:b/>
      <w:bCs/>
      <w:color w:val="000000"/>
      <w:sz w:val="32"/>
      <w:szCs w:val="32"/>
      <w:u w:val="none"/>
    </w:rPr>
  </w:style>
  <w:style w:type="paragraph" w:customStyle="1" w:styleId="59">
    <w:name w:val="标题2"/>
    <w:basedOn w:val="6"/>
    <w:qFormat/>
    <w:uiPriority w:val="0"/>
    <w:pPr>
      <w:numPr>
        <w:ilvl w:val="0"/>
        <w:numId w:val="1"/>
      </w:numPr>
      <w:spacing w:before="120" w:after="120" w:line="500" w:lineRule="exact"/>
    </w:pPr>
    <w:rPr>
      <w:rFonts w:ascii="仿宋_GB2312" w:eastAsia="仿宋_GB2312"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7D96A8D7DE0147E48E1887B13081D7F0_13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7a4200-b5c5-409e-8dd6-1767b1fc1b53}">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29</Pages>
  <Words>10787</Words>
  <Characters>11367</Characters>
  <Lines>44</Lines>
  <Paragraphs>12</Paragraphs>
  <TotalTime>6</TotalTime>
  <ScaleCrop>false</ScaleCrop>
  <LinksUpToDate>false</LinksUpToDate>
  <CharactersWithSpaces>11419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2025-10-10T09:17:59Z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7D96A8D7DE0147E48E1887B13081D7F0_13</vt:lpwstr>
  </property>
  <property fmtid="{D5CDD505-2E9C-101B-9397-08002B2CF9AE}" pid="4" name="KSOTemplateDocerSaveRecord">
    <vt:lpwstr>eyJoZGlkIjoiZDE5MGZhMTJhZDM2OTQwYzkzYWVjM2FhZDUxN2Q0M2IiLCJ1c2VySWQiOiI2NTE5NDIwMjYifQ_x003D__x003D_</vt:lpwstr>
  </property>
</Properties>
</file>