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8363C11">
      <w:bookmarkStart w:id="30" w:name="_GoBack"/>
      <w:bookmarkEnd w:id="30"/>
    </w:p>
    <w:p w14:paraId="54917592">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30A33197">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和田地区北京工业园区区内厂房房土两税费</w:t>
      </w:r>
    </w:p>
    <w:p w14:paraId="0885BAB8">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项目支出绩效评价报告</w:t>
      </w:r>
    </w:p>
    <w:p w14:paraId="756F7CBF">
      <w:pPr>
        <w:pStyle w:val="6"/>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0A03D960">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0E0FD960">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4FF15D35">
      <w:pPr>
        <w:pStyle w:val="6"/>
        <w:rPr>
          <w:rFonts w:hint="eastAsia" w:eastAsia="方正仿宋_GBK" w:cs="方正仿宋_GBK"/>
          <w:b/>
          <w:kern w:val="0"/>
          <w:sz w:val="32"/>
          <w:szCs w:val="32"/>
          <w:lang w:bidi="en-US"/>
        </w:rPr>
      </w:pPr>
    </w:p>
    <w:p w14:paraId="7F75B257">
      <w:pPr>
        <w:rPr>
          <w:rFonts w:hint="eastAsia" w:eastAsia="方正仿宋_GBK" w:cs="方正仿宋_GBK"/>
          <w:b/>
          <w:kern w:val="0"/>
          <w:sz w:val="32"/>
          <w:szCs w:val="32"/>
          <w:lang w:bidi="en-US"/>
        </w:rPr>
      </w:pPr>
    </w:p>
    <w:p w14:paraId="2F538C53">
      <w:pPr>
        <w:pStyle w:val="6"/>
        <w:rPr>
          <w:rFonts w:hint="eastAsia"/>
        </w:rPr>
      </w:pPr>
    </w:p>
    <w:p w14:paraId="6571C2F0">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3922CC9E">
      <w:pPr>
        <w:pageBreakBefore w:val="0"/>
        <w:widowControl w:val="0"/>
        <w:kinsoku/>
        <w:wordWrap/>
        <w:topLinePunct w:val="0"/>
        <w:autoSpaceDE/>
        <w:autoSpaceDN/>
        <w:bidi w:val="0"/>
        <w:spacing w:line="560" w:lineRule="exact"/>
        <w:ind w:left="0" w:leftChars="0" w:firstLine="560"/>
        <w:textAlignment w:val="auto"/>
        <w:rPr>
          <w:rFonts w:hint="eastAsia"/>
        </w:rPr>
      </w:pPr>
    </w:p>
    <w:p w14:paraId="6EB9CFCE">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6DFF5507">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项目名称：工业园区区内厂房房土两税费项目</w:t>
      </w:r>
    </w:p>
    <w:p w14:paraId="0EAD8FF0">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和田地区北京工业园区管理委员会会</w:t>
      </w:r>
    </w:p>
    <w:p w14:paraId="58D42F5F">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洛浦县人民政府</w:t>
      </w:r>
    </w:p>
    <w:p w14:paraId="207B1DF0">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项目负责人：马旺江</w:t>
      </w:r>
    </w:p>
    <w:p w14:paraId="10085925">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12</w:t>
      </w:r>
      <w:r>
        <w:rPr>
          <w:rFonts w:hint="eastAsia" w:ascii="宋体" w:hAnsi="宋体" w:eastAsia="宋体" w:cs="宋体"/>
          <w:b/>
          <w:bCs/>
          <w:color w:val="000000"/>
          <w:kern w:val="0"/>
          <w:sz w:val="28"/>
          <w:szCs w:val="28"/>
          <w:highlight w:val="none"/>
          <w:lang w:bidi="en-US"/>
        </w:rPr>
        <w:t>日</w:t>
      </w:r>
    </w:p>
    <w:p w14:paraId="185EE176">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4BAD0D71">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b/>
          <w:bCs/>
          <w:color w:val="000000"/>
          <w:sz w:val="24"/>
          <w:szCs w:val="24"/>
          <w:highlight w:val="none"/>
          <w:lang w:val="en-US" w:eastAsia="zh-CN"/>
        </w:rPr>
      </w:pPr>
      <w:bookmarkStart w:id="0" w:name="_Toc68364657"/>
      <w:r>
        <w:rPr>
          <w:rFonts w:hint="eastAsia" w:ascii="黑体" w:hAnsi="黑体" w:eastAsia="黑体" w:cs="黑体"/>
          <w:b/>
          <w:bCs/>
          <w:color w:val="000000"/>
          <w:sz w:val="24"/>
          <w:szCs w:val="24"/>
          <w:highlight w:val="none"/>
          <w:lang w:val="en-US" w:eastAsia="zh-CN"/>
        </w:rPr>
        <w:t>一、基本情况</w:t>
      </w:r>
      <w:bookmarkEnd w:id="0"/>
    </w:p>
    <w:p w14:paraId="2C13DAE3">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b/>
          <w:bCs/>
          <w:color w:val="000000"/>
          <w:sz w:val="24"/>
          <w:szCs w:val="24"/>
          <w:highlight w:val="none"/>
          <w:lang w:val="en-US" w:eastAsia="zh-CN"/>
        </w:rPr>
      </w:pPr>
      <w:bookmarkStart w:id="1" w:name="_Toc68364658"/>
      <w:r>
        <w:rPr>
          <w:rFonts w:hint="eastAsia" w:ascii="黑体" w:hAnsi="黑体" w:eastAsia="黑体" w:cs="黑体"/>
          <w:b/>
          <w:bCs/>
          <w:color w:val="000000"/>
          <w:sz w:val="24"/>
          <w:szCs w:val="24"/>
          <w:highlight w:val="none"/>
          <w:lang w:val="en-US" w:eastAsia="zh-CN"/>
        </w:rPr>
        <w:t>（一）项目概况</w:t>
      </w:r>
      <w:bookmarkEnd w:id="1"/>
    </w:p>
    <w:p w14:paraId="34680A39">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z w:val="24"/>
          <w:szCs w:val="24"/>
          <w:highlight w:val="none"/>
          <w:lang w:val="en-US" w:eastAsia="zh-CN"/>
        </w:rPr>
        <w:t>1.</w:t>
      </w:r>
      <w:bookmarkStart w:id="2" w:name="OLE_LINK1"/>
      <w:r>
        <w:rPr>
          <w:rFonts w:hint="eastAsia" w:ascii="黑体" w:hAnsi="黑体" w:eastAsia="黑体" w:cs="黑体"/>
          <w:b/>
          <w:bCs/>
          <w:color w:val="000000"/>
          <w:sz w:val="24"/>
          <w:szCs w:val="24"/>
          <w:highlight w:val="none"/>
          <w:lang w:val="en-US" w:eastAsia="zh-CN"/>
        </w:rPr>
        <w:t>项目背景</w:t>
      </w:r>
      <w:bookmarkEnd w:id="2"/>
    </w:p>
    <w:p w14:paraId="1A99B18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bookmarkStart w:id="3" w:name="OLE_LINK3"/>
      <w:r>
        <w:rPr>
          <w:rFonts w:hint="default" w:ascii="宋体" w:hAnsi="宋体" w:eastAsia="宋体" w:cs="宋体"/>
          <w:sz w:val="24"/>
          <w:szCs w:val="24"/>
          <w:highlight w:val="none"/>
          <w:lang w:val="en-US" w:eastAsia="zh-CN"/>
        </w:rPr>
        <w:t>工业园区</w:t>
      </w:r>
      <w:bookmarkEnd w:id="3"/>
      <w:r>
        <w:rPr>
          <w:rFonts w:hint="default" w:ascii="宋体" w:hAnsi="宋体" w:eastAsia="宋体" w:cs="宋体"/>
          <w:sz w:val="24"/>
          <w:szCs w:val="24"/>
          <w:highlight w:val="none"/>
          <w:lang w:val="en-US" w:eastAsia="zh-CN"/>
        </w:rPr>
        <w:t>作为县域经济发展的重要引擎，在推动产业集聚、拉动就业、促进经济增长等方面发挥着关键作用。其区内厂房涉及的房土两税费项目，意义重大。​</w:t>
      </w:r>
    </w:p>
    <w:p w14:paraId="3F7B788C">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随着工业园区的蓬勃发展，众多企业纷纷入驻，厂房建设与使用规模不断扩大。</w:t>
      </w:r>
    </w:p>
    <w:p w14:paraId="284FF9A4">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w:t>
      </w:r>
      <w:r>
        <w:rPr>
          <w:rFonts w:hint="default" w:ascii="宋体" w:hAnsi="宋体" w:eastAsia="宋体" w:cs="宋体"/>
          <w:sz w:val="24"/>
          <w:szCs w:val="24"/>
          <w:highlight w:val="none"/>
          <w:lang w:val="en-US" w:eastAsia="zh-CN"/>
        </w:rPr>
        <w:t>《中华人民共和国税收征收管理法》</w:t>
      </w:r>
      <w:r>
        <w:rPr>
          <w:rFonts w:hint="eastAsia" w:ascii="宋体" w:hAnsi="宋体" w:eastAsia="宋体" w:cs="宋体"/>
          <w:sz w:val="24"/>
          <w:szCs w:val="24"/>
          <w:highlight w:val="none"/>
          <w:lang w:val="en-US" w:eastAsia="zh-CN"/>
        </w:rPr>
        <w:t>；</w:t>
      </w:r>
      <w:r>
        <w:rPr>
          <w:rFonts w:hint="default" w:ascii="宋体" w:hAnsi="宋体" w:eastAsia="宋体" w:cs="宋体"/>
          <w:sz w:val="24"/>
          <w:szCs w:val="24"/>
          <w:highlight w:val="none"/>
          <w:lang w:val="en-US" w:eastAsia="zh-CN"/>
        </w:rPr>
        <w:t>《中华人民共和国房产税暂行条例》</w:t>
      </w:r>
      <w:r>
        <w:rPr>
          <w:rFonts w:hint="eastAsia" w:ascii="宋体" w:hAnsi="宋体" w:eastAsia="宋体" w:cs="宋体"/>
          <w:sz w:val="24"/>
          <w:szCs w:val="24"/>
          <w:highlight w:val="none"/>
          <w:lang w:val="en-US" w:eastAsia="zh-CN"/>
        </w:rPr>
        <w:t>；</w:t>
      </w:r>
      <w:r>
        <w:rPr>
          <w:rFonts w:hint="default" w:ascii="宋体" w:hAnsi="宋体" w:eastAsia="宋体" w:cs="宋体"/>
          <w:sz w:val="24"/>
          <w:szCs w:val="24"/>
          <w:highlight w:val="none"/>
          <w:lang w:val="en-US" w:eastAsia="zh-CN"/>
        </w:rPr>
        <w:t>《中华人民共和国城镇土地使用税暂行条例》</w:t>
      </w:r>
      <w:r>
        <w:rPr>
          <w:rFonts w:hint="eastAsia" w:ascii="宋体" w:hAnsi="宋体" w:eastAsia="宋体" w:cs="宋体"/>
          <w:sz w:val="24"/>
          <w:szCs w:val="24"/>
          <w:highlight w:val="none"/>
          <w:lang w:val="en-US" w:eastAsia="zh-CN"/>
        </w:rPr>
        <w:t>；</w:t>
      </w:r>
      <w:r>
        <w:rPr>
          <w:rFonts w:hint="default" w:ascii="宋体" w:hAnsi="宋体" w:eastAsia="宋体" w:cs="宋体"/>
          <w:sz w:val="24"/>
          <w:szCs w:val="24"/>
          <w:highlight w:val="none"/>
          <w:lang w:val="en-US" w:eastAsia="zh-CN"/>
        </w:rPr>
        <w:t>财政部、国家税务总局《关于安置残疾人就业单位城镇土地使用税等政策的通知》（财税〔2010〕121号）第二条：</w:t>
      </w:r>
    </w:p>
    <w:p w14:paraId="036EF43A">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lang w:val="en-US" w:eastAsia="zh-CN"/>
        </w:rPr>
      </w:pPr>
      <w:r>
        <w:rPr>
          <w:rFonts w:hint="default" w:ascii="宋体" w:hAnsi="宋体" w:eastAsia="宋体" w:cs="宋体"/>
          <w:sz w:val="24"/>
          <w:szCs w:val="24"/>
          <w:highlight w:val="none"/>
          <w:lang w:val="en-US" w:eastAsia="zh-CN"/>
        </w:rPr>
        <w:t>“对出租房产，租赁双方签订的租赁合同约定有免收租金期间的，免收租金期间由产权所有人按照房产原值缴纳房产税。”</w:t>
      </w:r>
      <w:r>
        <w:rPr>
          <w:rFonts w:hint="eastAsia" w:ascii="宋体" w:hAnsi="宋体" w:eastAsia="宋体" w:cs="宋体"/>
          <w:sz w:val="24"/>
          <w:szCs w:val="24"/>
          <w:highlight w:val="none"/>
          <w:lang w:val="en-US" w:eastAsia="zh-CN"/>
        </w:rPr>
        <w:t>的规定，</w:t>
      </w:r>
      <w:r>
        <w:rPr>
          <w:rFonts w:hint="default" w:ascii="宋体" w:hAnsi="宋体" w:eastAsia="宋体" w:cs="宋体"/>
          <w:sz w:val="24"/>
          <w:szCs w:val="24"/>
          <w:highlight w:val="none"/>
          <w:lang w:val="en-US" w:eastAsia="zh-CN"/>
        </w:rPr>
        <w:t>工业园区为履行纳税义务，需将基于厂房房产价值及土地占用面积计算出的房土两税，上缴至税务局。资金来源为县财政，这一方面体现了县财政对园区运营的支持，为园区企业正常开展生产经营活动提供保障；另一方面，规范上缴房土两税，有助于维持税收秩序，保证国家税收收入稳定。所缴纳税费后续将通过财政预算安排，用于全县公共服务设施建设、民生保障等领域，形成从园区发展到惠及全县的资金循环，推动县域整体经济社会持续进步。</w:t>
      </w:r>
    </w:p>
    <w:p w14:paraId="5140E478">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55D401D7">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7EC83B90">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县委、县人民政府工作安排，工业园区管委会代管的洛浦县北京工业园区一园、二园、三园厂房，2020年4月至2023年12月期间为入驻企业免租提供使用。根据财政部国家税务总局《关于安置残疾人就业单位城镇土地使用税等政策的通知》（财税【2010】121号）第二条“对出租房产，租赁双方签订的租赁合同约定有免收租金期间的，免收租金期间由产权所有人按照房产原值缴纳房产税。”的规定，免租期间的应缴房产税7787447.33元，应缴滞纳金3499926.22元，应缴城镇土地使用税196622.01元，应缴滞纳金85167.2元由洛浦县北京工业园区管理委员会履行纳税义务。</w:t>
      </w:r>
    </w:p>
    <w:p w14:paraId="5B2071A8">
      <w:pPr>
        <w:pStyle w:val="5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0A06A0DC">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42ACF81A">
      <w:pPr>
        <w:pStyle w:val="5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本项目主管部门为洛浦县人民政府，实施单位为和田地区北京工业园区管理委员会。</w:t>
      </w:r>
    </w:p>
    <w:p w14:paraId="0921CC99">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5D689DB8">
      <w:pPr>
        <w:pStyle w:val="5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2024年1月-2024年8月</w:t>
      </w:r>
    </w:p>
    <w:p w14:paraId="1035D86C">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4759041C">
      <w:pPr>
        <w:pStyle w:val="5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本</w:t>
      </w:r>
      <w:r>
        <w:rPr>
          <w:rFonts w:hint="eastAsia" w:ascii="宋体" w:hAnsi="宋体" w:eastAsia="宋体" w:cs="宋体"/>
          <w:kern w:val="2"/>
          <w:sz w:val="24"/>
          <w:szCs w:val="24"/>
          <w:highlight w:val="none"/>
          <w:lang w:val="en-US" w:eastAsia="zh-CN" w:bidi="ar-SA"/>
        </w:rPr>
        <w:t>项目</w:t>
      </w:r>
      <w:r>
        <w:rPr>
          <w:rFonts w:hint="default" w:ascii="宋体" w:hAnsi="宋体" w:eastAsia="宋体" w:cs="宋体"/>
          <w:kern w:val="2"/>
          <w:sz w:val="24"/>
          <w:szCs w:val="24"/>
          <w:highlight w:val="none"/>
          <w:lang w:val="en-US" w:eastAsia="zh-CN" w:bidi="ar-SA"/>
        </w:rPr>
        <w:t>于202</w:t>
      </w:r>
      <w:r>
        <w:rPr>
          <w:rFonts w:hint="eastAsia" w:ascii="宋体" w:hAnsi="宋体" w:eastAsia="宋体" w:cs="宋体"/>
          <w:kern w:val="2"/>
          <w:sz w:val="24"/>
          <w:szCs w:val="24"/>
          <w:highlight w:val="none"/>
          <w:lang w:val="en-US" w:eastAsia="zh-CN" w:bidi="ar-SA"/>
        </w:rPr>
        <w:t>4</w:t>
      </w:r>
      <w:r>
        <w:rPr>
          <w:rFonts w:hint="default"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lang w:val="en-US" w:eastAsia="zh-CN" w:bidi="ar-SA"/>
        </w:rPr>
        <w:t>8</w:t>
      </w:r>
      <w:r>
        <w:rPr>
          <w:rFonts w:hint="default"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lang w:val="en-US" w:eastAsia="zh-CN" w:bidi="ar-SA"/>
        </w:rPr>
        <w:t>28</w:t>
      </w:r>
      <w:r>
        <w:rPr>
          <w:rFonts w:hint="default" w:ascii="宋体" w:hAnsi="宋体" w:eastAsia="宋体" w:cs="宋体"/>
          <w:kern w:val="2"/>
          <w:sz w:val="24"/>
          <w:szCs w:val="24"/>
          <w:highlight w:val="none"/>
          <w:lang w:val="en-US" w:eastAsia="zh-CN" w:bidi="ar-SA"/>
        </w:rPr>
        <w:t>日前全部完工。</w:t>
      </w:r>
    </w:p>
    <w:p w14:paraId="39C0E875">
      <w:pPr>
        <w:pStyle w:val="5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本项</w:t>
      </w:r>
      <w:r>
        <w:rPr>
          <w:rFonts w:hint="eastAsia" w:ascii="宋体" w:hAnsi="宋体" w:eastAsia="宋体" w:cs="宋体"/>
          <w:kern w:val="2"/>
          <w:sz w:val="24"/>
          <w:szCs w:val="24"/>
          <w:highlight w:val="none"/>
          <w:lang w:val="en-US" w:eastAsia="zh-CN" w:bidi="ar-SA"/>
        </w:rPr>
        <w:t>目</w:t>
      </w:r>
      <w:r>
        <w:rPr>
          <w:rFonts w:hint="default" w:ascii="宋体" w:hAnsi="宋体" w:eastAsia="宋体" w:cs="宋体"/>
          <w:kern w:val="2"/>
          <w:sz w:val="24"/>
          <w:szCs w:val="24"/>
          <w:highlight w:val="none"/>
          <w:lang w:val="en-US" w:eastAsia="zh-CN" w:bidi="ar-SA"/>
        </w:rPr>
        <w:t>202</w:t>
      </w:r>
      <w:r>
        <w:rPr>
          <w:rFonts w:hint="eastAsia" w:ascii="宋体" w:hAnsi="宋体" w:eastAsia="宋体" w:cs="宋体"/>
          <w:kern w:val="2"/>
          <w:sz w:val="24"/>
          <w:szCs w:val="24"/>
          <w:highlight w:val="none"/>
          <w:lang w:val="en-US" w:eastAsia="zh-CN" w:bidi="ar-SA"/>
        </w:rPr>
        <w:t>4</w:t>
      </w:r>
      <w:r>
        <w:rPr>
          <w:rFonts w:hint="default"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lang w:val="en-US" w:eastAsia="zh-CN" w:bidi="ar-SA"/>
        </w:rPr>
        <w:t>08</w:t>
      </w:r>
      <w:r>
        <w:rPr>
          <w:rFonts w:hint="default"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lang w:val="en-US" w:eastAsia="zh-CN" w:bidi="ar-SA"/>
        </w:rPr>
        <w:t>26</w:t>
      </w:r>
      <w:r>
        <w:rPr>
          <w:rFonts w:hint="default" w:ascii="宋体" w:hAnsi="宋体" w:eastAsia="宋体" w:cs="宋体"/>
          <w:kern w:val="2"/>
          <w:sz w:val="24"/>
          <w:szCs w:val="24"/>
          <w:highlight w:val="none"/>
          <w:lang w:val="en-US" w:eastAsia="zh-CN" w:bidi="ar-SA"/>
        </w:rPr>
        <w:t>日经</w:t>
      </w:r>
      <w:r>
        <w:rPr>
          <w:rFonts w:hint="eastAsia" w:ascii="宋体" w:hAnsi="宋体" w:eastAsia="宋体" w:cs="宋体"/>
          <w:kern w:val="2"/>
          <w:sz w:val="24"/>
          <w:szCs w:val="24"/>
          <w:highlight w:val="none"/>
          <w:lang w:val="en-US" w:eastAsia="zh-CN" w:bidi="ar-SA"/>
        </w:rPr>
        <w:t>国家税务总局洛浦县税务局下达《税务事项通知书》</w:t>
      </w:r>
      <w:r>
        <w:rPr>
          <w:rFonts w:hint="default" w:ascii="宋体" w:hAnsi="宋体" w:eastAsia="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洛税通</w:t>
      </w:r>
      <w:r>
        <w:rPr>
          <w:rFonts w:hint="default" w:ascii="宋体" w:hAnsi="宋体" w:eastAsia="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2024</w:t>
      </w:r>
      <w:r>
        <w:rPr>
          <w:rFonts w:hint="default" w:ascii="宋体" w:hAnsi="宋体" w:eastAsia="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8261</w:t>
      </w:r>
      <w:r>
        <w:rPr>
          <w:rFonts w:hint="default" w:ascii="宋体" w:hAnsi="宋体" w:eastAsia="宋体" w:cs="宋体"/>
          <w:kern w:val="2"/>
          <w:sz w:val="24"/>
          <w:szCs w:val="24"/>
          <w:highlight w:val="none"/>
          <w:lang w:val="en-US" w:eastAsia="zh-CN" w:bidi="ar-SA"/>
        </w:rPr>
        <w:t>号）</w:t>
      </w:r>
      <w:r>
        <w:rPr>
          <w:rFonts w:hint="eastAsia" w:ascii="宋体" w:hAnsi="宋体" w:eastAsia="宋体" w:cs="宋体"/>
          <w:kern w:val="2"/>
          <w:sz w:val="24"/>
          <w:szCs w:val="24"/>
          <w:highlight w:val="none"/>
          <w:lang w:val="en-US" w:eastAsia="zh-CN" w:bidi="ar-SA"/>
        </w:rPr>
        <w:t>，由和田地区北京工业园区管理委员会履行纳税义务，根据洛财纪字【2024】8号实施此项目，保障以前年度项目1个，该项目总投资1156.92万元；通过实施该项目保障以前年度工业园区区内厂房房土两税费，确保土地资源的合理利用，促进园区经济发展，保障政府税收收入。</w:t>
      </w:r>
      <w:r>
        <w:rPr>
          <w:rFonts w:hint="default" w:ascii="宋体" w:hAnsi="宋体" w:eastAsia="宋体" w:cs="宋体"/>
          <w:kern w:val="2"/>
          <w:sz w:val="24"/>
          <w:szCs w:val="24"/>
          <w:highlight w:val="none"/>
          <w:lang w:val="en-US" w:eastAsia="zh-CN" w:bidi="ar-SA"/>
        </w:rPr>
        <w:t>项目未进行验收，未进行决算审计。但</w:t>
      </w:r>
      <w:r>
        <w:rPr>
          <w:rFonts w:hint="eastAsia" w:ascii="宋体" w:hAnsi="宋体" w:eastAsia="宋体" w:cs="宋体"/>
          <w:kern w:val="2"/>
          <w:sz w:val="24"/>
          <w:szCs w:val="24"/>
          <w:highlight w:val="none"/>
          <w:lang w:val="en-US" w:eastAsia="zh-CN" w:bidi="ar-SA"/>
        </w:rPr>
        <w:t>该项目</w:t>
      </w:r>
      <w:r>
        <w:rPr>
          <w:rFonts w:hint="default" w:ascii="宋体" w:hAnsi="宋体" w:eastAsia="宋体" w:cs="宋体"/>
          <w:kern w:val="2"/>
          <w:sz w:val="24"/>
          <w:szCs w:val="24"/>
          <w:highlight w:val="none"/>
          <w:lang w:val="en-US" w:eastAsia="zh-CN" w:bidi="ar-SA"/>
        </w:rPr>
        <w:t>已经</w:t>
      </w:r>
      <w:r>
        <w:rPr>
          <w:rFonts w:hint="eastAsia" w:ascii="宋体" w:hAnsi="宋体" w:eastAsia="宋体" w:cs="宋体"/>
          <w:kern w:val="2"/>
          <w:sz w:val="24"/>
          <w:szCs w:val="24"/>
          <w:highlight w:val="none"/>
          <w:lang w:val="en-US" w:eastAsia="zh-CN" w:bidi="ar-SA"/>
        </w:rPr>
        <w:t>完成</w:t>
      </w:r>
      <w:r>
        <w:rPr>
          <w:rFonts w:hint="default" w:ascii="宋体" w:hAnsi="宋体" w:eastAsia="宋体" w:cs="宋体"/>
          <w:kern w:val="2"/>
          <w:sz w:val="24"/>
          <w:szCs w:val="24"/>
          <w:highlight w:val="none"/>
          <w:lang w:val="en-US" w:eastAsia="zh-CN" w:bidi="ar-SA"/>
        </w:rPr>
        <w:t>。</w:t>
      </w:r>
    </w:p>
    <w:p w14:paraId="7C9E6DCB">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1D64ED9D">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414C023C">
      <w:pPr>
        <w:pStyle w:val="5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本项目预算安排总额为1156.92万元，资金来源为部门预算（县财政自筹），其中：财政资金1156.92万元，其他资金0万元，2024年实际收到预算资金1156.92万元，预算资金到位率为100%。</w:t>
      </w:r>
    </w:p>
    <w:p w14:paraId="33BFA032">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52757E7F">
      <w:pPr>
        <w:pStyle w:val="5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本项目实际支付资金</w:t>
      </w:r>
      <w:bookmarkStart w:id="4" w:name="OLE_LINK4"/>
      <w:r>
        <w:rPr>
          <w:rFonts w:hint="eastAsia" w:ascii="宋体" w:hAnsi="宋体" w:eastAsia="宋体" w:cs="宋体"/>
          <w:kern w:val="2"/>
          <w:sz w:val="24"/>
          <w:szCs w:val="24"/>
          <w:highlight w:val="none"/>
          <w:lang w:val="en-US" w:eastAsia="zh-CN" w:bidi="ar-SA"/>
        </w:rPr>
        <w:t>1156.92</w:t>
      </w:r>
      <w:bookmarkEnd w:id="4"/>
      <w:r>
        <w:rPr>
          <w:rFonts w:hint="eastAsia" w:ascii="宋体" w:hAnsi="宋体" w:eastAsia="宋体" w:cs="宋体"/>
          <w:kern w:val="2"/>
          <w:sz w:val="24"/>
          <w:szCs w:val="24"/>
          <w:highlight w:val="none"/>
          <w:lang w:val="en-US" w:eastAsia="zh-CN" w:bidi="ar-SA"/>
        </w:rPr>
        <w:t>万元，预算执行率100%。本项目资金主要用于支付房产税费用1128.74万元、城镇土地使用税费用28.18万元等。</w:t>
      </w:r>
    </w:p>
    <w:p w14:paraId="56D7598A">
      <w:pPr>
        <w:pStyle w:val="5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5" w:name="_Toc68364659"/>
      <w:r>
        <w:rPr>
          <w:rFonts w:hint="eastAsia" w:ascii="宋体" w:hAnsi="宋体" w:eastAsia="宋体" w:cs="宋体"/>
          <w:sz w:val="24"/>
          <w:szCs w:val="24"/>
        </w:rPr>
        <w:t>（二）项目绩效目标</w:t>
      </w:r>
      <w:bookmarkEnd w:id="5"/>
    </w:p>
    <w:p w14:paraId="2B45B56F">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1F866226">
      <w:pPr>
        <w:pStyle w:val="5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7D960B17">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洛财纪字【2024】8号实施此项目，保障以前年度项目1个，该项目总投资1156.92万元；通过实施该项目保障以前年度工业园区区内厂房房土两税费，确保土地资源的合理利用，促进园区经济发展，保障政府税收收入。</w:t>
      </w:r>
    </w:p>
    <w:p w14:paraId="5A4559DA">
      <w:pPr>
        <w:pStyle w:val="50"/>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61C49DBD">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bookmarkStart w:id="6" w:name="_Toc68364660"/>
      <w:r>
        <w:rPr>
          <w:rFonts w:hint="eastAsia" w:ascii="宋体" w:hAnsi="宋体" w:eastAsia="宋体" w:cs="宋体"/>
          <w:color w:val="000000"/>
          <w:sz w:val="24"/>
          <w:szCs w:val="24"/>
          <w:highlight w:val="none"/>
          <w:lang w:val="en-US" w:eastAsia="zh-CN"/>
        </w:rPr>
        <w:t>我</w:t>
      </w:r>
      <w:r>
        <w:rPr>
          <w:rFonts w:hint="eastAsia" w:ascii="宋体" w:hAnsi="宋体" w:eastAsia="宋体" w:cs="宋体"/>
          <w:color w:val="000000"/>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0589797B">
      <w:pPr>
        <w:pStyle w:val="50"/>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2D7D923F">
      <w:pPr>
        <w:pStyle w:val="5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572CF0E1">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指标1：</w:t>
      </w:r>
      <w:r>
        <w:rPr>
          <w:rFonts w:hint="eastAsia" w:ascii="宋体" w:hAnsi="宋体" w:eastAsia="宋体" w:cs="宋体"/>
          <w:color w:val="auto"/>
          <w:sz w:val="24"/>
          <w:szCs w:val="24"/>
          <w:highlight w:val="none"/>
        </w:rPr>
        <w:t>工业园区区内厂房房土两税费数量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预期指标值为=1个；</w:t>
      </w:r>
    </w:p>
    <w:p w14:paraId="14EA4916">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40754879">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指标1：</w:t>
      </w:r>
      <w:r>
        <w:rPr>
          <w:rFonts w:hint="eastAsia" w:ascii="宋体" w:hAnsi="宋体" w:eastAsia="宋体" w:cs="宋体"/>
          <w:color w:val="auto"/>
          <w:sz w:val="24"/>
          <w:szCs w:val="24"/>
          <w:highlight w:val="none"/>
        </w:rPr>
        <w:t>资金使用合规率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预期指标值为=100%；</w:t>
      </w:r>
    </w:p>
    <w:p w14:paraId="3F05A8E0">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3）时效指标：</w:t>
      </w:r>
    </w:p>
    <w:p w14:paraId="542C461B">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指标1：</w:t>
      </w:r>
      <w:r>
        <w:rPr>
          <w:rFonts w:hint="eastAsia" w:ascii="宋体" w:hAnsi="宋体" w:eastAsia="宋体" w:cs="宋体"/>
          <w:color w:val="auto"/>
          <w:sz w:val="24"/>
          <w:szCs w:val="24"/>
          <w:highlight w:val="none"/>
        </w:rPr>
        <w:t>项目完成时间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预期指标值为2024年12月；</w:t>
      </w:r>
    </w:p>
    <w:p w14:paraId="60388CD5">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指标2：</w:t>
      </w:r>
      <w:r>
        <w:rPr>
          <w:rFonts w:hint="eastAsia" w:ascii="宋体" w:hAnsi="宋体" w:eastAsia="宋体" w:cs="宋体"/>
          <w:color w:val="auto"/>
          <w:sz w:val="24"/>
          <w:szCs w:val="24"/>
          <w:highlight w:val="none"/>
        </w:rPr>
        <w:t>资金支付及时率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预期指标值为=100%；</w:t>
      </w:r>
    </w:p>
    <w:p w14:paraId="57178084">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（2）成本指标：</w:t>
      </w:r>
    </w:p>
    <w:p w14:paraId="28711F4A">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1）经济成本指标</w:t>
      </w:r>
    </w:p>
    <w:p w14:paraId="33138BA7">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指标1：</w:t>
      </w:r>
      <w:r>
        <w:rPr>
          <w:rFonts w:hint="eastAsia" w:ascii="宋体" w:hAnsi="宋体" w:eastAsia="宋体" w:cs="宋体"/>
          <w:color w:val="auto"/>
          <w:sz w:val="24"/>
          <w:szCs w:val="24"/>
          <w:highlight w:val="none"/>
        </w:rPr>
        <w:t>工业园区区内厂房房土两税费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预期指标值为&lt;=1156.92万元；</w:t>
      </w:r>
    </w:p>
    <w:p w14:paraId="049A1CD6">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2）社会成本指标：</w:t>
      </w:r>
    </w:p>
    <w:p w14:paraId="47E78C78">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该项目无社会成本指标；</w:t>
      </w:r>
    </w:p>
    <w:p w14:paraId="034DB966">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3）生态成本指标;</w:t>
      </w:r>
    </w:p>
    <w:p w14:paraId="203D7562">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该项目无生态成本指标；</w:t>
      </w:r>
    </w:p>
    <w:p w14:paraId="19716CB6">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（3）效益指标：</w:t>
      </w:r>
    </w:p>
    <w:p w14:paraId="09371C3E">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1）经济效益指标：</w:t>
      </w:r>
    </w:p>
    <w:p w14:paraId="5BCFD112">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该项目无经济效益指标；</w:t>
      </w:r>
    </w:p>
    <w:p w14:paraId="2B4CB5E7">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）社会效益指标：</w:t>
      </w:r>
    </w:p>
    <w:p w14:paraId="72F4ABC1">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指标1：</w:t>
      </w:r>
      <w:r>
        <w:rPr>
          <w:rFonts w:hint="eastAsia" w:ascii="宋体" w:hAnsi="宋体" w:eastAsia="宋体" w:cs="宋体"/>
          <w:color w:val="auto"/>
          <w:sz w:val="24"/>
          <w:szCs w:val="24"/>
          <w:highlight w:val="none"/>
        </w:rPr>
        <w:t>保障政府公信力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预期指标值为有效保障；</w:t>
      </w:r>
    </w:p>
    <w:p w14:paraId="58D9AC0F">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3）生态效益指标：</w:t>
      </w:r>
    </w:p>
    <w:p w14:paraId="17574481">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该项目无生态效益指标；</w:t>
      </w:r>
    </w:p>
    <w:p w14:paraId="3551851E">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（4）服务对象满意度指标：</w:t>
      </w:r>
    </w:p>
    <w:p w14:paraId="7E795C69">
      <w:pPr>
        <w:pStyle w:val="5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指标1：</w:t>
      </w:r>
      <w:r>
        <w:rPr>
          <w:rFonts w:hint="eastAsia" w:ascii="宋体" w:hAnsi="宋体" w:eastAsia="宋体" w:cs="宋体"/>
          <w:color w:val="auto"/>
          <w:sz w:val="24"/>
          <w:szCs w:val="24"/>
          <w:highlight w:val="none"/>
          <w:lang w:eastAsia="zh-CN"/>
        </w:rPr>
        <w:t>主管单位满意度，</w:t>
      </w:r>
      <w:r>
        <w:rPr>
          <w:rFonts w:hint="eastAsia" w:ascii="宋体" w:hAnsi="宋体" w:eastAsia="宋体" w:cs="宋体"/>
          <w:color w:val="auto"/>
          <w:sz w:val="24"/>
          <w:szCs w:val="24"/>
          <w:highlight w:val="none"/>
        </w:rPr>
        <w:t>预期指标值为≥95%</w:t>
      </w:r>
      <w:r>
        <w:rPr>
          <w:rFonts w:hint="eastAsia" w:ascii="宋体" w:hAnsi="宋体" w:eastAsia="宋体" w:cs="宋体"/>
          <w:color w:val="auto"/>
          <w:sz w:val="24"/>
          <w:szCs w:val="24"/>
          <w:highlight w:val="none"/>
          <w:lang w:eastAsia="zh-CN"/>
        </w:rPr>
        <w:t>。</w:t>
      </w:r>
    </w:p>
    <w:p w14:paraId="4E3B9244">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6"/>
    </w:p>
    <w:p w14:paraId="2C6162D3">
      <w:pPr>
        <w:pStyle w:val="5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7" w:name="_Toc68364661"/>
      <w:r>
        <w:rPr>
          <w:rFonts w:hint="eastAsia" w:ascii="宋体" w:hAnsi="宋体" w:eastAsia="宋体" w:cs="宋体"/>
          <w:sz w:val="24"/>
          <w:szCs w:val="24"/>
        </w:rPr>
        <w:t>（一）绩效评价目的、对象和范围</w:t>
      </w:r>
      <w:bookmarkEnd w:id="7"/>
    </w:p>
    <w:p w14:paraId="28BF72A4">
      <w:pPr>
        <w:pStyle w:val="5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1.绩效评价目的</w:t>
      </w:r>
    </w:p>
    <w:p w14:paraId="3ED7A517">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w:t>
      </w:r>
      <w:r>
        <w:rPr>
          <w:rFonts w:hint="eastAsia" w:ascii="宋体" w:hAnsi="宋体" w:eastAsia="宋体" w:cs="宋体"/>
          <w:color w:val="auto"/>
          <w:sz w:val="24"/>
          <w:szCs w:val="24"/>
          <w:highlight w:val="none"/>
        </w:rPr>
        <w:t>〈自治区项目支出绩效目标设置指引〉的通知》（新财预〔2022〕42号）等相关政策文件与规定，对工业园区区内厂房房土两税费项目开展本次部门项目支出绩效评价工作。全面了解</w:t>
      </w:r>
      <w:r>
        <w:rPr>
          <w:rFonts w:hint="eastAsia" w:ascii="宋体" w:hAnsi="宋体" w:eastAsia="宋体" w:cs="宋体"/>
          <w:color w:val="auto"/>
          <w:sz w:val="24"/>
          <w:szCs w:val="24"/>
          <w:highlight w:val="none"/>
          <w:lang w:val="en-US" w:eastAsia="zh-CN"/>
        </w:rPr>
        <w:t>工业园区区内厂房房土两税费</w:t>
      </w:r>
      <w:r>
        <w:rPr>
          <w:rFonts w:hint="eastAsia" w:ascii="宋体" w:hAnsi="宋体" w:eastAsia="宋体" w:cs="宋体"/>
          <w:color w:val="auto"/>
          <w:sz w:val="24"/>
          <w:szCs w:val="24"/>
          <w:highlight w:val="none"/>
        </w:rPr>
        <w:t>项目</w:t>
      </w:r>
      <w:r>
        <w:rPr>
          <w:rFonts w:hint="eastAsia" w:ascii="宋体" w:hAnsi="宋体" w:eastAsia="宋体" w:cs="宋体"/>
          <w:sz w:val="24"/>
          <w:szCs w:val="24"/>
        </w:rPr>
        <w:t>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0567F981">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14E06278">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4698BCDD">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67CFC54E">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5C4D788E">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工业园区区内厂房房土两税费</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0B3AEDB3">
      <w:pPr>
        <w:pStyle w:val="50"/>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3.绩效评价范围</w:t>
      </w:r>
    </w:p>
    <w:p w14:paraId="54C10989">
      <w:pPr>
        <w:pStyle w:val="50"/>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本次绩效评价</w:t>
      </w:r>
      <w:r>
        <w:rPr>
          <w:rFonts w:hint="eastAsia" w:ascii="宋体" w:hAnsi="宋体" w:eastAsia="宋体" w:cs="宋体"/>
          <w:color w:val="auto"/>
          <w:sz w:val="24"/>
          <w:szCs w:val="24"/>
        </w:rPr>
        <w:t>主要围绕工业园区区内厂房房土两税费项目决策、项目</w:t>
      </w:r>
      <w:r>
        <w:rPr>
          <w:rFonts w:hint="eastAsia" w:ascii="宋体" w:hAnsi="宋体" w:eastAsia="宋体" w:cs="宋体"/>
          <w:sz w:val="24"/>
          <w:szCs w:val="24"/>
        </w:rPr>
        <w:t>资金管理、项目实施过程管理，以及项目实施所带来的产出和效果等内容，进行综合评价。范围涵盖项目总体绩效目标、各项绩效指标完成情况以及预算执行情况</w:t>
      </w:r>
      <w:bookmarkStart w:id="8" w:name="_Toc68364662"/>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7A27C428">
      <w:pPr>
        <w:pStyle w:val="54"/>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8"/>
    </w:p>
    <w:p w14:paraId="03558933">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1.绩效评价原则</w:t>
      </w:r>
    </w:p>
    <w:p w14:paraId="7F48C05D">
      <w:pPr>
        <w:pStyle w:val="50"/>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1DC487A1">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11F22F88">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5A61E3C">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5B5D25ED">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75816035">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58B3D7AE">
      <w:pPr>
        <w:pStyle w:val="50"/>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1EE7D4E9">
      <w:pPr>
        <w:pStyle w:val="50"/>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37F27BDE">
      <w:pPr>
        <w:pStyle w:val="50"/>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7AF8197B">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2.绩效评价指标体系</w:t>
      </w:r>
    </w:p>
    <w:p w14:paraId="3F6DCA30">
      <w:pPr>
        <w:pStyle w:val="50"/>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1422B558">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3.绩效评价方法</w:t>
      </w:r>
    </w:p>
    <w:p w14:paraId="5D7C2DA6">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4659ABE0">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652ABF2D">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391CFAD4">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15B01E3F">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02748CD5">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635E4FBE">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659B5CEA">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05E9F44E">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587D21C3">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30FDD028">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1104AB35">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008801E9">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77B5F387">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477B6B1B">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2D34492E">
      <w:pPr>
        <w:pStyle w:val="5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4.绩效评价标准</w:t>
      </w:r>
    </w:p>
    <w:p w14:paraId="3DA6D438">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FF0000"/>
          <w:sz w:val="24"/>
          <w:szCs w:val="24"/>
        </w:rPr>
      </w:pPr>
      <w:bookmarkStart w:id="9" w:name="_Toc68364663"/>
      <w:r>
        <w:rPr>
          <w:rFonts w:hint="eastAsia" w:ascii="宋体" w:hAnsi="宋体" w:eastAsia="宋体" w:cs="宋体"/>
          <w:sz w:val="24"/>
          <w:szCs w:val="24"/>
        </w:rPr>
        <w:t>绩效评价标准通常包括计划标准、行业标准、历史标准等，用于对绩效指标完成情况进行比较、</w:t>
      </w:r>
      <w:r>
        <w:rPr>
          <w:rFonts w:hint="eastAsia" w:ascii="宋体" w:hAnsi="宋体" w:eastAsia="宋体" w:cs="宋体"/>
          <w:b w:val="0"/>
          <w:bCs w:val="0"/>
          <w:color w:val="auto"/>
          <w:sz w:val="24"/>
          <w:szCs w:val="24"/>
        </w:rPr>
        <w:t>分析、评价。本次评价主要采用了计划标准。</w:t>
      </w:r>
    </w:p>
    <w:p w14:paraId="21691D06">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10" w:name="_Toc31464"/>
      <w:bookmarkStart w:id="11" w:name="_Toc17882"/>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10"/>
      <w:bookmarkEnd w:id="11"/>
    </w:p>
    <w:p w14:paraId="41C0FCB8">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12" w:name="_Toc5633"/>
      <w:bookmarkStart w:id="13" w:name="_Toc2318"/>
      <w:r>
        <w:rPr>
          <w:rFonts w:hint="eastAsia" w:ascii="宋体" w:hAnsi="宋体" w:eastAsia="宋体" w:cs="宋体"/>
          <w:b/>
          <w:bCs/>
          <w:sz w:val="24"/>
          <w:szCs w:val="24"/>
        </w:rPr>
        <w:t>行业标准：</w:t>
      </w:r>
      <w:r>
        <w:rPr>
          <w:rFonts w:hint="eastAsia" w:ascii="宋体" w:hAnsi="宋体" w:eastAsia="宋体" w:cs="宋体"/>
          <w:sz w:val="24"/>
          <w:szCs w:val="24"/>
        </w:rPr>
        <w:t>指参照国家公布的行业指标数据制定的评价标准。</w:t>
      </w:r>
      <w:bookmarkEnd w:id="12"/>
      <w:bookmarkEnd w:id="13"/>
    </w:p>
    <w:p w14:paraId="43976324">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14" w:name="_Toc430"/>
      <w:bookmarkStart w:id="15" w:name="_Toc16028"/>
      <w:r>
        <w:rPr>
          <w:rFonts w:hint="eastAsia" w:ascii="宋体" w:hAnsi="宋体" w:eastAsia="宋体" w:cs="宋体"/>
          <w:b/>
          <w:bCs/>
          <w:sz w:val="24"/>
          <w:szCs w:val="24"/>
        </w:rPr>
        <w:t>历史标准：</w:t>
      </w:r>
      <w:r>
        <w:rPr>
          <w:rFonts w:hint="eastAsia" w:ascii="宋体" w:hAnsi="宋体" w:eastAsia="宋体" w:cs="宋体"/>
          <w:sz w:val="24"/>
          <w:szCs w:val="24"/>
        </w:rPr>
        <w:t>指参照历史数据制定的评价标准，为体现绩效改进的原则，在可实现的条件下应当确定相对较高的评价标准。</w:t>
      </w:r>
      <w:bookmarkEnd w:id="14"/>
      <w:bookmarkEnd w:id="15"/>
    </w:p>
    <w:p w14:paraId="64DD3784">
      <w:pPr>
        <w:pStyle w:val="5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9"/>
    </w:p>
    <w:p w14:paraId="5DB33FCA">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16" w:name="_Toc68364664"/>
      <w:r>
        <w:rPr>
          <w:rFonts w:hint="eastAsia" w:ascii="宋体" w:hAnsi="宋体" w:eastAsia="宋体" w:cs="宋体"/>
          <w:b/>
          <w:bCs/>
          <w:color w:val="000000"/>
          <w:sz w:val="24"/>
          <w:szCs w:val="24"/>
          <w:highlight w:val="none"/>
        </w:rPr>
        <w:t>1.前期准备</w:t>
      </w:r>
    </w:p>
    <w:p w14:paraId="3928C50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w:t>
      </w:r>
      <w:bookmarkStart w:id="17" w:name="OLE_LINK5"/>
      <w:r>
        <w:rPr>
          <w:rFonts w:hint="eastAsia" w:ascii="宋体" w:hAnsi="宋体" w:eastAsia="宋体" w:cs="宋体"/>
          <w:sz w:val="24"/>
          <w:szCs w:val="24"/>
        </w:rPr>
        <w:t>绩效评价工作小组人员名单及分工如下：</w:t>
      </w:r>
    </w:p>
    <w:p w14:paraId="20BDD54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方志</w:t>
      </w:r>
      <w:r>
        <w:rPr>
          <w:rFonts w:hint="eastAsia" w:ascii="宋体" w:hAnsi="宋体" w:eastAsia="宋体" w:cs="宋体"/>
          <w:color w:val="auto"/>
          <w:sz w:val="24"/>
          <w:szCs w:val="24"/>
        </w:rPr>
        <w:t>（评价小组组长）：主要负责整体统筹绩效评价工作，制定评价方案与计划，把控评价进度与方向，协调内外部资源，审核评价报告，对评价结果的准确性和有效性负责，确保评价工作符合相关政策法规与项目目标要求;</w:t>
      </w:r>
    </w:p>
    <w:p w14:paraId="44ED638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刘彦鹏</w:t>
      </w:r>
      <w:r>
        <w:rPr>
          <w:rFonts w:hint="eastAsia" w:ascii="宋体" w:hAnsi="宋体" w:eastAsia="宋体" w:cs="宋体"/>
          <w:color w:val="auto"/>
          <w:sz w:val="24"/>
          <w:szCs w:val="24"/>
        </w:rPr>
        <w:t>（评价小组组员）：主要负责收集与工业园区厂房房土两税费项目相关的基础资料，包括财务报表、纳税记录、土地房产信息等。对数据进行初步整理与分析，协助组长开展实地调研，访谈园区相关工作人员，了解项目执行过程中的实际情况，为评价工作提供数据支撑与一线信息;</w:t>
      </w:r>
    </w:p>
    <w:p w14:paraId="186D2A8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玛伊努尔</w:t>
      </w:r>
      <w:r>
        <w:rPr>
          <w:rFonts w:hint="eastAsia" w:ascii="宋体" w:hAnsi="宋体" w:eastAsia="宋体" w:cs="宋体"/>
          <w:color w:val="auto"/>
          <w:sz w:val="24"/>
          <w:szCs w:val="24"/>
        </w:rPr>
        <w:t>（评价小组组员）：主要负责运用专业评价方法，对收集的数据进行深入分析，构建评价指标体系并打</w:t>
      </w:r>
      <w:r>
        <w:rPr>
          <w:rFonts w:hint="eastAsia" w:ascii="宋体" w:hAnsi="宋体" w:eastAsia="宋体" w:cs="宋体"/>
          <w:sz w:val="24"/>
          <w:szCs w:val="24"/>
        </w:rPr>
        <w:t>分，撰写绩效评价报告初稿。同时，关注政策变动对项目的影响，从专业角度提出改进建议，为完善项目执行及后续决策提供参考</w:t>
      </w:r>
      <w:r>
        <w:rPr>
          <w:rFonts w:hint="eastAsia" w:ascii="宋体" w:hAnsi="宋体" w:eastAsia="宋体" w:cs="宋体"/>
          <w:color w:val="FF0000"/>
          <w:sz w:val="24"/>
          <w:szCs w:val="24"/>
        </w:rPr>
        <w:t>。</w:t>
      </w:r>
      <w:bookmarkEnd w:id="17"/>
    </w:p>
    <w:p w14:paraId="72EA6787">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69F56AF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74F02167">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3B9EEB6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5532214B">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25855A2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32157DC8">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5C35C27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BA4F766">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617B288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06115A53">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16"/>
    </w:p>
    <w:p w14:paraId="78F503C8">
      <w:pPr>
        <w:pStyle w:val="5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8" w:name="_Toc68364665"/>
      <w:r>
        <w:rPr>
          <w:rFonts w:hint="eastAsia" w:ascii="宋体" w:hAnsi="宋体" w:eastAsia="宋体" w:cs="宋体"/>
          <w:sz w:val="24"/>
          <w:szCs w:val="24"/>
        </w:rPr>
        <w:t>（一）综合评价情况</w:t>
      </w:r>
      <w:bookmarkEnd w:id="18"/>
    </w:p>
    <w:p w14:paraId="5F7D680D">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bookmarkStart w:id="19" w:name="OLE_LINK6"/>
      <w:bookmarkStart w:id="20" w:name="_Toc68364666"/>
      <w:r>
        <w:rPr>
          <w:rFonts w:hint="eastAsia" w:ascii="宋体" w:hAnsi="宋体" w:eastAsia="宋体" w:cs="宋体"/>
          <w:color w:val="auto"/>
          <w:sz w:val="24"/>
          <w:szCs w:val="24"/>
        </w:rPr>
        <w:t>通过实施工业园区区内厂房房土两税费项目产生</w:t>
      </w:r>
      <w:bookmarkEnd w:id="19"/>
      <w:r>
        <w:rPr>
          <w:rFonts w:hint="eastAsia" w:ascii="宋体" w:hAnsi="宋体" w:eastAsia="宋体" w:cs="宋体"/>
          <w:color w:val="auto"/>
          <w:sz w:val="24"/>
          <w:szCs w:val="24"/>
          <w:lang w:eastAsia="zh-CN"/>
        </w:rPr>
        <w:t>保障以前年度工业园区区内厂房房土两税费，确保土地资源的合理利用，促进园区经济发展，保障政府税收收入等</w:t>
      </w:r>
      <w:r>
        <w:rPr>
          <w:rFonts w:hint="eastAsia" w:ascii="宋体" w:hAnsi="宋体" w:eastAsia="宋体" w:cs="宋体"/>
          <w:color w:val="auto"/>
          <w:sz w:val="24"/>
          <w:szCs w:val="24"/>
        </w:rPr>
        <w:t>效益。项目实施主要通过项目决策、项目过程、项目产出以及项目效益等方面进行评价，其中：</w:t>
      </w:r>
    </w:p>
    <w:p w14:paraId="1711A8E2">
      <w:pPr>
        <w:pStyle w:val="5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eastAsia="zh-CN"/>
        </w:rPr>
      </w:pPr>
      <w:bookmarkStart w:id="21" w:name="OLE_LINK7"/>
      <w:r>
        <w:rPr>
          <w:rFonts w:hint="eastAsia" w:ascii="宋体" w:hAnsi="宋体" w:eastAsia="宋体" w:cs="宋体"/>
          <w:color w:val="auto"/>
          <w:sz w:val="24"/>
          <w:szCs w:val="24"/>
        </w:rPr>
        <w:t>项目决策：该项目主要通过洛财纪字【2024】8号文件立项，项目实施符合</w:t>
      </w:r>
      <w:r>
        <w:rPr>
          <w:rFonts w:hint="eastAsia" w:ascii="宋体" w:hAnsi="宋体" w:eastAsia="宋体" w:cs="宋体"/>
          <w:color w:val="auto"/>
          <w:kern w:val="2"/>
          <w:sz w:val="24"/>
          <w:szCs w:val="24"/>
          <w:lang w:val="en-US" w:eastAsia="zh-CN" w:bidi="ar-SA"/>
        </w:rPr>
        <w:t>国家税收征管政策</w:t>
      </w:r>
      <w:r>
        <w:rPr>
          <w:rFonts w:hint="eastAsia" w:ascii="宋体" w:hAnsi="宋体" w:eastAsia="宋体" w:cs="宋体"/>
          <w:color w:val="auto"/>
          <w:sz w:val="24"/>
          <w:szCs w:val="24"/>
        </w:rPr>
        <w:t>要求，项目立项依据充分，立项程序规范。</w:t>
      </w:r>
      <w:bookmarkEnd w:id="21"/>
    </w:p>
    <w:p w14:paraId="3D68171C">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项目过程：工业园区区内厂房房土两税费项目预算安排1156.92万元，实际支出1156.92万元，预算执行率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4B4308E2">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项目产出：</w:t>
      </w:r>
      <w:r>
        <w:rPr>
          <w:rFonts w:hint="eastAsia" w:ascii="宋体" w:hAnsi="宋体" w:eastAsia="宋体" w:cs="宋体"/>
          <w:color w:val="auto"/>
          <w:sz w:val="24"/>
          <w:szCs w:val="24"/>
          <w:lang w:eastAsia="zh-CN"/>
        </w:rPr>
        <w:t>通过实施此项目产生的工业园区区内厂房房土两税费数量</w:t>
      </w:r>
      <w:r>
        <w:rPr>
          <w:rFonts w:hint="eastAsia" w:ascii="宋体" w:hAnsi="宋体" w:eastAsia="宋体" w:cs="宋体"/>
          <w:color w:val="auto"/>
          <w:sz w:val="24"/>
          <w:szCs w:val="24"/>
          <w:lang w:val="en-US" w:eastAsia="zh-CN"/>
        </w:rPr>
        <w:t>1个，资金使用合规率100%，项目完成时间2024年8月，资金支付及时率100%。</w:t>
      </w:r>
    </w:p>
    <w:p w14:paraId="21E0FA2F">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项目效益：通过实施此项目产生</w:t>
      </w:r>
      <w:r>
        <w:rPr>
          <w:rFonts w:hint="eastAsia" w:ascii="宋体" w:hAnsi="宋体" w:eastAsia="宋体" w:cs="宋体"/>
          <w:color w:val="auto"/>
          <w:sz w:val="24"/>
          <w:szCs w:val="24"/>
          <w:lang w:eastAsia="zh-CN"/>
        </w:rPr>
        <w:t>保障以前年度工业园区区内厂房房土两税费，确保土地资源的合理利用，促进园区经济发展，保障政府税收收入等</w:t>
      </w:r>
      <w:r>
        <w:rPr>
          <w:rFonts w:hint="eastAsia" w:ascii="宋体" w:hAnsi="宋体" w:eastAsia="宋体" w:cs="宋体"/>
          <w:color w:val="auto"/>
          <w:sz w:val="24"/>
          <w:szCs w:val="24"/>
        </w:rPr>
        <w:t>效益</w:t>
      </w:r>
      <w:r>
        <w:rPr>
          <w:rFonts w:hint="eastAsia" w:ascii="宋体" w:hAnsi="宋体" w:eastAsia="宋体" w:cs="宋体"/>
          <w:color w:val="auto"/>
          <w:sz w:val="24"/>
          <w:szCs w:val="24"/>
          <w:lang w:val="en-US" w:eastAsia="zh-CN"/>
        </w:rPr>
        <w:t>。</w:t>
      </w:r>
    </w:p>
    <w:p w14:paraId="19F7A317">
      <w:pPr>
        <w:pStyle w:val="5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34D67F1A">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黑体" w:hAnsi="黑体" w:eastAsia="黑体" w:cs="黑体"/>
          <w:sz w:val="24"/>
          <w:szCs w:val="24"/>
        </w:rPr>
      </w:pPr>
      <w:r>
        <w:rPr>
          <w:rFonts w:hint="eastAsia" w:ascii="宋体" w:hAnsi="宋体" w:eastAsia="宋体" w:cs="宋体"/>
          <w:color w:val="333333"/>
          <w:sz w:val="24"/>
          <w:szCs w:val="24"/>
        </w:rPr>
        <w:t>依据《中共中央国务院关于全面实施预算绩效管理的意见》《项目支出绩效评价管理办法》（财预〔2020〕10号）文件，绩效评价总分设置为100分，划分为四档：90（含）-100分为“优”、80（含）-90分为“良”、70（含）-80分为“中”、70分以</w:t>
      </w:r>
      <w:r>
        <w:rPr>
          <w:rFonts w:hint="eastAsia" w:ascii="宋体" w:hAnsi="宋体" w:eastAsia="宋体" w:cs="宋体"/>
          <w:color w:val="auto"/>
          <w:sz w:val="24"/>
          <w:szCs w:val="24"/>
        </w:rPr>
        <w:t>下为“差”。经对工业园区区内厂房房土两税费项目进行客观评价，最终评分结果：评价总分</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分，绩效等级为“</w:t>
      </w:r>
      <w:r>
        <w:rPr>
          <w:rFonts w:hint="eastAsia" w:ascii="宋体" w:hAnsi="宋体" w:eastAsia="宋体" w:cs="宋体"/>
          <w:color w:val="auto"/>
          <w:sz w:val="24"/>
          <w:szCs w:val="24"/>
          <w:lang w:eastAsia="zh-CN"/>
        </w:rPr>
        <w:t>优</w:t>
      </w:r>
      <w:r>
        <w:rPr>
          <w:rFonts w:hint="eastAsia" w:ascii="宋体" w:hAnsi="宋体" w:eastAsia="宋体" w:cs="宋体"/>
          <w:color w:val="auto"/>
          <w:sz w:val="24"/>
          <w:szCs w:val="24"/>
        </w:rPr>
        <w:t>”。</w:t>
      </w:r>
      <w:bookmarkEnd w:id="20"/>
      <w:bookmarkStart w:id="22" w:name="_Toc68364667"/>
    </w:p>
    <w:p w14:paraId="111A0FF4">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22"/>
    </w:p>
    <w:p w14:paraId="4D3C16DF">
      <w:pPr>
        <w:pStyle w:val="5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3" w:name="_Toc68364668"/>
      <w:r>
        <w:rPr>
          <w:rFonts w:hint="eastAsia" w:ascii="宋体" w:hAnsi="宋体" w:eastAsia="宋体" w:cs="宋体"/>
          <w:sz w:val="24"/>
          <w:szCs w:val="24"/>
        </w:rPr>
        <w:t>（一）项目决策情况</w:t>
      </w:r>
    </w:p>
    <w:p w14:paraId="4A888074">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FF0000"/>
          <w:sz w:val="24"/>
          <w:szCs w:val="24"/>
        </w:rPr>
      </w:pPr>
      <w:r>
        <w:rPr>
          <w:rFonts w:hint="eastAsia" w:ascii="宋体" w:hAnsi="宋体" w:eastAsia="宋体" w:cs="宋体"/>
          <w:sz w:val="24"/>
          <w:szCs w:val="24"/>
        </w:rPr>
        <w:t>项目决</w:t>
      </w:r>
      <w:r>
        <w:rPr>
          <w:rFonts w:hint="eastAsia" w:ascii="宋体" w:hAnsi="宋体" w:eastAsia="宋体" w:cs="宋体"/>
          <w:color w:val="auto"/>
          <w:sz w:val="24"/>
          <w:szCs w:val="24"/>
        </w:rPr>
        <w:t>策类指标包括项目立项、绩效目标和资金投入三方面的内容，由6个三级指标构成，权重分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rPr>
        <w:t>，实际得分</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230F5663">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263F9DF2">
      <w:pPr>
        <w:keepNext w:val="0"/>
        <w:keepLines w:val="0"/>
        <w:pageBreakBefore w:val="0"/>
        <w:widowControl w:val="0"/>
        <w:numPr>
          <w:ilvl w:val="0"/>
          <w:numId w:val="0"/>
        </w:numPr>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本项目立项符合</w:t>
      </w:r>
      <w:r>
        <w:rPr>
          <w:rFonts w:hint="eastAsia" w:ascii="宋体" w:hAnsi="宋体" w:eastAsia="宋体" w:cs="宋体"/>
          <w:color w:val="000000"/>
          <w:sz w:val="24"/>
          <w:szCs w:val="24"/>
          <w:lang w:eastAsia="zh-CN"/>
        </w:rPr>
        <w:t>财政部、国家税务总局《关于安置残疾人就业单位城镇土地使用税等政策的通知》（财税</w:t>
      </w:r>
      <w:r>
        <w:rPr>
          <w:rFonts w:hint="eastAsia" w:ascii="宋体" w:hAnsi="宋体" w:eastAsia="宋体" w:cs="宋体"/>
          <w:color w:val="auto"/>
          <w:sz w:val="24"/>
          <w:szCs w:val="24"/>
          <w:lang w:eastAsia="zh-CN"/>
        </w:rPr>
        <w:t>〔2010〕121号）第二条</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对出租房产，租赁双方签订的租赁合同约定有免收租金期间的，免收租金期间由产权所有人按照房产原值缴纳房产税</w:t>
      </w:r>
      <w:r>
        <w:rPr>
          <w:rFonts w:hint="eastAsia" w:ascii="宋体" w:hAnsi="宋体" w:eastAsia="宋体" w:cs="宋体"/>
          <w:color w:val="auto"/>
          <w:sz w:val="24"/>
          <w:szCs w:val="24"/>
        </w:rPr>
        <w:t>”；本项目立项符合</w:t>
      </w:r>
      <w:r>
        <w:rPr>
          <w:rFonts w:hint="eastAsia" w:ascii="宋体" w:hAnsi="宋体" w:eastAsia="宋体" w:cs="宋体"/>
          <w:color w:val="auto"/>
          <w:sz w:val="24"/>
          <w:szCs w:val="24"/>
          <w:lang w:val="en-US"/>
        </w:rPr>
        <w:t>《</w:t>
      </w:r>
      <w:r>
        <w:rPr>
          <w:rFonts w:hint="eastAsia" w:ascii="宋体" w:hAnsi="宋体" w:eastAsia="宋体" w:cs="宋体"/>
          <w:color w:val="auto"/>
          <w:sz w:val="24"/>
          <w:szCs w:val="24"/>
          <w:lang w:val="en-US" w:eastAsia="zh-CN"/>
        </w:rPr>
        <w:t>中华人民共和国房产税暂行条例</w:t>
      </w:r>
      <w:r>
        <w:rPr>
          <w:rFonts w:hint="eastAsia" w:ascii="宋体" w:hAnsi="宋体" w:eastAsia="宋体" w:cs="宋体"/>
          <w:color w:val="auto"/>
          <w:sz w:val="24"/>
          <w:szCs w:val="24"/>
          <w:lang w:val="en-US"/>
        </w:rPr>
        <w:t>》</w:t>
      </w:r>
      <w:r>
        <w:rPr>
          <w:rFonts w:hint="eastAsia" w:ascii="宋体" w:hAnsi="宋体" w:eastAsia="宋体" w:cs="宋体"/>
          <w:color w:val="auto"/>
          <w:sz w:val="24"/>
          <w:szCs w:val="24"/>
          <w:lang w:val="en-US" w:eastAsia="zh-CN"/>
        </w:rPr>
        <w:t>；《中华人民共和国城镇土地使用税暂行条例》</w:t>
      </w:r>
      <w:r>
        <w:rPr>
          <w:rFonts w:hint="eastAsia" w:ascii="宋体" w:hAnsi="宋体" w:eastAsia="宋体" w:cs="宋体"/>
          <w:color w:val="auto"/>
          <w:sz w:val="24"/>
          <w:szCs w:val="24"/>
          <w:lang w:val="en-US"/>
        </w:rPr>
        <w:t>中</w:t>
      </w:r>
      <w:r>
        <w:rPr>
          <w:rFonts w:hint="eastAsia" w:ascii="宋体" w:hAnsi="宋体" w:eastAsia="宋体" w:cs="宋体"/>
          <w:color w:val="auto"/>
          <w:sz w:val="24"/>
          <w:szCs w:val="24"/>
          <w:lang w:val="en-US" w:eastAsia="zh-CN"/>
        </w:rPr>
        <w:t>：“城镇土地使用税、房产税”</w:t>
      </w:r>
      <w:r>
        <w:rPr>
          <w:rFonts w:hint="eastAsia" w:ascii="宋体" w:hAnsi="宋体" w:eastAsia="宋体" w:cs="宋体"/>
          <w:color w:val="auto"/>
          <w:sz w:val="24"/>
          <w:szCs w:val="24"/>
          <w:lang w:val="en-US"/>
        </w:rPr>
        <w:t>内容</w:t>
      </w:r>
      <w:r>
        <w:rPr>
          <w:rFonts w:hint="eastAsia" w:ascii="宋体" w:hAnsi="宋体" w:eastAsia="宋体" w:cs="宋体"/>
          <w:color w:val="auto"/>
          <w:sz w:val="24"/>
          <w:szCs w:val="24"/>
        </w:rPr>
        <w:t>，符合行业发展规划和政策要求；本项目立项符合《</w:t>
      </w:r>
      <w:r>
        <w:rPr>
          <w:rFonts w:hint="eastAsia" w:ascii="宋体" w:hAnsi="宋体" w:eastAsia="宋体" w:cs="宋体"/>
          <w:color w:val="auto"/>
          <w:sz w:val="24"/>
          <w:szCs w:val="24"/>
          <w:lang w:eastAsia="zh-CN"/>
        </w:rPr>
        <w:t>和田地区北京工业园区管理委员会</w:t>
      </w:r>
      <w:r>
        <w:rPr>
          <w:rFonts w:hint="eastAsia" w:ascii="宋体" w:hAnsi="宋体" w:eastAsia="宋体" w:cs="宋体"/>
          <w:color w:val="auto"/>
          <w:sz w:val="24"/>
          <w:szCs w:val="24"/>
        </w:rPr>
        <w:t>配置内设机构和人员编制规定》中职责范围中的“统一规划、管理入园项目和园区内的基础设施及公共设施”，属于我单位履职所需；根据《洛财纪字【2024】8号》，本项目资金性质为“公共财政预算”功能分类为“其他城乡社区公共设施支出”经济分类为“商品和服务支出”属</w:t>
      </w:r>
      <w:r>
        <w:rPr>
          <w:rFonts w:hint="eastAsia" w:ascii="宋体" w:hAnsi="宋体" w:eastAsia="宋体" w:cs="宋体"/>
          <w:color w:val="auto"/>
          <w:sz w:val="24"/>
          <w:szCs w:val="24"/>
          <w:highlight w:val="none"/>
        </w:rPr>
        <w:t>于公共财政支持范围，符合中央、地方事权支出责任划分原则；经检查我单位财政应用平台指标</w:t>
      </w:r>
      <w:r>
        <w:rPr>
          <w:rFonts w:hint="eastAsia" w:ascii="宋体" w:hAnsi="宋体" w:eastAsia="宋体" w:cs="宋体"/>
          <w:color w:val="000000"/>
          <w:sz w:val="24"/>
          <w:szCs w:val="24"/>
          <w:highlight w:val="none"/>
        </w:rPr>
        <w:t>，本项目不存在重复。</w:t>
      </w:r>
    </w:p>
    <w:p w14:paraId="37C93FC1">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综上所述，</w:t>
      </w:r>
      <w:r>
        <w:rPr>
          <w:rFonts w:hint="eastAsia" w:ascii="宋体" w:hAnsi="宋体" w:eastAsia="宋体" w:cs="宋体"/>
          <w:color w:val="000000"/>
          <w:sz w:val="24"/>
          <w:szCs w:val="24"/>
          <w:highlight w:val="none"/>
        </w:rPr>
        <w:t>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分，根据评分</w:t>
      </w:r>
      <w:r>
        <w:rPr>
          <w:rFonts w:hint="eastAsia" w:ascii="宋体" w:hAnsi="宋体" w:eastAsia="宋体" w:cs="宋体"/>
          <w:color w:val="auto"/>
          <w:sz w:val="24"/>
          <w:szCs w:val="24"/>
          <w:highlight w:val="none"/>
        </w:rPr>
        <w:t>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6AAF3852">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6DF98C3C">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本项目工业园区区内厂房房土两税费，项目立项过程中产生的文件均符合相关要求。本项目为特定目标类项目，属于经常性项目，项目预算金额为1156.92万元，不涉及事前绩效评估和风险评估。</w:t>
      </w:r>
    </w:p>
    <w:p w14:paraId="77F4CD6F">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2807BAC2">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b/>
          <w:bCs/>
          <w:color w:val="000000"/>
          <w:sz w:val="24"/>
          <w:szCs w:val="24"/>
          <w:highlight w:val="none"/>
          <w:lang w:val="en-US" w:eastAsia="zh-CN"/>
        </w:rPr>
        <w:t>3.绩效目标合理性</w:t>
      </w:r>
    </w:p>
    <w:p w14:paraId="1229A64E">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该项目已设置年度绩效目标，具体内容为“根据洛财纪字【2024】8号实施此项目，保障以前年度项目1个，该项目总投资1156.92万元；通过实施该项目保障以前年度工业园区区内厂房房土两税费，确保土地资源的合理利用，促进园区经济发展，保障政府税收收入”。</w:t>
      </w:r>
    </w:p>
    <w:p w14:paraId="2FC63EAF">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根据洛财纪字【2024】8号实施此项目，保障以前年度项目1个，该项目总投资1156.92万元；通过实施该项目有效保障了以前年度工业园区区内厂房房土两税费，确保了土地资源的合理利用，进一步促进了园区经济发展，有效保障了政府税收收入。绩效目标与实际工作内容一致，两者具有相关性。</w:t>
      </w:r>
    </w:p>
    <w:p w14:paraId="56E665D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eastAsia="zh-CN"/>
        </w:rPr>
        <w:t>社会效益指标</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保障以前年度工业园区区内厂房房土两税费，确保土地资源的合理利用，促进园区经济发展，保障政府税收收入</w:t>
      </w:r>
      <w:r>
        <w:rPr>
          <w:rFonts w:hint="eastAsia" w:ascii="宋体" w:hAnsi="宋体" w:eastAsia="宋体" w:cs="宋体"/>
          <w:color w:val="auto"/>
          <w:sz w:val="24"/>
          <w:szCs w:val="24"/>
          <w:highlight w:val="none"/>
        </w:rPr>
        <w:t>效益，预期产出效益和效果是否符合正常的业绩水平。</w:t>
      </w:r>
    </w:p>
    <w:p w14:paraId="38A6D287">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④该项目批复的预算金额为1156.92万元，《项目支出绩效目标表》中预算金额为1156.92万元，预算确定的项目资金与预算确定的项目投资额相匹配。</w:t>
      </w:r>
    </w:p>
    <w:p w14:paraId="19B698F2">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w:t>
      </w:r>
      <w:r>
        <w:rPr>
          <w:rFonts w:hint="eastAsia" w:ascii="宋体" w:hAnsi="宋体" w:eastAsia="宋体" w:cs="宋体"/>
          <w:color w:val="auto"/>
          <w:sz w:val="24"/>
          <w:szCs w:val="24"/>
          <w:highlight w:val="none"/>
          <w:lang w:eastAsia="zh-CN"/>
        </w:rPr>
        <w:t>。</w:t>
      </w:r>
    </w:p>
    <w:p w14:paraId="0B15BF1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6D5579F3">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6E568EC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经检查我单位年初设置的《工业园区区内厂房房土两税费项目支出绩效目标表》，得出如下结论：本项目已将年度绩效目标进行细化为绩效指标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个，定量指标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个，定性指标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个，指标量化率为</w:t>
      </w:r>
      <w:r>
        <w:rPr>
          <w:rFonts w:hint="eastAsia" w:ascii="宋体" w:hAnsi="宋体" w:eastAsia="宋体" w:cs="宋体"/>
          <w:color w:val="000000"/>
          <w:sz w:val="24"/>
          <w:szCs w:val="24"/>
          <w:highlight w:val="none"/>
          <w:lang w:val="en-US" w:eastAsia="zh-CN"/>
        </w:rPr>
        <w:t>85.7</w:t>
      </w:r>
      <w:r>
        <w:rPr>
          <w:rFonts w:hint="eastAsia" w:ascii="宋体" w:hAnsi="宋体" w:eastAsia="宋体" w:cs="宋体"/>
          <w:color w:val="000000"/>
          <w:sz w:val="24"/>
          <w:szCs w:val="24"/>
          <w:highlight w:val="none"/>
        </w:rPr>
        <w:t>%，量化率达70.0%以上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02E4C7E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该《工业园区区内厂房房土两税费项目绩效目标申报表》中，数量指标指标值为=1个，三级指标的年度指标值与年度绩效目标中任务数一致，已设置时效指标“</w:t>
      </w:r>
      <w:r>
        <w:rPr>
          <w:rFonts w:hint="eastAsia" w:ascii="宋体" w:hAnsi="宋体" w:eastAsia="宋体" w:cs="宋体"/>
          <w:color w:val="000000"/>
          <w:sz w:val="24"/>
          <w:szCs w:val="24"/>
          <w:highlight w:val="none"/>
          <w:lang w:val="en-US" w:eastAsia="zh-CN"/>
        </w:rPr>
        <w:t>项目完成时间，资金支付及时率</w:t>
      </w:r>
      <w:r>
        <w:rPr>
          <w:rFonts w:hint="eastAsia" w:ascii="宋体" w:hAnsi="宋体" w:eastAsia="宋体" w:cs="宋体"/>
          <w:color w:val="000000"/>
          <w:sz w:val="24"/>
          <w:szCs w:val="24"/>
          <w:highlight w:val="none"/>
        </w:rPr>
        <w:t>”。已设置的绩效目标具备明确性、可衡量性、可实现性、相关性、时限性。</w:t>
      </w:r>
    </w:p>
    <w:p w14:paraId="38C618A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4C05A42C">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055F0EA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保障以前年度项目1个，预算申请与《工业园区区内厂房房土两税费项目实施方案》中涉及的项目内容匹配；</w:t>
      </w:r>
    </w:p>
    <w:p w14:paraId="4DB2369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本项目预算申请资金1156.92万元，我单位在预算申请中严格按照项目实施内容及测算标准进行核算，其中：</w:t>
      </w:r>
      <w:r>
        <w:rPr>
          <w:rFonts w:hint="eastAsia" w:ascii="宋体" w:hAnsi="宋体" w:eastAsia="宋体" w:cs="宋体"/>
          <w:color w:val="000000"/>
          <w:sz w:val="24"/>
          <w:szCs w:val="24"/>
          <w:highlight w:val="none"/>
          <w:lang w:eastAsia="zh-CN"/>
        </w:rPr>
        <w:t>房产税</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1128.74</w:t>
      </w:r>
      <w:r>
        <w:rPr>
          <w:rFonts w:hint="eastAsia" w:ascii="宋体" w:hAnsi="宋体" w:eastAsia="宋体" w:cs="宋体"/>
          <w:color w:val="000000"/>
          <w:sz w:val="24"/>
          <w:szCs w:val="24"/>
          <w:highlight w:val="none"/>
        </w:rPr>
        <w:t>万元、</w:t>
      </w:r>
      <w:r>
        <w:rPr>
          <w:rFonts w:hint="eastAsia" w:ascii="宋体" w:hAnsi="宋体" w:eastAsia="宋体" w:cs="宋体"/>
          <w:color w:val="000000"/>
          <w:sz w:val="24"/>
          <w:szCs w:val="24"/>
          <w:highlight w:val="none"/>
          <w:lang w:eastAsia="zh-CN"/>
        </w:rPr>
        <w:t>城镇土地使用税</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28.18</w:t>
      </w:r>
      <w:r>
        <w:rPr>
          <w:rFonts w:hint="eastAsia" w:ascii="宋体" w:hAnsi="宋体" w:eastAsia="宋体" w:cs="宋体"/>
          <w:color w:val="000000"/>
          <w:sz w:val="24"/>
          <w:szCs w:val="24"/>
          <w:highlight w:val="none"/>
        </w:rPr>
        <w:t>万元。预算确定资金量与实际工作任务相匹配。本项目预算额度测算依据充分，严格按照标准编制，预算确定资金量与实际工作任务相匹配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0ACB1AB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37D2E217">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6177500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w:t>
      </w:r>
      <w:r>
        <w:rPr>
          <w:rFonts w:hint="eastAsia" w:ascii="宋体" w:hAnsi="宋体" w:eastAsia="宋体" w:cs="宋体"/>
          <w:color w:val="000000"/>
          <w:sz w:val="24"/>
          <w:szCs w:val="24"/>
          <w:highlight w:val="none"/>
          <w:lang w:eastAsia="zh-CN"/>
        </w:rPr>
        <w:t>拨付房产税、城镇土地使用税的请示</w:t>
      </w:r>
      <w:r>
        <w:rPr>
          <w:rFonts w:hint="eastAsia" w:ascii="宋体" w:hAnsi="宋体" w:eastAsia="宋体" w:cs="宋体"/>
          <w:color w:val="000000"/>
          <w:sz w:val="24"/>
          <w:szCs w:val="24"/>
          <w:highlight w:val="none"/>
        </w:rPr>
        <w:t>》和《工业园区区内厂房房土两税费项目实施方案》为依据进行资金分配，预算资金分配依据充分。根据洛财纪字【2024】8号</w:t>
      </w:r>
      <w:r>
        <w:rPr>
          <w:rFonts w:hint="eastAsia" w:ascii="宋体" w:hAnsi="宋体" w:eastAsia="宋体" w:cs="宋体"/>
          <w:color w:val="000000"/>
          <w:sz w:val="24"/>
          <w:szCs w:val="24"/>
          <w:highlight w:val="none"/>
          <w:lang w:eastAsia="zh-CN"/>
        </w:rPr>
        <w:t>文件</w:t>
      </w:r>
      <w:r>
        <w:rPr>
          <w:rFonts w:hint="eastAsia" w:ascii="宋体" w:hAnsi="宋体" w:eastAsia="宋体" w:cs="宋体"/>
          <w:color w:val="000000"/>
          <w:sz w:val="24"/>
          <w:szCs w:val="24"/>
          <w:highlight w:val="none"/>
        </w:rPr>
        <w:t>，本项目实际到位资金1156.92万元，资金分配额度合理，与我单位实际需求相适应</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资金分配与实际相适应</w:t>
      </w:r>
      <w:r>
        <w:rPr>
          <w:rFonts w:hint="eastAsia" w:ascii="宋体" w:hAnsi="宋体" w:eastAsia="宋体" w:cs="宋体"/>
          <w:color w:val="000000"/>
          <w:sz w:val="24"/>
          <w:szCs w:val="24"/>
          <w:highlight w:val="none"/>
          <w:lang w:eastAsia="zh-CN"/>
        </w:rPr>
        <w:t>。</w:t>
      </w:r>
    </w:p>
    <w:p w14:paraId="15FEC2C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403B954A">
      <w:pPr>
        <w:pStyle w:val="5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5D14AF7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A35F375">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38920EBB">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本项目预算资金为1156.92万元，其中：财政安排资金1156.92万元，其他资金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万元，实际到位资金1156.92万元，资金到位率</w:t>
      </w:r>
      <w:r>
        <w:rPr>
          <w:rFonts w:hint="eastAsia" w:ascii="宋体" w:hAnsi="宋体" w:eastAsia="宋体" w:cs="宋体"/>
          <w:color w:val="auto"/>
          <w:sz w:val="24"/>
          <w:szCs w:val="24"/>
          <w:highlight w:val="none"/>
          <w:lang w:val="en-US" w:eastAsia="zh-CN"/>
        </w:rPr>
        <w:t>100%；通过分析可知，该项目</w:t>
      </w:r>
      <w:r>
        <w:rPr>
          <w:rFonts w:hint="eastAsia" w:ascii="宋体" w:hAnsi="宋体" w:eastAsia="宋体" w:cs="宋体"/>
          <w:color w:val="auto"/>
          <w:sz w:val="24"/>
          <w:szCs w:val="24"/>
          <w:highlight w:val="none"/>
        </w:rPr>
        <w:t>财政资金足额拨付到位，能够及时足额</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给</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w:t>
      </w:r>
    </w:p>
    <w:p w14:paraId="53FA700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42A91892">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5A537FBB">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本项目实际支出资金1156.92万元，预算执行率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w:t>
      </w:r>
      <w:r>
        <w:rPr>
          <w:rFonts w:hint="eastAsia" w:ascii="宋体" w:hAnsi="宋体" w:eastAsia="宋体" w:cs="宋体"/>
          <w:color w:val="auto"/>
          <w:sz w:val="24"/>
          <w:szCs w:val="24"/>
          <w:highlight w:val="none"/>
          <w:lang w:eastAsia="zh-CN"/>
        </w:rPr>
        <w:t>。</w:t>
      </w:r>
    </w:p>
    <w:p w14:paraId="46CB3BA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56ECEA3F">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62CFCB8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和田地区北京工业园区管理委员</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val="en-US" w:eastAsia="zh-CN"/>
        </w:rPr>
        <w:t>和田地区北京工业园区管理委员</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w:t>
      </w:r>
      <w:r>
        <w:rPr>
          <w:rFonts w:hint="eastAsia" w:ascii="宋体" w:hAnsi="宋体" w:eastAsia="宋体" w:cs="宋体"/>
          <w:color w:val="auto"/>
          <w:sz w:val="24"/>
          <w:szCs w:val="24"/>
          <w:highlight w:val="none"/>
          <w:lang w:eastAsia="zh-CN"/>
        </w:rPr>
        <w:t>。</w:t>
      </w:r>
    </w:p>
    <w:p w14:paraId="25B30693">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56FE635E">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13E7A1A3">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我单位已制定《</w:t>
      </w:r>
      <w:r>
        <w:rPr>
          <w:rFonts w:hint="eastAsia" w:ascii="宋体" w:hAnsi="宋体" w:eastAsia="宋体" w:cs="宋体"/>
          <w:color w:val="auto"/>
          <w:sz w:val="24"/>
          <w:szCs w:val="24"/>
          <w:highlight w:val="none"/>
          <w:lang w:val="en-US" w:eastAsia="zh-CN"/>
        </w:rPr>
        <w:t>和田地区北京工业园区管理委员会</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val="en-US" w:eastAsia="zh-CN"/>
        </w:rPr>
        <w:t>和田地区北京工业园区管理委员会</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val="en-US" w:eastAsia="zh-CN"/>
        </w:rPr>
        <w:t>和田地区北京工业园区管理委员会政府采购业务管理制度</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和田地区北京工业园区管理委员会</w:t>
      </w:r>
      <w:r>
        <w:rPr>
          <w:rFonts w:hint="eastAsia" w:ascii="宋体" w:hAnsi="宋体" w:eastAsia="宋体" w:cs="宋体"/>
          <w:color w:val="auto"/>
          <w:sz w:val="24"/>
          <w:szCs w:val="24"/>
          <w:highlight w:val="none"/>
        </w:rPr>
        <w:t>合同管理制度》，</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制度均符合行政事业单位内控管理要求，财务和业务管理制度合法、合规、完整，本项目执行符合上述制度规定。</w:t>
      </w:r>
    </w:p>
    <w:p w14:paraId="1BD8EDB5">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5676A321">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552F73C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val="en-US" w:eastAsia="zh-CN"/>
        </w:rPr>
        <w:t>资金管理</w:t>
      </w:r>
      <w:r>
        <w:rPr>
          <w:rFonts w:hint="eastAsia" w:ascii="宋体" w:hAnsi="宋体" w:eastAsia="宋体" w:cs="宋体"/>
          <w:color w:val="auto"/>
          <w:sz w:val="24"/>
          <w:szCs w:val="24"/>
          <w:highlight w:val="none"/>
        </w:rPr>
        <w:t>办法》《收支业务管理制度》《</w:t>
      </w:r>
      <w:r>
        <w:rPr>
          <w:rFonts w:hint="eastAsia" w:ascii="宋体" w:hAnsi="宋体" w:eastAsia="宋体" w:cs="宋体"/>
          <w:color w:val="auto"/>
          <w:sz w:val="24"/>
          <w:szCs w:val="24"/>
          <w:highlight w:val="none"/>
          <w:lang w:val="en-US" w:eastAsia="zh-CN"/>
        </w:rPr>
        <w:t>政府</w:t>
      </w:r>
      <w:r>
        <w:rPr>
          <w:rFonts w:hint="eastAsia" w:ascii="宋体" w:hAnsi="宋体" w:eastAsia="宋体" w:cs="宋体"/>
          <w:color w:val="auto"/>
          <w:sz w:val="24"/>
          <w:szCs w:val="24"/>
          <w:highlight w:val="none"/>
        </w:rPr>
        <w:t>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673FE1B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7D32295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2F204B4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工业园区区内厂房房土两税费项目工作领导小组，由</w:t>
      </w:r>
      <w:r>
        <w:rPr>
          <w:rFonts w:hint="eastAsia" w:ascii="宋体" w:hAnsi="宋体" w:eastAsia="宋体" w:cs="宋体"/>
          <w:color w:val="auto"/>
          <w:sz w:val="24"/>
          <w:szCs w:val="24"/>
          <w:highlight w:val="none"/>
          <w:lang w:eastAsia="zh-CN"/>
        </w:rPr>
        <w:t>麦麦提明</w:t>
      </w:r>
      <w:r>
        <w:rPr>
          <w:rFonts w:hint="eastAsia" w:ascii="宋体" w:hAnsi="宋体" w:eastAsia="宋体" w:cs="宋体"/>
          <w:color w:val="auto"/>
          <w:sz w:val="24"/>
          <w:szCs w:val="24"/>
          <w:highlight w:val="none"/>
          <w:lang w:val="en-US" w:eastAsia="zh-CN"/>
        </w:rPr>
        <w:t>·麦吐送</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eastAsia="zh-CN"/>
        </w:rPr>
        <w:t>马王江</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eastAsia="zh-CN"/>
        </w:rPr>
        <w:t>方志</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刘彦鹏</w:t>
      </w:r>
      <w:r>
        <w:rPr>
          <w:rFonts w:hint="eastAsia" w:ascii="宋体" w:hAnsi="宋体" w:eastAsia="宋体" w:cs="宋体"/>
          <w:color w:val="auto"/>
          <w:sz w:val="24"/>
          <w:szCs w:val="24"/>
          <w:highlight w:val="none"/>
        </w:rPr>
        <w:t>，主要负责项目监督管理、验收以及资金核拨等工作。</w:t>
      </w:r>
    </w:p>
    <w:p w14:paraId="0C65164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730C0998">
      <w:pPr>
        <w:pStyle w:val="5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68D8B9B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5C8ED3E">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1A0AC08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工业园区区内厂房房土两税费数量，预期指标值</w:t>
      </w:r>
      <w:r>
        <w:rPr>
          <w:rFonts w:hint="eastAsia" w:ascii="宋体" w:hAnsi="宋体" w:eastAsia="宋体" w:cs="宋体"/>
          <w:color w:val="auto"/>
          <w:sz w:val="24"/>
          <w:szCs w:val="24"/>
          <w:highlight w:val="none"/>
          <w:lang w:val="en-US" w:eastAsia="zh-CN"/>
        </w:rPr>
        <w:t>等于</w:t>
      </w:r>
      <w:r>
        <w:rPr>
          <w:rFonts w:hint="eastAsia" w:ascii="宋体" w:hAnsi="宋体" w:eastAsia="宋体" w:cs="宋体"/>
          <w:color w:val="auto"/>
          <w:sz w:val="24"/>
          <w:szCs w:val="24"/>
          <w:highlight w:val="none"/>
        </w:rPr>
        <w:t>1个，实际完成值为</w:t>
      </w:r>
      <w:r>
        <w:rPr>
          <w:rFonts w:hint="eastAsia" w:ascii="宋体" w:hAnsi="宋体" w:eastAsia="宋体" w:cs="宋体"/>
          <w:color w:val="auto"/>
          <w:sz w:val="24"/>
          <w:szCs w:val="24"/>
          <w:highlight w:val="none"/>
          <w:lang w:val="en-US" w:eastAsia="zh-CN"/>
        </w:rPr>
        <w:t>1个</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5F5E381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1D13A637">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64F6E843">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资金使用合规率，预期指标值</w:t>
      </w:r>
      <w:r>
        <w:rPr>
          <w:rFonts w:hint="eastAsia" w:ascii="宋体" w:hAnsi="宋体" w:eastAsia="宋体" w:cs="宋体"/>
          <w:color w:val="auto"/>
          <w:sz w:val="24"/>
          <w:szCs w:val="24"/>
          <w:highlight w:val="none"/>
          <w:lang w:val="en-US" w:eastAsia="zh-CN"/>
        </w:rPr>
        <w:t>等于</w:t>
      </w:r>
      <w:r>
        <w:rPr>
          <w:rFonts w:hint="eastAsia" w:ascii="宋体" w:hAnsi="宋体" w:eastAsia="宋体" w:cs="宋体"/>
          <w:color w:val="auto"/>
          <w:sz w:val="24"/>
          <w:szCs w:val="24"/>
          <w:highlight w:val="none"/>
        </w:rPr>
        <w:t>100%，实际完成值为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1A4242F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7958FCE0">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5AD047EF">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项目完成时间，预期指标值为</w:t>
      </w:r>
      <w:r>
        <w:rPr>
          <w:rFonts w:hint="eastAsia" w:ascii="宋体" w:hAnsi="宋体" w:eastAsia="宋体" w:cs="宋体"/>
          <w:color w:val="auto"/>
          <w:sz w:val="24"/>
          <w:szCs w:val="24"/>
          <w:highlight w:val="none"/>
          <w:lang w:val="en-US" w:eastAsia="zh-CN"/>
        </w:rPr>
        <w:t>2024年12月</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2024年12月</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73723B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资金支付及时率，预期指标值</w:t>
      </w:r>
      <w:r>
        <w:rPr>
          <w:rFonts w:hint="eastAsia" w:ascii="宋体" w:hAnsi="宋体" w:eastAsia="宋体" w:cs="宋体"/>
          <w:color w:val="auto"/>
          <w:sz w:val="24"/>
          <w:szCs w:val="24"/>
          <w:highlight w:val="none"/>
          <w:lang w:val="en-US" w:eastAsia="zh-CN"/>
        </w:rPr>
        <w:t>等于100%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F47A290">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683A345E">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3F237DA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工业园区区内厂房房土两税费，预期指标值</w:t>
      </w:r>
      <w:r>
        <w:rPr>
          <w:rFonts w:hint="eastAsia" w:ascii="宋体" w:hAnsi="宋体" w:eastAsia="宋体" w:cs="宋体"/>
          <w:color w:val="auto"/>
          <w:sz w:val="24"/>
          <w:szCs w:val="24"/>
          <w:highlight w:val="none"/>
          <w:lang w:val="en-US" w:eastAsia="zh-CN"/>
        </w:rPr>
        <w:t>小于等于</w:t>
      </w:r>
      <w:r>
        <w:rPr>
          <w:rFonts w:hint="eastAsia" w:ascii="宋体" w:hAnsi="宋体" w:eastAsia="宋体" w:cs="宋体"/>
          <w:color w:val="auto"/>
          <w:sz w:val="24"/>
          <w:szCs w:val="24"/>
          <w:highlight w:val="none"/>
        </w:rPr>
        <w:t>1156.92万元，实际完成值为1156.92万元，指标完成率为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本年支付</w:t>
      </w:r>
      <w:r>
        <w:rPr>
          <w:rFonts w:hint="eastAsia" w:ascii="宋体" w:hAnsi="宋体" w:eastAsia="宋体" w:cs="宋体"/>
          <w:color w:val="auto"/>
          <w:sz w:val="24"/>
          <w:szCs w:val="24"/>
          <w:highlight w:val="none"/>
          <w:lang w:eastAsia="zh-CN"/>
        </w:rPr>
        <w:t>厂房房土两税</w:t>
      </w:r>
      <w:r>
        <w:rPr>
          <w:rFonts w:hint="eastAsia" w:ascii="宋体" w:hAnsi="宋体" w:eastAsia="宋体" w:cs="宋体"/>
          <w:color w:val="auto"/>
          <w:sz w:val="24"/>
          <w:szCs w:val="24"/>
          <w:highlight w:val="none"/>
        </w:rPr>
        <w:t>金额1156.92万元，项目经费都能控制绩效目标范围内，根据评分标准，该指标不扣分，得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3A7B7386">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rPr>
      </w:pPr>
      <w:r>
        <w:rPr>
          <w:rFonts w:hint="eastAsia" w:ascii="宋体" w:hAnsi="宋体" w:eastAsia="宋体" w:cs="宋体"/>
          <w:b w:val="0"/>
          <w:bCs/>
          <w:color w:val="auto"/>
          <w:sz w:val="24"/>
          <w:szCs w:val="24"/>
          <w:highlight w:val="none"/>
        </w:rPr>
        <w:t>合计得10分。</w:t>
      </w:r>
    </w:p>
    <w:p w14:paraId="49579C8A">
      <w:pPr>
        <w:pStyle w:val="5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700A1AE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个三级指标构成，权重分为</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分，实际得分</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分，得分率为100%。</w:t>
      </w:r>
    </w:p>
    <w:p w14:paraId="57358ABF">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5C496C8F">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保障政府公信力，预期指标值为</w:t>
      </w:r>
      <w:r>
        <w:rPr>
          <w:rFonts w:hint="eastAsia" w:ascii="宋体" w:hAnsi="宋体" w:eastAsia="宋体" w:cs="宋体"/>
          <w:sz w:val="24"/>
          <w:szCs w:val="24"/>
          <w:highlight w:val="none"/>
          <w:lang w:val="en-US" w:eastAsia="zh-CN"/>
        </w:rPr>
        <w:t>有效保障</w:t>
      </w:r>
      <w:r>
        <w:rPr>
          <w:rFonts w:hint="eastAsia" w:ascii="宋体" w:hAnsi="宋体" w:eastAsia="宋体" w:cs="宋体"/>
          <w:sz w:val="24"/>
          <w:szCs w:val="24"/>
          <w:highlight w:val="none"/>
        </w:rPr>
        <w:t>，实际完成值为</w:t>
      </w:r>
      <w:r>
        <w:rPr>
          <w:rFonts w:hint="eastAsia" w:ascii="宋体" w:hAnsi="宋体" w:eastAsia="宋体" w:cs="宋体"/>
          <w:sz w:val="24"/>
          <w:szCs w:val="24"/>
          <w:highlight w:val="none"/>
          <w:lang w:val="en-US" w:eastAsia="zh-CN"/>
        </w:rPr>
        <w:t>有效保障</w:t>
      </w:r>
      <w:r>
        <w:rPr>
          <w:rFonts w:hint="eastAsia" w:ascii="宋体" w:hAnsi="宋体" w:eastAsia="宋体" w:cs="宋体"/>
          <w:sz w:val="24"/>
          <w:szCs w:val="24"/>
          <w:highlight w:val="none"/>
        </w:rPr>
        <w:t>，指标完成率为</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，与预期指标一致，根据评分标准，该指标不扣分，得</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p w14:paraId="2277AD75">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2F96DF0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47CDB50D">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7C88807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rPr>
      </w:pPr>
      <w:r>
        <w:rPr>
          <w:rFonts w:hint="eastAsia" w:ascii="宋体" w:hAnsi="宋体" w:eastAsia="宋体" w:cs="宋体"/>
          <w:b w:val="0"/>
          <w:bCs w:val="0"/>
          <w:color w:val="000000"/>
          <w:sz w:val="24"/>
          <w:szCs w:val="24"/>
          <w:highlight w:val="none"/>
          <w:lang w:val="en-US" w:eastAsia="zh-CN"/>
        </w:rPr>
        <w:t>该项目不涉及生态效益指标。</w:t>
      </w:r>
    </w:p>
    <w:p w14:paraId="6620BBA2">
      <w:pPr>
        <w:pStyle w:val="5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2A64FBCB">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主管单位满意度，预期指标值大于等于95%，实际完成值为95%，指标完成率为100%，与预期目标一致，根据评分标准，该指标不扣分,得10分。</w:t>
      </w:r>
      <w:bookmarkEnd w:id="23"/>
    </w:p>
    <w:p w14:paraId="51482F6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宋体" w:hAnsi="宋体" w:eastAsia="宋体" w:cs="宋体"/>
          <w:b w:val="0"/>
          <w:bCs w:val="0"/>
          <w:color w:val="000000"/>
          <w:sz w:val="24"/>
          <w:szCs w:val="24"/>
          <w:highlight w:val="none"/>
          <w:lang w:val="en-US" w:eastAsia="zh-CN"/>
        </w:rPr>
        <w:t>合计得25分。</w:t>
      </w:r>
    </w:p>
    <w:p w14:paraId="34145DBD">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6278902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本项目年初预算资金总额为0万元，全年预算数为1156.92万元，全年执行数为1156.92万元，预算执行率为100%。</w:t>
      </w:r>
    </w:p>
    <w:p w14:paraId="166FDDF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本项目共设置三级指标数量7个，满分指标数量7个，扣分指标数量0个，经分析计算所有三级指标完成率得出，本项目总体完成率为100%。</w:t>
      </w:r>
    </w:p>
    <w:p w14:paraId="51B6967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综上所述本项目预算执行率与总体完成率之间无偏差。</w:t>
      </w:r>
    </w:p>
    <w:p w14:paraId="44E98935">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rPr>
      </w:pPr>
      <w:bookmarkStart w:id="24" w:name="_Toc68364673"/>
      <w:r>
        <w:rPr>
          <w:rFonts w:hint="eastAsia" w:ascii="黑体" w:hAnsi="黑体" w:eastAsia="黑体" w:cs="黑体"/>
          <w:b/>
          <w:bCs/>
          <w:sz w:val="24"/>
          <w:szCs w:val="24"/>
        </w:rPr>
        <w:t>六、主要经验及做法、存在的问题及原因分析</w:t>
      </w:r>
    </w:p>
    <w:p w14:paraId="1909C729">
      <w:pPr>
        <w:pStyle w:val="54"/>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（一）主要经验及做法</w:t>
      </w:r>
      <w:bookmarkEnd w:id="24"/>
    </w:p>
    <w:p w14:paraId="75D1874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bookmarkStart w:id="25" w:name="_Toc68364674"/>
      <w:r>
        <w:rPr>
          <w:rFonts w:hint="eastAsia" w:ascii="宋体" w:hAnsi="宋体" w:eastAsia="宋体" w:cs="宋体"/>
          <w:b w:val="0"/>
          <w:bCs w:val="0"/>
          <w:color w:val="000000"/>
          <w:sz w:val="24"/>
          <w:szCs w:val="24"/>
          <w:highlight w:val="none"/>
          <w:lang w:val="en-US" w:eastAsia="zh-CN"/>
        </w:rPr>
        <w:t>一是按照注重绩效、利于管理、优化程序、提高效率的原则，在充分调查研究、广泛征求意见的基础上进一步规范项目管理，提高项目管理的科学性和有效性。</w:t>
      </w:r>
    </w:p>
    <w:p w14:paraId="0B14C40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二是实事求是，真实反映情况，项目管理部门对当年项目绩效进行自评，分析好评价项目的完成情况，分析工作难点，查找原因，改进措施。</w:t>
      </w:r>
    </w:p>
    <w:p w14:paraId="460DBBA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三是加强绩效目标管理，规范预算编制流程，增强预算控制力和执行力，强化职能监督，抓好未落实的工作。</w:t>
      </w:r>
    </w:p>
    <w:p w14:paraId="1BDC7BD4">
      <w:pPr>
        <w:pStyle w:val="5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r>
        <w:rPr>
          <w:rFonts w:hint="eastAsia" w:ascii="宋体" w:hAnsi="宋体" w:eastAsia="宋体" w:cs="宋体"/>
          <w:sz w:val="24"/>
          <w:szCs w:val="24"/>
        </w:rPr>
        <w:t>（二）存在问题及原因分析</w:t>
      </w:r>
      <w:bookmarkEnd w:id="25"/>
    </w:p>
    <w:p w14:paraId="3676A62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一是对各项指标和指标值要进一步优化、完善，主要在细化、量化上改进；</w:t>
      </w:r>
    </w:p>
    <w:p w14:paraId="4DC0EA07">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二是部门评价工作还存在自我审定的局限性，会影响评价质量，容易造成问题的疏漏，在客观性和公正性上说服力不强；</w:t>
      </w:r>
    </w:p>
    <w:p w14:paraId="7C8E51C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三是缺少带着问题去评价的意识；</w:t>
      </w:r>
    </w:p>
    <w:p w14:paraId="328BCDC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四是现场评价的工作量少，后续效益评价具体措施和方法较少。</w:t>
      </w:r>
    </w:p>
    <w:p w14:paraId="0C649649">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rPr>
      </w:pPr>
      <w:bookmarkStart w:id="26" w:name="_Toc68364675"/>
      <w:r>
        <w:rPr>
          <w:rFonts w:hint="eastAsia" w:ascii="黑体" w:hAnsi="黑体" w:eastAsia="黑体" w:cs="黑体"/>
          <w:b/>
          <w:bCs/>
          <w:sz w:val="24"/>
          <w:szCs w:val="24"/>
        </w:rPr>
        <w:t>七、有关建议</w:t>
      </w:r>
      <w:bookmarkEnd w:id="26"/>
    </w:p>
    <w:p w14:paraId="6D35AB0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53B08F7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2.项目评价资料有待进一步完善。项目启动时同步做好档案的归纳与整理，及时整理、收集、汇总，健全档案资料。项目后续管理有待进一步加强和跟踪。</w:t>
      </w:r>
    </w:p>
    <w:p w14:paraId="2D4CD43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3.通过绩效管理，发现实施中存在漏洞，以后加强管理，及时掌握与之相关的各类信息，减少成本，使资金效益最大化。</w:t>
      </w:r>
    </w:p>
    <w:p w14:paraId="51033D8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4．评价工作应从项目实施方案源头抓起，评价工作和意识应贯穿项目整个过程。</w:t>
      </w:r>
      <w:bookmarkStart w:id="27" w:name="_Toc68364676"/>
    </w:p>
    <w:p w14:paraId="2A759D6D">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八、其他需要说明的问题</w:t>
      </w:r>
      <w:bookmarkEnd w:id="27"/>
    </w:p>
    <w:p w14:paraId="412FF30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我单位对上述项目支出绩效评价报告内反映内容的真实性、完整性负责，愿接受上级部门及社会公众监督。</w:t>
      </w:r>
    </w:p>
    <w:p w14:paraId="536BAF7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p>
    <w:p w14:paraId="29B1562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附件1：工业园区区内厂房房土两税费项目绩效评价指标体系</w:t>
      </w:r>
    </w:p>
    <w:p w14:paraId="1A425E3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附件2：工业园区区内厂房房土两税费项目综合得分表</w:t>
      </w:r>
    </w:p>
    <w:p w14:paraId="1AE9CE40">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附件3：满意度调查问分析情况</w:t>
      </w:r>
    </w:p>
    <w:p w14:paraId="7830D79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23785E94">
      <w:pPr>
        <w:pStyle w:val="10"/>
        <w:ind w:left="0" w:leftChars="0" w:firstLine="0" w:firstLineChars="0"/>
        <w:jc w:val="both"/>
        <w:rPr>
          <w:rFonts w:hint="eastAsia" w:ascii="宋体" w:hAnsi="宋体" w:eastAsia="宋体" w:cs="宋体"/>
          <w:sz w:val="24"/>
          <w:szCs w:val="24"/>
        </w:rPr>
      </w:pPr>
    </w:p>
    <w:p w14:paraId="4E05DAD0">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99"/>
        <w:gridCol w:w="675"/>
        <w:gridCol w:w="726"/>
        <w:gridCol w:w="551"/>
        <w:gridCol w:w="666"/>
        <w:gridCol w:w="551"/>
        <w:gridCol w:w="2650"/>
        <w:gridCol w:w="1118"/>
        <w:gridCol w:w="4272"/>
        <w:gridCol w:w="952"/>
        <w:gridCol w:w="508"/>
      </w:tblGrid>
      <w:tr w14:paraId="082BE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99" w:type="dxa"/>
            <w:tcBorders>
              <w:top w:val="nil"/>
              <w:left w:val="nil"/>
              <w:bottom w:val="nil"/>
              <w:right w:val="nil"/>
            </w:tcBorders>
            <w:noWrap/>
            <w:vAlign w:val="center"/>
          </w:tcPr>
          <w:p w14:paraId="11AB0F2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附件1：</w:t>
            </w:r>
          </w:p>
        </w:tc>
        <w:tc>
          <w:tcPr>
            <w:tcW w:w="675" w:type="dxa"/>
            <w:tcBorders>
              <w:top w:val="nil"/>
              <w:left w:val="nil"/>
              <w:bottom w:val="nil"/>
              <w:right w:val="nil"/>
            </w:tcBorders>
            <w:noWrap/>
            <w:vAlign w:val="center"/>
          </w:tcPr>
          <w:p w14:paraId="5D379957">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726" w:type="dxa"/>
            <w:tcBorders>
              <w:top w:val="nil"/>
              <w:left w:val="nil"/>
              <w:bottom w:val="nil"/>
              <w:right w:val="nil"/>
            </w:tcBorders>
            <w:noWrap/>
            <w:vAlign w:val="center"/>
          </w:tcPr>
          <w:p w14:paraId="646944F5">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noWrap/>
            <w:vAlign w:val="center"/>
          </w:tcPr>
          <w:p w14:paraId="29B62DA8">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666" w:type="dxa"/>
            <w:tcBorders>
              <w:top w:val="nil"/>
              <w:left w:val="nil"/>
              <w:bottom w:val="nil"/>
              <w:right w:val="nil"/>
            </w:tcBorders>
            <w:noWrap/>
            <w:vAlign w:val="center"/>
          </w:tcPr>
          <w:p w14:paraId="3A76EA4E">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551" w:type="dxa"/>
            <w:tcBorders>
              <w:top w:val="nil"/>
              <w:left w:val="nil"/>
              <w:bottom w:val="nil"/>
              <w:right w:val="nil"/>
            </w:tcBorders>
            <w:noWrap/>
            <w:vAlign w:val="center"/>
          </w:tcPr>
          <w:p w14:paraId="77372598">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2650" w:type="dxa"/>
            <w:tcBorders>
              <w:top w:val="nil"/>
              <w:left w:val="nil"/>
              <w:bottom w:val="nil"/>
              <w:right w:val="nil"/>
            </w:tcBorders>
            <w:noWrap/>
            <w:vAlign w:val="center"/>
          </w:tcPr>
          <w:p w14:paraId="7C56D447">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18"/>
                <w:szCs w:val="18"/>
                <w:u w:val="none"/>
              </w:rPr>
            </w:pPr>
          </w:p>
        </w:tc>
        <w:tc>
          <w:tcPr>
            <w:tcW w:w="1118" w:type="dxa"/>
            <w:tcBorders>
              <w:top w:val="nil"/>
              <w:left w:val="nil"/>
              <w:bottom w:val="nil"/>
              <w:right w:val="nil"/>
            </w:tcBorders>
            <w:noWrap/>
            <w:vAlign w:val="center"/>
          </w:tcPr>
          <w:p w14:paraId="719733A5">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4272" w:type="dxa"/>
            <w:tcBorders>
              <w:top w:val="nil"/>
              <w:left w:val="nil"/>
              <w:bottom w:val="nil"/>
              <w:right w:val="nil"/>
            </w:tcBorders>
            <w:noWrap/>
            <w:vAlign w:val="center"/>
          </w:tcPr>
          <w:p w14:paraId="69029BF0">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952" w:type="dxa"/>
            <w:tcBorders>
              <w:top w:val="nil"/>
              <w:left w:val="nil"/>
              <w:bottom w:val="nil"/>
              <w:right w:val="nil"/>
            </w:tcBorders>
            <w:noWrap/>
            <w:vAlign w:val="center"/>
          </w:tcPr>
          <w:p w14:paraId="6BB38446">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c>
          <w:tcPr>
            <w:tcW w:w="508" w:type="dxa"/>
            <w:tcBorders>
              <w:top w:val="nil"/>
              <w:left w:val="nil"/>
              <w:bottom w:val="nil"/>
              <w:right w:val="nil"/>
            </w:tcBorders>
            <w:noWrap/>
            <w:vAlign w:val="center"/>
          </w:tcPr>
          <w:p w14:paraId="6F286238">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18"/>
                <w:szCs w:val="18"/>
                <w:u w:val="none"/>
              </w:rPr>
            </w:pPr>
          </w:p>
        </w:tc>
      </w:tr>
      <w:tr w14:paraId="3C7DF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3368" w:type="dxa"/>
            <w:gridSpan w:val="11"/>
            <w:tcBorders>
              <w:top w:val="nil"/>
              <w:left w:val="nil"/>
              <w:bottom w:val="nil"/>
              <w:right w:val="nil"/>
            </w:tcBorders>
            <w:noWrap w:val="0"/>
            <w:vAlign w:val="center"/>
          </w:tcPr>
          <w:p w14:paraId="49DD422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color w:val="auto"/>
                <w:kern w:val="0"/>
                <w:sz w:val="22"/>
                <w:szCs w:val="22"/>
                <w:u w:val="none"/>
                <w:lang w:val="en-US" w:eastAsia="zh-CN"/>
              </w:rPr>
              <w:t>工业园区区内厂房房土两税费项目</w:t>
            </w:r>
            <w:r>
              <w:rPr>
                <w:rStyle w:val="47"/>
                <w:rFonts w:hint="eastAsia" w:ascii="宋体" w:hAnsi="宋体" w:eastAsia="宋体" w:cs="宋体"/>
                <w:color w:val="auto"/>
                <w:sz w:val="22"/>
                <w:szCs w:val="22"/>
                <w:lang w:val="en-US" w:eastAsia="zh-CN"/>
              </w:rPr>
              <w:t>绩效评价指标</w:t>
            </w:r>
            <w:r>
              <w:rPr>
                <w:rStyle w:val="47"/>
                <w:rFonts w:hint="eastAsia" w:ascii="宋体" w:hAnsi="宋体" w:eastAsia="宋体" w:cs="宋体"/>
                <w:sz w:val="22"/>
                <w:szCs w:val="22"/>
                <w:lang w:val="en-US" w:eastAsia="zh-CN"/>
              </w:rPr>
              <w:t>体系综合评分表</w:t>
            </w:r>
          </w:p>
        </w:tc>
      </w:tr>
      <w:tr w14:paraId="05A76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99" w:type="dxa"/>
            <w:tcBorders>
              <w:top w:val="single" w:color="auto" w:sz="4" w:space="0"/>
              <w:left w:val="single" w:color="auto" w:sz="4" w:space="0"/>
              <w:bottom w:val="single" w:color="auto" w:sz="4" w:space="0"/>
              <w:right w:val="single" w:color="auto" w:sz="4" w:space="0"/>
            </w:tcBorders>
            <w:noWrap w:val="0"/>
            <w:vAlign w:val="center"/>
          </w:tcPr>
          <w:p w14:paraId="74B2D7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20885B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726" w:type="dxa"/>
            <w:tcBorders>
              <w:top w:val="single" w:color="auto" w:sz="4" w:space="0"/>
              <w:left w:val="single" w:color="auto" w:sz="4" w:space="0"/>
              <w:bottom w:val="single" w:color="auto" w:sz="4" w:space="0"/>
              <w:right w:val="single" w:color="auto" w:sz="4" w:space="0"/>
            </w:tcBorders>
            <w:noWrap w:val="0"/>
            <w:vAlign w:val="center"/>
          </w:tcPr>
          <w:p w14:paraId="1287A0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0C08EC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298268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644607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04B6DF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0760D6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24A711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67C14E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C95C0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得分</w:t>
            </w:r>
          </w:p>
        </w:tc>
      </w:tr>
      <w:tr w14:paraId="1D4CE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699" w:type="dxa"/>
            <w:vMerge w:val="restart"/>
            <w:tcBorders>
              <w:top w:val="single" w:color="auto" w:sz="4" w:space="0"/>
              <w:left w:val="single" w:color="auto" w:sz="4" w:space="0"/>
              <w:bottom w:val="single" w:color="auto" w:sz="4" w:space="0"/>
              <w:right w:val="single" w:color="auto" w:sz="4" w:space="0"/>
            </w:tcBorders>
            <w:noWrap w:val="0"/>
            <w:vAlign w:val="center"/>
          </w:tcPr>
          <w:p w14:paraId="31A622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项目决策</w:t>
            </w: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14:paraId="562A95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w:t>
            </w:r>
          </w:p>
        </w:tc>
        <w:tc>
          <w:tcPr>
            <w:tcW w:w="726" w:type="dxa"/>
            <w:vMerge w:val="restart"/>
            <w:tcBorders>
              <w:top w:val="single" w:color="auto" w:sz="4" w:space="0"/>
              <w:left w:val="single" w:color="auto" w:sz="4" w:space="0"/>
              <w:bottom w:val="single" w:color="auto" w:sz="4" w:space="0"/>
              <w:right w:val="single" w:color="auto" w:sz="4" w:space="0"/>
            </w:tcBorders>
            <w:noWrap w:val="0"/>
            <w:vAlign w:val="center"/>
          </w:tcPr>
          <w:p w14:paraId="14D343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w:t>
            </w:r>
          </w:p>
        </w:tc>
        <w:tc>
          <w:tcPr>
            <w:tcW w:w="551" w:type="dxa"/>
            <w:vMerge w:val="restart"/>
            <w:tcBorders>
              <w:top w:val="single" w:color="auto" w:sz="4" w:space="0"/>
              <w:left w:val="single" w:color="auto" w:sz="4" w:space="0"/>
              <w:bottom w:val="single" w:color="auto" w:sz="4" w:space="0"/>
              <w:right w:val="single" w:color="auto" w:sz="4" w:space="0"/>
            </w:tcBorders>
            <w:noWrap w:val="0"/>
            <w:vAlign w:val="center"/>
          </w:tcPr>
          <w:p w14:paraId="075FF8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79CE26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1ADABF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3C4C63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0D30E9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790D34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6B6762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38C676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04ECA1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41F51C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2DC56E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540258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660BC0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057A1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99" w:type="dxa"/>
            <w:vMerge w:val="continue"/>
            <w:tcBorders>
              <w:top w:val="single" w:color="auto" w:sz="4" w:space="0"/>
              <w:left w:val="single" w:color="auto" w:sz="4" w:space="0"/>
              <w:bottom w:val="single" w:color="auto" w:sz="4" w:space="0"/>
              <w:right w:val="single" w:color="auto" w:sz="4" w:space="0"/>
            </w:tcBorders>
            <w:noWrap w:val="0"/>
            <w:vAlign w:val="center"/>
          </w:tcPr>
          <w:p w14:paraId="7849A6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1ECB4C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14:paraId="2D5D38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1" w:type="dxa"/>
            <w:vMerge w:val="continue"/>
            <w:tcBorders>
              <w:top w:val="single" w:color="auto" w:sz="4" w:space="0"/>
              <w:left w:val="single" w:color="auto" w:sz="4" w:space="0"/>
              <w:bottom w:val="single" w:color="auto" w:sz="4" w:space="0"/>
              <w:right w:val="single" w:color="auto" w:sz="4" w:space="0"/>
            </w:tcBorders>
            <w:noWrap w:val="0"/>
            <w:vAlign w:val="center"/>
          </w:tcPr>
          <w:p w14:paraId="5E9A6F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66" w:type="dxa"/>
            <w:tcBorders>
              <w:top w:val="single" w:color="auto" w:sz="4" w:space="0"/>
              <w:left w:val="single" w:color="auto" w:sz="4" w:space="0"/>
              <w:bottom w:val="single" w:color="auto" w:sz="4" w:space="0"/>
              <w:right w:val="single" w:color="auto" w:sz="4" w:space="0"/>
            </w:tcBorders>
            <w:noWrap w:val="0"/>
            <w:vAlign w:val="center"/>
          </w:tcPr>
          <w:p w14:paraId="3DAB73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734C23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39D9CF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CEB13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38FC20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79CBE5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7285F0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48F80C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0B16FA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7AD508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251C7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99" w:type="dxa"/>
            <w:vMerge w:val="continue"/>
            <w:tcBorders>
              <w:top w:val="single" w:color="auto" w:sz="4" w:space="0"/>
              <w:left w:val="single" w:color="auto" w:sz="4" w:space="0"/>
              <w:bottom w:val="single" w:color="auto" w:sz="4" w:space="0"/>
              <w:right w:val="single" w:color="auto" w:sz="4" w:space="0"/>
            </w:tcBorders>
            <w:noWrap w:val="0"/>
            <w:vAlign w:val="center"/>
          </w:tcPr>
          <w:p w14:paraId="0E282E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386368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26" w:type="dxa"/>
            <w:vMerge w:val="restart"/>
            <w:tcBorders>
              <w:top w:val="single" w:color="auto" w:sz="4" w:space="0"/>
              <w:left w:val="single" w:color="auto" w:sz="4" w:space="0"/>
              <w:bottom w:val="single" w:color="auto" w:sz="4" w:space="0"/>
              <w:right w:val="single" w:color="auto" w:sz="4" w:space="0"/>
            </w:tcBorders>
            <w:noWrap w:val="0"/>
            <w:vAlign w:val="center"/>
          </w:tcPr>
          <w:p w14:paraId="114596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w:t>
            </w:r>
          </w:p>
        </w:tc>
        <w:tc>
          <w:tcPr>
            <w:tcW w:w="551" w:type="dxa"/>
            <w:vMerge w:val="restart"/>
            <w:tcBorders>
              <w:top w:val="single" w:color="auto" w:sz="4" w:space="0"/>
              <w:left w:val="single" w:color="auto" w:sz="4" w:space="0"/>
              <w:bottom w:val="single" w:color="auto" w:sz="4" w:space="0"/>
              <w:right w:val="single" w:color="auto" w:sz="4" w:space="0"/>
            </w:tcBorders>
            <w:noWrap w:val="0"/>
            <w:vAlign w:val="center"/>
          </w:tcPr>
          <w:p w14:paraId="7DF3EF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0CC13D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2CA2D0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4825A9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4103EB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3CF0A3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4E5FD4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0C4844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59A535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42A0F9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4CE22E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70F008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0008B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99" w:type="dxa"/>
            <w:vMerge w:val="continue"/>
            <w:tcBorders>
              <w:top w:val="single" w:color="auto" w:sz="4" w:space="0"/>
              <w:left w:val="single" w:color="auto" w:sz="4" w:space="0"/>
              <w:bottom w:val="single" w:color="auto" w:sz="4" w:space="0"/>
              <w:right w:val="single" w:color="auto" w:sz="4" w:space="0"/>
            </w:tcBorders>
            <w:noWrap w:val="0"/>
            <w:vAlign w:val="center"/>
          </w:tcPr>
          <w:p w14:paraId="717FFB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63A53A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14:paraId="31E04C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1" w:type="dxa"/>
            <w:vMerge w:val="continue"/>
            <w:tcBorders>
              <w:top w:val="single" w:color="auto" w:sz="4" w:space="0"/>
              <w:left w:val="single" w:color="auto" w:sz="4" w:space="0"/>
              <w:bottom w:val="single" w:color="auto" w:sz="4" w:space="0"/>
              <w:right w:val="single" w:color="auto" w:sz="4" w:space="0"/>
            </w:tcBorders>
            <w:noWrap w:val="0"/>
            <w:vAlign w:val="center"/>
          </w:tcPr>
          <w:p w14:paraId="57D6C1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66" w:type="dxa"/>
            <w:tcBorders>
              <w:top w:val="single" w:color="auto" w:sz="4" w:space="0"/>
              <w:left w:val="single" w:color="auto" w:sz="4" w:space="0"/>
              <w:bottom w:val="single" w:color="auto" w:sz="4" w:space="0"/>
              <w:right w:val="single" w:color="auto" w:sz="4" w:space="0"/>
            </w:tcBorders>
            <w:noWrap w:val="0"/>
            <w:vAlign w:val="center"/>
          </w:tcPr>
          <w:p w14:paraId="32D382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6CC87B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6F16CB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30193F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43A9B3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75F78A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45FB24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08DF91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433295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7BC75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66DBB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99" w:type="dxa"/>
            <w:vMerge w:val="continue"/>
            <w:tcBorders>
              <w:top w:val="single" w:color="auto" w:sz="4" w:space="0"/>
              <w:left w:val="single" w:color="auto" w:sz="4" w:space="0"/>
              <w:bottom w:val="single" w:color="auto" w:sz="4" w:space="0"/>
              <w:right w:val="single" w:color="auto" w:sz="4" w:space="0"/>
            </w:tcBorders>
            <w:noWrap w:val="0"/>
            <w:vAlign w:val="center"/>
          </w:tcPr>
          <w:p w14:paraId="31E5AB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342745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26" w:type="dxa"/>
            <w:vMerge w:val="restart"/>
            <w:tcBorders>
              <w:top w:val="single" w:color="auto" w:sz="4" w:space="0"/>
              <w:left w:val="single" w:color="auto" w:sz="4" w:space="0"/>
              <w:bottom w:val="single" w:color="auto" w:sz="4" w:space="0"/>
              <w:right w:val="single" w:color="auto" w:sz="4" w:space="0"/>
            </w:tcBorders>
            <w:noWrap w:val="0"/>
            <w:vAlign w:val="center"/>
          </w:tcPr>
          <w:p w14:paraId="1C2FBB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资金投入</w:t>
            </w:r>
          </w:p>
        </w:tc>
        <w:tc>
          <w:tcPr>
            <w:tcW w:w="551" w:type="dxa"/>
            <w:vMerge w:val="restart"/>
            <w:tcBorders>
              <w:top w:val="single" w:color="auto" w:sz="4" w:space="0"/>
              <w:left w:val="single" w:color="auto" w:sz="4" w:space="0"/>
              <w:bottom w:val="single" w:color="auto" w:sz="4" w:space="0"/>
              <w:right w:val="single" w:color="auto" w:sz="4" w:space="0"/>
            </w:tcBorders>
            <w:noWrap w:val="0"/>
            <w:vAlign w:val="center"/>
          </w:tcPr>
          <w:p w14:paraId="48CE52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460007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317A92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6AB756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62979E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40CCEB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7133E2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1C832A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6ABD61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76A4A3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63CE10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071519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5E781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99" w:type="dxa"/>
            <w:vMerge w:val="continue"/>
            <w:tcBorders>
              <w:top w:val="single" w:color="auto" w:sz="4" w:space="0"/>
              <w:left w:val="single" w:color="auto" w:sz="4" w:space="0"/>
              <w:bottom w:val="single" w:color="auto" w:sz="4" w:space="0"/>
              <w:right w:val="single" w:color="auto" w:sz="4" w:space="0"/>
            </w:tcBorders>
            <w:noWrap w:val="0"/>
            <w:vAlign w:val="center"/>
          </w:tcPr>
          <w:p w14:paraId="4D28C2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2BD444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14:paraId="16309E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1" w:type="dxa"/>
            <w:vMerge w:val="continue"/>
            <w:tcBorders>
              <w:top w:val="single" w:color="auto" w:sz="4" w:space="0"/>
              <w:left w:val="single" w:color="auto" w:sz="4" w:space="0"/>
              <w:bottom w:val="single" w:color="auto" w:sz="4" w:space="0"/>
              <w:right w:val="single" w:color="auto" w:sz="4" w:space="0"/>
            </w:tcBorders>
            <w:noWrap w:val="0"/>
            <w:vAlign w:val="center"/>
          </w:tcPr>
          <w:p w14:paraId="6C38A3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66" w:type="dxa"/>
            <w:tcBorders>
              <w:top w:val="single" w:color="auto" w:sz="4" w:space="0"/>
              <w:left w:val="single" w:color="auto" w:sz="4" w:space="0"/>
              <w:bottom w:val="single" w:color="auto" w:sz="4" w:space="0"/>
              <w:right w:val="single" w:color="auto" w:sz="4" w:space="0"/>
            </w:tcBorders>
            <w:noWrap w:val="0"/>
            <w:vAlign w:val="center"/>
          </w:tcPr>
          <w:p w14:paraId="253330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2914CC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031F11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46E39D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0745BA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695FCC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540BC8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002688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3AED43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3523A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99" w:type="dxa"/>
            <w:vMerge w:val="restart"/>
            <w:tcBorders>
              <w:top w:val="single" w:color="auto" w:sz="4" w:space="0"/>
              <w:left w:val="single" w:color="auto" w:sz="4" w:space="0"/>
              <w:bottom w:val="single" w:color="auto" w:sz="4" w:space="0"/>
              <w:right w:val="single" w:color="auto" w:sz="4" w:space="0"/>
            </w:tcBorders>
            <w:noWrap w:val="0"/>
            <w:vAlign w:val="center"/>
          </w:tcPr>
          <w:p w14:paraId="5331CC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项目过程</w:t>
            </w: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14:paraId="768FBC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w:t>
            </w:r>
          </w:p>
        </w:tc>
        <w:tc>
          <w:tcPr>
            <w:tcW w:w="726" w:type="dxa"/>
            <w:vMerge w:val="restart"/>
            <w:tcBorders>
              <w:top w:val="single" w:color="auto" w:sz="4" w:space="0"/>
              <w:left w:val="single" w:color="auto" w:sz="4" w:space="0"/>
              <w:bottom w:val="single" w:color="auto" w:sz="4" w:space="0"/>
              <w:right w:val="single" w:color="auto" w:sz="4" w:space="0"/>
            </w:tcBorders>
            <w:noWrap w:val="0"/>
            <w:vAlign w:val="center"/>
          </w:tcPr>
          <w:p w14:paraId="4CD891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资金管理</w:t>
            </w:r>
          </w:p>
        </w:tc>
        <w:tc>
          <w:tcPr>
            <w:tcW w:w="551" w:type="dxa"/>
            <w:vMerge w:val="restart"/>
            <w:tcBorders>
              <w:top w:val="single" w:color="auto" w:sz="4" w:space="0"/>
              <w:left w:val="single" w:color="auto" w:sz="4" w:space="0"/>
              <w:bottom w:val="single" w:color="auto" w:sz="4" w:space="0"/>
              <w:right w:val="single" w:color="auto" w:sz="4" w:space="0"/>
            </w:tcBorders>
            <w:noWrap w:val="0"/>
            <w:vAlign w:val="center"/>
          </w:tcPr>
          <w:p w14:paraId="67ED8A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39B952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4016BD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767F60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01827D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06B0B4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1E3A53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5D461C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55EFC5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3BC5F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699" w:type="dxa"/>
            <w:vMerge w:val="continue"/>
            <w:tcBorders>
              <w:top w:val="single" w:color="auto" w:sz="4" w:space="0"/>
              <w:left w:val="single" w:color="auto" w:sz="4" w:space="0"/>
              <w:bottom w:val="single" w:color="auto" w:sz="4" w:space="0"/>
              <w:right w:val="single" w:color="auto" w:sz="4" w:space="0"/>
            </w:tcBorders>
            <w:noWrap w:val="0"/>
            <w:vAlign w:val="center"/>
          </w:tcPr>
          <w:p w14:paraId="3B9E08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32563A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14:paraId="595BE3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1" w:type="dxa"/>
            <w:vMerge w:val="continue"/>
            <w:tcBorders>
              <w:top w:val="single" w:color="auto" w:sz="4" w:space="0"/>
              <w:left w:val="single" w:color="auto" w:sz="4" w:space="0"/>
              <w:bottom w:val="single" w:color="auto" w:sz="4" w:space="0"/>
              <w:right w:val="single" w:color="auto" w:sz="4" w:space="0"/>
            </w:tcBorders>
            <w:noWrap w:val="0"/>
            <w:vAlign w:val="center"/>
          </w:tcPr>
          <w:p w14:paraId="74F5AE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66" w:type="dxa"/>
            <w:tcBorders>
              <w:top w:val="single" w:color="auto" w:sz="4" w:space="0"/>
              <w:left w:val="single" w:color="auto" w:sz="4" w:space="0"/>
              <w:bottom w:val="single" w:color="auto" w:sz="4" w:space="0"/>
              <w:right w:val="single" w:color="auto" w:sz="4" w:space="0"/>
            </w:tcBorders>
            <w:noWrap w:val="0"/>
            <w:vAlign w:val="center"/>
          </w:tcPr>
          <w:p w14:paraId="6BE7B3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09BCB9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2CAB32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0AD0AC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65CA2C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3E2868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322145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614C33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27644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99" w:type="dxa"/>
            <w:vMerge w:val="continue"/>
            <w:tcBorders>
              <w:top w:val="single" w:color="auto" w:sz="4" w:space="0"/>
              <w:left w:val="single" w:color="auto" w:sz="4" w:space="0"/>
              <w:bottom w:val="single" w:color="auto" w:sz="4" w:space="0"/>
              <w:right w:val="single" w:color="auto" w:sz="4" w:space="0"/>
            </w:tcBorders>
            <w:noWrap w:val="0"/>
            <w:vAlign w:val="center"/>
          </w:tcPr>
          <w:p w14:paraId="4BFEB1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0071EF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14:paraId="71EC76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1" w:type="dxa"/>
            <w:vMerge w:val="continue"/>
            <w:tcBorders>
              <w:top w:val="single" w:color="auto" w:sz="4" w:space="0"/>
              <w:left w:val="single" w:color="auto" w:sz="4" w:space="0"/>
              <w:bottom w:val="single" w:color="auto" w:sz="4" w:space="0"/>
              <w:right w:val="single" w:color="auto" w:sz="4" w:space="0"/>
            </w:tcBorders>
            <w:noWrap w:val="0"/>
            <w:vAlign w:val="center"/>
          </w:tcPr>
          <w:p w14:paraId="385A95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66" w:type="dxa"/>
            <w:tcBorders>
              <w:top w:val="single" w:color="auto" w:sz="4" w:space="0"/>
              <w:left w:val="single" w:color="auto" w:sz="4" w:space="0"/>
              <w:bottom w:val="single" w:color="auto" w:sz="4" w:space="0"/>
              <w:right w:val="single" w:color="auto" w:sz="4" w:space="0"/>
            </w:tcBorders>
            <w:noWrap w:val="0"/>
            <w:vAlign w:val="center"/>
          </w:tcPr>
          <w:p w14:paraId="5EA5FB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01F1A6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614236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20DC89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7CA8D1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2D7BC3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4DE6C9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1F70B7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56EF9B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442DA0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670CBD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02CFF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99" w:type="dxa"/>
            <w:vMerge w:val="continue"/>
            <w:tcBorders>
              <w:top w:val="single" w:color="auto" w:sz="4" w:space="0"/>
              <w:left w:val="single" w:color="auto" w:sz="4" w:space="0"/>
              <w:bottom w:val="single" w:color="auto" w:sz="4" w:space="0"/>
              <w:right w:val="single" w:color="auto" w:sz="4" w:space="0"/>
            </w:tcBorders>
            <w:noWrap w:val="0"/>
            <w:vAlign w:val="center"/>
          </w:tcPr>
          <w:p w14:paraId="3ACB4D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1EE9AB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26" w:type="dxa"/>
            <w:vMerge w:val="restart"/>
            <w:tcBorders>
              <w:top w:val="single" w:color="auto" w:sz="4" w:space="0"/>
              <w:left w:val="single" w:color="auto" w:sz="4" w:space="0"/>
              <w:bottom w:val="single" w:color="auto" w:sz="4" w:space="0"/>
              <w:right w:val="single" w:color="auto" w:sz="4" w:space="0"/>
            </w:tcBorders>
            <w:noWrap w:val="0"/>
            <w:vAlign w:val="center"/>
          </w:tcPr>
          <w:p w14:paraId="698F49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组织实施</w:t>
            </w:r>
          </w:p>
        </w:tc>
        <w:tc>
          <w:tcPr>
            <w:tcW w:w="551" w:type="dxa"/>
            <w:vMerge w:val="restart"/>
            <w:tcBorders>
              <w:top w:val="single" w:color="auto" w:sz="4" w:space="0"/>
              <w:left w:val="single" w:color="auto" w:sz="4" w:space="0"/>
              <w:bottom w:val="single" w:color="auto" w:sz="4" w:space="0"/>
              <w:right w:val="single" w:color="auto" w:sz="4" w:space="0"/>
            </w:tcBorders>
            <w:noWrap w:val="0"/>
            <w:vAlign w:val="center"/>
          </w:tcPr>
          <w:p w14:paraId="4F6FA3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4807BD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337A6C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76C911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5D817E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67BC4F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46BE83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255472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64DC64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261976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5B384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699" w:type="dxa"/>
            <w:vMerge w:val="continue"/>
            <w:tcBorders>
              <w:top w:val="single" w:color="auto" w:sz="4" w:space="0"/>
              <w:left w:val="single" w:color="auto" w:sz="4" w:space="0"/>
              <w:bottom w:val="single" w:color="auto" w:sz="4" w:space="0"/>
              <w:right w:val="single" w:color="auto" w:sz="4" w:space="0"/>
            </w:tcBorders>
            <w:noWrap w:val="0"/>
            <w:vAlign w:val="center"/>
          </w:tcPr>
          <w:p w14:paraId="082F91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7AEC88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14:paraId="043E5A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1" w:type="dxa"/>
            <w:vMerge w:val="continue"/>
            <w:tcBorders>
              <w:top w:val="single" w:color="auto" w:sz="4" w:space="0"/>
              <w:left w:val="single" w:color="auto" w:sz="4" w:space="0"/>
              <w:bottom w:val="single" w:color="auto" w:sz="4" w:space="0"/>
              <w:right w:val="single" w:color="auto" w:sz="4" w:space="0"/>
            </w:tcBorders>
            <w:noWrap w:val="0"/>
            <w:vAlign w:val="center"/>
          </w:tcPr>
          <w:p w14:paraId="43201B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66" w:type="dxa"/>
            <w:tcBorders>
              <w:top w:val="single" w:color="auto" w:sz="4" w:space="0"/>
              <w:left w:val="single" w:color="auto" w:sz="4" w:space="0"/>
              <w:bottom w:val="single" w:color="auto" w:sz="4" w:space="0"/>
              <w:right w:val="single" w:color="auto" w:sz="4" w:space="0"/>
            </w:tcBorders>
            <w:noWrap w:val="0"/>
            <w:vAlign w:val="center"/>
          </w:tcPr>
          <w:p w14:paraId="371A2D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55672F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4B5B50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3C06C6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37E17D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43E600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67330A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202F44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6ED420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55D9FA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3692C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99" w:type="dxa"/>
            <w:vMerge w:val="restart"/>
            <w:tcBorders>
              <w:top w:val="single" w:color="auto" w:sz="4" w:space="0"/>
              <w:left w:val="single" w:color="auto" w:sz="4" w:space="0"/>
              <w:bottom w:val="single" w:color="auto" w:sz="4" w:space="0"/>
              <w:right w:val="single" w:color="auto" w:sz="4" w:space="0"/>
            </w:tcBorders>
            <w:noWrap w:val="0"/>
            <w:vAlign w:val="center"/>
          </w:tcPr>
          <w:p w14:paraId="54815B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项目产出</w:t>
            </w: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14:paraId="3C0750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726" w:type="dxa"/>
            <w:tcBorders>
              <w:top w:val="single" w:color="auto" w:sz="4" w:space="0"/>
              <w:left w:val="single" w:color="auto" w:sz="4" w:space="0"/>
              <w:bottom w:val="single" w:color="auto" w:sz="4" w:space="0"/>
              <w:right w:val="single" w:color="auto" w:sz="4" w:space="0"/>
            </w:tcBorders>
            <w:noWrap w:val="0"/>
            <w:vAlign w:val="center"/>
          </w:tcPr>
          <w:p w14:paraId="348E30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产出数量</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70A761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3D6E4F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474232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4E19AC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工业园区区内厂房房土两税费数量</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13BEA8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=1个</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430328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538C69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1个</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0F791B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744A4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99" w:type="dxa"/>
            <w:vMerge w:val="continue"/>
            <w:tcBorders>
              <w:top w:val="single" w:color="auto" w:sz="4" w:space="0"/>
              <w:left w:val="single" w:color="auto" w:sz="4" w:space="0"/>
              <w:bottom w:val="single" w:color="auto" w:sz="4" w:space="0"/>
              <w:right w:val="single" w:color="auto" w:sz="4" w:space="0"/>
            </w:tcBorders>
            <w:noWrap w:val="0"/>
            <w:vAlign w:val="center"/>
          </w:tcPr>
          <w:p w14:paraId="6554A9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65F661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26" w:type="dxa"/>
            <w:tcBorders>
              <w:top w:val="single" w:color="auto" w:sz="4" w:space="0"/>
              <w:left w:val="single" w:color="auto" w:sz="4" w:space="0"/>
              <w:bottom w:val="single" w:color="auto" w:sz="4" w:space="0"/>
              <w:right w:val="single" w:color="auto" w:sz="4" w:space="0"/>
            </w:tcBorders>
            <w:noWrap w:val="0"/>
            <w:vAlign w:val="center"/>
          </w:tcPr>
          <w:p w14:paraId="556E3B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产出质量</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4C10FB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70A21E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7A06D2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2CBA0A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资金使用合规率</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19943A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272" w:type="dxa"/>
            <w:tcBorders>
              <w:top w:val="single" w:color="auto" w:sz="4" w:space="0"/>
              <w:left w:val="single" w:color="auto" w:sz="4" w:space="0"/>
              <w:right w:val="single" w:color="auto" w:sz="4" w:space="0"/>
            </w:tcBorders>
            <w:noWrap w:val="0"/>
            <w:vAlign w:val="center"/>
          </w:tcPr>
          <w:p w14:paraId="7D4C47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6CF0A0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54A02B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08BB39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58DC7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99" w:type="dxa"/>
            <w:vMerge w:val="continue"/>
            <w:tcBorders>
              <w:top w:val="single" w:color="auto" w:sz="4" w:space="0"/>
              <w:left w:val="single" w:color="auto" w:sz="4" w:space="0"/>
              <w:bottom w:val="single" w:color="auto" w:sz="4" w:space="0"/>
              <w:right w:val="single" w:color="auto" w:sz="4" w:space="0"/>
            </w:tcBorders>
            <w:noWrap w:val="0"/>
            <w:vAlign w:val="center"/>
          </w:tcPr>
          <w:p w14:paraId="34C024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434B42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26" w:type="dxa"/>
            <w:vMerge w:val="restart"/>
            <w:tcBorders>
              <w:top w:val="single" w:color="auto" w:sz="4" w:space="0"/>
              <w:left w:val="single" w:color="auto" w:sz="4" w:space="0"/>
              <w:right w:val="single" w:color="auto" w:sz="4" w:space="0"/>
            </w:tcBorders>
            <w:noWrap w:val="0"/>
            <w:vAlign w:val="center"/>
          </w:tcPr>
          <w:p w14:paraId="785A74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产出时效</w:t>
            </w:r>
          </w:p>
        </w:tc>
        <w:tc>
          <w:tcPr>
            <w:tcW w:w="551" w:type="dxa"/>
            <w:vMerge w:val="restart"/>
            <w:tcBorders>
              <w:top w:val="single" w:color="auto" w:sz="4" w:space="0"/>
              <w:left w:val="single" w:color="auto" w:sz="4" w:space="0"/>
              <w:right w:val="single" w:color="auto" w:sz="4" w:space="0"/>
            </w:tcBorders>
            <w:noWrap w:val="0"/>
            <w:vAlign w:val="center"/>
          </w:tcPr>
          <w:p w14:paraId="5E746D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666" w:type="dxa"/>
            <w:vMerge w:val="restart"/>
            <w:tcBorders>
              <w:top w:val="single" w:color="auto" w:sz="4" w:space="0"/>
              <w:left w:val="single" w:color="auto" w:sz="4" w:space="0"/>
              <w:right w:val="single" w:color="auto" w:sz="4" w:space="0"/>
            </w:tcBorders>
            <w:noWrap w:val="0"/>
            <w:vAlign w:val="center"/>
          </w:tcPr>
          <w:p w14:paraId="2EC1A5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644A8A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6FBF9D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项目完成时间</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355E91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4272" w:type="dxa"/>
            <w:vMerge w:val="restart"/>
            <w:tcBorders>
              <w:top w:val="single" w:color="auto" w:sz="4" w:space="0"/>
              <w:left w:val="single" w:color="auto" w:sz="4" w:space="0"/>
              <w:right w:val="single" w:color="auto" w:sz="4" w:space="0"/>
            </w:tcBorders>
            <w:noWrap w:val="0"/>
            <w:vAlign w:val="center"/>
          </w:tcPr>
          <w:p w14:paraId="788FE4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204818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7BAF6E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3A7454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4D597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99" w:type="dxa"/>
            <w:vMerge w:val="continue"/>
            <w:tcBorders>
              <w:left w:val="single" w:color="auto" w:sz="4" w:space="0"/>
              <w:bottom w:val="single" w:color="auto" w:sz="4" w:space="0"/>
              <w:right w:val="single" w:color="auto" w:sz="4" w:space="0"/>
            </w:tcBorders>
            <w:noWrap w:val="0"/>
            <w:vAlign w:val="center"/>
          </w:tcPr>
          <w:p w14:paraId="4630F2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75" w:type="dxa"/>
            <w:vMerge w:val="continue"/>
            <w:tcBorders>
              <w:left w:val="single" w:color="auto" w:sz="4" w:space="0"/>
              <w:bottom w:val="single" w:color="auto" w:sz="4" w:space="0"/>
              <w:right w:val="single" w:color="auto" w:sz="4" w:space="0"/>
            </w:tcBorders>
            <w:noWrap w:val="0"/>
            <w:vAlign w:val="center"/>
          </w:tcPr>
          <w:p w14:paraId="42D18E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726" w:type="dxa"/>
            <w:vMerge w:val="continue"/>
            <w:tcBorders>
              <w:left w:val="single" w:color="auto" w:sz="4" w:space="0"/>
              <w:bottom w:val="single" w:color="auto" w:sz="4" w:space="0"/>
              <w:right w:val="single" w:color="auto" w:sz="4" w:space="0"/>
            </w:tcBorders>
            <w:noWrap w:val="0"/>
            <w:vAlign w:val="center"/>
          </w:tcPr>
          <w:p w14:paraId="5F9A69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51" w:type="dxa"/>
            <w:vMerge w:val="continue"/>
            <w:tcBorders>
              <w:left w:val="single" w:color="auto" w:sz="4" w:space="0"/>
              <w:bottom w:val="single" w:color="auto" w:sz="4" w:space="0"/>
              <w:right w:val="single" w:color="auto" w:sz="4" w:space="0"/>
            </w:tcBorders>
            <w:noWrap w:val="0"/>
            <w:vAlign w:val="center"/>
          </w:tcPr>
          <w:p w14:paraId="04F1F8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66" w:type="dxa"/>
            <w:vMerge w:val="continue"/>
            <w:tcBorders>
              <w:left w:val="single" w:color="auto" w:sz="4" w:space="0"/>
              <w:bottom w:val="single" w:color="auto" w:sz="4" w:space="0"/>
              <w:right w:val="single" w:color="auto" w:sz="4" w:space="0"/>
            </w:tcBorders>
            <w:noWrap w:val="0"/>
            <w:vAlign w:val="center"/>
          </w:tcPr>
          <w:p w14:paraId="1B41EB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51" w:type="dxa"/>
            <w:tcBorders>
              <w:top w:val="single" w:color="auto" w:sz="4" w:space="0"/>
              <w:left w:val="single" w:color="auto" w:sz="4" w:space="0"/>
              <w:bottom w:val="single" w:color="auto" w:sz="4" w:space="0"/>
              <w:right w:val="single" w:color="auto" w:sz="4" w:space="0"/>
            </w:tcBorders>
            <w:noWrap w:val="0"/>
            <w:vAlign w:val="center"/>
          </w:tcPr>
          <w:p w14:paraId="73B9BC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14E7BA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资金支付及时率</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03C955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272" w:type="dxa"/>
            <w:vMerge w:val="continue"/>
            <w:tcBorders>
              <w:left w:val="single" w:color="auto" w:sz="4" w:space="0"/>
              <w:right w:val="single" w:color="auto" w:sz="4" w:space="0"/>
            </w:tcBorders>
            <w:noWrap w:val="0"/>
            <w:vAlign w:val="center"/>
          </w:tcPr>
          <w:p w14:paraId="66DDB5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65D413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207D9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5F4F3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99" w:type="dxa"/>
            <w:vMerge w:val="continue"/>
            <w:tcBorders>
              <w:top w:val="single" w:color="auto" w:sz="4" w:space="0"/>
              <w:left w:val="single" w:color="auto" w:sz="4" w:space="0"/>
              <w:bottom w:val="single" w:color="auto" w:sz="4" w:space="0"/>
              <w:right w:val="single" w:color="auto" w:sz="4" w:space="0"/>
            </w:tcBorders>
            <w:noWrap w:val="0"/>
            <w:vAlign w:val="center"/>
          </w:tcPr>
          <w:p w14:paraId="03DF9F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66B31D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26" w:type="dxa"/>
            <w:tcBorders>
              <w:top w:val="single" w:color="auto" w:sz="4" w:space="0"/>
              <w:left w:val="single" w:color="auto" w:sz="4" w:space="0"/>
              <w:bottom w:val="single" w:color="auto" w:sz="4" w:space="0"/>
              <w:right w:val="single" w:color="auto" w:sz="4" w:space="0"/>
            </w:tcBorders>
            <w:noWrap w:val="0"/>
            <w:vAlign w:val="center"/>
          </w:tcPr>
          <w:p w14:paraId="773F27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产出成本</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41152A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661F30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7ED569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0C8C0A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工业园区区内厂房房土两税费</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0DB83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&lt;=1156.92万元</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66ABF9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77AAB7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1156.92万元</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F6D73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06338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99" w:type="dxa"/>
            <w:vMerge w:val="restart"/>
            <w:tcBorders>
              <w:top w:val="single" w:color="auto" w:sz="4" w:space="0"/>
              <w:left w:val="single" w:color="auto" w:sz="4" w:space="0"/>
              <w:bottom w:val="single" w:color="auto" w:sz="4" w:space="0"/>
              <w:right w:val="single" w:color="auto" w:sz="4" w:space="0"/>
            </w:tcBorders>
            <w:noWrap w:val="0"/>
            <w:vAlign w:val="center"/>
          </w:tcPr>
          <w:p w14:paraId="38DEDE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14:paraId="208E07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726" w:type="dxa"/>
            <w:vMerge w:val="restart"/>
            <w:tcBorders>
              <w:top w:val="single" w:color="auto" w:sz="4" w:space="0"/>
              <w:left w:val="single" w:color="auto" w:sz="4" w:space="0"/>
              <w:bottom w:val="single" w:color="auto" w:sz="4" w:space="0"/>
              <w:right w:val="single" w:color="auto" w:sz="4" w:space="0"/>
            </w:tcBorders>
            <w:noWrap w:val="0"/>
            <w:vAlign w:val="center"/>
          </w:tcPr>
          <w:p w14:paraId="42F954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551" w:type="dxa"/>
            <w:vMerge w:val="restart"/>
            <w:tcBorders>
              <w:top w:val="single" w:color="auto" w:sz="4" w:space="0"/>
              <w:left w:val="single" w:color="auto" w:sz="4" w:space="0"/>
              <w:bottom w:val="single" w:color="auto" w:sz="4" w:space="0"/>
              <w:right w:val="single" w:color="auto" w:sz="4" w:space="0"/>
            </w:tcBorders>
            <w:noWrap w:val="0"/>
            <w:vAlign w:val="center"/>
          </w:tcPr>
          <w:p w14:paraId="36B76F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6D6781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社会效益</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4435A1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6C2A80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保障政府公信力</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609B5E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有效保障</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7C05A7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4BE567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有效保障</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1662A8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r>
      <w:tr w14:paraId="1B48F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99" w:type="dxa"/>
            <w:vMerge w:val="continue"/>
            <w:tcBorders>
              <w:top w:val="single" w:color="auto" w:sz="4" w:space="0"/>
              <w:left w:val="single" w:color="auto" w:sz="4" w:space="0"/>
              <w:bottom w:val="single" w:color="auto" w:sz="4" w:space="0"/>
              <w:right w:val="single" w:color="auto" w:sz="4" w:space="0"/>
            </w:tcBorders>
            <w:noWrap w:val="0"/>
            <w:vAlign w:val="center"/>
          </w:tcPr>
          <w:p w14:paraId="2897CB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14:paraId="3788CD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726" w:type="dxa"/>
            <w:vMerge w:val="continue"/>
            <w:tcBorders>
              <w:top w:val="single" w:color="auto" w:sz="4" w:space="0"/>
              <w:left w:val="single" w:color="auto" w:sz="4" w:space="0"/>
              <w:bottom w:val="single" w:color="auto" w:sz="4" w:space="0"/>
              <w:right w:val="single" w:color="auto" w:sz="4" w:space="0"/>
            </w:tcBorders>
            <w:noWrap w:val="0"/>
            <w:vAlign w:val="center"/>
          </w:tcPr>
          <w:p w14:paraId="4B58F0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1" w:type="dxa"/>
            <w:vMerge w:val="continue"/>
            <w:tcBorders>
              <w:top w:val="single" w:color="auto" w:sz="4" w:space="0"/>
              <w:left w:val="single" w:color="auto" w:sz="4" w:space="0"/>
              <w:bottom w:val="single" w:color="auto" w:sz="4" w:space="0"/>
              <w:right w:val="single" w:color="auto" w:sz="4" w:space="0"/>
            </w:tcBorders>
            <w:noWrap w:val="0"/>
            <w:vAlign w:val="center"/>
          </w:tcPr>
          <w:p w14:paraId="07BDB2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66" w:type="dxa"/>
            <w:tcBorders>
              <w:top w:val="single" w:color="auto" w:sz="4" w:space="0"/>
              <w:left w:val="single" w:color="auto" w:sz="4" w:space="0"/>
              <w:bottom w:val="single" w:color="auto" w:sz="4" w:space="0"/>
              <w:right w:val="single" w:color="auto" w:sz="4" w:space="0"/>
            </w:tcBorders>
            <w:noWrap w:val="0"/>
            <w:vAlign w:val="center"/>
          </w:tcPr>
          <w:p w14:paraId="22E56D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1BB294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6FB12E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工作人员满意度</w:t>
            </w:r>
          </w:p>
        </w:tc>
        <w:tc>
          <w:tcPr>
            <w:tcW w:w="1118" w:type="dxa"/>
            <w:tcBorders>
              <w:top w:val="single" w:color="auto" w:sz="4" w:space="0"/>
              <w:left w:val="single" w:color="auto" w:sz="4" w:space="0"/>
              <w:bottom w:val="single" w:color="auto" w:sz="4" w:space="0"/>
              <w:right w:val="single" w:color="auto" w:sz="4" w:space="0"/>
            </w:tcBorders>
            <w:noWrap w:val="0"/>
            <w:vAlign w:val="center"/>
          </w:tcPr>
          <w:p w14:paraId="23CBF0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≥95%</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412D04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952" w:type="dxa"/>
            <w:tcBorders>
              <w:top w:val="single" w:color="auto" w:sz="4" w:space="0"/>
              <w:left w:val="single" w:color="auto" w:sz="4" w:space="0"/>
              <w:bottom w:val="single" w:color="auto" w:sz="4" w:space="0"/>
              <w:right w:val="single" w:color="auto" w:sz="4" w:space="0"/>
            </w:tcBorders>
            <w:noWrap w:val="0"/>
            <w:vAlign w:val="center"/>
          </w:tcPr>
          <w:p w14:paraId="275813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95%</w:t>
            </w:r>
          </w:p>
        </w:tc>
        <w:tc>
          <w:tcPr>
            <w:tcW w:w="508" w:type="dxa"/>
            <w:tcBorders>
              <w:top w:val="single" w:color="auto" w:sz="4" w:space="0"/>
              <w:left w:val="single" w:color="auto" w:sz="4" w:space="0"/>
              <w:bottom w:val="single" w:color="auto" w:sz="4" w:space="0"/>
              <w:right w:val="single" w:color="auto" w:sz="4" w:space="0"/>
            </w:tcBorders>
            <w:noWrap w:val="0"/>
            <w:vAlign w:val="center"/>
          </w:tcPr>
          <w:p w14:paraId="4B4D8E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274D6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99" w:type="dxa"/>
            <w:tcBorders>
              <w:top w:val="single" w:color="auto" w:sz="4" w:space="0"/>
              <w:left w:val="single" w:color="auto" w:sz="4" w:space="0"/>
              <w:bottom w:val="single" w:color="auto" w:sz="4" w:space="0"/>
              <w:right w:val="single" w:color="auto" w:sz="4" w:space="0"/>
            </w:tcBorders>
            <w:noWrap w:val="0"/>
            <w:vAlign w:val="center"/>
          </w:tcPr>
          <w:p w14:paraId="4C441A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总分</w:t>
            </w:r>
          </w:p>
        </w:tc>
        <w:tc>
          <w:tcPr>
            <w:tcW w:w="675" w:type="dxa"/>
            <w:tcBorders>
              <w:top w:val="single" w:color="auto" w:sz="4" w:space="0"/>
              <w:left w:val="single" w:color="auto" w:sz="4" w:space="0"/>
              <w:bottom w:val="single" w:color="auto" w:sz="4" w:space="0"/>
              <w:right w:val="single" w:color="auto" w:sz="4" w:space="0"/>
            </w:tcBorders>
            <w:noWrap w:val="0"/>
            <w:vAlign w:val="center"/>
          </w:tcPr>
          <w:p w14:paraId="77693E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726" w:type="dxa"/>
            <w:tcBorders>
              <w:top w:val="single" w:color="auto" w:sz="4" w:space="0"/>
              <w:left w:val="single" w:color="auto" w:sz="4" w:space="0"/>
              <w:bottom w:val="single" w:color="auto" w:sz="4" w:space="0"/>
              <w:right w:val="single" w:color="auto" w:sz="4" w:space="0"/>
            </w:tcBorders>
            <w:noWrap w:val="0"/>
            <w:vAlign w:val="center"/>
          </w:tcPr>
          <w:p w14:paraId="29F2AD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1" w:type="dxa"/>
            <w:tcBorders>
              <w:top w:val="single" w:color="auto" w:sz="4" w:space="0"/>
              <w:left w:val="single" w:color="auto" w:sz="4" w:space="0"/>
              <w:bottom w:val="single" w:color="auto" w:sz="4" w:space="0"/>
              <w:right w:val="single" w:color="auto" w:sz="4" w:space="0"/>
            </w:tcBorders>
            <w:noWrap w:val="0"/>
            <w:vAlign w:val="center"/>
          </w:tcPr>
          <w:p w14:paraId="0F1C7D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0A83CF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51" w:type="dxa"/>
            <w:tcBorders>
              <w:top w:val="single" w:color="auto" w:sz="4" w:space="0"/>
              <w:left w:val="single" w:color="auto" w:sz="4" w:space="0"/>
              <w:bottom w:val="single" w:color="auto" w:sz="4" w:space="0"/>
              <w:right w:val="single" w:color="auto" w:sz="4" w:space="0"/>
            </w:tcBorders>
            <w:noWrap w:val="0"/>
            <w:vAlign w:val="center"/>
          </w:tcPr>
          <w:p w14:paraId="01A5B9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3D3A12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118" w:type="dxa"/>
            <w:tcBorders>
              <w:top w:val="single" w:color="auto" w:sz="4" w:space="0"/>
              <w:left w:val="single" w:color="auto" w:sz="4" w:space="0"/>
              <w:bottom w:val="single" w:color="auto" w:sz="4" w:space="0"/>
              <w:right w:val="single" w:color="auto" w:sz="4" w:space="0"/>
            </w:tcBorders>
            <w:noWrap w:val="0"/>
            <w:vAlign w:val="center"/>
          </w:tcPr>
          <w:p w14:paraId="729663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w:t>
            </w:r>
          </w:p>
        </w:tc>
        <w:tc>
          <w:tcPr>
            <w:tcW w:w="4272" w:type="dxa"/>
            <w:tcBorders>
              <w:top w:val="single" w:color="auto" w:sz="4" w:space="0"/>
              <w:left w:val="single" w:color="auto" w:sz="4" w:space="0"/>
              <w:bottom w:val="single" w:color="auto" w:sz="4" w:space="0"/>
              <w:right w:val="single" w:color="auto" w:sz="4" w:space="0"/>
            </w:tcBorders>
            <w:noWrap w:val="0"/>
            <w:vAlign w:val="center"/>
          </w:tcPr>
          <w:p w14:paraId="699239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52" w:type="dxa"/>
            <w:tcBorders>
              <w:top w:val="single" w:color="auto" w:sz="4" w:space="0"/>
              <w:left w:val="single" w:color="auto" w:sz="4" w:space="0"/>
              <w:bottom w:val="single" w:color="auto" w:sz="4" w:space="0"/>
              <w:right w:val="single" w:color="auto" w:sz="4" w:space="0"/>
            </w:tcBorders>
            <w:noWrap w:val="0"/>
            <w:vAlign w:val="center"/>
          </w:tcPr>
          <w:p w14:paraId="35D42C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08" w:type="dxa"/>
            <w:tcBorders>
              <w:top w:val="single" w:color="auto" w:sz="4" w:space="0"/>
              <w:left w:val="single" w:color="auto" w:sz="4" w:space="0"/>
              <w:bottom w:val="single" w:color="auto" w:sz="4" w:space="0"/>
              <w:right w:val="single" w:color="auto" w:sz="4" w:space="0"/>
            </w:tcBorders>
            <w:noWrap w:val="0"/>
            <w:vAlign w:val="center"/>
          </w:tcPr>
          <w:p w14:paraId="506B01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r>
    </w:tbl>
    <w:p w14:paraId="4071BB61">
      <w:pPr>
        <w:pStyle w:val="10"/>
        <w:rPr>
          <w:rFonts w:hint="eastAsia" w:ascii="宋体" w:hAnsi="宋体" w:eastAsia="宋体" w:cs="宋体"/>
          <w:sz w:val="24"/>
          <w:szCs w:val="24"/>
          <w:lang w:eastAsia="zh-CN"/>
        </w:rPr>
      </w:pPr>
    </w:p>
    <w:p w14:paraId="4080B004">
      <w:pPr>
        <w:pStyle w:val="10"/>
        <w:rPr>
          <w:rFonts w:hint="eastAsia" w:ascii="宋体" w:hAnsi="宋体" w:eastAsia="宋体" w:cs="宋体"/>
          <w:sz w:val="24"/>
          <w:szCs w:val="24"/>
          <w:lang w:eastAsia="zh-CN"/>
        </w:rPr>
      </w:pPr>
    </w:p>
    <w:p w14:paraId="03BA241D">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14926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146CCA9C">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p>
        </w:tc>
        <w:tc>
          <w:tcPr>
            <w:tcW w:w="1778" w:type="dxa"/>
            <w:tcBorders>
              <w:top w:val="nil"/>
              <w:left w:val="nil"/>
              <w:bottom w:val="nil"/>
              <w:right w:val="nil"/>
            </w:tcBorders>
            <w:noWrap/>
            <w:vAlign w:val="center"/>
          </w:tcPr>
          <w:p w14:paraId="2940C74F">
            <w:pPr>
              <w:rPr>
                <w:rFonts w:hint="eastAsia" w:ascii="宋体" w:hAnsi="宋体" w:eastAsia="宋体" w:cs="宋体"/>
                <w:i w:val="0"/>
                <w:iCs w:val="0"/>
                <w:color w:val="000000"/>
                <w:sz w:val="22"/>
                <w:szCs w:val="22"/>
                <w:u w:val="none"/>
              </w:rPr>
            </w:pPr>
          </w:p>
        </w:tc>
        <w:tc>
          <w:tcPr>
            <w:tcW w:w="2786" w:type="dxa"/>
            <w:tcBorders>
              <w:top w:val="nil"/>
              <w:left w:val="nil"/>
              <w:bottom w:val="nil"/>
              <w:right w:val="nil"/>
            </w:tcBorders>
            <w:noWrap/>
            <w:vAlign w:val="center"/>
          </w:tcPr>
          <w:p w14:paraId="18925337">
            <w:pPr>
              <w:rPr>
                <w:rFonts w:hint="eastAsia" w:ascii="宋体" w:hAnsi="宋体" w:eastAsia="宋体" w:cs="宋体"/>
                <w:i w:val="0"/>
                <w:iCs w:val="0"/>
                <w:color w:val="000000"/>
                <w:sz w:val="22"/>
                <w:szCs w:val="22"/>
                <w:u w:val="none"/>
              </w:rPr>
            </w:pPr>
          </w:p>
        </w:tc>
        <w:tc>
          <w:tcPr>
            <w:tcW w:w="2314" w:type="dxa"/>
            <w:tcBorders>
              <w:top w:val="nil"/>
              <w:left w:val="nil"/>
              <w:bottom w:val="nil"/>
              <w:right w:val="nil"/>
            </w:tcBorders>
            <w:noWrap/>
            <w:vAlign w:val="center"/>
          </w:tcPr>
          <w:p w14:paraId="69D5DF36">
            <w:pPr>
              <w:rPr>
                <w:rFonts w:hint="eastAsia" w:ascii="宋体" w:hAnsi="宋体" w:eastAsia="宋体" w:cs="宋体"/>
                <w:i w:val="0"/>
                <w:iCs w:val="0"/>
                <w:color w:val="000000"/>
                <w:sz w:val="22"/>
                <w:szCs w:val="22"/>
                <w:u w:val="none"/>
              </w:rPr>
            </w:pPr>
          </w:p>
        </w:tc>
        <w:tc>
          <w:tcPr>
            <w:tcW w:w="3449" w:type="dxa"/>
            <w:tcBorders>
              <w:top w:val="nil"/>
              <w:left w:val="nil"/>
              <w:bottom w:val="nil"/>
              <w:right w:val="nil"/>
            </w:tcBorders>
            <w:noWrap/>
            <w:vAlign w:val="center"/>
          </w:tcPr>
          <w:p w14:paraId="5787999C">
            <w:pPr>
              <w:rPr>
                <w:rFonts w:hint="eastAsia" w:ascii="宋体" w:hAnsi="宋体" w:eastAsia="宋体" w:cs="宋体"/>
                <w:i w:val="0"/>
                <w:iCs w:val="0"/>
                <w:color w:val="000000"/>
                <w:sz w:val="22"/>
                <w:szCs w:val="22"/>
                <w:u w:val="none"/>
              </w:rPr>
            </w:pPr>
          </w:p>
        </w:tc>
        <w:tc>
          <w:tcPr>
            <w:tcW w:w="1331" w:type="dxa"/>
            <w:tcBorders>
              <w:top w:val="nil"/>
              <w:left w:val="nil"/>
              <w:bottom w:val="nil"/>
              <w:right w:val="nil"/>
            </w:tcBorders>
            <w:noWrap/>
            <w:vAlign w:val="center"/>
          </w:tcPr>
          <w:p w14:paraId="254B12DC">
            <w:pPr>
              <w:rPr>
                <w:rFonts w:hint="eastAsia" w:ascii="宋体" w:hAnsi="宋体" w:eastAsia="宋体" w:cs="宋体"/>
                <w:i w:val="0"/>
                <w:iCs w:val="0"/>
                <w:color w:val="000000"/>
                <w:sz w:val="22"/>
                <w:szCs w:val="22"/>
                <w:u w:val="none"/>
              </w:rPr>
            </w:pPr>
          </w:p>
        </w:tc>
      </w:tr>
      <w:tr w14:paraId="4D21E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40BBD163">
            <w:pPr>
              <w:keepNext w:val="0"/>
              <w:keepLines w:val="0"/>
              <w:widowControl/>
              <w:suppressLineNumbers w:val="0"/>
              <w:jc w:val="center"/>
              <w:textAlignment w:val="center"/>
              <w:rPr>
                <w:rFonts w:hint="eastAsia" w:ascii="宋体" w:hAnsi="宋体" w:eastAsia="宋体" w:cs="宋体"/>
                <w:b/>
                <w:bCs/>
                <w:i w:val="0"/>
                <w:iCs w:val="0"/>
                <w:color w:val="FF0000"/>
                <w:sz w:val="36"/>
                <w:szCs w:val="36"/>
                <w:u w:val="none"/>
              </w:rPr>
            </w:pPr>
            <w:r>
              <w:rPr>
                <w:rFonts w:hint="eastAsia" w:ascii="宋体" w:hAnsi="宋体" w:eastAsia="宋体" w:cs="宋体"/>
                <w:b/>
                <w:bCs/>
                <w:i w:val="0"/>
                <w:iCs w:val="0"/>
                <w:color w:val="auto"/>
                <w:kern w:val="0"/>
                <w:sz w:val="36"/>
                <w:szCs w:val="36"/>
                <w:u w:val="none"/>
                <w:lang w:val="en-US" w:eastAsia="zh-CN"/>
              </w:rPr>
              <w:t>工业园区区内厂房房土两税费项目综合得分表</w:t>
            </w:r>
          </w:p>
        </w:tc>
      </w:tr>
      <w:tr w14:paraId="1D182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E65B78B">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4513E91">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83A500F">
            <w:pPr>
              <w:keepNext w:val="0"/>
              <w:keepLines w:val="0"/>
              <w:widowControl/>
              <w:suppressLineNumbers w:val="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E9F281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6A837D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621A7C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合计</w:t>
            </w:r>
          </w:p>
        </w:tc>
      </w:tr>
      <w:tr w14:paraId="0A3DB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ECE3B03">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6E5A8F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4732B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8AC495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ADDC6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367054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188D1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216FA99">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FA74DCF">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8BDAEA5">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1AA73E2">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16E6BB5">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76EB2B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6CB6B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1CC5A98">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EF2022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ED47B3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FA791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A3C58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7DC7388">
            <w:pPr>
              <w:keepNext w:val="0"/>
              <w:keepLines w:val="0"/>
              <w:widowControl/>
              <w:suppressLineNumbers w:val="0"/>
              <w:ind w:left="0" w:leftChars="0" w:firstLine="240" w:firstLineChars="10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r>
    </w:tbl>
    <w:p w14:paraId="58256D7E">
      <w:pPr>
        <w:pStyle w:val="10"/>
        <w:ind w:left="0" w:leftChars="0" w:firstLine="0" w:firstLineChars="0"/>
        <w:jc w:val="both"/>
        <w:rPr>
          <w:rFonts w:hint="default" w:ascii="宋体" w:hAnsi="宋体" w:eastAsia="宋体" w:cs="宋体"/>
          <w:sz w:val="24"/>
          <w:szCs w:val="24"/>
          <w:lang w:val="en-US" w:eastAsia="zh-CN"/>
        </w:rPr>
      </w:pPr>
    </w:p>
    <w:p w14:paraId="1EE8C2D1">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66D934B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3FAEB18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工业园区区内厂房房土两税费项目</w:t>
      </w:r>
    </w:p>
    <w:p w14:paraId="2BFB8DF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3D54528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color w:val="auto"/>
          <w:sz w:val="28"/>
          <w:szCs w:val="28"/>
          <w:highlight w:val="none"/>
        </w:rPr>
      </w:pPr>
    </w:p>
    <w:p w14:paraId="743463D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113DA5C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一、该问卷调查从2024年1月1日开始至2024年8月31日结束，调查问卷共设置3道题目。</w:t>
      </w:r>
    </w:p>
    <w:p w14:paraId="23558F80">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2D8FD3D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val="en-US" w:eastAsia="zh-CN"/>
        </w:rPr>
        <w:t>相关人员</w:t>
      </w:r>
      <w:r>
        <w:rPr>
          <w:rFonts w:hint="eastAsia" w:ascii="宋体" w:hAnsi="宋体" w:eastAsia="宋体" w:cs="宋体"/>
          <w:color w:val="000000"/>
          <w:sz w:val="24"/>
          <w:szCs w:val="24"/>
          <w:highlight w:val="none"/>
        </w:rPr>
        <w:t>。</w:t>
      </w:r>
    </w:p>
    <w:p w14:paraId="2C531677">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03772CC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w:t>
      </w:r>
      <w:bookmarkStart w:id="28" w:name="OLE_LINK9"/>
      <w:r>
        <w:rPr>
          <w:rFonts w:hint="eastAsia" w:ascii="宋体" w:hAnsi="宋体" w:eastAsia="宋体" w:cs="宋体"/>
          <w:color w:val="000000"/>
          <w:sz w:val="24"/>
          <w:szCs w:val="24"/>
          <w:highlight w:val="none"/>
          <w:lang w:val="en-US" w:eastAsia="zh-CN"/>
        </w:rPr>
        <w:t>您对</w:t>
      </w:r>
      <w:bookmarkEnd w:id="28"/>
      <w:r>
        <w:rPr>
          <w:rFonts w:hint="eastAsia" w:ascii="宋体" w:hAnsi="宋体" w:eastAsia="宋体" w:cs="宋体"/>
          <w:color w:val="000000"/>
          <w:sz w:val="24"/>
          <w:szCs w:val="24"/>
          <w:highlight w:val="none"/>
          <w:lang w:val="en-US" w:eastAsia="zh-CN"/>
        </w:rPr>
        <w:t>该项</w:t>
      </w:r>
      <w:bookmarkStart w:id="29" w:name="OLE_LINK11"/>
      <w:r>
        <w:rPr>
          <w:rFonts w:hint="eastAsia" w:ascii="宋体" w:hAnsi="宋体" w:eastAsia="宋体" w:cs="宋体"/>
          <w:color w:val="000000"/>
          <w:sz w:val="24"/>
          <w:szCs w:val="24"/>
          <w:highlight w:val="none"/>
          <w:lang w:val="en-US" w:eastAsia="zh-CN"/>
        </w:rPr>
        <w:t>目完工的及</w:t>
      </w:r>
      <w:bookmarkEnd w:id="29"/>
      <w:r>
        <w:rPr>
          <w:rFonts w:hint="eastAsia" w:ascii="宋体" w:hAnsi="宋体" w:eastAsia="宋体" w:cs="宋体"/>
          <w:color w:val="000000"/>
          <w:sz w:val="24"/>
          <w:szCs w:val="24"/>
          <w:highlight w:val="none"/>
          <w:lang w:val="en-US" w:eastAsia="zh-CN"/>
        </w:rPr>
        <w:t>时性是否满意?</w:t>
      </w:r>
    </w:p>
    <w:p w14:paraId="30A5A08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②您对通过实施该项目有效保障以前年度工业园区区内厂房房土两税费，确保土地资源的合理利用，进一步促进了园区经济发展，有效保障了政府税收收入，有效保障政府公信力是否满意？</w:t>
      </w:r>
    </w:p>
    <w:p w14:paraId="2524974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③总的来说，您对目前工业园区区内厂房房土两税费项目实施后的整体满意程度如何？</w:t>
      </w:r>
    </w:p>
    <w:p w14:paraId="01901DF8">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5B583AD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307279C1">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0DEA8E2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3A92EADA">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28D82FC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19CBBEDA">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514E220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000C9BF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第一个问题：该项统计有效问卷数量30份，选择非常满意的人数为29人。选择比较满意的人数为1人，选择一般的人数0人，选择不满意的人数0人，选择非常不满意的人数0人。</w:t>
      </w:r>
    </w:p>
    <w:p w14:paraId="4043653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6B1AD76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第三个问题：该项统计有效问卷数量30份，选择非常满29意的人数为30人。选择比较满意的人数为0人，选择一般的人数0人，选择不满意的人数0人，选择非常不满意的人数0人。</w:t>
      </w:r>
    </w:p>
    <w:p w14:paraId="763A397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3537B3C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工业园区区内厂房房土两税费项目针对相关员发放30份调查问卷，最终统计相关人群满意度为95%。</w:t>
      </w:r>
    </w:p>
    <w:p w14:paraId="4489888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p>
    <w:p w14:paraId="4C3182C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和田地区北京工业园区管理委员会</w:t>
      </w:r>
    </w:p>
    <w:p w14:paraId="561D614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2025年3月5日</w:t>
      </w:r>
    </w:p>
    <w:p w14:paraId="5E3D75AF">
      <w:pPr>
        <w:ind w:left="0" w:leftChars="0" w:firstLine="0" w:firstLineChars="0"/>
        <w:rPr>
          <w:highlight w:val="none"/>
        </w:rPr>
      </w:pPr>
    </w:p>
    <w:p w14:paraId="657A244F">
      <w:pPr>
        <w:pStyle w:val="10"/>
        <w:rPr>
          <w:rFonts w:hint="eastAsia" w:ascii="宋体" w:hAnsi="宋体" w:eastAsia="宋体" w:cs="宋体"/>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DD48A">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7ED00934">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5B1A2">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2"/>
      <w:numFmt w:val="decimal"/>
      <w:lvlText w:val="%1."/>
      <w:lvlJc w:val="left"/>
      <w:pPr>
        <w:tabs>
          <w:tab w:val="left" w:pos="312"/>
        </w:tabs>
      </w:pPr>
    </w:lvl>
  </w:abstractNum>
  <w:abstractNum w:abstractNumId="2">
    <w:nsid w:val="59ADCABA"/>
    <w:multiLevelType w:val="singleLevel"/>
    <w:tmpl w:val="59ADCABA"/>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635A3F5E"/>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uiPriority w:val="0"/>
    <w:pPr>
      <w:ind w:firstLine="420"/>
    </w:pPr>
  </w:style>
  <w:style w:type="paragraph" w:styleId="3">
    <w:name w:val="Body Text Indent"/>
    <w:basedOn w:val="1"/>
    <w:link w:val="30"/>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font21"/>
    <w:uiPriority w:val="0"/>
    <w:rPr>
      <w:rFonts w:hint="default" w:ascii="Times New Roman" w:hAnsi="Times New Roman" w:cs="Times New Roman"/>
      <w:color w:val="000000"/>
      <w:sz w:val="24"/>
      <w:szCs w:val="24"/>
      <w:u w:val="none"/>
    </w:rPr>
  </w:style>
  <w:style w:type="character" w:customStyle="1" w:styleId="44">
    <w:name w:val="无间隔 Char"/>
    <w:link w:val="45"/>
    <w:uiPriority w:val="1"/>
    <w:rPr>
      <w:rFonts w:eastAsia="仿宋_GB2312" w:cs="黑体"/>
      <w:kern w:val="2"/>
      <w:sz w:val="28"/>
      <w:szCs w:val="22"/>
      <w:lang w:val="en-US" w:eastAsia="zh-CN" w:bidi="ar-SA"/>
    </w:rPr>
  </w:style>
  <w:style w:type="paragraph" w:styleId="45">
    <w:name w:val="No Spacing"/>
    <w:link w:val="44"/>
    <w:qFormat/>
    <w:uiPriority w:val="1"/>
    <w:pPr>
      <w:widowControl w:val="0"/>
      <w:ind w:firstLine="600" w:firstLineChars="200"/>
      <w:jc w:val="both"/>
    </w:pPr>
    <w:rPr>
      <w:rFonts w:ascii="Calibri" w:hAnsi="Calibri" w:eastAsia="仿宋_GB2312" w:cs="黑体"/>
      <w:kern w:val="2"/>
      <w:sz w:val="28"/>
      <w:szCs w:val="22"/>
      <w:lang w:val="en-US" w:eastAsia="zh-CN" w:bidi="ar-SA"/>
    </w:rPr>
  </w:style>
  <w:style w:type="character" w:customStyle="1" w:styleId="46">
    <w:name w:val="font11"/>
    <w:uiPriority w:val="0"/>
    <w:rPr>
      <w:rFonts w:hint="eastAsia" w:ascii="方正仿宋_GBK" w:hAnsi="方正仿宋_GBK" w:eastAsia="方正仿宋_GBK" w:cs="方正仿宋_GBK"/>
      <w:color w:val="000000"/>
      <w:sz w:val="24"/>
      <w:szCs w:val="24"/>
      <w:u w:val="none"/>
    </w:rPr>
  </w:style>
  <w:style w:type="character" w:customStyle="1" w:styleId="47">
    <w:name w:val="font71"/>
    <w:basedOn w:val="25"/>
    <w:uiPriority w:val="0"/>
    <w:rPr>
      <w:rFonts w:hint="eastAsia" w:ascii="微软雅黑" w:hAnsi="微软雅黑" w:eastAsia="微软雅黑" w:cs="微软雅黑"/>
      <w:b/>
      <w:bCs/>
      <w:color w:val="000000"/>
      <w:sz w:val="32"/>
      <w:szCs w:val="32"/>
      <w:u w:val="none"/>
    </w:rPr>
  </w:style>
  <w:style w:type="character" w:customStyle="1" w:styleId="48">
    <w:name w:val="闻政-正文一级标题 Char"/>
    <w:link w:val="49"/>
    <w:uiPriority w:val="3"/>
    <w:rPr>
      <w:rFonts w:ascii="黑体" w:hAnsi="黑体" w:eastAsia="黑体"/>
      <w:bCs/>
      <w:sz w:val="32"/>
      <w:szCs w:val="32"/>
    </w:rPr>
  </w:style>
  <w:style w:type="paragraph" w:customStyle="1" w:styleId="49">
    <w:name w:val="闻政-正文一级标题"/>
    <w:basedOn w:val="6"/>
    <w:next w:val="50"/>
    <w:link w:val="48"/>
    <w:qFormat/>
    <w:uiPriority w:val="3"/>
    <w:pPr>
      <w:spacing w:before="120" w:after="60" w:line="500" w:lineRule="exact"/>
      <w:ind w:firstLine="0" w:firstLineChars="0"/>
      <w:outlineLvl w:val="0"/>
    </w:pPr>
    <w:rPr>
      <w:rFonts w:ascii="黑体" w:hAnsi="黑体" w:eastAsia="黑体"/>
      <w:sz w:val="32"/>
    </w:rPr>
  </w:style>
  <w:style w:type="paragraph" w:customStyle="1" w:styleId="50">
    <w:name w:val="闻政-正文段落文字"/>
    <w:basedOn w:val="1"/>
    <w:link w:val="51"/>
    <w:qFormat/>
    <w:uiPriority w:val="3"/>
    <w:pPr>
      <w:spacing w:line="500" w:lineRule="exact"/>
      <w:ind w:firstLine="200"/>
    </w:pPr>
    <w:rPr>
      <w:rFonts w:ascii="Times New Roman" w:hAnsi="Times New Roman" w:cs="Times New Roman"/>
      <w:kern w:val="0"/>
      <w:szCs w:val="28"/>
    </w:rPr>
  </w:style>
  <w:style w:type="character" w:customStyle="1" w:styleId="51">
    <w:name w:val="闻政-正文段落文字 Char"/>
    <w:link w:val="50"/>
    <w:uiPriority w:val="3"/>
    <w:rPr>
      <w:rFonts w:ascii="Times New Roman" w:hAnsi="Times New Roman" w:eastAsia="仿宋_GB2312"/>
      <w:sz w:val="28"/>
      <w:szCs w:val="28"/>
    </w:rPr>
  </w:style>
  <w:style w:type="character" w:customStyle="1" w:styleId="52">
    <w:name w:val="52"/>
    <w:qFormat/>
    <w:uiPriority w:val="0"/>
    <w:rPr>
      <w:b/>
      <w:bCs/>
      <w:smallCaps/>
      <w:color w:val="C0504D"/>
      <w:spacing w:val="5"/>
      <w:u w:val="single"/>
    </w:rPr>
  </w:style>
  <w:style w:type="character" w:customStyle="1" w:styleId="53">
    <w:name w:val="闻政-正文二级标题 Char"/>
    <w:link w:val="54"/>
    <w:uiPriority w:val="3"/>
    <w:rPr>
      <w:rFonts w:ascii="Times New Roman" w:hAnsi="Times New Roman" w:eastAsia="仿宋_GB2312"/>
      <w:b/>
      <w:bCs/>
      <w:sz w:val="28"/>
      <w:szCs w:val="32"/>
    </w:rPr>
  </w:style>
  <w:style w:type="paragraph" w:customStyle="1" w:styleId="54">
    <w:name w:val="闻政-正文二级标题"/>
    <w:basedOn w:val="5"/>
    <w:next w:val="50"/>
    <w:link w:val="53"/>
    <w:qFormat/>
    <w:uiPriority w:val="3"/>
    <w:pPr>
      <w:spacing w:before="120" w:after="60" w:line="500" w:lineRule="exact"/>
      <w:ind w:left="200" w:leftChars="200" w:firstLine="0" w:firstLineChars="0"/>
    </w:pPr>
    <w:rPr>
      <w:rFonts w:ascii="Times New Roman" w:hAnsi="Times New Roman"/>
      <w:sz w:val="28"/>
    </w:rPr>
  </w:style>
  <w:style w:type="character" w:customStyle="1" w:styleId="55">
    <w:name w:val="闻政-正文三级标题 Char"/>
    <w:link w:val="56"/>
    <w:uiPriority w:val="3"/>
    <w:rPr>
      <w:rFonts w:ascii="Times New Roman" w:hAnsi="Times New Roman" w:eastAsia="仿宋_GB2312"/>
      <w:b/>
      <w:snapToGrid w:val="0"/>
      <w:sz w:val="28"/>
      <w:szCs w:val="28"/>
    </w:rPr>
  </w:style>
  <w:style w:type="paragraph" w:customStyle="1" w:styleId="56">
    <w:name w:val="闻政-正文三级标题"/>
    <w:basedOn w:val="1"/>
    <w:next w:val="50"/>
    <w:link w:val="55"/>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375CFE89DF8E428CBB5E0AE172E1951D_13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a71d47-1164-42b3-a8f5-c7a71a87347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10787</Words>
  <Characters>11367</Characters>
  <Lines>44</Lines>
  <Paragraphs>12</Paragraphs>
  <TotalTime>23</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2025-10-10T09:21:03Z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375CFE89DF8E428CBB5E0AE172E1951D_13</vt:lpwstr>
  </property>
  <property fmtid="{D5CDD505-2E9C-101B-9397-08002B2CF9AE}" pid="4" name="KSOTemplateDocerSaveRecord">
    <vt:lpwstr>eyJoZGlkIjoiZDE5MGZhMTJhZDM2OTQwYzkzYWVjM2FhZDUxN2Q0M2IiLCJ1c2VySWQiOiI2NTE5NDIwMjYifQ_x003D__x003D_</vt:lpwstr>
  </property>
</Properties>
</file>