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6104AB">
      <w:bookmarkStart w:id="22" w:name="_GoBack"/>
      <w:bookmarkEnd w:id="22"/>
    </w:p>
    <w:p w14:paraId="6A6CC6BE">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color w:val="auto"/>
          <w:kern w:val="0"/>
          <w:sz w:val="32"/>
          <w:szCs w:val="32"/>
          <w:lang w:val="en-US" w:eastAsia="zh-CN" w:bidi="en-US"/>
        </w:rPr>
      </w:pPr>
    </w:p>
    <w:p w14:paraId="0BF5E8F8">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803"/>
        <w:jc w:val="center"/>
        <w:textAlignment w:val="auto"/>
        <w:outlineLvl w:val="0"/>
        <w:rPr>
          <w:rFonts w:hint="eastAsia" w:ascii="黑体" w:hAnsi="黑体" w:eastAsia="黑体" w:cs="黑体"/>
          <w:b/>
          <w:color w:val="auto"/>
          <w:sz w:val="36"/>
          <w:szCs w:val="36"/>
          <w:lang w:val="en-US" w:eastAsia="zh-CN"/>
        </w:rPr>
      </w:pPr>
      <w:r>
        <w:rPr>
          <w:rFonts w:hint="eastAsia" w:ascii="黑体" w:hAnsi="黑体" w:eastAsia="黑体" w:cs="黑体"/>
          <w:b/>
          <w:color w:val="auto"/>
          <w:sz w:val="36"/>
          <w:szCs w:val="36"/>
          <w:lang w:val="en-US" w:eastAsia="zh-CN"/>
        </w:rPr>
        <w:t>和田地区洛浦县2024年村级运转经费项目</w:t>
      </w:r>
    </w:p>
    <w:p w14:paraId="599D54B3">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803"/>
        <w:jc w:val="center"/>
        <w:textAlignment w:val="auto"/>
        <w:outlineLvl w:val="0"/>
        <w:rPr>
          <w:color w:val="auto"/>
        </w:rPr>
      </w:pPr>
      <w:r>
        <w:rPr>
          <w:rFonts w:hint="eastAsia" w:ascii="黑体" w:hAnsi="黑体" w:eastAsia="黑体" w:cs="黑体"/>
          <w:b/>
          <w:color w:val="auto"/>
          <w:sz w:val="36"/>
          <w:szCs w:val="36"/>
        </w:rPr>
        <w:t>支出绩效评价报告</w:t>
      </w:r>
    </w:p>
    <w:p w14:paraId="45535018">
      <w:pPr>
        <w:pStyle w:val="6"/>
        <w:jc w:val="center"/>
        <w:rPr>
          <w:rFonts w:hint="eastAsia" w:eastAsia="仿宋_GB2312"/>
          <w:color w:val="auto"/>
          <w:lang w:eastAsia="zh-CN"/>
        </w:rPr>
      </w:pPr>
      <w:r>
        <w:rPr>
          <w:rFonts w:hint="eastAsia"/>
          <w:color w:val="auto"/>
          <w:lang w:eastAsia="zh-CN"/>
        </w:rPr>
        <w:t>（</w:t>
      </w:r>
      <w:r>
        <w:rPr>
          <w:rFonts w:hint="eastAsia"/>
          <w:color w:val="auto"/>
          <w:lang w:val="en-US" w:eastAsia="zh-CN"/>
        </w:rPr>
        <w:t>2024年度</w:t>
      </w:r>
      <w:r>
        <w:rPr>
          <w:rFonts w:hint="eastAsia"/>
          <w:color w:val="auto"/>
          <w:lang w:eastAsia="zh-CN"/>
        </w:rPr>
        <w:t>）</w:t>
      </w:r>
    </w:p>
    <w:p w14:paraId="2450E546">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color w:val="auto"/>
          <w:kern w:val="0"/>
          <w:sz w:val="32"/>
          <w:szCs w:val="32"/>
          <w:lang w:bidi="en-US"/>
        </w:rPr>
      </w:pPr>
    </w:p>
    <w:p w14:paraId="12AF619F">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color w:val="auto"/>
          <w:kern w:val="0"/>
          <w:sz w:val="32"/>
          <w:szCs w:val="32"/>
          <w:lang w:bidi="en-US"/>
        </w:rPr>
      </w:pPr>
    </w:p>
    <w:p w14:paraId="6CEFD262">
      <w:pPr>
        <w:pStyle w:val="6"/>
        <w:rPr>
          <w:rFonts w:hint="eastAsia" w:eastAsia="方正仿宋_GBK" w:cs="方正仿宋_GBK"/>
          <w:b/>
          <w:color w:val="auto"/>
          <w:kern w:val="0"/>
          <w:sz w:val="32"/>
          <w:szCs w:val="32"/>
          <w:lang w:bidi="en-US"/>
        </w:rPr>
      </w:pPr>
    </w:p>
    <w:p w14:paraId="45CEB1D2">
      <w:pPr>
        <w:rPr>
          <w:rFonts w:hint="eastAsia" w:eastAsia="方正仿宋_GBK" w:cs="方正仿宋_GBK"/>
          <w:b/>
          <w:color w:val="auto"/>
          <w:kern w:val="0"/>
          <w:sz w:val="32"/>
          <w:szCs w:val="32"/>
          <w:lang w:bidi="en-US"/>
        </w:rPr>
      </w:pPr>
    </w:p>
    <w:p w14:paraId="21A9A478">
      <w:pPr>
        <w:pStyle w:val="6"/>
        <w:rPr>
          <w:rFonts w:hint="eastAsia"/>
          <w:color w:val="auto"/>
        </w:rPr>
      </w:pPr>
    </w:p>
    <w:p w14:paraId="4F86F815">
      <w:pPr>
        <w:pStyle w:val="6"/>
        <w:pageBreakBefore w:val="0"/>
        <w:widowControl w:val="0"/>
        <w:kinsoku/>
        <w:wordWrap/>
        <w:topLinePunct w:val="0"/>
        <w:autoSpaceDE/>
        <w:autoSpaceDN/>
        <w:bidi w:val="0"/>
        <w:spacing w:before="0" w:after="0" w:line="560" w:lineRule="exact"/>
        <w:ind w:left="0" w:leftChars="0" w:firstLine="643"/>
        <w:textAlignment w:val="auto"/>
        <w:rPr>
          <w:rFonts w:hint="eastAsia" w:eastAsia="方正仿宋_GBK" w:cs="方正仿宋_GBK"/>
          <w:b/>
          <w:color w:val="auto"/>
          <w:sz w:val="32"/>
          <w:lang w:bidi="en-US"/>
        </w:rPr>
      </w:pPr>
    </w:p>
    <w:p w14:paraId="04FA3506">
      <w:pPr>
        <w:pageBreakBefore w:val="0"/>
        <w:widowControl w:val="0"/>
        <w:kinsoku/>
        <w:wordWrap/>
        <w:topLinePunct w:val="0"/>
        <w:autoSpaceDE/>
        <w:autoSpaceDN/>
        <w:bidi w:val="0"/>
        <w:spacing w:line="560" w:lineRule="exact"/>
        <w:ind w:left="0" w:leftChars="0" w:firstLine="560"/>
        <w:textAlignment w:val="auto"/>
        <w:rPr>
          <w:rFonts w:hint="eastAsia"/>
          <w:color w:val="auto"/>
        </w:rPr>
      </w:pPr>
    </w:p>
    <w:p w14:paraId="33D6D2C8">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color w:val="auto"/>
          <w:kern w:val="0"/>
          <w:sz w:val="32"/>
          <w:szCs w:val="32"/>
          <w:lang w:bidi="en-US"/>
        </w:rPr>
      </w:pPr>
    </w:p>
    <w:p w14:paraId="0D51E0CB">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color w:val="auto"/>
          <w:kern w:val="0"/>
          <w:sz w:val="28"/>
          <w:szCs w:val="28"/>
          <w:lang w:bidi="en-US"/>
        </w:rPr>
      </w:pPr>
      <w:r>
        <w:rPr>
          <w:rFonts w:hint="eastAsia" w:ascii="宋体" w:hAnsi="宋体" w:eastAsia="宋体" w:cs="宋体"/>
          <w:color w:val="auto"/>
          <w:kern w:val="0"/>
          <w:sz w:val="28"/>
          <w:szCs w:val="28"/>
          <w:lang w:bidi="en-US"/>
        </w:rPr>
        <w:t>项目名称：2024年村级运转经费（县配套）项目</w:t>
      </w:r>
    </w:p>
    <w:p w14:paraId="0B6EEA90">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color w:val="auto"/>
          <w:kern w:val="0"/>
          <w:sz w:val="28"/>
          <w:szCs w:val="28"/>
          <w:lang w:eastAsia="zh-CN" w:bidi="en-US"/>
        </w:rPr>
      </w:pPr>
      <w:r>
        <w:rPr>
          <w:rFonts w:hint="eastAsia" w:ascii="宋体" w:hAnsi="宋体" w:eastAsia="宋体" w:cs="宋体"/>
          <w:color w:val="auto"/>
          <w:kern w:val="0"/>
          <w:sz w:val="28"/>
          <w:szCs w:val="28"/>
          <w:lang w:bidi="en-US"/>
        </w:rPr>
        <w:t>项目单位：</w:t>
      </w:r>
      <w:r>
        <w:rPr>
          <w:rFonts w:hint="eastAsia" w:ascii="宋体" w:hAnsi="宋体" w:eastAsia="宋体" w:cs="宋体"/>
          <w:color w:val="auto"/>
          <w:kern w:val="0"/>
          <w:sz w:val="28"/>
          <w:szCs w:val="28"/>
          <w:lang w:eastAsia="zh-CN" w:bidi="en-US"/>
        </w:rPr>
        <w:t>洛浦县阿其克乡人民政府</w:t>
      </w:r>
    </w:p>
    <w:p w14:paraId="17115A0B">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rPr>
      </w:pPr>
      <w:r>
        <w:rPr>
          <w:rFonts w:hint="eastAsia" w:ascii="宋体" w:hAnsi="宋体" w:eastAsia="宋体" w:cs="宋体"/>
          <w:color w:val="auto"/>
          <w:kern w:val="0"/>
          <w:sz w:val="28"/>
          <w:szCs w:val="28"/>
          <w:lang w:bidi="en-US"/>
        </w:rPr>
        <w:t>主管部门：</w:t>
      </w:r>
      <w:r>
        <w:rPr>
          <w:rFonts w:hint="eastAsia" w:ascii="宋体" w:hAnsi="宋体" w:eastAsia="宋体" w:cs="宋体"/>
          <w:color w:val="auto"/>
          <w:kern w:val="0"/>
          <w:sz w:val="28"/>
          <w:szCs w:val="28"/>
          <w:lang w:val="en-US" w:eastAsia="zh-CN" w:bidi="en-US"/>
        </w:rPr>
        <w:t>洛浦县财政</w:t>
      </w:r>
      <w:r>
        <w:rPr>
          <w:rFonts w:hint="eastAsia" w:ascii="宋体" w:hAnsi="宋体" w:eastAsia="宋体" w:cs="宋体"/>
          <w:color w:val="auto"/>
          <w:kern w:val="0"/>
          <w:sz w:val="28"/>
          <w:szCs w:val="28"/>
          <w:lang w:bidi="en-US"/>
        </w:rPr>
        <w:t>局</w:t>
      </w:r>
    </w:p>
    <w:p w14:paraId="390B0693">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color w:val="auto"/>
          <w:kern w:val="0"/>
          <w:sz w:val="28"/>
          <w:szCs w:val="28"/>
          <w:lang w:val="en-US" w:eastAsia="zh-CN" w:bidi="en-US"/>
        </w:rPr>
      </w:pPr>
      <w:r>
        <w:rPr>
          <w:rFonts w:hint="eastAsia" w:ascii="宋体" w:hAnsi="宋体" w:eastAsia="宋体" w:cs="宋体"/>
          <w:color w:val="auto"/>
          <w:kern w:val="0"/>
          <w:sz w:val="28"/>
          <w:szCs w:val="28"/>
          <w:lang w:bidi="en-US"/>
        </w:rPr>
        <w:t>项目负责人：</w:t>
      </w:r>
      <w:r>
        <w:rPr>
          <w:rFonts w:hint="eastAsia" w:ascii="宋体" w:hAnsi="宋体" w:eastAsia="宋体" w:cs="宋体"/>
          <w:color w:val="auto"/>
          <w:kern w:val="0"/>
          <w:sz w:val="28"/>
          <w:szCs w:val="28"/>
          <w:lang w:val="en-US" w:eastAsia="zh-CN" w:bidi="en-US"/>
        </w:rPr>
        <w:t>唐升鹏</w:t>
      </w:r>
    </w:p>
    <w:p w14:paraId="15058AEF">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color w:val="auto"/>
          <w:kern w:val="0"/>
          <w:sz w:val="28"/>
          <w:szCs w:val="28"/>
          <w:lang w:bidi="en-US"/>
        </w:rPr>
      </w:pPr>
      <w:r>
        <w:rPr>
          <w:rFonts w:hint="eastAsia" w:ascii="宋体" w:hAnsi="宋体" w:eastAsia="宋体" w:cs="宋体"/>
          <w:color w:val="auto"/>
          <w:kern w:val="0"/>
          <w:sz w:val="28"/>
          <w:szCs w:val="28"/>
          <w:lang w:bidi="en-US"/>
        </w:rPr>
        <w:t>填报时间：</w:t>
      </w:r>
      <w:r>
        <w:rPr>
          <w:rFonts w:hint="eastAsia" w:ascii="宋体" w:hAnsi="宋体" w:eastAsia="宋体" w:cs="宋体"/>
          <w:color w:val="auto"/>
          <w:kern w:val="0"/>
          <w:sz w:val="28"/>
          <w:szCs w:val="28"/>
          <w:lang w:val="en-US" w:eastAsia="zh-CN" w:bidi="en-US"/>
        </w:rPr>
        <w:t>2025</w:t>
      </w:r>
      <w:r>
        <w:rPr>
          <w:rFonts w:hint="eastAsia" w:ascii="宋体" w:hAnsi="宋体" w:eastAsia="宋体" w:cs="宋体"/>
          <w:color w:val="auto"/>
          <w:kern w:val="0"/>
          <w:sz w:val="28"/>
          <w:szCs w:val="28"/>
          <w:lang w:bidi="en-US"/>
        </w:rPr>
        <w:t>年</w:t>
      </w:r>
      <w:r>
        <w:rPr>
          <w:rFonts w:hint="eastAsia" w:ascii="宋体" w:hAnsi="宋体" w:eastAsia="宋体" w:cs="宋体"/>
          <w:color w:val="auto"/>
          <w:kern w:val="0"/>
          <w:sz w:val="28"/>
          <w:szCs w:val="28"/>
          <w:lang w:val="en-US" w:eastAsia="zh-CN" w:bidi="en-US"/>
        </w:rPr>
        <w:t>3</w:t>
      </w:r>
      <w:r>
        <w:rPr>
          <w:rFonts w:hint="eastAsia" w:ascii="宋体" w:hAnsi="宋体" w:eastAsia="宋体" w:cs="宋体"/>
          <w:color w:val="auto"/>
          <w:kern w:val="0"/>
          <w:sz w:val="28"/>
          <w:szCs w:val="28"/>
          <w:lang w:bidi="en-US"/>
        </w:rPr>
        <w:t>月</w:t>
      </w:r>
      <w:r>
        <w:rPr>
          <w:rFonts w:hint="eastAsia" w:ascii="宋体" w:hAnsi="宋体" w:eastAsia="宋体" w:cs="宋体"/>
          <w:color w:val="auto"/>
          <w:kern w:val="0"/>
          <w:sz w:val="28"/>
          <w:szCs w:val="28"/>
          <w:lang w:val="en-US" w:eastAsia="zh-CN" w:bidi="en-US"/>
        </w:rPr>
        <w:t>27</w:t>
      </w:r>
      <w:r>
        <w:rPr>
          <w:rFonts w:hint="eastAsia" w:ascii="宋体" w:hAnsi="宋体" w:eastAsia="宋体" w:cs="宋体"/>
          <w:color w:val="auto"/>
          <w:kern w:val="0"/>
          <w:sz w:val="28"/>
          <w:szCs w:val="28"/>
          <w:lang w:bidi="en-US"/>
        </w:rPr>
        <w:t>日</w:t>
      </w:r>
    </w:p>
    <w:p w14:paraId="637D47E2">
      <w:pPr>
        <w:pStyle w:val="4"/>
        <w:pageBreakBefore w:val="0"/>
        <w:widowControl w:val="0"/>
        <w:numPr>
          <w:ilvl w:val="0"/>
          <w:numId w:val="0"/>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lang w:val="en-US" w:eastAsia="zh-CN"/>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bookmarkStart w:id="0" w:name="_Toc68364657"/>
    </w:p>
    <w:p w14:paraId="1B672FE5">
      <w:pPr>
        <w:pStyle w:val="4"/>
        <w:pageBreakBefore w:val="0"/>
        <w:widowControl w:val="0"/>
        <w:numPr>
          <w:ilvl w:val="0"/>
          <w:numId w:val="0"/>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lang w:val="en-US" w:eastAsia="zh-CN"/>
        </w:rPr>
        <w:t>一、</w:t>
      </w:r>
      <w:r>
        <w:rPr>
          <w:rFonts w:hint="eastAsia" w:ascii="黑体" w:hAnsi="黑体" w:eastAsia="黑体" w:cs="黑体"/>
          <w:color w:val="auto"/>
          <w:sz w:val="24"/>
          <w:szCs w:val="24"/>
        </w:rPr>
        <w:t>基本情况</w:t>
      </w:r>
      <w:bookmarkEnd w:id="0"/>
    </w:p>
    <w:p w14:paraId="4DB10B1F">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1" w:name="_Toc68364658"/>
      <w:r>
        <w:rPr>
          <w:rFonts w:hint="eastAsia" w:ascii="宋体" w:hAnsi="宋体" w:eastAsia="宋体" w:cs="宋体"/>
          <w:color w:val="auto"/>
          <w:sz w:val="24"/>
          <w:szCs w:val="24"/>
          <w:lang w:eastAsia="zh-CN"/>
        </w:rPr>
        <w:t>（一）</w:t>
      </w:r>
      <w:r>
        <w:rPr>
          <w:rFonts w:hint="eastAsia" w:ascii="宋体" w:hAnsi="宋体" w:eastAsia="宋体" w:cs="宋体"/>
          <w:color w:val="auto"/>
          <w:sz w:val="24"/>
          <w:szCs w:val="24"/>
        </w:rPr>
        <w:t>项目概况</w:t>
      </w:r>
      <w:bookmarkEnd w:id="1"/>
    </w:p>
    <w:p w14:paraId="63A6FB00">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 项目背景</w:t>
      </w:r>
    </w:p>
    <w:p w14:paraId="1A8F979E">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根据《洛浦县财经委员会会议纪要》（洛财纪字〔2024〕04号）文件实施此项目，项目主要内容为：保障辖区内4个行政村的办公经费、维修费、取暖费等各项运转经费，确保4个村能够顺利开展工作，通过项目实施，不断加强党对农村工作的全面领导，保障村级各项工作运转高效、规范有序，进一步夯实了乡村振兴组织基础、提升了农村基层治理效能，改善村级人员办公环境，提高工作积极性和工作效率</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     </w:t>
      </w:r>
    </w:p>
    <w:p w14:paraId="21E43338">
      <w:pPr>
        <w:pStyle w:val="46"/>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b/>
          <w:bCs/>
          <w:color w:val="auto"/>
          <w:sz w:val="24"/>
          <w:szCs w:val="24"/>
        </w:rPr>
        <w:t>主要内容及实施情况</w:t>
      </w:r>
    </w:p>
    <w:p w14:paraId="3A9D916D">
      <w:pPr>
        <w:pStyle w:val="46"/>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主要内容</w:t>
      </w:r>
    </w:p>
    <w:p w14:paraId="195014D8">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根据《洛浦县财经委员会会议纪要》（洛财纪字〔2023〕4号）文件实施此项目，项目主要内容为：保障辖区内4个行政村的办公经费、电费等各项运转经费，确保4个村能够顺利开展工作，通过项目实施，不断加强党对农村工作的全面领导，保障村级各项工作运转高效、规范有序，进一步夯实了乡村振兴组织基础、提升了农村基层治理效能，改善村级人员办公环境，提高工作积极性和工作效率。</w:t>
      </w:r>
    </w:p>
    <w:p w14:paraId="79CCDF8C">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2.实施情况</w:t>
      </w:r>
    </w:p>
    <w:p w14:paraId="4E7E65EB">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1）项目实施主体</w:t>
      </w:r>
    </w:p>
    <w:p w14:paraId="748B935C">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本项目主管部门为洛浦县财政局，实施单位为洛浦县阿其克乡人民政府</w:t>
      </w:r>
      <w:r>
        <w:rPr>
          <w:rFonts w:hint="eastAsia" w:ascii="宋体" w:hAnsi="宋体" w:eastAsia="宋体" w:cs="宋体"/>
          <w:color w:val="auto"/>
          <w:sz w:val="24"/>
          <w:szCs w:val="24"/>
          <w:lang w:val="en-US" w:eastAsia="zh-CN"/>
        </w:rPr>
        <w:t>。</w:t>
      </w:r>
    </w:p>
    <w:p w14:paraId="4F846094">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bCs/>
          <w:color w:val="auto"/>
          <w:sz w:val="24"/>
          <w:szCs w:val="24"/>
          <w:lang w:val="en-US" w:eastAsia="zh-CN"/>
        </w:rPr>
        <w:t>（2）项目实施时间：</w:t>
      </w:r>
      <w:r>
        <w:rPr>
          <w:rFonts w:hint="eastAsia" w:ascii="宋体" w:hAnsi="宋体" w:eastAsia="宋体" w:cs="宋体"/>
          <w:b w:val="0"/>
          <w:bCs w:val="0"/>
          <w:color w:val="auto"/>
          <w:sz w:val="24"/>
          <w:szCs w:val="24"/>
          <w:lang w:val="en-US" w:eastAsia="zh-CN"/>
        </w:rPr>
        <w:t>2024年1月-2024年12月</w:t>
      </w:r>
    </w:p>
    <w:p w14:paraId="01680D88">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bCs/>
          <w:color w:val="auto"/>
          <w:sz w:val="24"/>
          <w:szCs w:val="24"/>
          <w:lang w:val="en-US" w:eastAsia="zh-CN"/>
        </w:rPr>
        <w:t>（3）项目实施情况</w:t>
      </w:r>
    </w:p>
    <w:p w14:paraId="0C21ECD6">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本项目于2023年12月26日前全部完工。</w:t>
      </w:r>
    </w:p>
    <w:p w14:paraId="67F15023">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截止到自评节点，我单位已完成辖区内4个行政村的办公经费、维修费、取暖费等各项运转经费按时支付，项目资金已使用18万元，通过项目实施，不断加强党对农村工作的全面领导，保障村级各项工作运转高效、规范有序，进一步夯实了乡村振兴组织基础、提升了农村基层治理效能，改善村级人员办公环境，提高工作积极性和工作效率。</w:t>
      </w:r>
    </w:p>
    <w:p w14:paraId="46C6FF5E">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4. 资金投入和使用情况</w:t>
      </w:r>
    </w:p>
    <w:p w14:paraId="2F1E2F28">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（1）项目资金安排</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rPr>
        <w:t>投入情况</w:t>
      </w:r>
    </w:p>
    <w:p w14:paraId="6095F546">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本项目预算安排总额为</w:t>
      </w:r>
      <w:r>
        <w:rPr>
          <w:rFonts w:hint="eastAsia" w:ascii="宋体" w:hAnsi="宋体" w:eastAsia="宋体" w:cs="宋体"/>
          <w:color w:val="auto"/>
          <w:sz w:val="24"/>
          <w:szCs w:val="24"/>
          <w:lang w:val="en-US" w:eastAsia="zh-CN"/>
        </w:rPr>
        <w:t>18万元</w:t>
      </w:r>
      <w:r>
        <w:rPr>
          <w:rFonts w:hint="eastAsia" w:ascii="宋体" w:hAnsi="宋体" w:eastAsia="宋体" w:cs="宋体"/>
          <w:color w:val="auto"/>
          <w:sz w:val="24"/>
          <w:szCs w:val="24"/>
        </w:rPr>
        <w:t>，资金来源为部门预算，其中：财政资金</w:t>
      </w:r>
      <w:r>
        <w:rPr>
          <w:rFonts w:hint="eastAsia" w:ascii="宋体" w:hAnsi="宋体" w:eastAsia="宋体" w:cs="宋体"/>
          <w:color w:val="auto"/>
          <w:sz w:val="24"/>
          <w:szCs w:val="24"/>
          <w:lang w:val="en-US" w:eastAsia="zh-CN"/>
        </w:rPr>
        <w:t>18万元</w:t>
      </w:r>
      <w:r>
        <w:rPr>
          <w:rFonts w:hint="eastAsia" w:ascii="宋体" w:hAnsi="宋体" w:eastAsia="宋体" w:cs="宋体"/>
          <w:color w:val="auto"/>
          <w:sz w:val="24"/>
          <w:szCs w:val="24"/>
        </w:rPr>
        <w:t>，其他资金</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含自有资金、社会资金及以前年度结转结余资金）0</w:t>
      </w:r>
      <w:r>
        <w:rPr>
          <w:rFonts w:hint="eastAsia" w:ascii="宋体" w:hAnsi="宋体" w:eastAsia="宋体" w:cs="宋体"/>
          <w:color w:val="auto"/>
          <w:sz w:val="24"/>
          <w:szCs w:val="24"/>
        </w:rPr>
        <w:t>万元，202</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年实际收到预算资金</w:t>
      </w:r>
      <w:r>
        <w:rPr>
          <w:rFonts w:hint="eastAsia" w:ascii="宋体" w:hAnsi="宋体" w:eastAsia="宋体" w:cs="宋体"/>
          <w:color w:val="auto"/>
          <w:sz w:val="24"/>
          <w:szCs w:val="24"/>
          <w:lang w:val="en-US" w:eastAsia="zh-CN"/>
        </w:rPr>
        <w:t>18万元</w:t>
      </w:r>
      <w:r>
        <w:rPr>
          <w:rFonts w:hint="eastAsia" w:ascii="宋体" w:hAnsi="宋体" w:eastAsia="宋体" w:cs="宋体"/>
          <w:color w:val="auto"/>
          <w:sz w:val="24"/>
          <w:szCs w:val="24"/>
        </w:rPr>
        <w:t>，预算资金到位率为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49F210AE">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（2）项目资金实际使用情况分析</w:t>
      </w:r>
    </w:p>
    <w:p w14:paraId="7488AB0F">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bookmarkStart w:id="2" w:name="_Toc68364659"/>
      <w:r>
        <w:rPr>
          <w:rFonts w:hint="eastAsia" w:ascii="宋体" w:hAnsi="宋体" w:eastAsia="宋体" w:cs="宋体"/>
          <w:color w:val="auto"/>
          <w:sz w:val="24"/>
          <w:szCs w:val="24"/>
        </w:rPr>
        <w:t>本项目实际支付资金</w:t>
      </w:r>
      <w:r>
        <w:rPr>
          <w:rFonts w:hint="eastAsia" w:ascii="宋体" w:hAnsi="宋体" w:eastAsia="宋体" w:cs="宋体"/>
          <w:color w:val="auto"/>
          <w:sz w:val="24"/>
          <w:szCs w:val="24"/>
          <w:lang w:val="en-US" w:eastAsia="zh-CN"/>
        </w:rPr>
        <w:t>17.97</w:t>
      </w:r>
      <w:r>
        <w:rPr>
          <w:rFonts w:hint="eastAsia" w:ascii="宋体" w:hAnsi="宋体" w:eastAsia="宋体" w:cs="宋体"/>
          <w:color w:val="auto"/>
          <w:sz w:val="24"/>
          <w:szCs w:val="24"/>
        </w:rPr>
        <w:t>万元，预算执行率</w:t>
      </w:r>
      <w:r>
        <w:rPr>
          <w:rFonts w:hint="eastAsia" w:ascii="宋体" w:hAnsi="宋体" w:eastAsia="宋体" w:cs="宋体"/>
          <w:color w:val="auto"/>
          <w:sz w:val="24"/>
          <w:szCs w:val="24"/>
          <w:lang w:val="en-US" w:eastAsia="zh-CN"/>
        </w:rPr>
        <w:t>99.83</w:t>
      </w:r>
      <w:r>
        <w:rPr>
          <w:rFonts w:hint="eastAsia" w:ascii="宋体" w:hAnsi="宋体" w:eastAsia="宋体" w:cs="宋体"/>
          <w:color w:val="auto"/>
          <w:sz w:val="24"/>
          <w:szCs w:val="24"/>
        </w:rPr>
        <w:t>%。本项目资金主要用于支付</w:t>
      </w:r>
      <w:r>
        <w:rPr>
          <w:rFonts w:hint="eastAsia" w:ascii="宋体" w:hAnsi="宋体" w:eastAsia="宋体" w:cs="宋体"/>
          <w:color w:val="auto"/>
          <w:sz w:val="24"/>
          <w:szCs w:val="24"/>
          <w:lang w:val="en-US" w:eastAsia="zh-CN"/>
        </w:rPr>
        <w:t>村集体各项工作</w:t>
      </w:r>
      <w:r>
        <w:rPr>
          <w:rFonts w:hint="eastAsia" w:ascii="宋体" w:hAnsi="宋体" w:eastAsia="宋体" w:cs="宋体"/>
          <w:color w:val="auto"/>
          <w:sz w:val="24"/>
          <w:szCs w:val="24"/>
        </w:rPr>
        <w:t>费用</w:t>
      </w:r>
      <w:r>
        <w:rPr>
          <w:rFonts w:hint="eastAsia" w:ascii="宋体" w:hAnsi="宋体" w:eastAsia="宋体" w:cs="宋体"/>
          <w:color w:val="auto"/>
          <w:sz w:val="24"/>
          <w:szCs w:val="24"/>
          <w:lang w:val="en-US" w:eastAsia="zh-CN"/>
        </w:rPr>
        <w:t>17.97</w:t>
      </w:r>
      <w:r>
        <w:rPr>
          <w:rFonts w:hint="eastAsia" w:ascii="宋体" w:hAnsi="宋体" w:eastAsia="宋体" w:cs="宋体"/>
          <w:color w:val="auto"/>
          <w:sz w:val="24"/>
          <w:szCs w:val="24"/>
        </w:rPr>
        <w:t>万元</w:t>
      </w:r>
      <w:r>
        <w:rPr>
          <w:rFonts w:hint="eastAsia" w:ascii="宋体" w:hAnsi="宋体" w:eastAsia="宋体" w:cs="宋体"/>
          <w:color w:val="auto"/>
          <w:sz w:val="24"/>
          <w:szCs w:val="24"/>
          <w:lang w:val="en-US" w:eastAsia="zh-CN"/>
        </w:rPr>
        <w:t>.</w:t>
      </w:r>
    </w:p>
    <w:p w14:paraId="027E0411">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（二）项目绩效目标</w:t>
      </w:r>
      <w:bookmarkEnd w:id="2"/>
    </w:p>
    <w:p w14:paraId="20BB7920">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项目绩效目标包括项目总</w:t>
      </w:r>
      <w:r>
        <w:rPr>
          <w:rFonts w:hint="eastAsia" w:ascii="宋体" w:hAnsi="宋体" w:eastAsia="宋体" w:cs="宋体"/>
          <w:color w:val="auto"/>
          <w:sz w:val="24"/>
          <w:szCs w:val="24"/>
          <w:lang w:val="en-US" w:eastAsia="zh-CN"/>
        </w:rPr>
        <w:t>体</w:t>
      </w:r>
      <w:r>
        <w:rPr>
          <w:rFonts w:hint="eastAsia" w:ascii="宋体" w:hAnsi="宋体" w:eastAsia="宋体" w:cs="宋体"/>
          <w:color w:val="auto"/>
          <w:sz w:val="24"/>
          <w:szCs w:val="24"/>
        </w:rPr>
        <w:t>目标和阶段性目标。</w:t>
      </w:r>
    </w:p>
    <w:p w14:paraId="54BE8C57">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1.总</w:t>
      </w:r>
      <w:r>
        <w:rPr>
          <w:rFonts w:hint="eastAsia" w:ascii="宋体" w:hAnsi="宋体" w:eastAsia="宋体" w:cs="宋体"/>
          <w:b/>
          <w:bCs/>
          <w:color w:val="auto"/>
          <w:sz w:val="24"/>
          <w:szCs w:val="24"/>
          <w:lang w:val="en-US" w:eastAsia="zh-CN"/>
        </w:rPr>
        <w:t>体</w:t>
      </w:r>
      <w:r>
        <w:rPr>
          <w:rFonts w:hint="eastAsia" w:ascii="宋体" w:hAnsi="宋体" w:eastAsia="宋体" w:cs="宋体"/>
          <w:b/>
          <w:bCs/>
          <w:color w:val="auto"/>
          <w:sz w:val="24"/>
          <w:szCs w:val="24"/>
        </w:rPr>
        <w:t>目标</w:t>
      </w:r>
    </w:p>
    <w:p w14:paraId="578B0288">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rPr>
      </w:pPr>
      <w:r>
        <w:rPr>
          <w:rFonts w:hint="eastAsia" w:ascii="宋体" w:hAnsi="宋体" w:eastAsia="宋体" w:cs="宋体"/>
          <w:color w:val="auto"/>
          <w:sz w:val="24"/>
          <w:szCs w:val="24"/>
          <w:lang w:eastAsia="zh-CN"/>
        </w:rPr>
        <w:t>保障辖区内</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lang w:eastAsia="zh-CN"/>
        </w:rPr>
        <w:t>个行政村的办公经费、维修费、取暖费等各项运转经费，确保</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lang w:eastAsia="zh-CN"/>
        </w:rPr>
        <w:t>个村能够顺利开展工作，通过项目实施，不断加强党对农村工作的全面领导，保障村级各项工作运转高效、规范有序，进一步夯实了乡村振兴组织基础、提升了农村基层治理效能，改善村级人员办公环境，提高工作积极性和工作效率。</w:t>
      </w:r>
      <w:r>
        <w:rPr>
          <w:rFonts w:hint="eastAsia" w:ascii="宋体" w:hAnsi="宋体" w:eastAsia="宋体" w:cs="宋体"/>
          <w:b/>
          <w:bCs/>
          <w:color w:val="auto"/>
          <w:sz w:val="24"/>
          <w:szCs w:val="24"/>
          <w:lang w:val="en-US" w:eastAsia="zh-CN"/>
        </w:rPr>
        <w:t>2.</w:t>
      </w:r>
      <w:r>
        <w:rPr>
          <w:rFonts w:hint="eastAsia" w:ascii="宋体" w:hAnsi="宋体" w:eastAsia="宋体" w:cs="宋体"/>
          <w:b/>
          <w:bCs/>
          <w:color w:val="auto"/>
          <w:sz w:val="24"/>
          <w:szCs w:val="24"/>
        </w:rPr>
        <w:t>阶段性目标</w:t>
      </w:r>
    </w:p>
    <w:p w14:paraId="1557A665">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bookmarkStart w:id="3" w:name="_Toc68364660"/>
      <w:r>
        <w:rPr>
          <w:rFonts w:hint="eastAsia" w:ascii="宋体" w:hAnsi="宋体" w:eastAsia="宋体" w:cs="宋体"/>
          <w:color w:val="auto"/>
          <w:sz w:val="24"/>
          <w:szCs w:val="24"/>
          <w:lang w:val="en-US" w:eastAsia="zh-CN"/>
        </w:rPr>
        <w:t>我</w:t>
      </w:r>
      <w:r>
        <w:rPr>
          <w:rFonts w:hint="eastAsia" w:ascii="宋体" w:hAnsi="宋体" w:eastAsia="宋体" w:cs="宋体"/>
          <w:color w:val="auto"/>
          <w:sz w:val="24"/>
          <w:szCs w:val="24"/>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20A9B450">
      <w:pPr>
        <w:pStyle w:val="46"/>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产出指标</w:t>
      </w:r>
    </w:p>
    <w:p w14:paraId="123C7C91">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）数量指标:</w:t>
      </w:r>
      <w:r>
        <w:rPr>
          <w:rFonts w:hint="eastAsia" w:ascii="宋体" w:hAnsi="宋体" w:eastAsia="宋体" w:cs="宋体"/>
          <w:color w:val="auto"/>
          <w:sz w:val="24"/>
          <w:szCs w:val="24"/>
          <w:lang w:val="en-US" w:eastAsia="zh-CN"/>
        </w:rPr>
        <w:t>涉及行政村个数，指标值=4个村，计划标准。</w:t>
      </w:r>
    </w:p>
    <w:p w14:paraId="4F20C169">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质量指标</w:t>
      </w:r>
      <w:r>
        <w:rPr>
          <w:rFonts w:hint="eastAsia" w:ascii="宋体" w:hAnsi="宋体" w:eastAsia="宋体" w:cs="宋体"/>
          <w:color w:val="auto"/>
          <w:sz w:val="24"/>
          <w:szCs w:val="24"/>
        </w:rPr>
        <w:t>资金</w:t>
      </w:r>
      <w:r>
        <w:rPr>
          <w:rFonts w:hint="eastAsia" w:ascii="宋体" w:hAnsi="宋体" w:eastAsia="宋体" w:cs="宋体"/>
          <w:color w:val="auto"/>
          <w:sz w:val="24"/>
          <w:szCs w:val="24"/>
          <w:lang w:val="en-US" w:eastAsia="zh-CN"/>
        </w:rPr>
        <w:t>保障</w:t>
      </w:r>
      <w:r>
        <w:rPr>
          <w:rFonts w:hint="eastAsia" w:ascii="宋体" w:hAnsi="宋体" w:eastAsia="宋体" w:cs="宋体"/>
          <w:color w:val="auto"/>
          <w:sz w:val="24"/>
          <w:szCs w:val="24"/>
        </w:rPr>
        <w:t>率</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预期指标值为=100%；</w:t>
      </w:r>
    </w:p>
    <w:p w14:paraId="6A00787B">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时效指标：项目开始时间，2024年1月，计划标准。</w:t>
      </w:r>
    </w:p>
    <w:p w14:paraId="29D6E10C">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项目完成时间，2024年12月，计划标准。</w:t>
      </w:r>
    </w:p>
    <w:p w14:paraId="17CE4E29">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（二）成本指标</w:t>
      </w:r>
    </w:p>
    <w:p w14:paraId="51E23626">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每个村运转成本，≤4.5万元/村，计划标准。</w:t>
      </w:r>
    </w:p>
    <w:p w14:paraId="14AE7DD0">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三）</w:t>
      </w:r>
      <w:r>
        <w:rPr>
          <w:rFonts w:hint="eastAsia" w:ascii="宋体" w:hAnsi="宋体" w:eastAsia="宋体" w:cs="宋体"/>
          <w:color w:val="auto"/>
          <w:sz w:val="24"/>
          <w:szCs w:val="24"/>
        </w:rPr>
        <w:t>效益情况</w:t>
      </w:r>
    </w:p>
    <w:p w14:paraId="1554CD2B">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社会效益：保障各村正常运转，有效保障，计划标准。</w:t>
      </w:r>
    </w:p>
    <w:p w14:paraId="04CDA4E5">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（四）、满意度</w:t>
      </w:r>
    </w:p>
    <w:p w14:paraId="0DC010D0">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村干部满意度， ≥95%，计划标准</w:t>
      </w:r>
    </w:p>
    <w:p w14:paraId="215FD819">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p>
    <w:p w14:paraId="235F6971">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二、绩效评价工作开展情况</w:t>
      </w:r>
      <w:bookmarkEnd w:id="3"/>
    </w:p>
    <w:p w14:paraId="684DC837">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4" w:name="_Toc68364661"/>
      <w:r>
        <w:rPr>
          <w:rFonts w:hint="eastAsia" w:ascii="宋体" w:hAnsi="宋体" w:eastAsia="宋体" w:cs="宋体"/>
          <w:color w:val="auto"/>
          <w:sz w:val="24"/>
          <w:szCs w:val="24"/>
        </w:rPr>
        <w:t>（一）绩效评价目的、对象和范围</w:t>
      </w:r>
      <w:bookmarkEnd w:id="4"/>
    </w:p>
    <w:p w14:paraId="459DCB1C">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 绩效评价目的</w:t>
      </w:r>
    </w:p>
    <w:p w14:paraId="30879CEA">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本次绩效评价遵循财政部《项目支出绩效评价管理办法》（财预〔2020〕10号）《自治区财政支出绩效评价管理暂行办法》（新财预〔2018〕189号）</w:t>
      </w:r>
      <w:r>
        <w:rPr>
          <w:rFonts w:hint="eastAsia" w:ascii="宋体" w:hAnsi="宋体" w:eastAsia="宋体" w:cs="宋体"/>
          <w:color w:val="auto"/>
          <w:sz w:val="24"/>
          <w:szCs w:val="24"/>
          <w:lang w:val="en-US" w:eastAsia="zh-CN"/>
        </w:rPr>
        <w:t>及</w:t>
      </w:r>
      <w:r>
        <w:rPr>
          <w:rFonts w:hint="eastAsia" w:ascii="宋体" w:hAnsi="宋体" w:eastAsia="宋体" w:cs="宋体"/>
          <w:color w:val="auto"/>
          <w:sz w:val="24"/>
          <w:szCs w:val="24"/>
        </w:rPr>
        <w:t>自治区财政厅《关于印发〈自治区项目支出绩效目标设置指引〉的通知》（新财预〔2022〕42号）</w:t>
      </w:r>
      <w:r>
        <w:rPr>
          <w:rFonts w:hint="eastAsia" w:ascii="宋体" w:hAnsi="宋体" w:eastAsia="宋体" w:cs="宋体"/>
          <w:color w:val="auto"/>
          <w:sz w:val="24"/>
          <w:szCs w:val="24"/>
          <w:highlight w:val="none"/>
        </w:rPr>
        <w:t>等相关政策文件与规</w:t>
      </w:r>
      <w:r>
        <w:rPr>
          <w:rFonts w:hint="eastAsia" w:ascii="宋体" w:hAnsi="宋体" w:eastAsia="宋体" w:cs="宋体"/>
          <w:color w:val="auto"/>
          <w:sz w:val="24"/>
          <w:szCs w:val="24"/>
        </w:rPr>
        <w:t>定，对洛财预</w:t>
      </w:r>
      <w:r>
        <w:rPr>
          <w:rFonts w:hint="eastAsia" w:ascii="宋体" w:hAnsi="宋体" w:eastAsia="宋体" w:cs="宋体"/>
          <w:color w:val="auto"/>
          <w:sz w:val="24"/>
          <w:szCs w:val="24"/>
          <w:lang w:eastAsia="zh-CN"/>
        </w:rPr>
        <w:t>〔2024〕</w:t>
      </w:r>
      <w:r>
        <w:rPr>
          <w:rFonts w:hint="eastAsia" w:ascii="宋体" w:hAnsi="宋体" w:eastAsia="宋体" w:cs="宋体"/>
          <w:color w:val="auto"/>
          <w:sz w:val="24"/>
          <w:szCs w:val="24"/>
        </w:rPr>
        <w:t>04号：2024年村级运转经费（县配套）项目开展本次部门项目支出绩效评价工作。全面了解</w:t>
      </w:r>
      <w:r>
        <w:rPr>
          <w:rFonts w:hint="eastAsia" w:ascii="宋体" w:hAnsi="宋体" w:eastAsia="宋体" w:cs="宋体"/>
          <w:color w:val="auto"/>
          <w:sz w:val="24"/>
          <w:szCs w:val="24"/>
          <w:lang w:val="en-US" w:eastAsia="zh-CN"/>
        </w:rPr>
        <w:t>洛财预〔2024〕04号：2024年村级运转经费（县配套）</w:t>
      </w:r>
      <w:r>
        <w:rPr>
          <w:rFonts w:hint="eastAsia" w:ascii="宋体" w:hAnsi="宋体" w:eastAsia="宋体" w:cs="宋体"/>
          <w:color w:val="auto"/>
          <w:sz w:val="24"/>
          <w:szCs w:val="24"/>
        </w:rPr>
        <w:t>项目预算编制合理性、资金使用合规性、项目管理的规范性、项目目标的实现情况、服务对象的满意度等项目实施前期、过程及</w:t>
      </w:r>
      <w:r>
        <w:rPr>
          <w:rFonts w:hint="eastAsia" w:ascii="宋体" w:hAnsi="宋体" w:eastAsia="宋体" w:cs="宋体"/>
          <w:color w:val="auto"/>
          <w:sz w:val="24"/>
          <w:szCs w:val="24"/>
          <w:lang w:val="en-US" w:eastAsia="zh-CN"/>
        </w:rPr>
        <w:t>实施</w:t>
      </w:r>
      <w:r>
        <w:rPr>
          <w:rFonts w:hint="eastAsia" w:ascii="宋体" w:hAnsi="宋体" w:eastAsia="宋体" w:cs="宋体"/>
          <w:color w:val="auto"/>
          <w:sz w:val="24"/>
          <w:szCs w:val="24"/>
        </w:rPr>
        <w:t>效果</w:t>
      </w:r>
      <w:r>
        <w:rPr>
          <w:rFonts w:hint="eastAsia" w:ascii="宋体" w:hAnsi="宋体" w:eastAsia="宋体" w:cs="宋体"/>
          <w:color w:val="auto"/>
          <w:sz w:val="24"/>
          <w:szCs w:val="24"/>
          <w:lang w:val="en-US" w:eastAsia="zh-CN"/>
        </w:rPr>
        <w:t>情况。</w:t>
      </w:r>
    </w:p>
    <w:p w14:paraId="25425F52">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70776DFB">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205C578A">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lang w:val="en-US" w:eastAsia="zh-CN"/>
        </w:rPr>
        <w:t>同时，通过部门项目支出绩效评价，可促进本单位发现预算项目管理中的问题、总结经验、改进工作，以提高</w:t>
      </w:r>
      <w:r>
        <w:rPr>
          <w:rFonts w:hint="eastAsia" w:ascii="宋体" w:hAnsi="宋体" w:eastAsia="宋体" w:cs="宋体"/>
          <w:color w:val="auto"/>
          <w:sz w:val="24"/>
          <w:szCs w:val="24"/>
        </w:rPr>
        <w:t>财政预算资金使用的效率及效益。</w:t>
      </w:r>
    </w:p>
    <w:p w14:paraId="2FC0B532">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 绩效评价对象</w:t>
      </w:r>
    </w:p>
    <w:p w14:paraId="7D5C6641">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此</w:t>
      </w:r>
      <w:r>
        <w:rPr>
          <w:rFonts w:hint="eastAsia" w:ascii="宋体" w:hAnsi="宋体" w:eastAsia="宋体" w:cs="宋体"/>
          <w:color w:val="auto"/>
          <w:sz w:val="24"/>
          <w:szCs w:val="24"/>
          <w:highlight w:val="none"/>
        </w:rPr>
        <w:t>次绩效评价遵循财政部《项目支出绩效评价管理办法》（财预〔2020〕10号）和《自治区财政支出绩效评价管理暂行办法》（新财预〔2018〕189号）等政策文件规定，以</w:t>
      </w:r>
      <w:r>
        <w:rPr>
          <w:rFonts w:hint="eastAsia" w:ascii="宋体" w:hAnsi="宋体" w:eastAsia="宋体" w:cs="宋体"/>
          <w:color w:val="auto"/>
          <w:sz w:val="24"/>
          <w:szCs w:val="24"/>
          <w:highlight w:val="none"/>
          <w:lang w:val="en-US" w:eastAsia="zh-CN"/>
        </w:rPr>
        <w:t>洛财预〔2024〕04号：2024年村级运转经费（县配套）</w:t>
      </w:r>
      <w:r>
        <w:rPr>
          <w:rFonts w:hint="eastAsia" w:ascii="宋体" w:hAnsi="宋体" w:eastAsia="宋体" w:cs="宋体"/>
          <w:color w:val="auto"/>
          <w:sz w:val="24"/>
          <w:szCs w:val="24"/>
          <w:highlight w:val="none"/>
        </w:rPr>
        <w:t>项目为</w:t>
      </w:r>
      <w:r>
        <w:rPr>
          <w:rFonts w:hint="eastAsia" w:ascii="宋体" w:hAnsi="宋体" w:eastAsia="宋体" w:cs="宋体"/>
          <w:color w:val="auto"/>
          <w:sz w:val="24"/>
          <w:szCs w:val="24"/>
          <w:highlight w:val="none"/>
          <w:lang w:val="en-US" w:eastAsia="zh-CN"/>
        </w:rPr>
        <w:t>评价</w:t>
      </w:r>
      <w:r>
        <w:rPr>
          <w:rFonts w:hint="eastAsia" w:ascii="宋体" w:hAnsi="宋体" w:eastAsia="宋体" w:cs="宋体"/>
          <w:color w:val="auto"/>
          <w:sz w:val="24"/>
          <w:szCs w:val="24"/>
          <w:highlight w:val="none"/>
        </w:rPr>
        <w:t>对象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对该项目决策、</w:t>
      </w:r>
      <w:r>
        <w:rPr>
          <w:rFonts w:hint="eastAsia" w:ascii="宋体" w:hAnsi="宋体" w:eastAsia="宋体" w:cs="宋体"/>
          <w:color w:val="auto"/>
          <w:sz w:val="24"/>
          <w:szCs w:val="24"/>
          <w:highlight w:val="none"/>
          <w:lang w:val="en-US" w:eastAsia="zh-CN"/>
        </w:rPr>
        <w:t>项目资金管理、项目实施</w:t>
      </w:r>
      <w:r>
        <w:rPr>
          <w:rFonts w:hint="eastAsia" w:ascii="宋体" w:hAnsi="宋体" w:eastAsia="宋体" w:cs="宋体"/>
          <w:color w:val="auto"/>
          <w:sz w:val="24"/>
          <w:szCs w:val="24"/>
          <w:highlight w:val="none"/>
        </w:rPr>
        <w:t>过程</w:t>
      </w:r>
      <w:r>
        <w:rPr>
          <w:rFonts w:hint="eastAsia" w:ascii="宋体" w:hAnsi="宋体" w:eastAsia="宋体" w:cs="宋体"/>
          <w:color w:val="auto"/>
          <w:sz w:val="24"/>
          <w:szCs w:val="24"/>
          <w:highlight w:val="none"/>
          <w:lang w:val="en-US" w:eastAsia="zh-CN"/>
        </w:rPr>
        <w:t>管理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以及</w:t>
      </w:r>
      <w:r>
        <w:rPr>
          <w:rFonts w:hint="eastAsia" w:ascii="宋体" w:hAnsi="宋体" w:eastAsia="宋体" w:cs="宋体"/>
          <w:color w:val="auto"/>
          <w:sz w:val="24"/>
          <w:szCs w:val="24"/>
          <w:highlight w:val="none"/>
        </w:rPr>
        <w:t>项目实施所带来的产出和效果</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内容，</w:t>
      </w:r>
      <w:r>
        <w:rPr>
          <w:rFonts w:hint="eastAsia" w:ascii="宋体" w:hAnsi="宋体" w:eastAsia="宋体" w:cs="宋体"/>
          <w:color w:val="auto"/>
          <w:sz w:val="24"/>
          <w:szCs w:val="24"/>
          <w:highlight w:val="none"/>
          <w:lang w:val="en-US" w:eastAsia="zh-CN"/>
        </w:rPr>
        <w:t>进行综合评价。</w:t>
      </w:r>
    </w:p>
    <w:p w14:paraId="0C63B4E6">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3. 绩效评价范围</w:t>
      </w:r>
    </w:p>
    <w:p w14:paraId="2CB8083B">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bookmarkStart w:id="5" w:name="_Toc68364662"/>
      <w:r>
        <w:rPr>
          <w:rFonts w:hint="eastAsia" w:ascii="宋体" w:hAnsi="宋体" w:eastAsia="宋体" w:cs="宋体"/>
          <w:color w:val="auto"/>
          <w:sz w:val="24"/>
          <w:szCs w:val="24"/>
        </w:rPr>
        <w:t>本次绩效评价主要围绕洛财预</w:t>
      </w:r>
      <w:r>
        <w:rPr>
          <w:rFonts w:hint="eastAsia" w:ascii="宋体" w:hAnsi="宋体" w:eastAsia="宋体" w:cs="宋体"/>
          <w:color w:val="auto"/>
          <w:sz w:val="24"/>
          <w:szCs w:val="24"/>
          <w:lang w:eastAsia="zh-CN"/>
        </w:rPr>
        <w:t>〔2024〕</w:t>
      </w:r>
      <w:r>
        <w:rPr>
          <w:rFonts w:hint="eastAsia" w:ascii="宋体" w:hAnsi="宋体" w:eastAsia="宋体" w:cs="宋体"/>
          <w:color w:val="auto"/>
          <w:sz w:val="24"/>
          <w:szCs w:val="24"/>
        </w:rPr>
        <w:t>04号：2024年村级运转经费（县配套）项目决策、项目资金管理、项目实施过程管理，以及项目实施所带来的产出和效果等内容，进行综合评价。范围涵盖项目总体绩效目标、各项绩效指标完成情况以及预算执行情况</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覆盖预算资金支出项目的所有内容进行评价。</w:t>
      </w:r>
    </w:p>
    <w:p w14:paraId="45B5E19E">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（二）绩效评价原则、评价指标体系、评价方法评价标准</w:t>
      </w:r>
      <w:bookmarkEnd w:id="5"/>
    </w:p>
    <w:p w14:paraId="0F399CFD">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 绩效评价原则</w:t>
      </w:r>
    </w:p>
    <w:p w14:paraId="3101C8D1">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06BF2AB5">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（1）科学公正。绩效评价应当运用科学合理的方法，按照规范的程序，对项目绩效进行客观、公正的反映。</w:t>
      </w:r>
    </w:p>
    <w:p w14:paraId="7ED0F6A2">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6B127DF3">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（3）激励约束。绩效评价结果应与预算安排、政策调整、改进管理实质性挂钩，体现奖优罚劣和激励相容导向，有效要安排、低效要压减、无效要问责。</w:t>
      </w:r>
    </w:p>
    <w:p w14:paraId="37BE0E08">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（4）公开透明。绩效评价结果应依法依规公开，并自觉接受社会监督。</w:t>
      </w:r>
    </w:p>
    <w:p w14:paraId="77000A6C">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根据以上原则，绩效评价应遵循如下要求:</w:t>
      </w:r>
    </w:p>
    <w:p w14:paraId="7BB5EB48">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（1）在数据采集时，采取客观数据，主管部门审查、社会中介组织复查，与问卷调查相结合的形式，以保证各项指标的真实性。</w:t>
      </w:r>
    </w:p>
    <w:p w14:paraId="281592EB">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（2）保证评价结果的真实性、公正性，提高评价报告的公信力。</w:t>
      </w:r>
    </w:p>
    <w:p w14:paraId="5B021C04">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（3）绩</w:t>
      </w:r>
      <w:r>
        <w:rPr>
          <w:rFonts w:hint="eastAsia" w:ascii="宋体" w:hAnsi="宋体" w:eastAsia="宋体" w:cs="宋体"/>
          <w:color w:val="auto"/>
          <w:sz w:val="24"/>
          <w:szCs w:val="24"/>
          <w:lang w:val="en-US" w:eastAsia="zh-CN"/>
        </w:rPr>
        <w:t>效</w:t>
      </w:r>
      <w:r>
        <w:rPr>
          <w:rFonts w:hint="eastAsia" w:ascii="宋体" w:hAnsi="宋体" w:eastAsia="宋体" w:cs="宋体"/>
          <w:color w:val="auto"/>
          <w:sz w:val="24"/>
          <w:szCs w:val="24"/>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4DD8CCFE">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2. 绩效评价指标体系</w:t>
      </w:r>
    </w:p>
    <w:p w14:paraId="09EC2AA4">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个二级指标。项目绩效评价体系</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详细指标体系见“附件1：项目支出绩效评价体系”。</w:t>
      </w:r>
    </w:p>
    <w:p w14:paraId="0B6B94F7">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3. 绩效评价方法</w:t>
      </w:r>
    </w:p>
    <w:p w14:paraId="42760813">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0550D99A">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lang w:val="en-US" w:eastAsia="zh-CN"/>
        </w:rPr>
        <w:t>具体</w:t>
      </w:r>
      <w:r>
        <w:rPr>
          <w:rFonts w:hint="eastAsia" w:ascii="宋体" w:hAnsi="宋体" w:eastAsia="宋体" w:cs="宋体"/>
          <w:b w:val="0"/>
          <w:bCs/>
          <w:color w:val="auto"/>
          <w:sz w:val="24"/>
          <w:szCs w:val="24"/>
        </w:rPr>
        <w:t>评价方法的应用如下:</w:t>
      </w:r>
    </w:p>
    <w:p w14:paraId="6E44D173">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立项依据充分性：比较法、文献法，查找法律法规政策以及规划，对比实际执行内容和政策支持内容是否匹配。</w:t>
      </w:r>
    </w:p>
    <w:p w14:paraId="068EE70D">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立项程序规范性：比较法、文献法，查找相关项目设立的政策和文件要求，对比分析实际执行程序是否按照政策及文件要求执行，分析立项程序的规范性。</w:t>
      </w:r>
    </w:p>
    <w:p w14:paraId="676E6AEB">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绩效目标合理性：比较法，对比分析年初编制项目支出绩效目标表与项目内容的相关性、资金的匹配性等。</w:t>
      </w:r>
    </w:p>
    <w:p w14:paraId="221962B5">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绩效指标明确性：比较法，比较分析年初编制项目支出绩效目标表是否符合双七原则，是否可衡量。</w:t>
      </w:r>
    </w:p>
    <w:p w14:paraId="556FECFC">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预算编制科学性</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成本效益分析法</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分析在产出一定的情况下，成本取值是否有依据，是否经过询价，是否按照市场最低成本编制。</w:t>
      </w:r>
    </w:p>
    <w:p w14:paraId="5F3253C8">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rPr>
        <w:t>资金分配合理性：因素分析法，综合分析资金的分配依据是否充分，分配金额是否与项目实施单位需求金额一致</w:t>
      </w:r>
      <w:r>
        <w:rPr>
          <w:rFonts w:hint="eastAsia" w:ascii="宋体" w:hAnsi="宋体" w:eastAsia="宋体" w:cs="宋体"/>
          <w:b w:val="0"/>
          <w:bCs/>
          <w:color w:val="auto"/>
          <w:sz w:val="24"/>
          <w:szCs w:val="24"/>
          <w:lang w:eastAsia="zh-CN"/>
        </w:rPr>
        <w:t>。</w:t>
      </w:r>
    </w:p>
    <w:p w14:paraId="4326B8F2">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资金到位率：比较法，资金到位率预期指标值应为100%，通过实际计算，分析实际完成值和预期指标值之间的差距和原因。</w:t>
      </w:r>
    </w:p>
    <w:p w14:paraId="383F7201">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预算执行率：比较法，预算执行率预期指标值应为100%，通过实际计算，分析实际完成值和预期指标值之间的差距和原因。</w:t>
      </w:r>
    </w:p>
    <w:p w14:paraId="2E4A0371">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资金使用合规性：文献法、实地勘察法，一是查找资金管理办法，包括专项资金管理办法和单位自有资金管理办法；二是通过查账了解具体开支情况，是否专用专用，是否按照标准支出。</w:t>
      </w:r>
    </w:p>
    <w:p w14:paraId="69D0998D">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管理制度健全性：文献法、比较法，查阅项目实施人员提供的财务和业务管理制度，将已建立的制度与现行的法律法规和政策要求进行对比，分析项目制度的合法性、合规性、完整性。</w:t>
      </w:r>
    </w:p>
    <w:p w14:paraId="74BBB9D1">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制度执行有效性：比较法，结合项目实际实施过程性文件，根据已建设的财务管理制度和项目管理制度综合分析制度执行的有效性。</w:t>
      </w:r>
    </w:p>
    <w:p w14:paraId="17E10EE5">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544AEA04">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定性指标：公众评判法，通过问卷及抽样调查等方式评价本项目实施后社会公众对于其实施效果的满意程度。</w:t>
      </w:r>
    </w:p>
    <w:p w14:paraId="4DEB7A47">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4. 绩效评价标准</w:t>
      </w:r>
    </w:p>
    <w:p w14:paraId="5A7BDF8D">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bookmarkStart w:id="6" w:name="_Toc68364663"/>
      <w:r>
        <w:rPr>
          <w:rFonts w:hint="eastAsia" w:ascii="宋体" w:hAnsi="宋体" w:eastAsia="宋体" w:cs="宋体"/>
          <w:color w:val="auto"/>
          <w:sz w:val="24"/>
          <w:szCs w:val="24"/>
        </w:rPr>
        <w:t>绩效评价标准通常包括计划标准、行业标准、历史标准等，用于对绩效指标完成情况进行比较、分析、评价。本次评价主要采用了计划标准。</w:t>
      </w:r>
    </w:p>
    <w:p w14:paraId="4238CA05">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bookmarkStart w:id="7" w:name="_Toc31464"/>
      <w:bookmarkStart w:id="8" w:name="_Toc17882"/>
      <w:r>
        <w:rPr>
          <w:rFonts w:hint="eastAsia" w:ascii="宋体" w:hAnsi="宋体" w:eastAsia="宋体" w:cs="宋体"/>
          <w:b/>
          <w:bCs/>
          <w:color w:val="auto"/>
          <w:sz w:val="24"/>
          <w:szCs w:val="24"/>
        </w:rPr>
        <w:t>计划标准：</w:t>
      </w:r>
      <w:r>
        <w:rPr>
          <w:rFonts w:hint="eastAsia" w:ascii="宋体" w:hAnsi="宋体" w:eastAsia="宋体" w:cs="宋体"/>
          <w:color w:val="auto"/>
          <w:sz w:val="24"/>
          <w:szCs w:val="24"/>
        </w:rPr>
        <w:t>指以预先制定的目标、计划、预算、定额等作为评价标准。</w:t>
      </w:r>
      <w:bookmarkEnd w:id="7"/>
      <w:bookmarkEnd w:id="8"/>
    </w:p>
    <w:p w14:paraId="05988748">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bookmarkStart w:id="9" w:name="_Toc5633"/>
      <w:bookmarkStart w:id="10" w:name="_Toc2318"/>
      <w:r>
        <w:rPr>
          <w:rFonts w:hint="eastAsia" w:ascii="宋体" w:hAnsi="宋体" w:eastAsia="宋体" w:cs="宋体"/>
          <w:b/>
          <w:bCs/>
          <w:color w:val="auto"/>
          <w:sz w:val="24"/>
          <w:szCs w:val="24"/>
        </w:rPr>
        <w:t>行业标准：</w:t>
      </w:r>
      <w:r>
        <w:rPr>
          <w:rFonts w:hint="eastAsia" w:ascii="宋体" w:hAnsi="宋体" w:eastAsia="宋体" w:cs="宋体"/>
          <w:color w:val="auto"/>
          <w:sz w:val="24"/>
          <w:szCs w:val="24"/>
        </w:rPr>
        <w:t>指参照国家公布的行业指标数据制定的评价标准。</w:t>
      </w:r>
      <w:bookmarkEnd w:id="9"/>
      <w:bookmarkEnd w:id="10"/>
    </w:p>
    <w:p w14:paraId="6C91C19A">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bookmarkStart w:id="11" w:name="_Toc430"/>
      <w:bookmarkStart w:id="12" w:name="_Toc16028"/>
      <w:r>
        <w:rPr>
          <w:rFonts w:hint="eastAsia" w:ascii="宋体" w:hAnsi="宋体" w:eastAsia="宋体" w:cs="宋体"/>
          <w:b/>
          <w:bCs/>
          <w:color w:val="auto"/>
          <w:sz w:val="24"/>
          <w:szCs w:val="24"/>
        </w:rPr>
        <w:t>历史标准：</w:t>
      </w:r>
      <w:r>
        <w:rPr>
          <w:rFonts w:hint="eastAsia" w:ascii="宋体" w:hAnsi="宋体" w:eastAsia="宋体" w:cs="宋体"/>
          <w:color w:val="auto"/>
          <w:sz w:val="24"/>
          <w:szCs w:val="24"/>
        </w:rPr>
        <w:t>指参照历史数据制定的评价标准，为体现绩效改进的原则，在可实现的条件下应当确定相对较高的评价标准。</w:t>
      </w:r>
      <w:bookmarkEnd w:id="11"/>
      <w:bookmarkEnd w:id="12"/>
    </w:p>
    <w:p w14:paraId="34F4BDEF">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（三）绩效评价工作过程</w:t>
      </w:r>
      <w:bookmarkEnd w:id="6"/>
    </w:p>
    <w:p w14:paraId="7AECDF69">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13" w:name="_Toc68364664"/>
      <w:r>
        <w:rPr>
          <w:rFonts w:hint="eastAsia" w:ascii="宋体" w:hAnsi="宋体" w:eastAsia="宋体" w:cs="宋体"/>
          <w:color w:val="auto"/>
          <w:sz w:val="24"/>
          <w:szCs w:val="24"/>
        </w:rPr>
        <w:t>1.前期准备</w:t>
      </w:r>
    </w:p>
    <w:p w14:paraId="32E5D003">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我单位于</w:t>
      </w: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日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14:paraId="39BA52AF">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唐升鹏</w:t>
      </w:r>
      <w:r>
        <w:rPr>
          <w:rFonts w:hint="eastAsia" w:ascii="宋体" w:hAnsi="宋体" w:eastAsia="宋体" w:cs="宋体"/>
          <w:color w:val="auto"/>
          <w:sz w:val="24"/>
          <w:szCs w:val="24"/>
        </w:rPr>
        <w:t>（评价小组组长）：主要负责</w:t>
      </w:r>
      <w:r>
        <w:rPr>
          <w:rFonts w:hint="eastAsia" w:ascii="宋体" w:hAnsi="宋体" w:eastAsia="宋体" w:cs="宋体"/>
          <w:b w:val="0"/>
          <w:bCs w:val="0"/>
          <w:color w:val="auto"/>
          <w:sz w:val="24"/>
          <w:szCs w:val="24"/>
        </w:rPr>
        <w:t>组织安排绩效评价工作</w:t>
      </w:r>
      <w:r>
        <w:rPr>
          <w:rFonts w:hint="eastAsia" w:ascii="宋体" w:hAnsi="宋体" w:eastAsia="宋体" w:cs="宋体"/>
          <w:color w:val="auto"/>
          <w:sz w:val="24"/>
          <w:szCs w:val="24"/>
        </w:rPr>
        <w:t>;</w:t>
      </w:r>
    </w:p>
    <w:p w14:paraId="5BED21D2">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阿丽米热·赛吾日丁（</w:t>
      </w:r>
      <w:r>
        <w:rPr>
          <w:rFonts w:hint="eastAsia" w:ascii="宋体" w:hAnsi="宋体" w:eastAsia="宋体" w:cs="宋体"/>
          <w:color w:val="auto"/>
          <w:sz w:val="24"/>
          <w:szCs w:val="24"/>
        </w:rPr>
        <w:t>评价小组组员）：主要负责</w:t>
      </w:r>
      <w:r>
        <w:rPr>
          <w:rFonts w:hint="eastAsia" w:ascii="宋体" w:hAnsi="宋体" w:eastAsia="宋体" w:cs="宋体"/>
          <w:b w:val="0"/>
          <w:bCs w:val="0"/>
          <w:color w:val="auto"/>
          <w:sz w:val="24"/>
          <w:szCs w:val="24"/>
        </w:rPr>
        <w:t>资料整理及信息汇总工作</w:t>
      </w:r>
      <w:r>
        <w:rPr>
          <w:rFonts w:hint="eastAsia" w:ascii="宋体" w:hAnsi="宋体" w:eastAsia="宋体" w:cs="宋体"/>
          <w:color w:val="auto"/>
          <w:sz w:val="24"/>
          <w:szCs w:val="24"/>
        </w:rPr>
        <w:t>;</w:t>
      </w:r>
    </w:p>
    <w:p w14:paraId="69052E75">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胡欣月</w:t>
      </w:r>
      <w:r>
        <w:rPr>
          <w:rFonts w:hint="eastAsia" w:ascii="宋体" w:hAnsi="宋体" w:eastAsia="宋体" w:cs="宋体"/>
          <w:color w:val="auto"/>
          <w:sz w:val="24"/>
          <w:szCs w:val="24"/>
        </w:rPr>
        <w:t>（评价小组组员）：主要负责</w:t>
      </w:r>
      <w:r>
        <w:rPr>
          <w:rFonts w:hint="eastAsia" w:ascii="宋体" w:hAnsi="宋体" w:eastAsia="宋体" w:cs="宋体"/>
          <w:b w:val="0"/>
          <w:bCs w:val="0"/>
          <w:color w:val="auto"/>
          <w:sz w:val="24"/>
          <w:szCs w:val="24"/>
        </w:rPr>
        <w:t>出具项目绩效评价报告</w:t>
      </w:r>
      <w:r>
        <w:rPr>
          <w:rFonts w:hint="eastAsia" w:ascii="宋体" w:hAnsi="宋体" w:eastAsia="宋体" w:cs="宋体"/>
          <w:color w:val="auto"/>
          <w:sz w:val="24"/>
          <w:szCs w:val="24"/>
        </w:rPr>
        <w:t>。</w:t>
      </w:r>
    </w:p>
    <w:p w14:paraId="503FC1D6">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2.组织实施</w:t>
      </w:r>
    </w:p>
    <w:p w14:paraId="78D0A1AB">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日</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评价工作进入实施阶段。在数据采集方面，评价小组整理单位前期提交的资料，与项目实施负责人沟通，了解资金的内容、操作流程、管理机制、资金使用方向等情况并采集信息，了解项目设置背景及资金使用等情况。</w:t>
      </w:r>
    </w:p>
    <w:p w14:paraId="272DD4A9">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3.分析评价</w:t>
      </w:r>
    </w:p>
    <w:p w14:paraId="6A9D4962">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rPr>
        <w:t>日，评价小组按照绩效评价的原则和规范，对取得的资料进行审查核实，对采集的数据进行分析，按照绩效评价指标评分表逐项进行打分、分析、汇总各方评价结果。</w:t>
      </w:r>
    </w:p>
    <w:p w14:paraId="6168EB47">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4.撰写与提交评价报告</w:t>
      </w:r>
    </w:p>
    <w:p w14:paraId="59C0186E">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16</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30</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lang w:val="en-US" w:eastAsia="zh-CN"/>
        </w:rPr>
        <w:t>评价小组撰写绩效评价报告，按照新疆维吾尔自治</w:t>
      </w:r>
      <w:r>
        <w:rPr>
          <w:rFonts w:hint="eastAsia" w:ascii="宋体" w:hAnsi="宋体" w:eastAsia="宋体" w:cs="宋体"/>
          <w:color w:val="auto"/>
          <w:sz w:val="24"/>
          <w:szCs w:val="24"/>
          <w:highlight w:val="none"/>
          <w:lang w:eastAsia="zh-CN"/>
        </w:rPr>
        <w:t>区财政绩效管理信息系统</w:t>
      </w:r>
      <w:r>
        <w:rPr>
          <w:rFonts w:hint="eastAsia" w:ascii="宋体" w:hAnsi="宋体" w:eastAsia="宋体" w:cs="宋体"/>
          <w:color w:val="auto"/>
          <w:sz w:val="24"/>
          <w:szCs w:val="24"/>
          <w:highlight w:val="none"/>
        </w:rPr>
        <w:t>绩效评价模块中统一格式和文本框架撰写绩效评价报告并提交审核。</w:t>
      </w:r>
    </w:p>
    <w:p w14:paraId="3F8F6609">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5.问题整改</w:t>
      </w:r>
    </w:p>
    <w:p w14:paraId="3E61A2A5">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6A8206E9">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6.档案整理</w:t>
      </w:r>
    </w:p>
    <w:p w14:paraId="6D1BD3C4">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建立和落实档案管理制度，将项目相关资料存档，包括但不限于：评价项目基本情况和相关文件、评价实施方案、项目支付资料等相关档案。</w:t>
      </w:r>
    </w:p>
    <w:p w14:paraId="750FED02">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三、综合评价情况及评价结论</w:t>
      </w:r>
      <w:bookmarkEnd w:id="13"/>
    </w:p>
    <w:p w14:paraId="0DBEB254">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14" w:name="_Toc68364665"/>
      <w:r>
        <w:rPr>
          <w:rFonts w:hint="eastAsia" w:ascii="宋体" w:hAnsi="宋体" w:eastAsia="宋体" w:cs="宋体"/>
          <w:color w:val="auto"/>
          <w:sz w:val="24"/>
          <w:szCs w:val="24"/>
        </w:rPr>
        <w:t>（一）综合评价情况</w:t>
      </w:r>
      <w:bookmarkEnd w:id="14"/>
    </w:p>
    <w:p w14:paraId="00D8C571">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bookmarkStart w:id="15" w:name="_Toc68364666"/>
      <w:r>
        <w:rPr>
          <w:rFonts w:hint="eastAsia" w:ascii="宋体" w:hAnsi="宋体" w:eastAsia="宋体" w:cs="宋体"/>
          <w:color w:val="auto"/>
          <w:sz w:val="24"/>
          <w:szCs w:val="24"/>
        </w:rPr>
        <w:t>通过实施洛财预</w:t>
      </w:r>
      <w:r>
        <w:rPr>
          <w:rFonts w:hint="eastAsia" w:ascii="宋体" w:hAnsi="宋体" w:eastAsia="宋体" w:cs="宋体"/>
          <w:color w:val="auto"/>
          <w:sz w:val="24"/>
          <w:szCs w:val="24"/>
          <w:lang w:eastAsia="zh-CN"/>
        </w:rPr>
        <w:t>〔2024〕</w:t>
      </w:r>
      <w:r>
        <w:rPr>
          <w:rFonts w:hint="eastAsia" w:ascii="宋体" w:hAnsi="宋体" w:eastAsia="宋体" w:cs="宋体"/>
          <w:color w:val="auto"/>
          <w:sz w:val="24"/>
          <w:szCs w:val="24"/>
        </w:rPr>
        <w:t>04号：2024年村级运转经费（县配套）项目保障辖区内</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个行政村的办公经费、维修费、取暖费等各项运转经费，确保</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个村能够顺利开展工作，通过项目实施，不断加强党对农村工作的全面领导，保障村级各项工作运转高效、规范有序，进一步夯实了乡村振兴组织基础、提升了农村基层治理效能，改善村级人员办公环境，提高工作积极性和工作效率。项目实施主要通过项目决策、项目过程、项目产出以及项目效益等方面进行评价，其中：</w:t>
      </w:r>
    </w:p>
    <w:p w14:paraId="41326FC1">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项目决策：该项目主要通过洛财预</w:t>
      </w:r>
      <w:r>
        <w:rPr>
          <w:rFonts w:hint="eastAsia" w:ascii="宋体" w:hAnsi="宋体" w:eastAsia="宋体" w:cs="宋体"/>
          <w:color w:val="auto"/>
          <w:sz w:val="24"/>
          <w:szCs w:val="24"/>
          <w:lang w:eastAsia="zh-CN"/>
        </w:rPr>
        <w:t>〔2024〕</w:t>
      </w:r>
      <w:r>
        <w:rPr>
          <w:rFonts w:hint="eastAsia" w:ascii="宋体" w:hAnsi="宋体" w:eastAsia="宋体" w:cs="宋体"/>
          <w:color w:val="auto"/>
          <w:sz w:val="24"/>
          <w:szCs w:val="24"/>
        </w:rPr>
        <w:t>04号文件立项，项目实施符合洛财预</w:t>
      </w:r>
      <w:r>
        <w:rPr>
          <w:rFonts w:hint="eastAsia" w:ascii="宋体" w:hAnsi="宋体" w:eastAsia="宋体" w:cs="宋体"/>
          <w:color w:val="auto"/>
          <w:sz w:val="24"/>
          <w:szCs w:val="24"/>
          <w:lang w:eastAsia="zh-CN"/>
        </w:rPr>
        <w:t>〔2024〕</w:t>
      </w:r>
      <w:r>
        <w:rPr>
          <w:rFonts w:hint="eastAsia" w:ascii="宋体" w:hAnsi="宋体" w:eastAsia="宋体" w:cs="宋体"/>
          <w:color w:val="auto"/>
          <w:sz w:val="24"/>
          <w:szCs w:val="24"/>
        </w:rPr>
        <w:t>04号</w:t>
      </w:r>
      <w:r>
        <w:rPr>
          <w:rFonts w:hint="eastAsia" w:ascii="宋体" w:hAnsi="宋体" w:eastAsia="宋体" w:cs="宋体"/>
          <w:color w:val="auto"/>
          <w:sz w:val="24"/>
          <w:szCs w:val="24"/>
          <w:lang w:val="en-US" w:eastAsia="zh-CN"/>
        </w:rPr>
        <w:t>文件</w:t>
      </w:r>
      <w:r>
        <w:rPr>
          <w:rFonts w:hint="eastAsia" w:ascii="宋体" w:hAnsi="宋体" w:eastAsia="宋体" w:cs="宋体"/>
          <w:color w:val="auto"/>
          <w:sz w:val="24"/>
          <w:szCs w:val="24"/>
        </w:rPr>
        <w:t xml:space="preserve">要求，项目立项依据充分，立项程序规范。 </w:t>
      </w:r>
    </w:p>
    <w:p w14:paraId="1A78C0F7">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rPr>
      </w:pPr>
      <w:r>
        <w:rPr>
          <w:rFonts w:hint="eastAsia" w:ascii="宋体" w:hAnsi="宋体" w:eastAsia="宋体" w:cs="宋体"/>
          <w:color w:val="auto"/>
          <w:sz w:val="24"/>
          <w:szCs w:val="24"/>
        </w:rPr>
        <w:t>项目过程：洛财预</w:t>
      </w:r>
      <w:r>
        <w:rPr>
          <w:rFonts w:hint="eastAsia" w:ascii="宋体" w:hAnsi="宋体" w:eastAsia="宋体" w:cs="宋体"/>
          <w:color w:val="auto"/>
          <w:sz w:val="24"/>
          <w:szCs w:val="24"/>
          <w:lang w:eastAsia="zh-CN"/>
        </w:rPr>
        <w:t>〔2024〕</w:t>
      </w:r>
      <w:r>
        <w:rPr>
          <w:rFonts w:hint="eastAsia" w:ascii="宋体" w:hAnsi="宋体" w:eastAsia="宋体" w:cs="宋体"/>
          <w:color w:val="auto"/>
          <w:sz w:val="24"/>
          <w:szCs w:val="24"/>
        </w:rPr>
        <w:t xml:space="preserve">04号：2024年村级运转经费（县配套）项目预算安排 </w:t>
      </w:r>
      <w:r>
        <w:rPr>
          <w:rFonts w:hint="eastAsia" w:ascii="宋体" w:hAnsi="宋体" w:eastAsia="宋体" w:cs="宋体"/>
          <w:color w:val="auto"/>
          <w:sz w:val="24"/>
          <w:szCs w:val="24"/>
          <w:lang w:val="en-US" w:eastAsia="zh-CN"/>
        </w:rPr>
        <w:t>18</w:t>
      </w:r>
      <w:r>
        <w:rPr>
          <w:rFonts w:hint="eastAsia" w:ascii="宋体" w:hAnsi="宋体" w:eastAsia="宋体" w:cs="宋体"/>
          <w:color w:val="auto"/>
          <w:sz w:val="24"/>
          <w:szCs w:val="24"/>
        </w:rPr>
        <w:t>万元，实际支出</w:t>
      </w:r>
      <w:r>
        <w:rPr>
          <w:rFonts w:hint="eastAsia" w:ascii="宋体" w:hAnsi="宋体" w:eastAsia="宋体" w:cs="宋体"/>
          <w:color w:val="auto"/>
          <w:sz w:val="24"/>
          <w:szCs w:val="24"/>
          <w:lang w:val="en-US" w:eastAsia="zh-CN"/>
        </w:rPr>
        <w:t>17.97</w:t>
      </w:r>
      <w:r>
        <w:rPr>
          <w:rFonts w:hint="eastAsia" w:ascii="宋体" w:hAnsi="宋体" w:eastAsia="宋体" w:cs="宋体"/>
          <w:color w:val="auto"/>
          <w:sz w:val="24"/>
          <w:szCs w:val="24"/>
        </w:rPr>
        <w:t>万元，预算执行率</w:t>
      </w:r>
      <w:r>
        <w:rPr>
          <w:rFonts w:hint="eastAsia" w:ascii="宋体" w:hAnsi="宋体" w:eastAsia="宋体" w:cs="宋体"/>
          <w:color w:val="auto"/>
          <w:sz w:val="24"/>
          <w:szCs w:val="24"/>
          <w:lang w:val="en-US" w:eastAsia="zh-CN"/>
        </w:rPr>
        <w:t>99.83</w:t>
      </w:r>
      <w:r>
        <w:rPr>
          <w:rFonts w:hint="eastAsia" w:ascii="宋体" w:hAnsi="宋体" w:eastAsia="宋体" w:cs="宋体"/>
          <w:color w:val="auto"/>
          <w:sz w:val="24"/>
          <w:szCs w:val="24"/>
        </w:rPr>
        <w:t>%。项目资金使用合规，项目财务管理制度健全，财务监控到位，所有资金支付均按照国库集中支付制度严格执行，现有项目管理制度执行情况良好。</w:t>
      </w:r>
    </w:p>
    <w:p w14:paraId="7B5184E6">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rPr>
        <w:t>项目产出：截止到自评节点，我单位已完成辖区内</w:t>
      </w:r>
      <w:r>
        <w:rPr>
          <w:rFonts w:hint="eastAsia" w:ascii="宋体" w:hAnsi="宋体" w:eastAsia="宋体" w:cs="宋体"/>
          <w:b w:val="0"/>
          <w:bCs w:val="0"/>
          <w:color w:val="auto"/>
          <w:sz w:val="24"/>
          <w:szCs w:val="24"/>
          <w:lang w:val="en-US" w:eastAsia="zh-CN"/>
        </w:rPr>
        <w:t>4</w:t>
      </w:r>
      <w:r>
        <w:rPr>
          <w:rFonts w:hint="eastAsia" w:ascii="宋体" w:hAnsi="宋体" w:eastAsia="宋体" w:cs="宋体"/>
          <w:b w:val="0"/>
          <w:bCs w:val="0"/>
          <w:color w:val="auto"/>
          <w:sz w:val="24"/>
          <w:szCs w:val="24"/>
        </w:rPr>
        <w:t>个行政村的办公经费、维修费、取暖费等各项运转经费按时支付，项目资金已使用</w:t>
      </w:r>
      <w:r>
        <w:rPr>
          <w:rFonts w:hint="eastAsia" w:ascii="宋体" w:hAnsi="宋体" w:eastAsia="宋体" w:cs="宋体"/>
          <w:b w:val="0"/>
          <w:bCs w:val="0"/>
          <w:color w:val="auto"/>
          <w:sz w:val="24"/>
          <w:szCs w:val="24"/>
          <w:lang w:val="en-US" w:eastAsia="zh-CN"/>
        </w:rPr>
        <w:t>17.97</w:t>
      </w:r>
      <w:r>
        <w:rPr>
          <w:rFonts w:hint="eastAsia" w:ascii="宋体" w:hAnsi="宋体" w:eastAsia="宋体" w:cs="宋体"/>
          <w:b w:val="0"/>
          <w:bCs w:val="0"/>
          <w:color w:val="auto"/>
          <w:sz w:val="24"/>
          <w:szCs w:val="24"/>
        </w:rPr>
        <w:t>万元</w:t>
      </w:r>
      <w:r>
        <w:rPr>
          <w:rFonts w:hint="eastAsia" w:ascii="宋体" w:hAnsi="宋体" w:eastAsia="宋体" w:cs="宋体"/>
          <w:b w:val="0"/>
          <w:bCs w:val="0"/>
          <w:color w:val="auto"/>
          <w:sz w:val="24"/>
          <w:szCs w:val="24"/>
          <w:lang w:eastAsia="zh-CN"/>
        </w:rPr>
        <w:t>。</w:t>
      </w:r>
    </w:p>
    <w:p w14:paraId="4734C97A">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rPr>
        <w:t>项目效益：通过项目实施，不断加强党对农村工作的全面领导，保障村级各项工作运转高效、规范有序，进一步夯实了乡村振兴组织基础、提升了农村基层治理效能，改善村级人员办公环境，提高工作积</w:t>
      </w:r>
      <w:r>
        <w:rPr>
          <w:rFonts w:hint="eastAsia" w:ascii="宋体" w:hAnsi="宋体" w:eastAsia="宋体" w:cs="宋体"/>
          <w:b w:val="0"/>
          <w:bCs w:val="0"/>
          <w:color w:val="auto"/>
          <w:sz w:val="24"/>
          <w:szCs w:val="24"/>
          <w:highlight w:val="none"/>
        </w:rPr>
        <w:t>极性和工作效率。</w:t>
      </w:r>
    </w:p>
    <w:p w14:paraId="34CD096F">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（二）综合评价结论</w:t>
      </w:r>
      <w:bookmarkEnd w:id="15"/>
    </w:p>
    <w:p w14:paraId="78A33C77">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6" w:name="_Toc68364667"/>
      <w:r>
        <w:rPr>
          <w:rFonts w:hint="eastAsia" w:ascii="宋体" w:hAnsi="宋体" w:eastAsia="宋体" w:cs="宋体"/>
          <w:color w:val="auto"/>
          <w:sz w:val="24"/>
          <w:szCs w:val="24"/>
          <w:highlight w:val="none"/>
        </w:rPr>
        <w:t>依据《中共中央国务院关于全面实施预算绩效管理的意见》《项目支出绩效评价管理办法》（财预〔2020〕10号）文件，绩效评价总分设置为100分，划分为四档：90（含）-100分为“优”、80（含）-90分为“良”、70（含）-80分为“中”、70分以下为“差”。经对洛财预</w:t>
      </w:r>
      <w:r>
        <w:rPr>
          <w:rFonts w:hint="eastAsia" w:ascii="宋体" w:hAnsi="宋体" w:eastAsia="宋体" w:cs="宋体"/>
          <w:color w:val="auto"/>
          <w:sz w:val="24"/>
          <w:szCs w:val="24"/>
          <w:highlight w:val="none"/>
          <w:lang w:eastAsia="zh-CN"/>
        </w:rPr>
        <w:t>〔2024〕</w:t>
      </w:r>
      <w:r>
        <w:rPr>
          <w:rFonts w:hint="eastAsia" w:ascii="宋体" w:hAnsi="宋体" w:eastAsia="宋体" w:cs="宋体"/>
          <w:color w:val="auto"/>
          <w:sz w:val="24"/>
          <w:szCs w:val="24"/>
          <w:highlight w:val="none"/>
        </w:rPr>
        <w:t>04号：2024年村级运转经费（县配套）项目进行客观评价，最终评分结果：评价总分</w:t>
      </w:r>
      <w:r>
        <w:rPr>
          <w:rFonts w:hint="eastAsia" w:ascii="宋体" w:hAnsi="宋体" w:eastAsia="宋体" w:cs="宋体"/>
          <w:color w:val="auto"/>
          <w:sz w:val="24"/>
          <w:szCs w:val="24"/>
          <w:highlight w:val="none"/>
          <w:lang w:val="en-US" w:eastAsia="zh-CN"/>
        </w:rPr>
        <w:t>99.65</w:t>
      </w:r>
      <w:r>
        <w:rPr>
          <w:rFonts w:hint="eastAsia" w:ascii="宋体" w:hAnsi="宋体" w:eastAsia="宋体" w:cs="宋体"/>
          <w:color w:val="auto"/>
          <w:sz w:val="24"/>
          <w:szCs w:val="24"/>
          <w:highlight w:val="none"/>
        </w:rPr>
        <w:t>分，绩效等级为“</w:t>
      </w:r>
      <w:r>
        <w:rPr>
          <w:rFonts w:hint="eastAsia" w:ascii="宋体" w:hAnsi="宋体" w:eastAsia="宋体" w:cs="宋体"/>
          <w:color w:val="auto"/>
          <w:sz w:val="24"/>
          <w:szCs w:val="24"/>
          <w:highlight w:val="none"/>
          <w:lang w:val="en-US" w:eastAsia="zh-CN"/>
        </w:rPr>
        <w:t>优</w:t>
      </w:r>
      <w:r>
        <w:rPr>
          <w:rFonts w:hint="eastAsia" w:ascii="宋体" w:hAnsi="宋体" w:eastAsia="宋体" w:cs="宋体"/>
          <w:color w:val="auto"/>
          <w:sz w:val="24"/>
          <w:szCs w:val="24"/>
          <w:highlight w:val="none"/>
        </w:rPr>
        <w:t>”。</w:t>
      </w:r>
    </w:p>
    <w:p w14:paraId="0D35DBD4">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p>
    <w:p w14:paraId="2088C645">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四、绩效评价指标分析</w:t>
      </w:r>
      <w:bookmarkEnd w:id="16"/>
    </w:p>
    <w:p w14:paraId="446399B4">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17" w:name="_Toc68364668"/>
      <w:r>
        <w:rPr>
          <w:rFonts w:hint="eastAsia" w:ascii="宋体" w:hAnsi="宋体" w:eastAsia="宋体" w:cs="宋体"/>
          <w:color w:val="auto"/>
          <w:sz w:val="24"/>
          <w:szCs w:val="24"/>
        </w:rPr>
        <w:t>（一）项目决策情况</w:t>
      </w:r>
    </w:p>
    <w:p w14:paraId="19F8192A">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auto"/>
          <w:sz w:val="24"/>
          <w:szCs w:val="24"/>
        </w:rPr>
      </w:pPr>
      <w:r>
        <w:rPr>
          <w:rFonts w:hint="eastAsia" w:ascii="宋体" w:hAnsi="宋体" w:eastAsia="宋体" w:cs="宋体"/>
          <w:color w:val="auto"/>
          <w:sz w:val="24"/>
          <w:szCs w:val="24"/>
        </w:rPr>
        <w:t>项目决策类指标包括项目立项、绩效目标和资金投入三方面的内容，由6个三级指标构成，权重分</w:t>
      </w:r>
      <w:r>
        <w:rPr>
          <w:rFonts w:hint="eastAsia" w:ascii="宋体" w:hAnsi="宋体" w:eastAsia="宋体" w:cs="宋体"/>
          <w:color w:val="auto"/>
          <w:sz w:val="24"/>
          <w:szCs w:val="24"/>
          <w:highlight w:val="none"/>
        </w:rPr>
        <w:t>为</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rPr>
        <w:t>，实际得分</w:t>
      </w:r>
      <w:r>
        <w:rPr>
          <w:rFonts w:hint="eastAsia" w:ascii="宋体" w:hAnsi="宋体" w:eastAsia="宋体" w:cs="宋体"/>
          <w:color w:val="auto"/>
          <w:sz w:val="24"/>
          <w:szCs w:val="24"/>
          <w:lang w:val="en-US" w:eastAsia="zh-CN"/>
        </w:rPr>
        <w:t>23</w:t>
      </w:r>
      <w:r>
        <w:rPr>
          <w:rFonts w:hint="eastAsia" w:ascii="宋体" w:hAnsi="宋体" w:eastAsia="宋体" w:cs="宋体"/>
          <w:color w:val="auto"/>
          <w:sz w:val="24"/>
          <w:szCs w:val="24"/>
        </w:rPr>
        <w:t>分，得分率为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58BF7826">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立项依据充分性：</w:t>
      </w:r>
    </w:p>
    <w:p w14:paraId="757082C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rPr>
        <w:t>本项目立项符合《洛财预</w:t>
      </w:r>
      <w:r>
        <w:rPr>
          <w:rFonts w:hint="eastAsia" w:ascii="宋体" w:hAnsi="宋体" w:eastAsia="宋体" w:cs="宋体"/>
          <w:color w:val="auto"/>
          <w:sz w:val="24"/>
          <w:szCs w:val="24"/>
          <w:lang w:eastAsia="zh-CN"/>
        </w:rPr>
        <w:t>〔2024〕</w:t>
      </w:r>
      <w:r>
        <w:rPr>
          <w:rFonts w:hint="eastAsia" w:ascii="宋体" w:hAnsi="宋体" w:eastAsia="宋体" w:cs="宋体"/>
          <w:color w:val="auto"/>
          <w:sz w:val="24"/>
          <w:szCs w:val="24"/>
        </w:rPr>
        <w:t>04号：2024年村级运转经费（县配套）》中：“</w:t>
      </w:r>
      <w:r>
        <w:rPr>
          <w:rFonts w:hint="eastAsia" w:ascii="宋体" w:hAnsi="宋体" w:eastAsia="宋体" w:cs="宋体"/>
          <w:color w:val="auto"/>
          <w:sz w:val="24"/>
          <w:szCs w:val="24"/>
          <w:lang w:val="en-US" w:eastAsia="zh-CN"/>
        </w:rPr>
        <w:t>资金使用范围</w:t>
      </w:r>
      <w:r>
        <w:rPr>
          <w:rFonts w:hint="eastAsia" w:ascii="宋体" w:hAnsi="宋体" w:eastAsia="宋体" w:cs="宋体"/>
          <w:color w:val="auto"/>
          <w:sz w:val="24"/>
          <w:szCs w:val="24"/>
        </w:rPr>
        <w:t>”内容，符合行业发展规划和政策要求；根据《财政资金直接支付申请书》，本项目资金性质为“公共财政预算”功能分类为“[2013299]其他组织事务支出”经济分类为“[50201]办公经费”属</w:t>
      </w:r>
      <w:r>
        <w:rPr>
          <w:rFonts w:hint="eastAsia" w:ascii="宋体" w:hAnsi="宋体" w:eastAsia="宋体" w:cs="宋体"/>
          <w:color w:val="auto"/>
          <w:sz w:val="24"/>
          <w:szCs w:val="24"/>
          <w:highlight w:val="none"/>
        </w:rPr>
        <w:t>于公共财政支持范围，符合中央、地方事权支出责任划分原则；经检查我单位财政应用平台指标，本项目不存在重复。</w:t>
      </w:r>
    </w:p>
    <w:p w14:paraId="39701BC1">
      <w:pPr>
        <w:keepNext w:val="0"/>
        <w:keepLines w:val="0"/>
        <w:pageBreakBefore w:val="0"/>
        <w:widowControl w:val="0"/>
        <w:kinsoku/>
        <w:wordWrap/>
        <w:overflowPunct/>
        <w:topLinePunct w:val="0"/>
        <w:autoSpaceDE/>
        <w:autoSpaceDN/>
        <w:bidi w:val="0"/>
        <w:adjustRightInd/>
        <w:snapToGrid/>
        <w:spacing w:line="360" w:lineRule="auto"/>
        <w:ind w:left="476" w:leftChars="170" w:firstLine="0" w:firstLineChars="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综上所述，本指标满分为</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分，根据评分标准得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分，本项目立项依据充分。</w:t>
      </w:r>
      <w:r>
        <w:rPr>
          <w:rFonts w:hint="eastAsia" w:ascii="宋体" w:hAnsi="宋体" w:eastAsia="宋体" w:cs="宋体"/>
          <w:b/>
          <w:bCs/>
          <w:color w:val="auto"/>
          <w:sz w:val="24"/>
          <w:szCs w:val="24"/>
          <w:highlight w:val="none"/>
        </w:rPr>
        <w:t>（2）立项程序规范性：</w:t>
      </w:r>
    </w:p>
    <w:p w14:paraId="62514399">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shd w:val="clear" w:color="auto" w:fill="FFFFFF"/>
          <w:lang w:val="en-US" w:eastAsia="zh-CN"/>
        </w:rPr>
        <w:t>洛浦县2024年村级运转经费</w:t>
      </w:r>
      <w:r>
        <w:rPr>
          <w:rFonts w:hint="eastAsia" w:ascii="宋体" w:hAnsi="宋体" w:eastAsia="宋体" w:cs="宋体"/>
          <w:color w:val="auto"/>
          <w:sz w:val="24"/>
          <w:szCs w:val="24"/>
          <w:highlight w:val="none"/>
        </w:rPr>
        <w:t>立项过程中产生的文件均符合相关要求。本项目为</w:t>
      </w:r>
      <w:r>
        <w:rPr>
          <w:rFonts w:hint="eastAsia" w:ascii="宋体" w:hAnsi="宋体" w:eastAsia="宋体" w:cs="宋体"/>
          <w:color w:val="auto"/>
          <w:sz w:val="24"/>
          <w:szCs w:val="24"/>
          <w:highlight w:val="none"/>
          <w:lang w:eastAsia="zh-CN"/>
        </w:rPr>
        <w:t>特定目标</w:t>
      </w:r>
      <w:r>
        <w:rPr>
          <w:rFonts w:hint="eastAsia" w:ascii="宋体" w:hAnsi="宋体" w:eastAsia="宋体" w:cs="宋体"/>
          <w:color w:val="auto"/>
          <w:sz w:val="24"/>
          <w:szCs w:val="24"/>
          <w:highlight w:val="none"/>
        </w:rPr>
        <w:t>类项目，属于经常性项目，项目预算金额为</w:t>
      </w:r>
      <w:r>
        <w:rPr>
          <w:rFonts w:hint="eastAsia" w:ascii="宋体" w:hAnsi="宋体" w:eastAsia="宋体" w:cs="宋体"/>
          <w:color w:val="auto"/>
          <w:sz w:val="24"/>
          <w:szCs w:val="24"/>
          <w:highlight w:val="none"/>
          <w:lang w:val="en-US" w:eastAsia="zh-CN"/>
        </w:rPr>
        <w:t>18万元</w:t>
      </w:r>
      <w:r>
        <w:rPr>
          <w:rFonts w:hint="eastAsia" w:ascii="宋体" w:hAnsi="宋体" w:eastAsia="宋体" w:cs="宋体"/>
          <w:color w:val="auto"/>
          <w:sz w:val="24"/>
          <w:szCs w:val="24"/>
          <w:highlight w:val="none"/>
        </w:rPr>
        <w:t>，不涉及事前绩效评估和风险评估，已委托单位完成本项目可行性研究报告的编制，并经过专家论证。</w:t>
      </w:r>
    </w:p>
    <w:p w14:paraId="13041074">
      <w:pPr>
        <w:keepNext w:val="0"/>
        <w:keepLines w:val="0"/>
        <w:pageBreakBefore w:val="0"/>
        <w:widowControl w:val="0"/>
        <w:kinsoku/>
        <w:wordWrap/>
        <w:overflowPunct/>
        <w:topLinePunct w:val="0"/>
        <w:autoSpaceDE/>
        <w:autoSpaceDN/>
        <w:bidi w:val="0"/>
        <w:adjustRightInd/>
        <w:snapToGrid/>
        <w:spacing w:line="360" w:lineRule="auto"/>
        <w:ind w:left="476" w:leftChars="170" w:firstLine="0" w:firstLineChars="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综上所述，本指标满分为3分，根</w:t>
      </w:r>
      <w:r>
        <w:rPr>
          <w:rFonts w:hint="eastAsia" w:ascii="宋体" w:hAnsi="宋体" w:eastAsia="宋体" w:cs="宋体"/>
          <w:color w:val="auto"/>
          <w:sz w:val="24"/>
          <w:szCs w:val="24"/>
        </w:rPr>
        <w:t>据评分标准得</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分，本项目立项程序合规。</w:t>
      </w:r>
      <w:r>
        <w:rPr>
          <w:rFonts w:hint="eastAsia" w:ascii="宋体" w:hAnsi="宋体" w:eastAsia="宋体" w:cs="宋体"/>
          <w:b/>
          <w:bCs/>
          <w:color w:val="auto"/>
          <w:sz w:val="24"/>
          <w:szCs w:val="24"/>
        </w:rPr>
        <w:t>（3）绩效目标合理性</w:t>
      </w:r>
      <w:r>
        <w:rPr>
          <w:rFonts w:hint="eastAsia" w:ascii="宋体" w:hAnsi="宋体" w:eastAsia="宋体" w:cs="宋体"/>
          <w:color w:val="auto"/>
          <w:sz w:val="24"/>
          <w:szCs w:val="24"/>
        </w:rPr>
        <w:t>：</w:t>
      </w:r>
    </w:p>
    <w:p w14:paraId="3E25B1D9">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①该项目已设置年度绩效目标，具体内容为“根据《洛浦县财经委员会会议纪要》（洛财纪字〔2023〕4号）文件实施此项目，项目主要内容为：保障辖区内</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个行政村的办公经费、电费等各项运转经费，确保</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lang w:eastAsia="zh-CN"/>
        </w:rPr>
        <w:t>个村</w:t>
      </w:r>
      <w:r>
        <w:rPr>
          <w:rFonts w:hint="eastAsia" w:ascii="宋体" w:hAnsi="宋体" w:eastAsia="宋体" w:cs="宋体"/>
          <w:color w:val="auto"/>
          <w:sz w:val="24"/>
          <w:szCs w:val="24"/>
        </w:rPr>
        <w:t>能够顺利开展工作，通过项目实施，不断加强党对农村工作的全面领导，保障村级各项工作运转高效、规范有序，进一步夯实了乡村振兴组织基础、提升了农村基层治理效能，改善村级人员办公环境，提高工作积极性和工作效率”。</w:t>
      </w:r>
    </w:p>
    <w:p w14:paraId="6134D1B2">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rPr>
        <w:t>②该项目实际工作内容为：</w:t>
      </w:r>
      <w:r>
        <w:rPr>
          <w:rFonts w:hint="eastAsia" w:ascii="宋体" w:hAnsi="宋体" w:eastAsia="宋体" w:cs="宋体"/>
          <w:color w:val="auto"/>
          <w:sz w:val="24"/>
          <w:szCs w:val="24"/>
        </w:rPr>
        <w:t>确保</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lang w:eastAsia="zh-CN"/>
        </w:rPr>
        <w:t>个村</w:t>
      </w:r>
      <w:r>
        <w:rPr>
          <w:rFonts w:hint="eastAsia" w:ascii="宋体" w:hAnsi="宋体" w:eastAsia="宋体" w:cs="宋体"/>
          <w:color w:val="auto"/>
          <w:sz w:val="24"/>
          <w:szCs w:val="24"/>
        </w:rPr>
        <w:t>能够顺利开展工作，通过项目实施，不断加强党对农村工作的全面领导，保障村级各项工作运转高效、规范有序，进一步夯实了乡村振兴组织基础、提升了农村基层治理效能，改善村级人员办公环境，提高工作积极性和工作效率。</w:t>
      </w:r>
    </w:p>
    <w:p w14:paraId="5D6BF588">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③该项目按照绩效目标完成数量指标、质量指标、时效指标、成本指标，完成了</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，达到</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效益，预期产出效益和效果是否符合正常的业绩水平。</w:t>
      </w:r>
    </w:p>
    <w:p w14:paraId="45AB7969">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④该项目批复的预算金额为</w:t>
      </w:r>
      <w:r>
        <w:rPr>
          <w:rFonts w:hint="eastAsia" w:ascii="宋体" w:hAnsi="宋体" w:eastAsia="宋体" w:cs="宋体"/>
          <w:color w:val="auto"/>
          <w:sz w:val="24"/>
          <w:szCs w:val="24"/>
          <w:highlight w:val="none"/>
          <w:lang w:val="en-US" w:eastAsia="zh-CN"/>
        </w:rPr>
        <w:t>18</w:t>
      </w:r>
      <w:r>
        <w:rPr>
          <w:rFonts w:hint="eastAsia" w:ascii="宋体" w:hAnsi="宋体" w:eastAsia="宋体" w:cs="宋体"/>
          <w:color w:val="auto"/>
          <w:sz w:val="24"/>
          <w:szCs w:val="24"/>
          <w:highlight w:val="none"/>
        </w:rPr>
        <w:t>万元，《项目支出绩效目标表》中预算金额为</w:t>
      </w:r>
      <w:r>
        <w:rPr>
          <w:rFonts w:hint="eastAsia" w:ascii="宋体" w:hAnsi="宋体" w:eastAsia="宋体" w:cs="宋体"/>
          <w:color w:val="auto"/>
          <w:sz w:val="24"/>
          <w:szCs w:val="24"/>
          <w:highlight w:val="none"/>
          <w:lang w:val="en-US" w:eastAsia="zh-CN"/>
        </w:rPr>
        <w:t>18</w:t>
      </w:r>
      <w:r>
        <w:rPr>
          <w:rFonts w:hint="eastAsia" w:ascii="宋体" w:hAnsi="宋体" w:eastAsia="宋体" w:cs="宋体"/>
          <w:color w:val="auto"/>
          <w:sz w:val="24"/>
          <w:szCs w:val="24"/>
          <w:highlight w:val="none"/>
        </w:rPr>
        <w:t>万元，预算确定的项目资金与预算确定的项目投资额相匹配。</w:t>
      </w:r>
    </w:p>
    <w:p w14:paraId="0B8F0161">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⑤本单位</w:t>
      </w:r>
      <w:r>
        <w:rPr>
          <w:rFonts w:hint="eastAsia" w:ascii="宋体" w:hAnsi="宋体" w:eastAsia="宋体" w:cs="宋体"/>
          <w:color w:val="auto"/>
          <w:sz w:val="24"/>
          <w:szCs w:val="24"/>
          <w:highlight w:val="none"/>
        </w:rPr>
        <w:t>制定了实施方案，明确了总体思路及目标、并对任务进行了详细分解，对目标进行了细化，根据评分标准，该指标不扣分，得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3830BD3F">
      <w:pPr>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绩效指标明确性</w:t>
      </w:r>
      <w:r>
        <w:rPr>
          <w:rFonts w:hint="eastAsia" w:ascii="宋体" w:hAnsi="宋体" w:eastAsia="宋体" w:cs="宋体"/>
          <w:b/>
          <w:bCs/>
          <w:color w:val="auto"/>
          <w:sz w:val="24"/>
          <w:szCs w:val="24"/>
          <w:highlight w:val="none"/>
          <w:lang w:eastAsia="zh-CN"/>
        </w:rPr>
        <w:t>：</w:t>
      </w:r>
      <w:r>
        <w:rPr>
          <w:rFonts w:hint="eastAsia" w:ascii="宋体" w:hAnsi="宋体" w:eastAsia="宋体" w:cs="宋体"/>
          <w:color w:val="auto"/>
          <w:sz w:val="24"/>
          <w:szCs w:val="24"/>
          <w:highlight w:val="none"/>
        </w:rPr>
        <w:t>经检查我单位年初设置的《项目支出绩效目标表》，得出如下结论：本项目已将年度绩效目标进行细化为绩效指标</w:t>
      </w:r>
      <w:r>
        <w:rPr>
          <w:rFonts w:hint="eastAsia" w:ascii="宋体" w:hAnsi="宋体" w:eastAsia="宋体" w:cs="宋体"/>
          <w:color w:val="auto"/>
          <w:sz w:val="24"/>
          <w:szCs w:val="24"/>
          <w:highlight w:val="none"/>
          <w:lang w:val="en-US" w:eastAsia="zh-CN"/>
        </w:rPr>
        <w:t>体系</w:t>
      </w:r>
      <w:r>
        <w:rPr>
          <w:rFonts w:hint="eastAsia" w:ascii="宋体" w:hAnsi="宋体" w:eastAsia="宋体" w:cs="宋体"/>
          <w:color w:val="auto"/>
          <w:sz w:val="24"/>
          <w:szCs w:val="24"/>
          <w:highlight w:val="none"/>
        </w:rPr>
        <w:t>，共设置一级指标</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个，二级指标</w:t>
      </w: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rPr>
        <w:t>个，三级指标</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个，定量指标</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个，定性指标</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个，指标量化率为</w:t>
      </w:r>
      <w:r>
        <w:rPr>
          <w:rFonts w:hint="eastAsia" w:ascii="宋体" w:hAnsi="宋体" w:eastAsia="宋体" w:cs="宋体"/>
          <w:color w:val="auto"/>
          <w:sz w:val="24"/>
          <w:szCs w:val="24"/>
          <w:highlight w:val="none"/>
          <w:lang w:val="en-US" w:eastAsia="zh-CN"/>
        </w:rPr>
        <w:t>85.71</w:t>
      </w:r>
      <w:r>
        <w:rPr>
          <w:rFonts w:hint="eastAsia" w:ascii="宋体" w:hAnsi="宋体" w:eastAsia="宋体" w:cs="宋体"/>
          <w:color w:val="auto"/>
          <w:sz w:val="24"/>
          <w:szCs w:val="24"/>
          <w:highlight w:val="none"/>
        </w:rPr>
        <w:t>%，量化率达70.0%以上</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将项目绩效目标细化分解为具体的绩效指标</w:t>
      </w:r>
      <w:r>
        <w:rPr>
          <w:rFonts w:hint="eastAsia" w:ascii="宋体" w:hAnsi="宋体" w:eastAsia="宋体" w:cs="宋体"/>
          <w:color w:val="auto"/>
          <w:sz w:val="24"/>
          <w:szCs w:val="24"/>
          <w:highlight w:val="none"/>
          <w:lang w:eastAsia="zh-CN"/>
        </w:rPr>
        <w:t>。</w:t>
      </w:r>
    </w:p>
    <w:p w14:paraId="674A0371">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该《项目绩效目标申报表》中，数量指标指标值为涉及行政村个数，三级指标的年度指标值与年度绩效目标中任务数一致，已设置时效指标“</w:t>
      </w:r>
      <w:r>
        <w:rPr>
          <w:rFonts w:hint="eastAsia" w:ascii="宋体" w:hAnsi="宋体" w:eastAsia="宋体" w:cs="宋体"/>
          <w:color w:val="auto"/>
          <w:sz w:val="24"/>
          <w:szCs w:val="24"/>
          <w:highlight w:val="none"/>
          <w:lang w:val="en-US" w:eastAsia="zh-CN"/>
        </w:rPr>
        <w:t>资金支付及时率、项目完成时间</w:t>
      </w:r>
      <w:r>
        <w:rPr>
          <w:rFonts w:hint="eastAsia" w:ascii="宋体" w:hAnsi="宋体" w:eastAsia="宋体" w:cs="宋体"/>
          <w:color w:val="auto"/>
          <w:sz w:val="24"/>
          <w:szCs w:val="24"/>
          <w:highlight w:val="none"/>
        </w:rPr>
        <w:t>”。已设置的绩效目标具备明确性、可衡量性、可实现性、相关性、时限性。根据评分标准，该指标不扣分，得2分。</w:t>
      </w:r>
    </w:p>
    <w:p w14:paraId="5F70D2FF">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（5）预算编制科学性：</w:t>
      </w:r>
      <w:r>
        <w:rPr>
          <w:rFonts w:hint="eastAsia" w:ascii="宋体" w:hAnsi="宋体" w:eastAsia="宋体" w:cs="宋体"/>
          <w:color w:val="auto"/>
          <w:sz w:val="24"/>
          <w:szCs w:val="24"/>
          <w:highlight w:val="none"/>
        </w:rPr>
        <w:t>本项目</w:t>
      </w:r>
      <w:r>
        <w:rPr>
          <w:rFonts w:hint="eastAsia" w:ascii="宋体" w:hAnsi="宋体" w:eastAsia="宋体" w:cs="宋体"/>
          <w:i w:val="0"/>
          <w:iCs w:val="0"/>
          <w:caps w:val="0"/>
          <w:color w:val="auto"/>
          <w:spacing w:val="0"/>
          <w:sz w:val="24"/>
          <w:szCs w:val="24"/>
          <w:shd w:val="clear" w:color="auto" w:fill="FFFFFF"/>
        </w:rPr>
        <w:t>洛浦县2024年村级运转经费</w:t>
      </w:r>
      <w:r>
        <w:rPr>
          <w:rFonts w:hint="eastAsia" w:ascii="宋体" w:hAnsi="宋体" w:eastAsia="宋体" w:cs="宋体"/>
          <w:color w:val="auto"/>
          <w:sz w:val="24"/>
          <w:szCs w:val="24"/>
          <w:highlight w:val="none"/>
        </w:rPr>
        <w:t>，即预算编制较科学且经过论证；</w:t>
      </w:r>
    </w:p>
    <w:p w14:paraId="3E501C73">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预算申请内容</w:t>
      </w:r>
      <w:r>
        <w:rPr>
          <w:rFonts w:hint="eastAsia" w:ascii="宋体" w:hAnsi="宋体" w:eastAsia="宋体" w:cs="宋体"/>
          <w:i w:val="0"/>
          <w:iCs w:val="0"/>
          <w:caps w:val="0"/>
          <w:color w:val="auto"/>
          <w:spacing w:val="0"/>
          <w:sz w:val="24"/>
          <w:szCs w:val="24"/>
          <w:shd w:val="clear" w:color="auto" w:fill="FFFFFF"/>
        </w:rPr>
        <w:t>洛浦县2024年村级运转经费</w:t>
      </w:r>
      <w:r>
        <w:rPr>
          <w:rFonts w:hint="eastAsia" w:ascii="宋体" w:hAnsi="宋体" w:eastAsia="宋体" w:cs="宋体"/>
          <w:color w:val="auto"/>
          <w:sz w:val="24"/>
          <w:szCs w:val="24"/>
          <w:highlight w:val="none"/>
        </w:rPr>
        <w:t>，项目实际内容洛浦县2024年村级运转经费，预算申请与洛浦县2024年村级运转经费的项目内容匹配；</w:t>
      </w:r>
    </w:p>
    <w:p w14:paraId="221D8A84">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本项目预算申请资金</w:t>
      </w:r>
      <w:r>
        <w:rPr>
          <w:rFonts w:hint="eastAsia" w:ascii="宋体" w:hAnsi="宋体" w:eastAsia="宋体" w:cs="宋体"/>
          <w:color w:val="auto"/>
          <w:sz w:val="24"/>
          <w:szCs w:val="24"/>
          <w:highlight w:val="none"/>
          <w:lang w:val="en-US" w:eastAsia="zh-CN"/>
        </w:rPr>
        <w:t>18万元</w:t>
      </w:r>
      <w:r>
        <w:rPr>
          <w:rFonts w:hint="eastAsia" w:ascii="宋体" w:hAnsi="宋体" w:eastAsia="宋体" w:cs="宋体"/>
          <w:color w:val="auto"/>
          <w:sz w:val="24"/>
          <w:szCs w:val="24"/>
          <w:highlight w:val="none"/>
        </w:rPr>
        <w:t>，我单位在预算申请中严格按照项目实施内容及测算标准进行核算，其中：</w:t>
      </w:r>
      <w:r>
        <w:rPr>
          <w:rFonts w:hint="eastAsia" w:ascii="宋体" w:hAnsi="宋体" w:eastAsia="宋体" w:cs="宋体"/>
          <w:color w:val="auto"/>
          <w:kern w:val="2"/>
          <w:sz w:val="24"/>
          <w:szCs w:val="24"/>
          <w:highlight w:val="none"/>
          <w:lang w:val="en-US" w:eastAsia="zh-CN" w:bidi="ar-SA"/>
        </w:rPr>
        <w:t>办公经费4.2万元，包括办公用品购置、通讯费等日常办公开销；电费1.345万元，，用于办公区域照明，印刷费3.2万元，取暖费3.18万元，维修维护费2.18万元，租赁费1.84万元，劳务费0.49万元，其他商品服务支出1.535万元</w:t>
      </w:r>
      <w:r>
        <w:rPr>
          <w:rFonts w:hint="eastAsia" w:ascii="宋体" w:hAnsi="宋体" w:eastAsia="宋体" w:cs="宋体"/>
          <w:color w:val="auto"/>
          <w:sz w:val="24"/>
          <w:szCs w:val="24"/>
          <w:highlight w:val="none"/>
        </w:rPr>
        <w:t>。</w:t>
      </w:r>
    </w:p>
    <w:p w14:paraId="60983C9B">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预算确定资金量与实际工作任务相匹配。本项目预算额度测算依据充分，严格按照标准编制，预算确定资金量与实际工作任务相匹配；根据评分标准，该指标不扣分，得3分。</w:t>
      </w:r>
    </w:p>
    <w:p w14:paraId="7DAADF92">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（6）资金分配合理性：</w:t>
      </w:r>
      <w:r>
        <w:rPr>
          <w:rFonts w:hint="eastAsia" w:ascii="宋体" w:hAnsi="宋体" w:eastAsia="宋体" w:cs="宋体"/>
          <w:color w:val="auto"/>
          <w:sz w:val="24"/>
          <w:szCs w:val="24"/>
          <w:highlight w:val="none"/>
        </w:rPr>
        <w:t>本项目实际分配资金以《关于申请洛财预</w:t>
      </w:r>
      <w:r>
        <w:rPr>
          <w:rFonts w:hint="eastAsia" w:ascii="宋体" w:hAnsi="宋体" w:eastAsia="宋体" w:cs="宋体"/>
          <w:color w:val="auto"/>
          <w:sz w:val="24"/>
          <w:szCs w:val="24"/>
          <w:highlight w:val="none"/>
          <w:lang w:eastAsia="zh-CN"/>
        </w:rPr>
        <w:t>〔2024〕</w:t>
      </w:r>
      <w:r>
        <w:rPr>
          <w:rFonts w:hint="eastAsia" w:ascii="宋体" w:hAnsi="宋体" w:eastAsia="宋体" w:cs="宋体"/>
          <w:color w:val="auto"/>
          <w:sz w:val="24"/>
          <w:szCs w:val="24"/>
          <w:highlight w:val="none"/>
        </w:rPr>
        <w:t>04号：2024年村级运转经费（县配套）项目资金的请示》和《洛财预</w:t>
      </w:r>
      <w:r>
        <w:rPr>
          <w:rFonts w:hint="eastAsia" w:ascii="宋体" w:hAnsi="宋体" w:eastAsia="宋体" w:cs="宋体"/>
          <w:color w:val="auto"/>
          <w:sz w:val="24"/>
          <w:szCs w:val="24"/>
          <w:highlight w:val="none"/>
          <w:lang w:eastAsia="zh-CN"/>
        </w:rPr>
        <w:t>〔2024〕</w:t>
      </w:r>
      <w:r>
        <w:rPr>
          <w:rFonts w:hint="eastAsia" w:ascii="宋体" w:hAnsi="宋体" w:eastAsia="宋体" w:cs="宋体"/>
          <w:color w:val="auto"/>
          <w:sz w:val="24"/>
          <w:szCs w:val="24"/>
          <w:highlight w:val="none"/>
        </w:rPr>
        <w:t>04号：2024年村级运转经费（县配套）项目实施方案》为依据进行资金分配，预算资金分配依据充分。根据《2024年村级运转经费（县配套）项目文件》（洛财预</w:t>
      </w:r>
      <w:r>
        <w:rPr>
          <w:rFonts w:hint="eastAsia" w:ascii="宋体" w:hAnsi="宋体" w:eastAsia="宋体" w:cs="宋体"/>
          <w:color w:val="auto"/>
          <w:sz w:val="24"/>
          <w:szCs w:val="24"/>
          <w:highlight w:val="none"/>
          <w:lang w:eastAsia="zh-CN"/>
        </w:rPr>
        <w:t>〔2024〕</w:t>
      </w:r>
      <w:r>
        <w:rPr>
          <w:rFonts w:hint="eastAsia" w:ascii="宋体" w:hAnsi="宋体" w:eastAsia="宋体" w:cs="宋体"/>
          <w:color w:val="auto"/>
          <w:sz w:val="24"/>
          <w:szCs w:val="24"/>
          <w:highlight w:val="none"/>
        </w:rPr>
        <w:t>04号），本项目实际到位资金</w:t>
      </w:r>
      <w:r>
        <w:rPr>
          <w:rFonts w:hint="eastAsia" w:ascii="宋体" w:hAnsi="宋体" w:eastAsia="宋体" w:cs="宋体"/>
          <w:color w:val="auto"/>
          <w:sz w:val="24"/>
          <w:szCs w:val="24"/>
          <w:highlight w:val="none"/>
          <w:lang w:val="en-US" w:eastAsia="zh-CN"/>
        </w:rPr>
        <w:t>18</w:t>
      </w:r>
      <w:r>
        <w:rPr>
          <w:rFonts w:hint="eastAsia" w:ascii="宋体" w:hAnsi="宋体" w:eastAsia="宋体" w:cs="宋体"/>
          <w:color w:val="auto"/>
          <w:sz w:val="24"/>
          <w:szCs w:val="24"/>
          <w:highlight w:val="none"/>
        </w:rPr>
        <w:t>万元，资金分配额度合理，与我单位实际需求相适应。资金分配与实际相适应，根据评分标准，该指标不扣分，得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p w14:paraId="2EA71398">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（二）项目过程情况</w:t>
      </w:r>
    </w:p>
    <w:p w14:paraId="2A839277">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项目过程类指标包括资金管理和组织实施两方面的内容，由 5个三级指标构成，权重分为20分，实际得分</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11.94</w:t>
      </w:r>
      <w:r>
        <w:rPr>
          <w:rFonts w:hint="eastAsia" w:ascii="宋体" w:hAnsi="宋体" w:eastAsia="宋体" w:cs="宋体"/>
          <w:color w:val="auto"/>
          <w:sz w:val="24"/>
          <w:szCs w:val="24"/>
          <w:highlight w:val="none"/>
        </w:rPr>
        <w:t>%。</w:t>
      </w:r>
    </w:p>
    <w:p w14:paraId="00A159EA">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p>
    <w:p w14:paraId="6C49F8D2">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bCs/>
          <w:color w:val="auto"/>
          <w:sz w:val="24"/>
          <w:szCs w:val="24"/>
          <w:highlight w:val="none"/>
        </w:rPr>
        <w:t>（1）资金到位率：</w:t>
      </w:r>
      <w:r>
        <w:rPr>
          <w:rFonts w:hint="eastAsia" w:ascii="宋体" w:hAnsi="宋体" w:eastAsia="宋体" w:cs="宋体"/>
          <w:b w:val="0"/>
          <w:bCs w:val="0"/>
          <w:color w:val="auto"/>
          <w:sz w:val="24"/>
          <w:szCs w:val="24"/>
          <w:highlight w:val="none"/>
        </w:rPr>
        <w:t>本项目预算资金为</w:t>
      </w:r>
      <w:r>
        <w:rPr>
          <w:rFonts w:hint="eastAsia" w:ascii="宋体" w:hAnsi="宋体" w:eastAsia="宋体" w:cs="宋体"/>
          <w:b w:val="0"/>
          <w:bCs w:val="0"/>
          <w:color w:val="auto"/>
          <w:sz w:val="24"/>
          <w:szCs w:val="24"/>
          <w:highlight w:val="none"/>
          <w:lang w:val="en-US" w:eastAsia="zh-CN"/>
        </w:rPr>
        <w:t>18万元</w:t>
      </w:r>
      <w:r>
        <w:rPr>
          <w:rFonts w:hint="eastAsia" w:ascii="宋体" w:hAnsi="宋体" w:eastAsia="宋体" w:cs="宋体"/>
          <w:b w:val="0"/>
          <w:bCs w:val="0"/>
          <w:color w:val="auto"/>
          <w:sz w:val="24"/>
          <w:szCs w:val="24"/>
          <w:highlight w:val="none"/>
        </w:rPr>
        <w:t>，其中：财政安排资金</w:t>
      </w:r>
      <w:r>
        <w:rPr>
          <w:rFonts w:hint="eastAsia" w:ascii="宋体" w:hAnsi="宋体" w:eastAsia="宋体" w:cs="宋体"/>
          <w:b w:val="0"/>
          <w:bCs w:val="0"/>
          <w:color w:val="auto"/>
          <w:sz w:val="24"/>
          <w:szCs w:val="24"/>
          <w:highlight w:val="none"/>
          <w:lang w:val="en-US" w:eastAsia="zh-CN"/>
        </w:rPr>
        <w:t>18万元</w:t>
      </w:r>
      <w:r>
        <w:rPr>
          <w:rFonts w:hint="eastAsia" w:ascii="宋体" w:hAnsi="宋体" w:eastAsia="宋体" w:cs="宋体"/>
          <w:b w:val="0"/>
          <w:bCs w:val="0"/>
          <w:color w:val="auto"/>
          <w:sz w:val="24"/>
          <w:szCs w:val="24"/>
          <w:highlight w:val="none"/>
        </w:rPr>
        <w:t>，其他资金</w:t>
      </w:r>
      <w:r>
        <w:rPr>
          <w:rFonts w:hint="eastAsia" w:ascii="宋体" w:hAnsi="宋体" w:eastAsia="宋体" w:cs="宋体"/>
          <w:b w:val="0"/>
          <w:bCs w:val="0"/>
          <w:color w:val="auto"/>
          <w:sz w:val="24"/>
          <w:szCs w:val="24"/>
          <w:highlight w:val="none"/>
          <w:lang w:val="en-US" w:eastAsia="zh-CN"/>
        </w:rPr>
        <w:t>0</w:t>
      </w:r>
      <w:r>
        <w:rPr>
          <w:rFonts w:hint="eastAsia" w:ascii="宋体" w:hAnsi="宋体" w:eastAsia="宋体" w:cs="宋体"/>
          <w:b w:val="0"/>
          <w:bCs w:val="0"/>
          <w:color w:val="auto"/>
          <w:sz w:val="24"/>
          <w:szCs w:val="24"/>
          <w:highlight w:val="none"/>
        </w:rPr>
        <w:t>万元，实际到位资金</w:t>
      </w:r>
      <w:r>
        <w:rPr>
          <w:rFonts w:hint="eastAsia" w:ascii="宋体" w:hAnsi="宋体" w:eastAsia="宋体" w:cs="宋体"/>
          <w:b w:val="0"/>
          <w:bCs w:val="0"/>
          <w:color w:val="auto"/>
          <w:sz w:val="24"/>
          <w:szCs w:val="24"/>
          <w:highlight w:val="none"/>
          <w:lang w:val="en-US" w:eastAsia="zh-CN"/>
        </w:rPr>
        <w:t>18万元</w:t>
      </w:r>
      <w:r>
        <w:rPr>
          <w:rFonts w:hint="eastAsia" w:ascii="宋体" w:hAnsi="宋体" w:eastAsia="宋体" w:cs="宋体"/>
          <w:b w:val="0"/>
          <w:bCs w:val="0"/>
          <w:color w:val="auto"/>
          <w:sz w:val="24"/>
          <w:szCs w:val="24"/>
          <w:highlight w:val="none"/>
        </w:rPr>
        <w:t>，资金到位率</w:t>
      </w:r>
      <w:r>
        <w:rPr>
          <w:rFonts w:hint="eastAsia" w:ascii="宋体" w:hAnsi="宋体" w:eastAsia="宋体" w:cs="宋体"/>
          <w:b w:val="0"/>
          <w:bCs w:val="0"/>
          <w:color w:val="auto"/>
          <w:sz w:val="24"/>
          <w:szCs w:val="24"/>
          <w:highlight w:val="none"/>
          <w:lang w:val="en-US" w:eastAsia="zh-CN"/>
        </w:rPr>
        <w:t>100%；通过分析可知，该项目</w:t>
      </w:r>
      <w:r>
        <w:rPr>
          <w:rFonts w:hint="eastAsia" w:ascii="宋体" w:hAnsi="宋体" w:eastAsia="宋体" w:cs="宋体"/>
          <w:b w:val="0"/>
          <w:bCs w:val="0"/>
          <w:color w:val="auto"/>
          <w:sz w:val="24"/>
          <w:szCs w:val="24"/>
          <w:highlight w:val="none"/>
        </w:rPr>
        <w:t>财政资金足额拨付到位，能够及时足额</w:t>
      </w:r>
      <w:r>
        <w:rPr>
          <w:rFonts w:hint="eastAsia" w:ascii="宋体" w:hAnsi="宋体" w:eastAsia="宋体" w:cs="宋体"/>
          <w:b w:val="0"/>
          <w:bCs w:val="0"/>
          <w:color w:val="auto"/>
          <w:sz w:val="24"/>
          <w:szCs w:val="24"/>
          <w:highlight w:val="none"/>
          <w:lang w:val="en-US" w:eastAsia="zh-CN"/>
        </w:rPr>
        <w:t>支付</w:t>
      </w:r>
      <w:r>
        <w:rPr>
          <w:rFonts w:hint="eastAsia" w:ascii="宋体" w:hAnsi="宋体" w:eastAsia="宋体" w:cs="宋体"/>
          <w:b w:val="0"/>
          <w:bCs w:val="0"/>
          <w:color w:val="auto"/>
          <w:sz w:val="24"/>
          <w:szCs w:val="24"/>
          <w:highlight w:val="none"/>
        </w:rPr>
        <w:t>给</w:t>
      </w:r>
      <w:r>
        <w:rPr>
          <w:rFonts w:hint="eastAsia" w:ascii="宋体" w:hAnsi="宋体" w:eastAsia="宋体" w:cs="宋体"/>
          <w:b w:val="0"/>
          <w:bCs w:val="0"/>
          <w:color w:val="auto"/>
          <w:sz w:val="24"/>
          <w:szCs w:val="24"/>
          <w:highlight w:val="none"/>
          <w:lang w:val="en-US" w:eastAsia="zh-CN"/>
        </w:rPr>
        <w:t>实施</w:t>
      </w:r>
      <w:r>
        <w:rPr>
          <w:rFonts w:hint="eastAsia" w:ascii="宋体" w:hAnsi="宋体" w:eastAsia="宋体" w:cs="宋体"/>
          <w:b w:val="0"/>
          <w:bCs w:val="0"/>
          <w:color w:val="auto"/>
          <w:sz w:val="24"/>
          <w:szCs w:val="24"/>
          <w:highlight w:val="none"/>
        </w:rPr>
        <w:t>单位</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 xml:space="preserve">根据评分标准，该指标不扣分，得3分。   </w:t>
      </w:r>
    </w:p>
    <w:p w14:paraId="0D580939">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（2）预算执行率：</w:t>
      </w:r>
      <w:r>
        <w:rPr>
          <w:rFonts w:hint="eastAsia" w:ascii="宋体" w:hAnsi="宋体" w:eastAsia="宋体" w:cs="宋体"/>
          <w:color w:val="auto"/>
          <w:sz w:val="24"/>
          <w:szCs w:val="24"/>
          <w:highlight w:val="none"/>
        </w:rPr>
        <w:t>本项目实际支出资金</w:t>
      </w:r>
      <w:r>
        <w:rPr>
          <w:rFonts w:hint="eastAsia" w:ascii="宋体" w:hAnsi="宋体" w:eastAsia="宋体" w:cs="宋体"/>
          <w:color w:val="auto"/>
          <w:sz w:val="24"/>
          <w:szCs w:val="24"/>
          <w:highlight w:val="none"/>
          <w:lang w:val="en-US" w:eastAsia="zh-CN"/>
        </w:rPr>
        <w:t>17.97万元</w:t>
      </w:r>
      <w:r>
        <w:rPr>
          <w:rFonts w:hint="eastAsia" w:ascii="宋体" w:hAnsi="宋体" w:eastAsia="宋体" w:cs="宋体"/>
          <w:color w:val="auto"/>
          <w:sz w:val="24"/>
          <w:szCs w:val="24"/>
          <w:highlight w:val="none"/>
        </w:rPr>
        <w:t>，预算执行率=</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×100.0%=</w:t>
      </w:r>
      <w:r>
        <w:rPr>
          <w:rFonts w:hint="eastAsia" w:ascii="宋体" w:hAnsi="宋体" w:eastAsia="宋体" w:cs="宋体"/>
          <w:color w:val="auto"/>
          <w:sz w:val="24"/>
          <w:szCs w:val="24"/>
          <w:highlight w:val="none"/>
          <w:lang w:val="en-US" w:eastAsia="zh-CN"/>
        </w:rPr>
        <w:t>99.83</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通过分析可知，该项目</w:t>
      </w:r>
      <w:r>
        <w:rPr>
          <w:rFonts w:hint="eastAsia" w:ascii="宋体" w:hAnsi="宋体" w:eastAsia="宋体" w:cs="宋体"/>
          <w:color w:val="auto"/>
          <w:sz w:val="24"/>
          <w:szCs w:val="24"/>
          <w:highlight w:val="none"/>
        </w:rPr>
        <w:t>预算编制较为详细，项目资金支出总体能够按照预算执行，根据评分标准，该指标不扣分，得3分。</w:t>
      </w:r>
    </w:p>
    <w:p w14:paraId="48B778FB">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（3）资金使用合规性：</w:t>
      </w:r>
      <w:r>
        <w:rPr>
          <w:rFonts w:hint="eastAsia" w:ascii="宋体" w:hAnsi="宋体" w:eastAsia="宋体" w:cs="宋体"/>
          <w:color w:val="auto"/>
          <w:sz w:val="24"/>
          <w:szCs w:val="24"/>
          <w:highlight w:val="none"/>
        </w:rPr>
        <w:t>通过检查项目资金申请文件、</w:t>
      </w:r>
      <w:r>
        <w:rPr>
          <w:rFonts w:hint="eastAsia" w:ascii="宋体" w:hAnsi="宋体" w:eastAsia="宋体" w:cs="宋体"/>
          <w:color w:val="auto"/>
          <w:sz w:val="24"/>
          <w:szCs w:val="24"/>
          <w:highlight w:val="none"/>
          <w:lang w:val="en-US" w:eastAsia="zh-CN"/>
        </w:rPr>
        <w:t>国库支付凭证</w:t>
      </w:r>
      <w:r>
        <w:rPr>
          <w:rFonts w:hint="eastAsia" w:ascii="宋体" w:hAnsi="宋体" w:eastAsia="宋体" w:cs="宋体"/>
          <w:color w:val="auto"/>
          <w:sz w:val="24"/>
          <w:szCs w:val="24"/>
          <w:highlight w:val="none"/>
        </w:rPr>
        <w:t>等财务</w:t>
      </w:r>
      <w:r>
        <w:rPr>
          <w:rFonts w:hint="eastAsia" w:ascii="宋体" w:hAnsi="宋体" w:eastAsia="宋体" w:cs="宋体"/>
          <w:color w:val="auto"/>
          <w:sz w:val="24"/>
          <w:szCs w:val="24"/>
          <w:highlight w:val="none"/>
          <w:lang w:val="en-US" w:eastAsia="zh-CN"/>
        </w:rPr>
        <w:t>资料</w:t>
      </w:r>
      <w:r>
        <w:rPr>
          <w:rFonts w:hint="eastAsia" w:ascii="宋体" w:hAnsi="宋体" w:eastAsia="宋体" w:cs="宋体"/>
          <w:color w:val="auto"/>
          <w:sz w:val="24"/>
          <w:szCs w:val="24"/>
          <w:highlight w:val="none"/>
        </w:rPr>
        <w:t>，得出本项目资金支出符合国家财经法规、《政府会计制度》《</w:t>
      </w:r>
      <w:r>
        <w:rPr>
          <w:rFonts w:hint="eastAsia" w:ascii="宋体" w:hAnsi="宋体" w:eastAsia="宋体" w:cs="宋体"/>
          <w:color w:val="auto"/>
          <w:sz w:val="24"/>
          <w:szCs w:val="24"/>
          <w:highlight w:val="none"/>
          <w:lang w:val="en-US" w:eastAsia="zh-CN"/>
        </w:rPr>
        <w:t>洛浦县财政局</w:t>
      </w:r>
      <w:r>
        <w:rPr>
          <w:rFonts w:hint="eastAsia" w:ascii="宋体" w:hAnsi="宋体" w:eastAsia="宋体" w:cs="宋体"/>
          <w:color w:val="auto"/>
          <w:sz w:val="24"/>
          <w:szCs w:val="24"/>
          <w:highlight w:val="none"/>
        </w:rPr>
        <w:t>单位资金管理办法》《</w:t>
      </w:r>
      <w:r>
        <w:rPr>
          <w:rFonts w:hint="eastAsia" w:ascii="宋体" w:hAnsi="宋体" w:eastAsia="宋体" w:cs="宋体"/>
          <w:color w:val="auto"/>
          <w:sz w:val="24"/>
          <w:szCs w:val="24"/>
          <w:highlight w:val="none"/>
          <w:lang w:val="en-US" w:eastAsia="zh-CN"/>
        </w:rPr>
        <w:t>洛浦县财政局</w:t>
      </w:r>
      <w:r>
        <w:rPr>
          <w:rFonts w:hint="eastAsia" w:ascii="宋体" w:hAnsi="宋体" w:eastAsia="宋体" w:cs="宋体"/>
          <w:color w:val="auto"/>
          <w:sz w:val="24"/>
          <w:szCs w:val="24"/>
          <w:highlight w:val="none"/>
        </w:rPr>
        <w:t>专项资金管理办法》，资金的拨付有完整的审批程序和手续，资金实际使用方向与预算批复用途一致，不存在截留、挤占、挪用、虚列支出的情况。</w:t>
      </w:r>
      <w:r>
        <w:rPr>
          <w:rFonts w:hint="eastAsia" w:ascii="宋体" w:hAnsi="宋体" w:eastAsia="宋体" w:cs="宋体"/>
          <w:color w:val="auto"/>
          <w:sz w:val="24"/>
          <w:szCs w:val="24"/>
          <w:highlight w:val="none"/>
          <w:lang w:val="en-US" w:eastAsia="zh-CN"/>
        </w:rPr>
        <w:t>我单位</w:t>
      </w:r>
      <w:r>
        <w:rPr>
          <w:rFonts w:hint="eastAsia" w:ascii="宋体" w:hAnsi="宋体" w:eastAsia="宋体" w:cs="宋体"/>
          <w:color w:val="auto"/>
          <w:sz w:val="24"/>
          <w:szCs w:val="24"/>
          <w:highlight w:val="none"/>
        </w:rPr>
        <w:t>制定了相关的制度和管理规定对经费使用进行规范管理，财务制度健全、执行严格，根据评分标准，该指标不扣分，得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p w14:paraId="02474DCA">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b/>
          <w:bCs/>
          <w:color w:val="auto"/>
          <w:sz w:val="24"/>
          <w:szCs w:val="24"/>
          <w:highlight w:val="none"/>
        </w:rPr>
        <w:t>4）管理制度健全性：</w:t>
      </w:r>
      <w:r>
        <w:rPr>
          <w:rFonts w:hint="eastAsia" w:ascii="宋体" w:hAnsi="宋体" w:eastAsia="宋体" w:cs="宋体"/>
          <w:b w:val="0"/>
          <w:bCs w:val="0"/>
          <w:color w:val="auto"/>
          <w:sz w:val="24"/>
          <w:szCs w:val="24"/>
          <w:highlight w:val="none"/>
        </w:rPr>
        <w:t>单位已制定《</w:t>
      </w:r>
      <w:r>
        <w:rPr>
          <w:rFonts w:hint="eastAsia" w:ascii="宋体" w:hAnsi="宋体" w:eastAsia="宋体" w:cs="宋体"/>
          <w:b w:val="0"/>
          <w:bCs w:val="0"/>
          <w:color w:val="auto"/>
          <w:sz w:val="24"/>
          <w:szCs w:val="24"/>
          <w:highlight w:val="none"/>
          <w:lang w:val="en-US" w:eastAsia="zh-CN"/>
        </w:rPr>
        <w:t>洛浦县布亚乡</w:t>
      </w:r>
      <w:r>
        <w:rPr>
          <w:rFonts w:hint="eastAsia" w:ascii="宋体" w:hAnsi="宋体" w:eastAsia="宋体" w:cs="宋体"/>
          <w:b w:val="0"/>
          <w:bCs w:val="0"/>
          <w:color w:val="auto"/>
          <w:sz w:val="24"/>
          <w:szCs w:val="24"/>
          <w:highlight w:val="none"/>
        </w:rPr>
        <w:t>资金管理办法》《</w:t>
      </w:r>
      <w:r>
        <w:rPr>
          <w:rFonts w:hint="eastAsia" w:ascii="宋体" w:hAnsi="宋体" w:eastAsia="宋体" w:cs="宋体"/>
          <w:b w:val="0"/>
          <w:bCs w:val="0"/>
          <w:color w:val="auto"/>
          <w:sz w:val="24"/>
          <w:szCs w:val="24"/>
          <w:highlight w:val="none"/>
          <w:lang w:val="en-US" w:eastAsia="zh-CN"/>
        </w:rPr>
        <w:t>洛浦县布亚乡</w:t>
      </w:r>
      <w:r>
        <w:rPr>
          <w:rFonts w:hint="eastAsia" w:ascii="宋体" w:hAnsi="宋体" w:eastAsia="宋体" w:cs="宋体"/>
          <w:b w:val="0"/>
          <w:bCs w:val="0"/>
          <w:color w:val="auto"/>
          <w:sz w:val="24"/>
          <w:szCs w:val="24"/>
          <w:highlight w:val="none"/>
        </w:rPr>
        <w:t>收支业务管理制度》《</w:t>
      </w:r>
      <w:r>
        <w:rPr>
          <w:rFonts w:hint="eastAsia" w:ascii="宋体" w:hAnsi="宋体" w:eastAsia="宋体" w:cs="宋体"/>
          <w:b w:val="0"/>
          <w:bCs w:val="0"/>
          <w:color w:val="auto"/>
          <w:sz w:val="24"/>
          <w:szCs w:val="24"/>
          <w:highlight w:val="none"/>
          <w:lang w:val="en-US" w:eastAsia="zh-CN"/>
        </w:rPr>
        <w:t>洛浦县布亚乡</w:t>
      </w:r>
      <w:r>
        <w:rPr>
          <w:rFonts w:hint="eastAsia" w:ascii="宋体" w:hAnsi="宋体" w:eastAsia="宋体" w:cs="宋体"/>
          <w:b w:val="0"/>
          <w:bCs w:val="0"/>
          <w:color w:val="auto"/>
          <w:sz w:val="24"/>
          <w:szCs w:val="24"/>
          <w:highlight w:val="none"/>
        </w:rPr>
        <w:t>政府采购业务管理制度》《</w:t>
      </w:r>
      <w:r>
        <w:rPr>
          <w:rFonts w:hint="eastAsia" w:ascii="宋体" w:hAnsi="宋体" w:eastAsia="宋体" w:cs="宋体"/>
          <w:b w:val="0"/>
          <w:bCs w:val="0"/>
          <w:color w:val="auto"/>
          <w:sz w:val="24"/>
          <w:szCs w:val="24"/>
          <w:highlight w:val="none"/>
          <w:lang w:val="en-US" w:eastAsia="zh-CN"/>
        </w:rPr>
        <w:t>洛浦县布亚乡</w:t>
      </w:r>
      <w:r>
        <w:rPr>
          <w:rFonts w:hint="eastAsia" w:ascii="宋体" w:hAnsi="宋体" w:eastAsia="宋体" w:cs="宋体"/>
          <w:b w:val="0"/>
          <w:bCs w:val="0"/>
          <w:color w:val="auto"/>
          <w:sz w:val="24"/>
          <w:szCs w:val="24"/>
          <w:highlight w:val="none"/>
        </w:rPr>
        <w:t>合同管理制度》，</w:t>
      </w:r>
      <w:r>
        <w:rPr>
          <w:rFonts w:hint="eastAsia" w:ascii="宋体" w:hAnsi="宋体" w:eastAsia="宋体" w:cs="宋体"/>
          <w:b w:val="0"/>
          <w:bCs w:val="0"/>
          <w:color w:val="auto"/>
          <w:sz w:val="24"/>
          <w:szCs w:val="24"/>
          <w:highlight w:val="none"/>
          <w:lang w:val="en-US" w:eastAsia="zh-CN"/>
        </w:rPr>
        <w:t>相关</w:t>
      </w:r>
      <w:r>
        <w:rPr>
          <w:rFonts w:hint="eastAsia" w:ascii="宋体" w:hAnsi="宋体" w:eastAsia="宋体" w:cs="宋体"/>
          <w:b w:val="0"/>
          <w:bCs w:val="0"/>
          <w:color w:val="auto"/>
          <w:sz w:val="24"/>
          <w:szCs w:val="24"/>
          <w:highlight w:val="none"/>
        </w:rPr>
        <w:t>制度均符合行政事业单位内控管理要求，财务和业务管理制度合法、合规、完整，本项目执行符合上述制度规定。根据评分标准，该指标不扣分，得</w:t>
      </w:r>
      <w:r>
        <w:rPr>
          <w:rFonts w:hint="eastAsia" w:ascii="宋体" w:hAnsi="宋体" w:eastAsia="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rPr>
        <w:t>分。</w:t>
      </w:r>
    </w:p>
    <w:p w14:paraId="60D7A3CC">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（5）制度执行有效性</w:t>
      </w:r>
      <w:r>
        <w:rPr>
          <w:rFonts w:hint="eastAsia" w:ascii="宋体" w:hAnsi="宋体" w:eastAsia="宋体" w:cs="宋体"/>
          <w:color w:val="auto"/>
          <w:sz w:val="24"/>
          <w:szCs w:val="24"/>
          <w:highlight w:val="none"/>
        </w:rPr>
        <w:t>：①该项目的实施符合</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洛浦县布亚乡</w:t>
      </w:r>
      <w:r>
        <w:rPr>
          <w:rFonts w:hint="eastAsia" w:ascii="宋体" w:hAnsi="宋体" w:eastAsia="宋体" w:cs="宋体"/>
          <w:b w:val="0"/>
          <w:bCs w:val="0"/>
          <w:color w:val="auto"/>
          <w:sz w:val="24"/>
          <w:szCs w:val="24"/>
          <w:highlight w:val="none"/>
        </w:rPr>
        <w:t>资金管理办法》《</w:t>
      </w:r>
      <w:r>
        <w:rPr>
          <w:rFonts w:hint="eastAsia" w:ascii="宋体" w:hAnsi="宋体" w:eastAsia="宋体" w:cs="宋体"/>
          <w:b w:val="0"/>
          <w:bCs w:val="0"/>
          <w:color w:val="auto"/>
          <w:sz w:val="24"/>
          <w:szCs w:val="24"/>
          <w:highlight w:val="none"/>
          <w:lang w:val="en-US" w:eastAsia="zh-CN"/>
        </w:rPr>
        <w:t>洛浦县布亚乡</w:t>
      </w:r>
      <w:r>
        <w:rPr>
          <w:rFonts w:hint="eastAsia" w:ascii="宋体" w:hAnsi="宋体" w:eastAsia="宋体" w:cs="宋体"/>
          <w:b w:val="0"/>
          <w:bCs w:val="0"/>
          <w:color w:val="auto"/>
          <w:sz w:val="24"/>
          <w:szCs w:val="24"/>
          <w:highlight w:val="none"/>
        </w:rPr>
        <w:t>收支业务管理制度》《</w:t>
      </w:r>
      <w:r>
        <w:rPr>
          <w:rFonts w:hint="eastAsia" w:ascii="宋体" w:hAnsi="宋体" w:eastAsia="宋体" w:cs="宋体"/>
          <w:b w:val="0"/>
          <w:bCs w:val="0"/>
          <w:color w:val="auto"/>
          <w:sz w:val="24"/>
          <w:szCs w:val="24"/>
          <w:highlight w:val="none"/>
          <w:lang w:val="en-US" w:eastAsia="zh-CN"/>
        </w:rPr>
        <w:t>洛浦县布亚乡</w:t>
      </w:r>
      <w:r>
        <w:rPr>
          <w:rFonts w:hint="eastAsia" w:ascii="宋体" w:hAnsi="宋体" w:eastAsia="宋体" w:cs="宋体"/>
          <w:b w:val="0"/>
          <w:bCs w:val="0"/>
          <w:color w:val="auto"/>
          <w:sz w:val="24"/>
          <w:szCs w:val="24"/>
          <w:highlight w:val="none"/>
        </w:rPr>
        <w:t>政府采购业务管理制度》《</w:t>
      </w:r>
      <w:r>
        <w:rPr>
          <w:rFonts w:hint="eastAsia" w:ascii="宋体" w:hAnsi="宋体" w:eastAsia="宋体" w:cs="宋体"/>
          <w:b w:val="0"/>
          <w:bCs w:val="0"/>
          <w:color w:val="auto"/>
          <w:sz w:val="24"/>
          <w:szCs w:val="24"/>
          <w:highlight w:val="none"/>
          <w:lang w:val="en-US" w:eastAsia="zh-CN"/>
        </w:rPr>
        <w:t>洛浦县布亚乡</w:t>
      </w:r>
      <w:r>
        <w:rPr>
          <w:rFonts w:hint="eastAsia" w:ascii="宋体" w:hAnsi="宋体" w:eastAsia="宋体" w:cs="宋体"/>
          <w:b w:val="0"/>
          <w:bCs w:val="0"/>
          <w:color w:val="auto"/>
          <w:sz w:val="24"/>
          <w:szCs w:val="24"/>
          <w:highlight w:val="none"/>
        </w:rPr>
        <w:t>合同管理制度》</w:t>
      </w:r>
      <w:r>
        <w:rPr>
          <w:rFonts w:hint="eastAsia" w:ascii="宋体" w:hAnsi="宋体" w:eastAsia="宋体" w:cs="宋体"/>
          <w:color w:val="auto"/>
          <w:sz w:val="24"/>
          <w:szCs w:val="24"/>
          <w:highlight w:val="none"/>
        </w:rPr>
        <w:t>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45507F0A">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②经现场查证项目合同书、验收评审表、财务支付凭证等资料齐全并及时归档。</w:t>
      </w:r>
    </w:p>
    <w:p w14:paraId="168FFADB">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③该项目是否存在调整，调整手续是否齐全，如未调整，则填“该项目实施过程中不存在调整事项”。</w:t>
      </w:r>
    </w:p>
    <w:p w14:paraId="55F3173F">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val="0"/>
          <w:bCs w:val="0"/>
          <w:color w:val="auto"/>
          <w:sz w:val="24"/>
          <w:szCs w:val="24"/>
          <w:highlight w:val="none"/>
        </w:rPr>
        <w:t>根据评分标准，该指标不扣分，得</w:t>
      </w:r>
      <w:r>
        <w:rPr>
          <w:rFonts w:hint="eastAsia" w:ascii="宋体" w:hAnsi="宋体" w:eastAsia="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rPr>
        <w:t>分</w:t>
      </w:r>
      <w:r>
        <w:rPr>
          <w:rFonts w:hint="eastAsia" w:ascii="宋体" w:hAnsi="宋体" w:eastAsia="宋体" w:cs="宋体"/>
          <w:b w:val="0"/>
          <w:bCs w:val="0"/>
          <w:color w:val="auto"/>
          <w:sz w:val="24"/>
          <w:szCs w:val="24"/>
          <w:highlight w:val="none"/>
          <w:lang w:val="en-US" w:eastAsia="zh-CN"/>
        </w:rPr>
        <w:t>.</w:t>
      </w:r>
    </w:p>
    <w:p w14:paraId="18C718C6">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00C500CE">
      <w:pPr>
        <w:pageBreakBefore w:val="0"/>
        <w:widowControl w:val="0"/>
        <w:numPr>
          <w:ilvl w:val="0"/>
          <w:numId w:val="5"/>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lang w:val="en-US" w:eastAsia="zh-CN"/>
        </w:rPr>
        <w:t>预期指标</w:t>
      </w:r>
      <w:r>
        <w:rPr>
          <w:rFonts w:hint="eastAsia" w:ascii="宋体" w:hAnsi="宋体" w:eastAsia="宋体" w:cs="宋体"/>
          <w:color w:val="auto"/>
          <w:sz w:val="24"/>
          <w:szCs w:val="24"/>
          <w:highlight w:val="none"/>
        </w:rPr>
        <w:t>涉及行政村个数，预期指标值为=30个，实际完成值为=30个，指标完成率为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val="en-US" w:eastAsia="zh-CN"/>
        </w:rPr>
        <w:t xml:space="preserve">  </w:t>
      </w:r>
    </w:p>
    <w:p w14:paraId="118A079D">
      <w:pPr>
        <w:pageBreakBefore w:val="0"/>
        <w:widowControl w:val="0"/>
        <w:numPr>
          <w:ilvl w:val="0"/>
          <w:numId w:val="5"/>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对于“产出数量”</w:t>
      </w:r>
    </w:p>
    <w:p w14:paraId="09BC692C">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保障项目数量</w:t>
      </w:r>
      <w:r>
        <w:rPr>
          <w:rFonts w:hint="eastAsia" w:ascii="宋体" w:hAnsi="宋体" w:eastAsia="宋体" w:cs="宋体"/>
          <w:color w:val="auto"/>
          <w:sz w:val="24"/>
          <w:szCs w:val="24"/>
          <w:highlight w:val="none"/>
        </w:rPr>
        <w:t>，预期指标值</w:t>
      </w:r>
      <w:r>
        <w:rPr>
          <w:rFonts w:hint="eastAsia" w:ascii="宋体" w:hAnsi="宋体" w:eastAsia="宋体" w:cs="宋体"/>
          <w:color w:val="auto"/>
          <w:sz w:val="24"/>
          <w:szCs w:val="24"/>
          <w:highlight w:val="none"/>
          <w:lang w:eastAsia="zh-CN"/>
        </w:rPr>
        <w:t>为等于</w:t>
      </w:r>
      <w:r>
        <w:rPr>
          <w:rFonts w:hint="eastAsia" w:ascii="宋体" w:hAnsi="宋体" w:eastAsia="宋体" w:cs="宋体"/>
          <w:color w:val="auto"/>
          <w:sz w:val="24"/>
          <w:szCs w:val="24"/>
          <w:highlight w:val="none"/>
          <w:lang w:val="en-US" w:eastAsia="zh-CN"/>
        </w:rPr>
        <w:t>4个村，</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eastAsia="zh-CN"/>
        </w:rPr>
        <w:t>等于</w:t>
      </w:r>
      <w:r>
        <w:rPr>
          <w:rFonts w:hint="eastAsia" w:ascii="宋体" w:hAnsi="宋体" w:eastAsia="宋体" w:cs="宋体"/>
          <w:color w:val="auto"/>
          <w:sz w:val="24"/>
          <w:szCs w:val="24"/>
          <w:highlight w:val="none"/>
          <w:lang w:val="en-US" w:eastAsia="zh-CN"/>
        </w:rPr>
        <w:t>4个村，</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2365D068">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合计得10分。</w:t>
      </w:r>
    </w:p>
    <w:p w14:paraId="1451140B">
      <w:pPr>
        <w:pageBreakBefore w:val="0"/>
        <w:widowControl w:val="0"/>
        <w:numPr>
          <w:ilvl w:val="0"/>
          <w:numId w:val="5"/>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对于“产出质量”：</w:t>
      </w:r>
    </w:p>
    <w:p w14:paraId="02199FE4">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资金保障率，预期指标值为</w:t>
      </w:r>
      <w:r>
        <w:rPr>
          <w:rFonts w:hint="eastAsia" w:ascii="宋体" w:hAnsi="宋体" w:eastAsia="宋体" w:cs="宋体"/>
          <w:color w:val="auto"/>
          <w:sz w:val="24"/>
          <w:szCs w:val="24"/>
          <w:highlight w:val="none"/>
          <w:lang w:eastAsia="zh-CN"/>
        </w:rPr>
        <w:t>等于</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7DB9A762">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合计得10分。</w:t>
      </w:r>
    </w:p>
    <w:p w14:paraId="4F762DE7">
      <w:pPr>
        <w:pStyle w:val="10"/>
        <w:pageBreakBefore w:val="0"/>
        <w:widowControl w:val="0"/>
        <w:numPr>
          <w:ilvl w:val="0"/>
          <w:numId w:val="5"/>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对于“产出时效”：</w:t>
      </w:r>
    </w:p>
    <w:p w14:paraId="23EFFFA3">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val="0"/>
          <w:bCs/>
          <w:color w:val="auto"/>
          <w:sz w:val="24"/>
          <w:szCs w:val="24"/>
          <w:highlight w:val="none"/>
        </w:rPr>
        <w:t>项目完成及时率</w:t>
      </w:r>
      <w:r>
        <w:rPr>
          <w:rFonts w:hint="eastAsia" w:ascii="宋体" w:hAnsi="宋体" w:eastAsia="宋体" w:cs="宋体"/>
          <w:b w:val="0"/>
          <w:bCs/>
          <w:color w:val="auto"/>
          <w:sz w:val="24"/>
          <w:szCs w:val="24"/>
          <w:highlight w:val="none"/>
          <w:lang w:eastAsia="zh-CN"/>
        </w:rPr>
        <w:t>，</w:t>
      </w:r>
      <w:r>
        <w:rPr>
          <w:rFonts w:hint="eastAsia" w:ascii="宋体" w:hAnsi="宋体" w:eastAsia="宋体" w:cs="宋体"/>
          <w:color w:val="auto"/>
          <w:sz w:val="24"/>
          <w:szCs w:val="24"/>
          <w:highlight w:val="none"/>
        </w:rPr>
        <w:t>预期指标值为</w:t>
      </w:r>
      <w:r>
        <w:rPr>
          <w:rFonts w:hint="eastAsia" w:ascii="宋体" w:hAnsi="宋体" w:eastAsia="宋体" w:cs="宋体"/>
          <w:color w:val="auto"/>
          <w:sz w:val="24"/>
          <w:szCs w:val="24"/>
          <w:highlight w:val="none"/>
          <w:lang w:eastAsia="zh-CN"/>
        </w:rPr>
        <w:t>等于</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0DF944E7">
      <w:pPr>
        <w:pStyle w:val="1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项目完成时间，预期指标值为</w:t>
      </w:r>
      <w:r>
        <w:rPr>
          <w:rFonts w:hint="eastAsia" w:ascii="宋体" w:hAnsi="宋体" w:eastAsia="宋体" w:cs="宋体"/>
          <w:b w:val="0"/>
          <w:color w:val="auto"/>
          <w:sz w:val="24"/>
          <w:szCs w:val="24"/>
          <w:highlight w:val="none"/>
          <w:lang w:eastAsia="zh-CN"/>
        </w:rPr>
        <w:t>等于</w:t>
      </w:r>
      <w:r>
        <w:rPr>
          <w:rFonts w:hint="eastAsia" w:ascii="宋体" w:hAnsi="宋体" w:eastAsia="宋体" w:cs="宋体"/>
          <w:b w:val="0"/>
          <w:color w:val="auto"/>
          <w:sz w:val="24"/>
          <w:szCs w:val="24"/>
          <w:highlight w:val="none"/>
          <w:lang w:val="en-US" w:eastAsia="zh-CN"/>
        </w:rPr>
        <w:t>2024年12月</w:t>
      </w:r>
      <w:r>
        <w:rPr>
          <w:rFonts w:hint="eastAsia" w:ascii="宋体" w:hAnsi="宋体" w:eastAsia="宋体" w:cs="宋体"/>
          <w:b w:val="0"/>
          <w:color w:val="auto"/>
          <w:sz w:val="24"/>
          <w:szCs w:val="24"/>
          <w:highlight w:val="none"/>
        </w:rPr>
        <w:t>，实际完成值为</w:t>
      </w:r>
      <w:r>
        <w:rPr>
          <w:rFonts w:hint="eastAsia" w:ascii="宋体" w:hAnsi="宋体" w:eastAsia="宋体" w:cs="宋体"/>
          <w:b w:val="0"/>
          <w:color w:val="auto"/>
          <w:sz w:val="24"/>
          <w:szCs w:val="24"/>
          <w:highlight w:val="none"/>
          <w:lang w:val="en-US" w:eastAsia="zh-CN"/>
        </w:rPr>
        <w:t>2024年12月</w:t>
      </w:r>
      <w:r>
        <w:rPr>
          <w:rFonts w:hint="eastAsia" w:ascii="宋体" w:hAnsi="宋体" w:eastAsia="宋体" w:cs="宋体"/>
          <w:b w:val="0"/>
          <w:color w:val="auto"/>
          <w:sz w:val="24"/>
          <w:szCs w:val="24"/>
          <w:highlight w:val="none"/>
        </w:rPr>
        <w:t>，指标完成率为</w:t>
      </w:r>
      <w:r>
        <w:rPr>
          <w:rFonts w:hint="eastAsia" w:ascii="宋体" w:hAnsi="宋体" w:eastAsia="宋体" w:cs="宋体"/>
          <w:b w:val="0"/>
          <w:color w:val="auto"/>
          <w:sz w:val="24"/>
          <w:szCs w:val="24"/>
          <w:highlight w:val="none"/>
          <w:lang w:val="en-US" w:eastAsia="zh-CN"/>
        </w:rPr>
        <w:t>100</w:t>
      </w:r>
      <w:r>
        <w:rPr>
          <w:rFonts w:hint="eastAsia" w:ascii="宋体" w:hAnsi="宋体" w:eastAsia="宋体" w:cs="宋体"/>
          <w:b w:val="0"/>
          <w:color w:val="auto"/>
          <w:sz w:val="24"/>
          <w:szCs w:val="24"/>
          <w:highlight w:val="none"/>
        </w:rPr>
        <w:t>，与预期目标一致，根据评分标准，该指标不扣分，</w:t>
      </w:r>
      <w:r>
        <w:rPr>
          <w:rFonts w:hint="eastAsia" w:ascii="宋体" w:hAnsi="宋体" w:eastAsia="宋体" w:cs="宋体"/>
          <w:b w:val="0"/>
          <w:bCs/>
          <w:color w:val="auto"/>
          <w:sz w:val="24"/>
          <w:szCs w:val="24"/>
          <w:highlight w:val="none"/>
        </w:rPr>
        <w:t>得</w:t>
      </w:r>
      <w:r>
        <w:rPr>
          <w:rFonts w:hint="eastAsia" w:ascii="宋体" w:hAnsi="宋体" w:eastAsia="宋体" w:cs="宋体"/>
          <w:b w:val="0"/>
          <w:bCs/>
          <w:color w:val="auto"/>
          <w:sz w:val="24"/>
          <w:szCs w:val="24"/>
          <w:highlight w:val="none"/>
          <w:lang w:val="en-US" w:eastAsia="zh-CN"/>
        </w:rPr>
        <w:t>10</w:t>
      </w:r>
      <w:r>
        <w:rPr>
          <w:rFonts w:hint="eastAsia" w:ascii="宋体" w:hAnsi="宋体" w:eastAsia="宋体" w:cs="宋体"/>
          <w:b w:val="0"/>
          <w:bCs/>
          <w:color w:val="auto"/>
          <w:sz w:val="24"/>
          <w:szCs w:val="24"/>
          <w:highlight w:val="none"/>
        </w:rPr>
        <w:t>分</w:t>
      </w:r>
      <w:r>
        <w:rPr>
          <w:rFonts w:hint="eastAsia" w:ascii="宋体" w:hAnsi="宋体" w:eastAsia="宋体" w:cs="宋体"/>
          <w:b w:val="0"/>
          <w:color w:val="auto"/>
          <w:sz w:val="24"/>
          <w:szCs w:val="24"/>
          <w:highlight w:val="none"/>
        </w:rPr>
        <w:t>。</w:t>
      </w:r>
    </w:p>
    <w:p w14:paraId="7146D81D">
      <w:pPr>
        <w:pStyle w:val="1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合计得</w:t>
      </w:r>
      <w:r>
        <w:rPr>
          <w:rFonts w:hint="eastAsia" w:ascii="宋体" w:hAnsi="宋体" w:eastAsia="宋体" w:cs="宋体"/>
          <w:b w:val="0"/>
          <w:bCs/>
          <w:color w:val="auto"/>
          <w:sz w:val="24"/>
          <w:szCs w:val="24"/>
          <w:highlight w:val="none"/>
          <w:lang w:val="en-US" w:eastAsia="zh-CN"/>
        </w:rPr>
        <w:t>2</w:t>
      </w:r>
      <w:r>
        <w:rPr>
          <w:rFonts w:hint="eastAsia" w:ascii="宋体" w:hAnsi="宋体" w:eastAsia="宋体" w:cs="宋体"/>
          <w:b w:val="0"/>
          <w:bCs/>
          <w:color w:val="auto"/>
          <w:sz w:val="24"/>
          <w:szCs w:val="24"/>
          <w:highlight w:val="none"/>
        </w:rPr>
        <w:t>0分。</w:t>
      </w:r>
    </w:p>
    <w:p w14:paraId="5151CA2A">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（4）对于“产出成本”：</w:t>
      </w:r>
    </w:p>
    <w:p w14:paraId="23280C5E">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每个村运转成本，预期指标值为</w:t>
      </w:r>
      <w:r>
        <w:rPr>
          <w:rFonts w:hint="eastAsia" w:ascii="宋体" w:hAnsi="宋体" w:eastAsia="宋体" w:cs="宋体"/>
          <w:color w:val="auto"/>
          <w:sz w:val="24"/>
          <w:szCs w:val="24"/>
          <w:highlight w:val="none"/>
          <w:lang w:eastAsia="zh-CN"/>
        </w:rPr>
        <w:t>小于等于</w:t>
      </w:r>
      <w:r>
        <w:rPr>
          <w:rFonts w:hint="eastAsia" w:ascii="宋体" w:hAnsi="宋体" w:eastAsia="宋体" w:cs="宋体"/>
          <w:color w:val="auto"/>
          <w:sz w:val="24"/>
          <w:szCs w:val="24"/>
          <w:highlight w:val="none"/>
          <w:lang w:val="en-US" w:eastAsia="zh-CN"/>
        </w:rPr>
        <w:t>4.5万元/村</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18万元</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本年支付工程余款金额</w:t>
      </w:r>
      <w:r>
        <w:rPr>
          <w:rFonts w:hint="eastAsia" w:ascii="宋体" w:hAnsi="宋体" w:eastAsia="宋体" w:cs="宋体"/>
          <w:color w:val="auto"/>
          <w:sz w:val="24"/>
          <w:szCs w:val="24"/>
          <w:highlight w:val="none"/>
          <w:lang w:val="en-US" w:eastAsia="zh-CN"/>
        </w:rPr>
        <w:t>0.00</w:t>
      </w:r>
      <w:r>
        <w:rPr>
          <w:rFonts w:hint="eastAsia" w:ascii="宋体" w:hAnsi="宋体" w:eastAsia="宋体" w:cs="宋体"/>
          <w:color w:val="auto"/>
          <w:sz w:val="24"/>
          <w:szCs w:val="24"/>
          <w:highlight w:val="none"/>
        </w:rPr>
        <w:t>万元，项目经费都能控制绩效目标范围内，根据评分标准，该指标不扣分，得</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分。</w:t>
      </w:r>
    </w:p>
    <w:p w14:paraId="6C42054C">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（四）项目效益情况</w:t>
      </w:r>
    </w:p>
    <w:p w14:paraId="36BF4A04">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项目效益类指标包括项目效益1个方面的内容，由</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个三级指标构成，权重分为20分，实际得分20分，得分率为100%。</w:t>
      </w:r>
    </w:p>
    <w:p w14:paraId="1626DC3F">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（1）对于“社会效益指标”：</w:t>
      </w:r>
    </w:p>
    <w:p w14:paraId="255B49B4">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保障村级各项工作运转高效指标，该指标预期指标值为</w:t>
      </w:r>
      <w:r>
        <w:rPr>
          <w:rFonts w:hint="eastAsia" w:ascii="宋体" w:hAnsi="宋体" w:eastAsia="宋体" w:cs="宋体"/>
          <w:color w:val="auto"/>
          <w:sz w:val="24"/>
          <w:szCs w:val="24"/>
          <w:lang w:val="en-US" w:eastAsia="zh-CN"/>
        </w:rPr>
        <w:t>持续保障</w:t>
      </w:r>
      <w:r>
        <w:rPr>
          <w:rFonts w:hint="eastAsia" w:ascii="宋体" w:hAnsi="宋体" w:eastAsia="宋体" w:cs="宋体"/>
          <w:color w:val="auto"/>
          <w:sz w:val="24"/>
          <w:szCs w:val="24"/>
        </w:rPr>
        <w:t>，实际完成值为</w:t>
      </w:r>
      <w:r>
        <w:rPr>
          <w:rFonts w:hint="eastAsia" w:ascii="宋体" w:hAnsi="宋体" w:eastAsia="宋体" w:cs="宋体"/>
          <w:color w:val="auto"/>
          <w:sz w:val="24"/>
          <w:szCs w:val="24"/>
          <w:lang w:val="en-US" w:eastAsia="zh-CN"/>
        </w:rPr>
        <w:t>持续保障</w:t>
      </w:r>
      <w:r>
        <w:rPr>
          <w:rFonts w:hint="eastAsia" w:ascii="宋体" w:hAnsi="宋体" w:eastAsia="宋体" w:cs="宋体"/>
          <w:color w:val="auto"/>
          <w:sz w:val="24"/>
          <w:szCs w:val="24"/>
        </w:rPr>
        <w:t>，指标完成率为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，与预期指标一致，根据评分标准，该指标不扣分，得</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5分。</w:t>
      </w:r>
    </w:p>
    <w:p w14:paraId="6B27A465">
      <w:pPr>
        <w:pStyle w:val="1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（4）满意度指标分析</w:t>
      </w:r>
      <w:bookmarkEnd w:id="17"/>
    </w:p>
    <w:p w14:paraId="4636F4A8">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对于“满意度指标：</w:t>
      </w:r>
      <w:r>
        <w:rPr>
          <w:rFonts w:hint="eastAsia" w:ascii="宋体" w:hAnsi="宋体" w:eastAsia="宋体" w:cs="宋体"/>
          <w:color w:val="auto"/>
          <w:sz w:val="24"/>
          <w:szCs w:val="24"/>
          <w:lang w:val="en-US" w:eastAsia="zh-CN"/>
        </w:rPr>
        <w:t>村干部满意度</w:t>
      </w:r>
      <w:r>
        <w:rPr>
          <w:rFonts w:hint="eastAsia" w:ascii="宋体" w:hAnsi="宋体" w:eastAsia="宋体" w:cs="宋体"/>
          <w:color w:val="auto"/>
          <w:sz w:val="24"/>
          <w:szCs w:val="24"/>
        </w:rPr>
        <w:t>，该指标预期指标值为</w:t>
      </w:r>
      <w:r>
        <w:rPr>
          <w:rFonts w:hint="eastAsia" w:ascii="宋体" w:hAnsi="宋体" w:eastAsia="宋体" w:cs="宋体"/>
          <w:color w:val="auto"/>
          <w:sz w:val="24"/>
          <w:szCs w:val="24"/>
          <w:lang w:val="en-US" w:eastAsia="zh-CN"/>
        </w:rPr>
        <w:t>≥95%</w:t>
      </w:r>
      <w:r>
        <w:rPr>
          <w:rFonts w:hint="eastAsia" w:ascii="宋体" w:hAnsi="宋体" w:eastAsia="宋体" w:cs="宋体"/>
          <w:color w:val="auto"/>
          <w:sz w:val="24"/>
          <w:szCs w:val="24"/>
        </w:rPr>
        <w:t>，实际完成值为</w:t>
      </w:r>
      <w:r>
        <w:rPr>
          <w:rFonts w:hint="eastAsia" w:ascii="宋体" w:hAnsi="宋体" w:eastAsia="宋体" w:cs="宋体"/>
          <w:color w:val="auto"/>
          <w:sz w:val="24"/>
          <w:szCs w:val="24"/>
          <w:lang w:val="en-US" w:eastAsia="zh-CN"/>
        </w:rPr>
        <w:t>≥95%</w:t>
      </w:r>
      <w:r>
        <w:rPr>
          <w:rFonts w:hint="eastAsia" w:ascii="宋体" w:hAnsi="宋体" w:eastAsia="宋体" w:cs="宋体"/>
          <w:color w:val="auto"/>
          <w:sz w:val="24"/>
          <w:szCs w:val="24"/>
        </w:rPr>
        <w:t>，指标完成率为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，与预期目标一致，根据评分标准，该指标不扣分,得10分。</w:t>
      </w:r>
    </w:p>
    <w:p w14:paraId="767FF8DB">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p>
    <w:p w14:paraId="47D708C3">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五、预算执行进度与绩效指标偏差情况</w:t>
      </w:r>
    </w:p>
    <w:p w14:paraId="6B9E9360">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本项目年初预算资金总额为</w:t>
      </w:r>
      <w:r>
        <w:rPr>
          <w:rFonts w:hint="eastAsia" w:ascii="宋体" w:hAnsi="宋体" w:eastAsia="宋体" w:cs="宋体"/>
          <w:color w:val="auto"/>
          <w:sz w:val="24"/>
          <w:szCs w:val="24"/>
          <w:lang w:val="en-US" w:eastAsia="zh-CN"/>
        </w:rPr>
        <w:t>18</w:t>
      </w:r>
      <w:r>
        <w:rPr>
          <w:rFonts w:hint="eastAsia" w:ascii="宋体" w:hAnsi="宋体" w:eastAsia="宋体" w:cs="宋体"/>
          <w:color w:val="auto"/>
          <w:sz w:val="24"/>
          <w:szCs w:val="24"/>
        </w:rPr>
        <w:t>万元，全年预算数为</w:t>
      </w:r>
      <w:r>
        <w:rPr>
          <w:rFonts w:hint="eastAsia" w:ascii="宋体" w:hAnsi="宋体" w:eastAsia="宋体" w:cs="宋体"/>
          <w:color w:val="auto"/>
          <w:sz w:val="24"/>
          <w:szCs w:val="24"/>
          <w:lang w:val="en-US" w:eastAsia="zh-CN"/>
        </w:rPr>
        <w:t>18</w:t>
      </w:r>
      <w:r>
        <w:rPr>
          <w:rFonts w:hint="eastAsia" w:ascii="宋体" w:hAnsi="宋体" w:eastAsia="宋体" w:cs="宋体"/>
          <w:color w:val="auto"/>
          <w:sz w:val="24"/>
          <w:szCs w:val="24"/>
        </w:rPr>
        <w:t>万元，全年执行数为</w:t>
      </w:r>
      <w:r>
        <w:rPr>
          <w:rFonts w:hint="eastAsia" w:ascii="宋体" w:hAnsi="宋体" w:eastAsia="宋体" w:cs="宋体"/>
          <w:color w:val="auto"/>
          <w:sz w:val="24"/>
          <w:szCs w:val="24"/>
          <w:lang w:val="en-US" w:eastAsia="zh-CN"/>
        </w:rPr>
        <w:t>17.97</w:t>
      </w:r>
      <w:r>
        <w:rPr>
          <w:rFonts w:hint="eastAsia" w:ascii="宋体" w:hAnsi="宋体" w:eastAsia="宋体" w:cs="宋体"/>
          <w:color w:val="auto"/>
          <w:sz w:val="24"/>
          <w:szCs w:val="24"/>
        </w:rPr>
        <w:t>万元，预算执行率为</w:t>
      </w:r>
      <w:r>
        <w:rPr>
          <w:rFonts w:hint="eastAsia" w:ascii="宋体" w:hAnsi="宋体" w:eastAsia="宋体" w:cs="宋体"/>
          <w:color w:val="auto"/>
          <w:sz w:val="24"/>
          <w:szCs w:val="24"/>
          <w:lang w:val="en-US" w:eastAsia="zh-CN"/>
        </w:rPr>
        <w:t>99.83</w:t>
      </w:r>
      <w:r>
        <w:rPr>
          <w:rFonts w:hint="eastAsia" w:ascii="宋体" w:hAnsi="宋体" w:eastAsia="宋体" w:cs="宋体"/>
          <w:color w:val="auto"/>
          <w:sz w:val="24"/>
          <w:szCs w:val="24"/>
        </w:rPr>
        <w:t>%。</w:t>
      </w:r>
    </w:p>
    <w:p w14:paraId="564BCE26">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本项目共设置三级指标数量</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个，满分指标数量</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个，扣分指标数量</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个，经分析计算所有三级指标完成率得出，本项目总体完成率为</w:t>
      </w:r>
      <w:r>
        <w:rPr>
          <w:rFonts w:hint="eastAsia" w:ascii="宋体" w:hAnsi="宋体" w:eastAsia="宋体" w:cs="宋体"/>
          <w:color w:val="auto"/>
          <w:sz w:val="24"/>
          <w:szCs w:val="24"/>
          <w:lang w:val="en-US" w:eastAsia="zh-CN"/>
        </w:rPr>
        <w:t>95</w:t>
      </w:r>
      <w:r>
        <w:rPr>
          <w:rFonts w:hint="eastAsia" w:ascii="宋体" w:hAnsi="宋体" w:eastAsia="宋体" w:cs="宋体"/>
          <w:color w:val="auto"/>
          <w:sz w:val="24"/>
          <w:szCs w:val="24"/>
        </w:rPr>
        <w:t>%。</w:t>
      </w:r>
    </w:p>
    <w:p w14:paraId="40107D6E">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综上所述本项目预算执行率与总体完成率之间的偏差为</w:t>
      </w:r>
      <w:r>
        <w:rPr>
          <w:rFonts w:hint="eastAsia" w:ascii="宋体" w:hAnsi="宋体" w:eastAsia="宋体" w:cs="宋体"/>
          <w:color w:val="auto"/>
          <w:sz w:val="24"/>
          <w:szCs w:val="24"/>
          <w:lang w:val="en-US" w:eastAsia="zh-CN"/>
        </w:rPr>
        <w:t>0.16</w:t>
      </w:r>
      <w:r>
        <w:rPr>
          <w:rFonts w:hint="eastAsia" w:ascii="宋体" w:hAnsi="宋体" w:eastAsia="宋体" w:cs="宋体"/>
          <w:color w:val="auto"/>
          <w:sz w:val="24"/>
          <w:szCs w:val="24"/>
        </w:rPr>
        <w:t>%。</w:t>
      </w:r>
    </w:p>
    <w:p w14:paraId="4A3FC470">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18" w:name="_Toc68364673"/>
    </w:p>
    <w:p w14:paraId="028A2546">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六、主要经验及做法、存在的问题及原因分析</w:t>
      </w:r>
    </w:p>
    <w:p w14:paraId="749CDDEA">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（一）主要经验及做法</w:t>
      </w:r>
      <w:bookmarkEnd w:id="18"/>
    </w:p>
    <w:p w14:paraId="2600E490">
      <w:pPr>
        <w:pStyle w:val="46"/>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lang w:val="en-US" w:eastAsia="zh-CN"/>
        </w:rPr>
      </w:pPr>
      <w:bookmarkStart w:id="19" w:name="_Toc68364674"/>
      <w:r>
        <w:rPr>
          <w:rFonts w:hint="eastAsia" w:ascii="宋体" w:hAnsi="宋体" w:eastAsia="宋体" w:cs="宋体"/>
          <w:color w:val="auto"/>
          <w:sz w:val="24"/>
          <w:szCs w:val="24"/>
          <w:lang w:val="en-US" w:eastAsia="zh-CN"/>
        </w:rPr>
        <w:t>一、本项目能够严格按照《项目实施方案》执行，项目执行情况较好。</w:t>
      </w:r>
    </w:p>
    <w:p w14:paraId="7454B409">
      <w:pPr>
        <w:pStyle w:val="46"/>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二、加强组织领导，本项目绩效评价工作，有主要领导亲自负责，分管领导具体负责，从项目到资金，均能够很好的执行。</w:t>
      </w:r>
    </w:p>
    <w:p w14:paraId="4590F754">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rPr>
      </w:pPr>
      <w:r>
        <w:rPr>
          <w:rFonts w:hint="eastAsia" w:ascii="宋体" w:hAnsi="宋体" w:eastAsia="宋体" w:cs="宋体"/>
          <w:color w:val="auto"/>
          <w:sz w:val="24"/>
          <w:szCs w:val="24"/>
        </w:rPr>
        <w:t>（二）存在问题及原因分析</w:t>
      </w:r>
      <w:bookmarkEnd w:id="19"/>
    </w:p>
    <w:p w14:paraId="65678B12">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bookmarkStart w:id="20" w:name="_Toc68364675"/>
      <w:r>
        <w:rPr>
          <w:rFonts w:hint="eastAsia" w:ascii="宋体" w:hAnsi="宋体" w:eastAsia="宋体" w:cs="宋体"/>
          <w:color w:val="auto"/>
          <w:sz w:val="24"/>
          <w:szCs w:val="24"/>
          <w:lang w:val="en-US" w:eastAsia="zh-CN"/>
        </w:rPr>
        <w:t>1.项目资金管理环节：</w:t>
      </w:r>
    </w:p>
    <w:p w14:paraId="3A9C16A2">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缺乏有效的资金监控机制，无法实时掌握资金流向和使用情况。</w:t>
      </w:r>
    </w:p>
    <w:p w14:paraId="1A2B9845">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2.项目管理环节：</w:t>
      </w:r>
    </w:p>
    <w:p w14:paraId="69DBAEA7">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项目计划缺乏详细分解和时间安排，目标不够清晰；对风险和问题考虑不足，缺乏应急措施，项目实际进度落后于计划，延误支付；对进度偏差不敏感，未及时采取调整措施。根据《项目绩效管理办法》及单位相关项目管理制度的规定，对项目的实施进行监督管理。建立健全项目后续各项监督管理制度，确保项目正常运转，长期发挥效益。</w:t>
      </w:r>
    </w:p>
    <w:p w14:paraId="6879091A">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3.项目绩效管理环节</w:t>
      </w:r>
    </w:p>
    <w:p w14:paraId="4D406122">
      <w:pPr>
        <w:pageBreakBefore w:val="0"/>
        <w:widowControl w:val="0"/>
        <w:kinsoku/>
        <w:wordWrap/>
        <w:overflowPunct/>
        <w:topLinePunct w:val="0"/>
        <w:autoSpaceDE/>
        <w:autoSpaceDN/>
        <w:bidi w:val="0"/>
        <w:adjustRightInd/>
        <w:snapToGrid/>
        <w:spacing w:line="360" w:lineRule="auto"/>
        <w:ind w:left="0" w:leftChars="0" w:right="0" w:firstLine="480" w:firstLineChars="200"/>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成本控制情况：严格按照相关的专项资金管理办法，实行多重审批控制专项经费的支出。</w:t>
      </w:r>
    </w:p>
    <w:p w14:paraId="391B8D27">
      <w:pPr>
        <w:pageBreakBefore w:val="0"/>
        <w:widowControl w:val="0"/>
        <w:kinsoku/>
        <w:wordWrap/>
        <w:overflowPunct/>
        <w:topLinePunct w:val="0"/>
        <w:autoSpaceDE/>
        <w:autoSpaceDN/>
        <w:bidi w:val="0"/>
        <w:adjustRightInd/>
        <w:snapToGrid/>
        <w:spacing w:line="360" w:lineRule="auto"/>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b w:val="0"/>
          <w:color w:val="auto"/>
          <w:kern w:val="2"/>
          <w:sz w:val="24"/>
          <w:szCs w:val="24"/>
          <w:highlight w:val="none"/>
          <w:lang w:val="en-US" w:eastAsia="zh-CN" w:bidi="ar-SA"/>
        </w:rPr>
        <w:t>成本节约情况：项目根据实际情况做出合理预算，支出严格控制在预算范围内，本着节约成本，防止资源浪费的原则将项目成效最大化。</w:t>
      </w:r>
    </w:p>
    <w:p w14:paraId="52686675">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4.各级监督检查（项目管理、资金管理、绩效管理）发现问题及原因分析</w:t>
      </w:r>
    </w:p>
    <w:p w14:paraId="0A6E15A4">
      <w:pPr>
        <w:pStyle w:val="4"/>
        <w:pageBreakBefore w:val="0"/>
        <w:widowControl w:val="0"/>
        <w:numPr>
          <w:ilvl w:val="0"/>
          <w:numId w:val="0"/>
        </w:numPr>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b w:val="0"/>
          <w:bCs w:val="0"/>
          <w:color w:val="auto"/>
          <w:kern w:val="0"/>
          <w:sz w:val="24"/>
          <w:szCs w:val="24"/>
          <w:lang w:val="en-US" w:eastAsia="zh-CN" w:bidi="ar-SA"/>
        </w:rPr>
      </w:pPr>
      <w:r>
        <w:rPr>
          <w:rFonts w:hint="eastAsia" w:ascii="宋体" w:hAnsi="宋体" w:eastAsia="宋体" w:cs="宋体"/>
          <w:b w:val="0"/>
          <w:bCs w:val="0"/>
          <w:color w:val="auto"/>
          <w:kern w:val="0"/>
          <w:sz w:val="24"/>
          <w:szCs w:val="24"/>
          <w:lang w:val="en-US" w:eastAsia="zh-CN" w:bidi="ar-SA"/>
        </w:rPr>
        <w:t>一、对各项指标和指标值要进一步优化、完善，主要在细化、量化上改进；</w:t>
      </w:r>
    </w:p>
    <w:p w14:paraId="2865C56C">
      <w:pPr>
        <w:pStyle w:val="4"/>
        <w:pageBreakBefore w:val="0"/>
        <w:widowControl w:val="0"/>
        <w:numPr>
          <w:ilvl w:val="0"/>
          <w:numId w:val="0"/>
        </w:numPr>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b w:val="0"/>
          <w:bCs w:val="0"/>
          <w:color w:val="auto"/>
          <w:kern w:val="0"/>
          <w:sz w:val="24"/>
          <w:szCs w:val="24"/>
          <w:lang w:val="en-US" w:eastAsia="zh-CN" w:bidi="ar-SA"/>
        </w:rPr>
      </w:pPr>
      <w:r>
        <w:rPr>
          <w:rFonts w:hint="eastAsia" w:ascii="宋体" w:hAnsi="宋体" w:eastAsia="宋体" w:cs="宋体"/>
          <w:b w:val="0"/>
          <w:bCs w:val="0"/>
          <w:color w:val="auto"/>
          <w:kern w:val="0"/>
          <w:sz w:val="24"/>
          <w:szCs w:val="24"/>
          <w:lang w:val="en-US" w:eastAsia="zh-CN" w:bidi="ar-SA"/>
        </w:rPr>
        <w:t>二、部门评价工作还存在自我审定的局限性，会影响评价质量，容易造成问题的疏漏，在客观性和公正性上说服力不强；</w:t>
      </w:r>
    </w:p>
    <w:p w14:paraId="3E3B41C3">
      <w:pPr>
        <w:pStyle w:val="4"/>
        <w:pageBreakBefore w:val="0"/>
        <w:widowControl w:val="0"/>
        <w:numPr>
          <w:ilvl w:val="0"/>
          <w:numId w:val="0"/>
        </w:numPr>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b w:val="0"/>
          <w:bCs w:val="0"/>
          <w:color w:val="auto"/>
          <w:kern w:val="0"/>
          <w:sz w:val="24"/>
          <w:szCs w:val="24"/>
          <w:lang w:val="en-US" w:eastAsia="zh-CN" w:bidi="ar-SA"/>
        </w:rPr>
      </w:pPr>
      <w:r>
        <w:rPr>
          <w:rFonts w:hint="eastAsia" w:ascii="宋体" w:hAnsi="宋体" w:eastAsia="宋体" w:cs="宋体"/>
          <w:b w:val="0"/>
          <w:bCs w:val="0"/>
          <w:color w:val="auto"/>
          <w:kern w:val="0"/>
          <w:sz w:val="24"/>
          <w:szCs w:val="24"/>
          <w:lang w:val="en-US" w:eastAsia="zh-CN" w:bidi="ar-SA"/>
        </w:rPr>
        <w:t>三、缺少带着问题去评价的意识；</w:t>
      </w:r>
    </w:p>
    <w:p w14:paraId="54A6828F">
      <w:pPr>
        <w:pStyle w:val="4"/>
        <w:pageBreakBefore w:val="0"/>
        <w:widowControl w:val="0"/>
        <w:numPr>
          <w:ilvl w:val="0"/>
          <w:numId w:val="0"/>
        </w:numPr>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b w:val="0"/>
          <w:bCs w:val="0"/>
          <w:color w:val="auto"/>
          <w:kern w:val="0"/>
          <w:sz w:val="24"/>
          <w:szCs w:val="24"/>
          <w:lang w:val="en-US" w:eastAsia="zh-CN" w:bidi="ar-SA"/>
        </w:rPr>
      </w:pPr>
      <w:r>
        <w:rPr>
          <w:rFonts w:hint="eastAsia" w:ascii="宋体" w:hAnsi="宋体" w:eastAsia="宋体" w:cs="宋体"/>
          <w:b w:val="0"/>
          <w:bCs w:val="0"/>
          <w:color w:val="auto"/>
          <w:kern w:val="0"/>
          <w:sz w:val="24"/>
          <w:szCs w:val="24"/>
          <w:lang w:val="en-US" w:eastAsia="zh-CN" w:bidi="ar-SA"/>
        </w:rPr>
        <w:t>四、现场评价的工作量少，后续效益评价具体措施和方法较少。</w:t>
      </w:r>
      <w:bookmarkEnd w:id="20"/>
    </w:p>
    <w:p w14:paraId="6EA0975A">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bookmarkStart w:id="21" w:name="_Toc68364676"/>
    </w:p>
    <w:p w14:paraId="2059361D">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val="0"/>
          <w:bCs w:val="0"/>
          <w:color w:val="auto"/>
          <w:sz w:val="24"/>
          <w:szCs w:val="24"/>
        </w:rPr>
      </w:pPr>
      <w:r>
        <w:rPr>
          <w:rFonts w:hint="eastAsia" w:ascii="黑体" w:hAnsi="黑体" w:eastAsia="黑体" w:cs="黑体"/>
          <w:color w:val="auto"/>
          <w:sz w:val="24"/>
          <w:szCs w:val="24"/>
        </w:rPr>
        <w:t>七、有关建议</w:t>
      </w:r>
    </w:p>
    <w:p w14:paraId="68D24D1E">
      <w:pPr>
        <w:pStyle w:val="13"/>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（一）提高认识，加强宣传引导。项目实施初期村级召开专题会议研究，确定亮化道路路段，对项目进行公示，扩大宣传范围，营造良好的氛围。</w:t>
      </w:r>
    </w:p>
    <w:p w14:paraId="360916FB">
      <w:pPr>
        <w:pStyle w:val="13"/>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二）严格项目审批，将工作落到实处。以上项目实施村两委积极听取各有关部门及农户需求，制定采购计划，明确采购标准，供货时限等要求，项目经审批后通过招投标方式进行招标，确保采购程序符合标准，在项目实施过程中严格把关，按照项目程序进行审批。</w:t>
      </w:r>
    </w:p>
    <w:p w14:paraId="0BD4585D">
      <w:pPr>
        <w:pStyle w:val="13"/>
        <w:pageBreakBefore w:val="0"/>
        <w:widowControl w:val="0"/>
        <w:numPr>
          <w:ilvl w:val="0"/>
          <w:numId w:val="6"/>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SA"/>
        </w:rPr>
        <w:t>加强管理，严格资金使用。本项目资金来源为2024年农村综合改革（农村公益事业财政奖补）项目专项资金，在项目实施过程中严格落实项目单位法人制度，村第一书记为第一责任人，在项目实施过程中严格管理，在资金使用方面严格按照农村公益事业财政奖补的专项资金使用管理办法执行，实行报账制，杜绝占用、挪用资金情况发生。</w:t>
      </w:r>
    </w:p>
    <w:p w14:paraId="44B05C3C">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p>
    <w:p w14:paraId="2C12EF0E">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八、其他需要说明的问题</w:t>
      </w:r>
      <w:bookmarkEnd w:id="21"/>
    </w:p>
    <w:p w14:paraId="17BB21FF">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我单位对上述项目支出绩效评价报告内反映内容的真实性、完整性负责，</w:t>
      </w:r>
      <w:r>
        <w:rPr>
          <w:rFonts w:hint="eastAsia" w:ascii="宋体" w:hAnsi="宋体" w:eastAsia="宋体" w:cs="宋体"/>
          <w:color w:val="auto"/>
          <w:sz w:val="24"/>
          <w:szCs w:val="24"/>
          <w:lang w:val="en-US" w:eastAsia="zh-CN"/>
        </w:rPr>
        <w:t>愿</w:t>
      </w:r>
      <w:r>
        <w:rPr>
          <w:rFonts w:hint="eastAsia" w:ascii="宋体" w:hAnsi="宋体" w:eastAsia="宋体" w:cs="宋体"/>
          <w:color w:val="auto"/>
          <w:sz w:val="24"/>
          <w:szCs w:val="24"/>
        </w:rPr>
        <w:t>接受上级部门及社会公众监督。</w:t>
      </w:r>
    </w:p>
    <w:p w14:paraId="652D7EAC">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附件1：</w:t>
      </w:r>
      <w:r>
        <w:rPr>
          <w:rFonts w:hint="eastAsia" w:ascii="宋体" w:hAnsi="宋体" w:eastAsia="宋体" w:cs="宋体"/>
          <w:i w:val="0"/>
          <w:iCs w:val="0"/>
          <w:caps w:val="0"/>
          <w:color w:val="auto"/>
          <w:spacing w:val="0"/>
          <w:sz w:val="24"/>
          <w:szCs w:val="24"/>
          <w:shd w:val="clear" w:color="auto" w:fill="FFFFFF"/>
        </w:rPr>
        <w:t>洛浦县2024年村级运转经费</w:t>
      </w:r>
      <w:r>
        <w:rPr>
          <w:rFonts w:hint="eastAsia" w:ascii="宋体" w:hAnsi="宋体" w:eastAsia="宋体" w:cs="宋体"/>
          <w:i w:val="0"/>
          <w:iCs w:val="0"/>
          <w:caps w:val="0"/>
          <w:color w:val="auto"/>
          <w:spacing w:val="0"/>
          <w:sz w:val="24"/>
          <w:szCs w:val="24"/>
          <w:shd w:val="clear" w:color="auto" w:fill="FFFFFF"/>
          <w:lang w:val="en-US" w:eastAsia="zh-CN"/>
        </w:rPr>
        <w:t>项目</w:t>
      </w:r>
      <w:r>
        <w:rPr>
          <w:rFonts w:hint="eastAsia" w:ascii="宋体" w:hAnsi="宋体" w:eastAsia="宋体" w:cs="宋体"/>
          <w:color w:val="auto"/>
          <w:kern w:val="0"/>
          <w:sz w:val="24"/>
          <w:szCs w:val="24"/>
          <w:lang w:val="en-US" w:eastAsia="zh-CN" w:bidi="ar-SA"/>
        </w:rPr>
        <w:t>绩效评价指标体系</w:t>
      </w:r>
    </w:p>
    <w:p w14:paraId="6A636359">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附件2：</w:t>
      </w:r>
      <w:r>
        <w:rPr>
          <w:rFonts w:hint="eastAsia" w:ascii="宋体" w:hAnsi="宋体" w:eastAsia="宋体" w:cs="宋体"/>
          <w:i w:val="0"/>
          <w:iCs w:val="0"/>
          <w:caps w:val="0"/>
          <w:color w:val="auto"/>
          <w:spacing w:val="0"/>
          <w:sz w:val="24"/>
          <w:szCs w:val="24"/>
          <w:shd w:val="clear" w:color="auto" w:fill="FFFFFF"/>
        </w:rPr>
        <w:t>洛浦县2024年村级运转经费</w:t>
      </w:r>
      <w:r>
        <w:rPr>
          <w:rFonts w:hint="eastAsia" w:ascii="宋体" w:hAnsi="宋体" w:eastAsia="宋体" w:cs="宋体"/>
          <w:i w:val="0"/>
          <w:iCs w:val="0"/>
          <w:caps w:val="0"/>
          <w:color w:val="auto"/>
          <w:spacing w:val="0"/>
          <w:sz w:val="24"/>
          <w:szCs w:val="24"/>
          <w:shd w:val="clear" w:color="auto" w:fill="FFFFFF"/>
          <w:lang w:val="en-US" w:eastAsia="zh-CN"/>
        </w:rPr>
        <w:t>项目</w:t>
      </w:r>
      <w:r>
        <w:rPr>
          <w:rFonts w:hint="eastAsia" w:ascii="宋体" w:hAnsi="宋体" w:eastAsia="宋体" w:cs="宋体"/>
          <w:color w:val="auto"/>
          <w:kern w:val="0"/>
          <w:sz w:val="24"/>
          <w:szCs w:val="24"/>
          <w:lang w:val="en-US" w:eastAsia="zh-CN" w:bidi="ar-SA"/>
        </w:rPr>
        <w:t>综合得分表</w:t>
      </w:r>
    </w:p>
    <w:p w14:paraId="29F1519F">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附件3：</w:t>
      </w:r>
      <w:r>
        <w:rPr>
          <w:rFonts w:hint="eastAsia" w:ascii="宋体" w:hAnsi="宋体" w:eastAsia="宋体" w:cs="宋体"/>
          <w:i w:val="0"/>
          <w:iCs w:val="0"/>
          <w:caps w:val="0"/>
          <w:color w:val="auto"/>
          <w:spacing w:val="0"/>
          <w:sz w:val="24"/>
          <w:szCs w:val="24"/>
          <w:shd w:val="clear" w:color="auto" w:fill="FFFFFF"/>
        </w:rPr>
        <w:t>洛浦县2024年村级运转经费</w:t>
      </w:r>
      <w:r>
        <w:rPr>
          <w:rFonts w:hint="eastAsia" w:ascii="宋体" w:hAnsi="宋体" w:eastAsia="宋体" w:cs="宋体"/>
          <w:i w:val="0"/>
          <w:iCs w:val="0"/>
          <w:caps w:val="0"/>
          <w:color w:val="auto"/>
          <w:spacing w:val="0"/>
          <w:sz w:val="24"/>
          <w:szCs w:val="24"/>
          <w:shd w:val="clear" w:color="auto" w:fill="FFFFFF"/>
          <w:lang w:val="en-US" w:eastAsia="zh-CN"/>
        </w:rPr>
        <w:t>项目</w:t>
      </w:r>
      <w:r>
        <w:rPr>
          <w:rFonts w:hint="eastAsia" w:ascii="宋体" w:hAnsi="宋体" w:eastAsia="宋体" w:cs="宋体"/>
          <w:color w:val="auto"/>
          <w:kern w:val="0"/>
          <w:sz w:val="24"/>
          <w:szCs w:val="24"/>
          <w:lang w:val="en-US" w:eastAsia="zh-CN" w:bidi="ar-SA"/>
        </w:rPr>
        <w:t>满意度调查问分析情况</w:t>
      </w:r>
    </w:p>
    <w:p w14:paraId="254D090D">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24"/>
          <w:szCs w:val="24"/>
        </w:rPr>
      </w:pPr>
    </w:p>
    <w:p w14:paraId="2A201A85">
      <w:pPr>
        <w:pStyle w:val="10"/>
        <w:ind w:left="0" w:leftChars="0" w:firstLine="0" w:firstLineChars="0"/>
        <w:jc w:val="both"/>
        <w:rPr>
          <w:rFonts w:hint="eastAsia" w:ascii="宋体" w:hAnsi="宋体" w:eastAsia="宋体" w:cs="宋体"/>
          <w:color w:val="auto"/>
          <w:sz w:val="24"/>
          <w:szCs w:val="24"/>
        </w:rPr>
      </w:pPr>
    </w:p>
    <w:p w14:paraId="7283C591">
      <w:pPr>
        <w:pStyle w:val="10"/>
        <w:ind w:left="0" w:leftChars="0" w:firstLine="0" w:firstLineChars="0"/>
        <w:jc w:val="both"/>
        <w:rPr>
          <w:rFonts w:hint="eastAsia" w:ascii="宋体" w:hAnsi="宋体" w:eastAsia="宋体" w:cs="宋体"/>
          <w:color w:val="auto"/>
          <w:sz w:val="24"/>
          <w:szCs w:val="24"/>
        </w:rPr>
        <w:sectPr>
          <w:footerReference r:id="rId7" w:type="default"/>
          <w:pgSz w:w="11906" w:h="16838"/>
          <w:pgMar w:top="1985" w:right="1531" w:bottom="1701" w:left="1531" w:header="851" w:footer="992" w:gutter="0"/>
          <w:pgNumType w:fmt="decimal" w:start="1"/>
          <w:cols w:space="720" w:num="1"/>
          <w:docGrid w:type="linesAndChars" w:linePitch="386" w:charSpace="0"/>
        </w:sectPr>
      </w:pPr>
    </w:p>
    <w:tbl>
      <w:tblPr>
        <w:tblStyle w:val="2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5"/>
        <w:gridCol w:w="553"/>
        <w:gridCol w:w="829"/>
        <w:gridCol w:w="567"/>
        <w:gridCol w:w="1142"/>
        <w:gridCol w:w="647"/>
        <w:gridCol w:w="1759"/>
        <w:gridCol w:w="711"/>
        <w:gridCol w:w="4607"/>
        <w:gridCol w:w="853"/>
        <w:gridCol w:w="885"/>
      </w:tblGrid>
      <w:tr w14:paraId="25595E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000" w:type="pct"/>
            <w:gridSpan w:val="11"/>
            <w:tcBorders>
              <w:top w:val="nil"/>
              <w:left w:val="nil"/>
              <w:bottom w:val="nil"/>
              <w:right w:val="nil"/>
            </w:tcBorders>
            <w:noWrap w:val="0"/>
            <w:vAlign w:val="center"/>
          </w:tcPr>
          <w:p w14:paraId="2A7F32E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附件1：</w:t>
            </w:r>
          </w:p>
        </w:tc>
      </w:tr>
      <w:tr w14:paraId="2BF5E8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5000" w:type="pct"/>
            <w:gridSpan w:val="11"/>
            <w:tcBorders>
              <w:top w:val="nil"/>
              <w:left w:val="nil"/>
              <w:bottom w:val="nil"/>
              <w:right w:val="nil"/>
            </w:tcBorders>
            <w:noWrap w:val="0"/>
            <w:vAlign w:val="center"/>
          </w:tcPr>
          <w:p w14:paraId="4B722E4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洛财预〔2024〕04号：2024年村级运转经费（县配套）项目</w:t>
            </w:r>
            <w:r>
              <w:rPr>
                <w:rStyle w:val="61"/>
                <w:rFonts w:hint="eastAsia" w:ascii="宋体" w:hAnsi="宋体" w:eastAsia="宋体" w:cs="宋体"/>
                <w:color w:val="auto"/>
                <w:sz w:val="21"/>
                <w:szCs w:val="21"/>
                <w:lang w:val="en-US" w:eastAsia="zh-CN"/>
              </w:rPr>
              <w:t>绩效评价指标体系综合评分表</w:t>
            </w:r>
          </w:p>
        </w:tc>
      </w:tr>
      <w:tr w14:paraId="766F9F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05" w:type="pct"/>
            <w:tcBorders>
              <w:top w:val="single" w:color="auto" w:sz="8" w:space="0"/>
              <w:left w:val="single" w:color="auto" w:sz="8" w:space="0"/>
              <w:bottom w:val="single" w:color="auto" w:sz="8" w:space="0"/>
              <w:right w:val="single" w:color="auto" w:sz="8" w:space="0"/>
            </w:tcBorders>
            <w:noWrap w:val="0"/>
            <w:vAlign w:val="center"/>
          </w:tcPr>
          <w:p w14:paraId="54728FD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一级指标</w:t>
            </w:r>
          </w:p>
        </w:tc>
        <w:tc>
          <w:tcPr>
            <w:tcW w:w="207" w:type="pct"/>
            <w:tcBorders>
              <w:top w:val="single" w:color="auto" w:sz="8" w:space="0"/>
              <w:left w:val="nil"/>
              <w:bottom w:val="single" w:color="auto" w:sz="8" w:space="0"/>
              <w:right w:val="single" w:color="auto" w:sz="8" w:space="0"/>
            </w:tcBorders>
            <w:noWrap w:val="0"/>
            <w:vAlign w:val="center"/>
          </w:tcPr>
          <w:p w14:paraId="5D7F270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分值</w:t>
            </w:r>
          </w:p>
        </w:tc>
        <w:tc>
          <w:tcPr>
            <w:tcW w:w="310" w:type="pct"/>
            <w:tcBorders>
              <w:top w:val="single" w:color="auto" w:sz="8" w:space="0"/>
              <w:left w:val="nil"/>
              <w:bottom w:val="single" w:color="auto" w:sz="8" w:space="0"/>
              <w:right w:val="single" w:color="auto" w:sz="8" w:space="0"/>
            </w:tcBorders>
            <w:noWrap w:val="0"/>
            <w:vAlign w:val="center"/>
          </w:tcPr>
          <w:p w14:paraId="5F73EE7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二级指标</w:t>
            </w:r>
          </w:p>
        </w:tc>
        <w:tc>
          <w:tcPr>
            <w:tcW w:w="212" w:type="pct"/>
            <w:tcBorders>
              <w:top w:val="single" w:color="auto" w:sz="8" w:space="0"/>
              <w:left w:val="nil"/>
              <w:bottom w:val="single" w:color="auto" w:sz="8" w:space="0"/>
              <w:right w:val="single" w:color="auto" w:sz="8" w:space="0"/>
            </w:tcBorders>
            <w:noWrap w:val="0"/>
            <w:vAlign w:val="center"/>
          </w:tcPr>
          <w:p w14:paraId="5FA7DA1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分值</w:t>
            </w:r>
          </w:p>
        </w:tc>
        <w:tc>
          <w:tcPr>
            <w:tcW w:w="427" w:type="pct"/>
            <w:tcBorders>
              <w:top w:val="single" w:color="auto" w:sz="8" w:space="0"/>
              <w:left w:val="nil"/>
              <w:bottom w:val="single" w:color="auto" w:sz="8" w:space="0"/>
              <w:right w:val="single" w:color="auto" w:sz="8" w:space="0"/>
            </w:tcBorders>
            <w:noWrap w:val="0"/>
            <w:vAlign w:val="center"/>
          </w:tcPr>
          <w:p w14:paraId="451ED85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三级指标</w:t>
            </w:r>
          </w:p>
        </w:tc>
        <w:tc>
          <w:tcPr>
            <w:tcW w:w="242" w:type="pct"/>
            <w:tcBorders>
              <w:top w:val="single" w:color="auto" w:sz="8" w:space="0"/>
              <w:left w:val="nil"/>
              <w:bottom w:val="single" w:color="auto" w:sz="8" w:space="0"/>
              <w:right w:val="single" w:color="auto" w:sz="8" w:space="0"/>
            </w:tcBorders>
            <w:noWrap w:val="0"/>
            <w:vAlign w:val="center"/>
          </w:tcPr>
          <w:p w14:paraId="13AF9F0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分值</w:t>
            </w:r>
          </w:p>
        </w:tc>
        <w:tc>
          <w:tcPr>
            <w:tcW w:w="658" w:type="pct"/>
            <w:tcBorders>
              <w:top w:val="single" w:color="auto" w:sz="8" w:space="0"/>
              <w:left w:val="nil"/>
              <w:bottom w:val="single" w:color="auto" w:sz="8" w:space="0"/>
              <w:right w:val="single" w:color="auto" w:sz="8" w:space="0"/>
            </w:tcBorders>
            <w:noWrap w:val="0"/>
            <w:vAlign w:val="center"/>
          </w:tcPr>
          <w:p w14:paraId="73F416B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指标解释</w:t>
            </w:r>
          </w:p>
        </w:tc>
        <w:tc>
          <w:tcPr>
            <w:tcW w:w="266" w:type="pct"/>
            <w:tcBorders>
              <w:top w:val="single" w:color="auto" w:sz="8" w:space="0"/>
              <w:left w:val="nil"/>
              <w:bottom w:val="single" w:color="auto" w:sz="8" w:space="0"/>
              <w:right w:val="single" w:color="auto" w:sz="8" w:space="0"/>
            </w:tcBorders>
            <w:noWrap w:val="0"/>
            <w:vAlign w:val="center"/>
          </w:tcPr>
          <w:p w14:paraId="58D5B35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标杆值</w:t>
            </w:r>
          </w:p>
        </w:tc>
        <w:tc>
          <w:tcPr>
            <w:tcW w:w="1723" w:type="pct"/>
            <w:tcBorders>
              <w:top w:val="single" w:color="auto" w:sz="8" w:space="0"/>
              <w:left w:val="nil"/>
              <w:bottom w:val="single" w:color="auto" w:sz="8" w:space="0"/>
              <w:right w:val="single" w:color="auto" w:sz="8" w:space="0"/>
            </w:tcBorders>
            <w:noWrap w:val="0"/>
            <w:vAlign w:val="center"/>
          </w:tcPr>
          <w:p w14:paraId="5C10E47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评分标准</w:t>
            </w:r>
          </w:p>
        </w:tc>
        <w:tc>
          <w:tcPr>
            <w:tcW w:w="319" w:type="pct"/>
            <w:tcBorders>
              <w:top w:val="single" w:color="auto" w:sz="8" w:space="0"/>
              <w:left w:val="nil"/>
              <w:bottom w:val="single" w:color="auto" w:sz="8" w:space="0"/>
              <w:right w:val="single" w:color="auto" w:sz="8" w:space="0"/>
            </w:tcBorders>
            <w:noWrap w:val="0"/>
            <w:vAlign w:val="center"/>
          </w:tcPr>
          <w:p w14:paraId="4750FA5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完成值</w:t>
            </w:r>
          </w:p>
        </w:tc>
        <w:tc>
          <w:tcPr>
            <w:tcW w:w="326" w:type="pct"/>
            <w:tcBorders>
              <w:top w:val="single" w:color="auto" w:sz="8" w:space="0"/>
              <w:left w:val="nil"/>
              <w:bottom w:val="single" w:color="auto" w:sz="8" w:space="0"/>
              <w:right w:val="single" w:color="auto" w:sz="8" w:space="0"/>
            </w:tcBorders>
            <w:noWrap w:val="0"/>
            <w:vAlign w:val="center"/>
          </w:tcPr>
          <w:p w14:paraId="0525C64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得分</w:t>
            </w:r>
          </w:p>
        </w:tc>
      </w:tr>
      <w:tr w14:paraId="6600B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4" w:hRule="atLeast"/>
        </w:trPr>
        <w:tc>
          <w:tcPr>
            <w:tcW w:w="305" w:type="pct"/>
            <w:vMerge w:val="restart"/>
            <w:tcBorders>
              <w:top w:val="nil"/>
              <w:left w:val="single" w:color="auto" w:sz="4" w:space="0"/>
              <w:bottom w:val="single" w:color="auto" w:sz="8" w:space="0"/>
              <w:right w:val="single" w:color="auto" w:sz="8" w:space="0"/>
            </w:tcBorders>
            <w:noWrap w:val="0"/>
            <w:vAlign w:val="center"/>
          </w:tcPr>
          <w:p w14:paraId="164C694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项目决策</w:t>
            </w:r>
          </w:p>
        </w:tc>
        <w:tc>
          <w:tcPr>
            <w:tcW w:w="207" w:type="pct"/>
            <w:vMerge w:val="restart"/>
            <w:tcBorders>
              <w:top w:val="nil"/>
              <w:left w:val="nil"/>
              <w:bottom w:val="single" w:color="auto" w:sz="8" w:space="0"/>
              <w:right w:val="single" w:color="auto" w:sz="8" w:space="0"/>
            </w:tcBorders>
            <w:noWrap w:val="0"/>
            <w:vAlign w:val="center"/>
          </w:tcPr>
          <w:p w14:paraId="0D55F9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23</w:t>
            </w:r>
          </w:p>
        </w:tc>
        <w:tc>
          <w:tcPr>
            <w:tcW w:w="310" w:type="pct"/>
            <w:vMerge w:val="restart"/>
            <w:tcBorders>
              <w:top w:val="nil"/>
              <w:left w:val="nil"/>
              <w:bottom w:val="single" w:color="auto" w:sz="8" w:space="0"/>
              <w:right w:val="single" w:color="auto" w:sz="8" w:space="0"/>
            </w:tcBorders>
            <w:noWrap w:val="0"/>
            <w:vAlign w:val="center"/>
          </w:tcPr>
          <w:p w14:paraId="6BECE49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项目立项</w:t>
            </w:r>
          </w:p>
        </w:tc>
        <w:tc>
          <w:tcPr>
            <w:tcW w:w="212" w:type="pct"/>
            <w:vMerge w:val="restart"/>
            <w:tcBorders>
              <w:top w:val="nil"/>
              <w:left w:val="nil"/>
              <w:bottom w:val="single" w:color="auto" w:sz="8" w:space="0"/>
              <w:right w:val="single" w:color="auto" w:sz="8" w:space="0"/>
            </w:tcBorders>
            <w:noWrap w:val="0"/>
            <w:vAlign w:val="center"/>
          </w:tcPr>
          <w:p w14:paraId="565B1E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5</w:t>
            </w:r>
          </w:p>
        </w:tc>
        <w:tc>
          <w:tcPr>
            <w:tcW w:w="427" w:type="pct"/>
            <w:tcBorders>
              <w:top w:val="nil"/>
              <w:left w:val="nil"/>
              <w:bottom w:val="single" w:color="auto" w:sz="8" w:space="0"/>
              <w:right w:val="single" w:color="auto" w:sz="8" w:space="0"/>
            </w:tcBorders>
            <w:noWrap w:val="0"/>
            <w:vAlign w:val="center"/>
          </w:tcPr>
          <w:p w14:paraId="5CE9CDE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立项依据充分性</w:t>
            </w:r>
          </w:p>
        </w:tc>
        <w:tc>
          <w:tcPr>
            <w:tcW w:w="242" w:type="pct"/>
            <w:tcBorders>
              <w:top w:val="nil"/>
              <w:left w:val="nil"/>
              <w:bottom w:val="single" w:color="auto" w:sz="8" w:space="0"/>
              <w:right w:val="single" w:color="auto" w:sz="8" w:space="0"/>
            </w:tcBorders>
            <w:noWrap w:val="0"/>
            <w:vAlign w:val="center"/>
          </w:tcPr>
          <w:p w14:paraId="39ABBBB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2</w:t>
            </w:r>
          </w:p>
        </w:tc>
        <w:tc>
          <w:tcPr>
            <w:tcW w:w="658" w:type="pct"/>
            <w:tcBorders>
              <w:top w:val="nil"/>
              <w:left w:val="nil"/>
              <w:bottom w:val="single" w:color="auto" w:sz="8" w:space="0"/>
              <w:right w:val="single" w:color="auto" w:sz="8" w:space="0"/>
            </w:tcBorders>
            <w:noWrap w:val="0"/>
            <w:vAlign w:val="center"/>
          </w:tcPr>
          <w:p w14:paraId="49CC941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项目立项是否符合法律法规、相关政策、发展规划以及部门职责，用以反映和考核项目立项依据情况。</w:t>
            </w:r>
          </w:p>
        </w:tc>
        <w:tc>
          <w:tcPr>
            <w:tcW w:w="266" w:type="pct"/>
            <w:tcBorders>
              <w:top w:val="nil"/>
              <w:left w:val="nil"/>
              <w:bottom w:val="single" w:color="auto" w:sz="8" w:space="0"/>
              <w:right w:val="single" w:color="auto" w:sz="8" w:space="0"/>
            </w:tcBorders>
            <w:noWrap w:val="0"/>
            <w:vAlign w:val="center"/>
          </w:tcPr>
          <w:p w14:paraId="1FFDCD6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充分</w:t>
            </w:r>
          </w:p>
        </w:tc>
        <w:tc>
          <w:tcPr>
            <w:tcW w:w="1723" w:type="pct"/>
            <w:tcBorders>
              <w:top w:val="nil"/>
              <w:left w:val="nil"/>
              <w:bottom w:val="single" w:color="auto" w:sz="8" w:space="0"/>
              <w:right w:val="single" w:color="auto" w:sz="8" w:space="0"/>
            </w:tcBorders>
            <w:noWrap w:val="0"/>
            <w:vAlign w:val="center"/>
          </w:tcPr>
          <w:p w14:paraId="1AF2388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①项目立项是否符合国家法律法规、国民经济发展规划和相关政策；</w:t>
            </w:r>
          </w:p>
          <w:p w14:paraId="7120EF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②项目立项是否符合行业发展规划和政策要求；</w:t>
            </w:r>
          </w:p>
          <w:p w14:paraId="38BE2EE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③项目立项是否与部门职责范围相符，属于部门履职所需；</w:t>
            </w:r>
          </w:p>
          <w:p w14:paraId="5515599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④项目是否属于公共财政支持范围，是否符合中央、地方事权支出责任划分原则；</w:t>
            </w:r>
          </w:p>
          <w:p w14:paraId="01BCA7A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⑤项目是否与相关部门同类项目或部门内部相关项目重复。</w:t>
            </w:r>
          </w:p>
          <w:p w14:paraId="7083B2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以上每条要素占权重分的20%，每有一条不符合，扣除对应权重分，扣完为止。</w:t>
            </w:r>
          </w:p>
        </w:tc>
        <w:tc>
          <w:tcPr>
            <w:tcW w:w="319" w:type="pct"/>
            <w:tcBorders>
              <w:top w:val="nil"/>
              <w:left w:val="nil"/>
              <w:bottom w:val="single" w:color="auto" w:sz="8" w:space="0"/>
              <w:right w:val="single" w:color="auto" w:sz="8" w:space="0"/>
            </w:tcBorders>
            <w:noWrap w:val="0"/>
            <w:vAlign w:val="center"/>
          </w:tcPr>
          <w:p w14:paraId="3CB68A5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充分</w:t>
            </w:r>
          </w:p>
        </w:tc>
        <w:tc>
          <w:tcPr>
            <w:tcW w:w="326" w:type="pct"/>
            <w:tcBorders>
              <w:top w:val="nil"/>
              <w:left w:val="nil"/>
              <w:bottom w:val="single" w:color="auto" w:sz="8" w:space="0"/>
              <w:right w:val="single" w:color="auto" w:sz="8" w:space="0"/>
            </w:tcBorders>
            <w:noWrap w:val="0"/>
            <w:vAlign w:val="center"/>
          </w:tcPr>
          <w:p w14:paraId="2A9B258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2</w:t>
            </w:r>
          </w:p>
        </w:tc>
      </w:tr>
      <w:tr w14:paraId="49A5B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trPr>
        <w:tc>
          <w:tcPr>
            <w:tcW w:w="305" w:type="pct"/>
            <w:vMerge w:val="continue"/>
            <w:tcBorders>
              <w:top w:val="nil"/>
              <w:left w:val="single" w:color="auto" w:sz="4" w:space="0"/>
              <w:bottom w:val="single" w:color="auto" w:sz="8" w:space="0"/>
              <w:right w:val="single" w:color="auto" w:sz="8" w:space="0"/>
            </w:tcBorders>
            <w:noWrap w:val="0"/>
            <w:vAlign w:val="center"/>
          </w:tcPr>
          <w:p w14:paraId="3D17B62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07" w:type="pct"/>
            <w:vMerge w:val="continue"/>
            <w:tcBorders>
              <w:top w:val="nil"/>
              <w:left w:val="nil"/>
              <w:bottom w:val="single" w:color="auto" w:sz="8" w:space="0"/>
              <w:right w:val="single" w:color="auto" w:sz="8" w:space="0"/>
            </w:tcBorders>
            <w:noWrap w:val="0"/>
            <w:vAlign w:val="center"/>
          </w:tcPr>
          <w:p w14:paraId="0D4A21D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310" w:type="pct"/>
            <w:vMerge w:val="continue"/>
            <w:tcBorders>
              <w:top w:val="nil"/>
              <w:left w:val="nil"/>
              <w:bottom w:val="single" w:color="auto" w:sz="8" w:space="0"/>
              <w:right w:val="single" w:color="auto" w:sz="8" w:space="0"/>
            </w:tcBorders>
            <w:noWrap w:val="0"/>
            <w:vAlign w:val="center"/>
          </w:tcPr>
          <w:p w14:paraId="5F26722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12" w:type="pct"/>
            <w:vMerge w:val="continue"/>
            <w:tcBorders>
              <w:top w:val="nil"/>
              <w:left w:val="nil"/>
              <w:bottom w:val="single" w:color="auto" w:sz="8" w:space="0"/>
              <w:right w:val="single" w:color="auto" w:sz="8" w:space="0"/>
            </w:tcBorders>
            <w:noWrap w:val="0"/>
            <w:vAlign w:val="center"/>
          </w:tcPr>
          <w:p w14:paraId="1A3943F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427" w:type="pct"/>
            <w:tcBorders>
              <w:top w:val="nil"/>
              <w:left w:val="nil"/>
              <w:bottom w:val="single" w:color="auto" w:sz="8" w:space="0"/>
              <w:right w:val="single" w:color="auto" w:sz="8" w:space="0"/>
            </w:tcBorders>
            <w:noWrap w:val="0"/>
            <w:vAlign w:val="center"/>
          </w:tcPr>
          <w:p w14:paraId="1F9B309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立项程序规范性</w:t>
            </w:r>
          </w:p>
        </w:tc>
        <w:tc>
          <w:tcPr>
            <w:tcW w:w="242" w:type="pct"/>
            <w:tcBorders>
              <w:top w:val="nil"/>
              <w:left w:val="nil"/>
              <w:bottom w:val="single" w:color="auto" w:sz="8" w:space="0"/>
              <w:right w:val="single" w:color="auto" w:sz="8" w:space="0"/>
            </w:tcBorders>
            <w:noWrap w:val="0"/>
            <w:vAlign w:val="center"/>
          </w:tcPr>
          <w:p w14:paraId="12B4DA2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3</w:t>
            </w:r>
          </w:p>
        </w:tc>
        <w:tc>
          <w:tcPr>
            <w:tcW w:w="658" w:type="pct"/>
            <w:tcBorders>
              <w:top w:val="nil"/>
              <w:left w:val="nil"/>
              <w:bottom w:val="single" w:color="auto" w:sz="8" w:space="0"/>
              <w:right w:val="single" w:color="auto" w:sz="8" w:space="0"/>
            </w:tcBorders>
            <w:noWrap w:val="0"/>
            <w:vAlign w:val="center"/>
          </w:tcPr>
          <w:p w14:paraId="6A63397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项目申请、设立过程是否符合相关要求，用以反映和考核项目立项的规范情况。</w:t>
            </w:r>
          </w:p>
        </w:tc>
        <w:tc>
          <w:tcPr>
            <w:tcW w:w="266" w:type="pct"/>
            <w:tcBorders>
              <w:top w:val="nil"/>
              <w:left w:val="nil"/>
              <w:bottom w:val="single" w:color="auto" w:sz="8" w:space="0"/>
              <w:right w:val="single" w:color="auto" w:sz="8" w:space="0"/>
            </w:tcBorders>
            <w:noWrap w:val="0"/>
            <w:vAlign w:val="center"/>
          </w:tcPr>
          <w:p w14:paraId="57A9A6B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规范</w:t>
            </w:r>
          </w:p>
        </w:tc>
        <w:tc>
          <w:tcPr>
            <w:tcW w:w="1723" w:type="pct"/>
            <w:tcBorders>
              <w:top w:val="nil"/>
              <w:left w:val="nil"/>
              <w:bottom w:val="single" w:color="auto" w:sz="8" w:space="0"/>
              <w:right w:val="single" w:color="auto" w:sz="8" w:space="0"/>
            </w:tcBorders>
            <w:noWrap w:val="0"/>
            <w:vAlign w:val="center"/>
          </w:tcPr>
          <w:p w14:paraId="413ED2D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①项目是否按照规定的程序申请设立；</w:t>
            </w:r>
          </w:p>
          <w:p w14:paraId="1F9AF29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②审批文件、材料是否符合相关要求；</w:t>
            </w:r>
          </w:p>
          <w:p w14:paraId="58F2C6C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③事前是否已经过必要的可行性研究、专家论证、风险评估、绩效评估、集体决策。</w:t>
            </w:r>
          </w:p>
          <w:p w14:paraId="7E951C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①②③齐全得权重分的100%，缺①扣权重分的40%，缺②扣权重分的30%，缺③扣权重分的30%。</w:t>
            </w:r>
          </w:p>
        </w:tc>
        <w:tc>
          <w:tcPr>
            <w:tcW w:w="319" w:type="pct"/>
            <w:tcBorders>
              <w:top w:val="nil"/>
              <w:left w:val="nil"/>
              <w:bottom w:val="single" w:color="auto" w:sz="8" w:space="0"/>
              <w:right w:val="single" w:color="auto" w:sz="8" w:space="0"/>
            </w:tcBorders>
            <w:noWrap w:val="0"/>
            <w:vAlign w:val="center"/>
          </w:tcPr>
          <w:p w14:paraId="7B8C235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规范</w:t>
            </w:r>
          </w:p>
        </w:tc>
        <w:tc>
          <w:tcPr>
            <w:tcW w:w="326" w:type="pct"/>
            <w:tcBorders>
              <w:top w:val="nil"/>
              <w:left w:val="nil"/>
              <w:bottom w:val="single" w:color="auto" w:sz="8" w:space="0"/>
              <w:right w:val="single" w:color="auto" w:sz="8" w:space="0"/>
            </w:tcBorders>
            <w:noWrap w:val="0"/>
            <w:vAlign w:val="center"/>
          </w:tcPr>
          <w:p w14:paraId="2E7E732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3</w:t>
            </w:r>
          </w:p>
        </w:tc>
      </w:tr>
      <w:tr w14:paraId="484520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trPr>
        <w:tc>
          <w:tcPr>
            <w:tcW w:w="305" w:type="pct"/>
            <w:vMerge w:val="continue"/>
            <w:tcBorders>
              <w:top w:val="nil"/>
              <w:left w:val="single" w:color="auto" w:sz="4" w:space="0"/>
              <w:bottom w:val="single" w:color="auto" w:sz="4" w:space="0"/>
              <w:right w:val="single" w:color="auto" w:sz="8" w:space="0"/>
            </w:tcBorders>
            <w:noWrap w:val="0"/>
            <w:vAlign w:val="center"/>
          </w:tcPr>
          <w:p w14:paraId="4B6AB2E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07" w:type="pct"/>
            <w:vMerge w:val="continue"/>
            <w:tcBorders>
              <w:top w:val="nil"/>
              <w:left w:val="nil"/>
              <w:bottom w:val="single" w:color="auto" w:sz="4" w:space="0"/>
              <w:right w:val="single" w:color="auto" w:sz="8" w:space="0"/>
            </w:tcBorders>
            <w:noWrap w:val="0"/>
            <w:vAlign w:val="center"/>
          </w:tcPr>
          <w:p w14:paraId="6D723E7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310" w:type="pct"/>
            <w:vMerge w:val="restart"/>
            <w:tcBorders>
              <w:top w:val="nil"/>
              <w:left w:val="nil"/>
              <w:bottom w:val="single" w:color="auto" w:sz="4" w:space="0"/>
              <w:right w:val="single" w:color="auto" w:sz="8" w:space="0"/>
            </w:tcBorders>
            <w:noWrap w:val="0"/>
            <w:vAlign w:val="center"/>
          </w:tcPr>
          <w:p w14:paraId="4BE5A93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绩效目标</w:t>
            </w:r>
          </w:p>
        </w:tc>
        <w:tc>
          <w:tcPr>
            <w:tcW w:w="212" w:type="pct"/>
            <w:vMerge w:val="restart"/>
            <w:tcBorders>
              <w:top w:val="nil"/>
              <w:left w:val="nil"/>
              <w:bottom w:val="single" w:color="auto" w:sz="4" w:space="0"/>
              <w:right w:val="single" w:color="auto" w:sz="8" w:space="0"/>
            </w:tcBorders>
            <w:noWrap w:val="0"/>
            <w:vAlign w:val="center"/>
          </w:tcPr>
          <w:p w14:paraId="5CA0CB4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w:t>
            </w:r>
          </w:p>
        </w:tc>
        <w:tc>
          <w:tcPr>
            <w:tcW w:w="427" w:type="pct"/>
            <w:tcBorders>
              <w:top w:val="nil"/>
              <w:left w:val="nil"/>
              <w:bottom w:val="single" w:color="auto" w:sz="4" w:space="0"/>
              <w:right w:val="single" w:color="auto" w:sz="8" w:space="0"/>
            </w:tcBorders>
            <w:noWrap w:val="0"/>
            <w:vAlign w:val="center"/>
          </w:tcPr>
          <w:p w14:paraId="16FA85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绩效目标合理性</w:t>
            </w:r>
          </w:p>
        </w:tc>
        <w:tc>
          <w:tcPr>
            <w:tcW w:w="242" w:type="pct"/>
            <w:tcBorders>
              <w:top w:val="nil"/>
              <w:left w:val="nil"/>
              <w:bottom w:val="single" w:color="auto" w:sz="4" w:space="0"/>
              <w:right w:val="single" w:color="auto" w:sz="8" w:space="0"/>
            </w:tcBorders>
            <w:noWrap w:val="0"/>
            <w:vAlign w:val="center"/>
          </w:tcPr>
          <w:p w14:paraId="490CEE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5</w:t>
            </w:r>
          </w:p>
        </w:tc>
        <w:tc>
          <w:tcPr>
            <w:tcW w:w="658" w:type="pct"/>
            <w:tcBorders>
              <w:top w:val="nil"/>
              <w:left w:val="nil"/>
              <w:bottom w:val="single" w:color="auto" w:sz="4" w:space="0"/>
              <w:right w:val="single" w:color="auto" w:sz="8" w:space="0"/>
            </w:tcBorders>
            <w:noWrap w:val="0"/>
            <w:vAlign w:val="center"/>
          </w:tcPr>
          <w:p w14:paraId="62CD922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项目所设定的绩效目标是否依据充分，是否符合客观实际，用以反映和考核项目绩效目标与项目实施的相符情况。</w:t>
            </w:r>
          </w:p>
        </w:tc>
        <w:tc>
          <w:tcPr>
            <w:tcW w:w="266" w:type="pct"/>
            <w:tcBorders>
              <w:top w:val="nil"/>
              <w:left w:val="nil"/>
              <w:bottom w:val="single" w:color="auto" w:sz="4" w:space="0"/>
              <w:right w:val="single" w:color="auto" w:sz="8" w:space="0"/>
            </w:tcBorders>
            <w:noWrap w:val="0"/>
            <w:vAlign w:val="center"/>
          </w:tcPr>
          <w:p w14:paraId="6638276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合理</w:t>
            </w:r>
          </w:p>
        </w:tc>
        <w:tc>
          <w:tcPr>
            <w:tcW w:w="1723" w:type="pct"/>
            <w:tcBorders>
              <w:top w:val="nil"/>
              <w:left w:val="nil"/>
              <w:bottom w:val="single" w:color="auto" w:sz="4" w:space="0"/>
              <w:right w:val="single" w:color="auto" w:sz="8" w:space="0"/>
            </w:tcBorders>
            <w:noWrap w:val="0"/>
            <w:vAlign w:val="center"/>
          </w:tcPr>
          <w:p w14:paraId="328FBA7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①项目是否有绩效目标；</w:t>
            </w:r>
          </w:p>
          <w:p w14:paraId="1F6E582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②项目绩效目标与实际工作内容是否具有相关性；</w:t>
            </w:r>
          </w:p>
          <w:p w14:paraId="3ACA541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③项目预期产出效益和效果是否符合正常的业绩水平；</w:t>
            </w:r>
          </w:p>
          <w:p w14:paraId="527232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④是否与预算确定的项目投资额或资金量相匹配。</w:t>
            </w:r>
          </w:p>
          <w:p w14:paraId="0F253B2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以上每条要素各占权重的25%，每有一条不符合，扣除对应的权重分，扣完为止。</w:t>
            </w:r>
          </w:p>
        </w:tc>
        <w:tc>
          <w:tcPr>
            <w:tcW w:w="319" w:type="pct"/>
            <w:tcBorders>
              <w:top w:val="nil"/>
              <w:left w:val="nil"/>
              <w:bottom w:val="single" w:color="auto" w:sz="4" w:space="0"/>
              <w:right w:val="single" w:color="auto" w:sz="8" w:space="0"/>
            </w:tcBorders>
            <w:noWrap w:val="0"/>
            <w:vAlign w:val="center"/>
          </w:tcPr>
          <w:p w14:paraId="18CD1D2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合理</w:t>
            </w:r>
          </w:p>
        </w:tc>
        <w:tc>
          <w:tcPr>
            <w:tcW w:w="326" w:type="pct"/>
            <w:tcBorders>
              <w:top w:val="nil"/>
              <w:left w:val="nil"/>
              <w:bottom w:val="single" w:color="auto" w:sz="4" w:space="0"/>
              <w:right w:val="single" w:color="auto" w:sz="8" w:space="0"/>
            </w:tcBorders>
            <w:noWrap w:val="0"/>
            <w:vAlign w:val="center"/>
          </w:tcPr>
          <w:p w14:paraId="570B1B5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5</w:t>
            </w:r>
          </w:p>
        </w:tc>
      </w:tr>
      <w:tr w14:paraId="6A49AD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59" w:hRule="atLeast"/>
        </w:trPr>
        <w:tc>
          <w:tcPr>
            <w:tcW w:w="305" w:type="pct"/>
            <w:vMerge w:val="continue"/>
            <w:tcBorders>
              <w:top w:val="single" w:color="auto" w:sz="4" w:space="0"/>
              <w:left w:val="single" w:color="auto" w:sz="4" w:space="0"/>
              <w:bottom w:val="single" w:color="auto" w:sz="4" w:space="0"/>
              <w:right w:val="single" w:color="auto" w:sz="8" w:space="0"/>
            </w:tcBorders>
            <w:noWrap w:val="0"/>
            <w:vAlign w:val="center"/>
          </w:tcPr>
          <w:p w14:paraId="343269B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07" w:type="pct"/>
            <w:vMerge w:val="continue"/>
            <w:tcBorders>
              <w:top w:val="single" w:color="auto" w:sz="4" w:space="0"/>
              <w:left w:val="nil"/>
              <w:bottom w:val="single" w:color="auto" w:sz="4" w:space="0"/>
              <w:right w:val="single" w:color="auto" w:sz="8" w:space="0"/>
            </w:tcBorders>
            <w:noWrap w:val="0"/>
            <w:vAlign w:val="center"/>
          </w:tcPr>
          <w:p w14:paraId="495E261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310" w:type="pct"/>
            <w:vMerge w:val="continue"/>
            <w:tcBorders>
              <w:top w:val="single" w:color="auto" w:sz="4" w:space="0"/>
              <w:left w:val="nil"/>
              <w:bottom w:val="single" w:color="auto" w:sz="4" w:space="0"/>
              <w:right w:val="single" w:color="auto" w:sz="8" w:space="0"/>
            </w:tcBorders>
            <w:noWrap w:val="0"/>
            <w:vAlign w:val="center"/>
          </w:tcPr>
          <w:p w14:paraId="1690469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12" w:type="pct"/>
            <w:vMerge w:val="continue"/>
            <w:tcBorders>
              <w:top w:val="single" w:color="auto" w:sz="4" w:space="0"/>
              <w:left w:val="nil"/>
              <w:bottom w:val="single" w:color="auto" w:sz="4" w:space="0"/>
              <w:right w:val="single" w:color="auto" w:sz="8" w:space="0"/>
            </w:tcBorders>
            <w:noWrap w:val="0"/>
            <w:vAlign w:val="center"/>
          </w:tcPr>
          <w:p w14:paraId="2F943B6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427" w:type="pct"/>
            <w:tcBorders>
              <w:top w:val="single" w:color="auto" w:sz="4" w:space="0"/>
              <w:left w:val="nil"/>
              <w:bottom w:val="single" w:color="auto" w:sz="4" w:space="0"/>
              <w:right w:val="single" w:color="auto" w:sz="8" w:space="0"/>
            </w:tcBorders>
            <w:noWrap w:val="0"/>
            <w:vAlign w:val="center"/>
          </w:tcPr>
          <w:p w14:paraId="308F4ED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绩效指标明确性</w:t>
            </w:r>
          </w:p>
        </w:tc>
        <w:tc>
          <w:tcPr>
            <w:tcW w:w="242" w:type="pct"/>
            <w:tcBorders>
              <w:top w:val="single" w:color="auto" w:sz="4" w:space="0"/>
              <w:left w:val="nil"/>
              <w:bottom w:val="single" w:color="auto" w:sz="4" w:space="0"/>
              <w:right w:val="single" w:color="auto" w:sz="8" w:space="0"/>
            </w:tcBorders>
            <w:noWrap w:val="0"/>
            <w:vAlign w:val="center"/>
          </w:tcPr>
          <w:p w14:paraId="757D117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5</w:t>
            </w:r>
          </w:p>
        </w:tc>
        <w:tc>
          <w:tcPr>
            <w:tcW w:w="658" w:type="pct"/>
            <w:tcBorders>
              <w:top w:val="single" w:color="auto" w:sz="4" w:space="0"/>
              <w:left w:val="nil"/>
              <w:bottom w:val="single" w:color="auto" w:sz="4" w:space="0"/>
              <w:right w:val="single" w:color="auto" w:sz="8" w:space="0"/>
            </w:tcBorders>
            <w:noWrap w:val="0"/>
            <w:vAlign w:val="center"/>
          </w:tcPr>
          <w:p w14:paraId="28E86FF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依据绩效目标设定的绩效指标是否清晰、细化、可衡量等，用以反映和考核项目绩效目标的明细化情况。</w:t>
            </w:r>
          </w:p>
        </w:tc>
        <w:tc>
          <w:tcPr>
            <w:tcW w:w="266" w:type="pct"/>
            <w:tcBorders>
              <w:top w:val="single" w:color="auto" w:sz="4" w:space="0"/>
              <w:left w:val="nil"/>
              <w:bottom w:val="single" w:color="auto" w:sz="4" w:space="0"/>
              <w:right w:val="single" w:color="auto" w:sz="8" w:space="0"/>
            </w:tcBorders>
            <w:noWrap w:val="0"/>
            <w:vAlign w:val="center"/>
          </w:tcPr>
          <w:p w14:paraId="0B04521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明确</w:t>
            </w:r>
          </w:p>
        </w:tc>
        <w:tc>
          <w:tcPr>
            <w:tcW w:w="1723" w:type="pct"/>
            <w:tcBorders>
              <w:top w:val="single" w:color="auto" w:sz="4" w:space="0"/>
              <w:left w:val="nil"/>
              <w:bottom w:val="single" w:color="auto" w:sz="4" w:space="0"/>
              <w:right w:val="single" w:color="auto" w:sz="8" w:space="0"/>
            </w:tcBorders>
            <w:noWrap w:val="0"/>
            <w:vAlign w:val="center"/>
          </w:tcPr>
          <w:p w14:paraId="3D04C67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①是否将项目绩效目标细化分解为具体的绩效指标；</w:t>
            </w:r>
          </w:p>
          <w:p w14:paraId="01BF16A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②是否通过清晰、可衡量的指标值予以体现；</w:t>
            </w:r>
          </w:p>
          <w:p w14:paraId="0BF81C2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③是否与项目目标任务数或计划数相对应。</w:t>
            </w:r>
          </w:p>
          <w:p w14:paraId="6FED5F4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①②③齐全得权重分的100%，缺①扣权重分的20%，缺②扣权重分的50%，缺③扣权重分的30%。</w:t>
            </w:r>
          </w:p>
        </w:tc>
        <w:tc>
          <w:tcPr>
            <w:tcW w:w="319" w:type="pct"/>
            <w:tcBorders>
              <w:top w:val="single" w:color="auto" w:sz="4" w:space="0"/>
              <w:left w:val="nil"/>
              <w:bottom w:val="single" w:color="auto" w:sz="4" w:space="0"/>
              <w:right w:val="single" w:color="auto" w:sz="8" w:space="0"/>
            </w:tcBorders>
            <w:noWrap w:val="0"/>
            <w:vAlign w:val="center"/>
          </w:tcPr>
          <w:p w14:paraId="6D2CD28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明确</w:t>
            </w:r>
          </w:p>
        </w:tc>
        <w:tc>
          <w:tcPr>
            <w:tcW w:w="326" w:type="pct"/>
            <w:tcBorders>
              <w:top w:val="single" w:color="auto" w:sz="4" w:space="0"/>
              <w:left w:val="nil"/>
              <w:bottom w:val="single" w:color="auto" w:sz="4" w:space="0"/>
              <w:right w:val="single" w:color="auto" w:sz="4" w:space="0"/>
            </w:tcBorders>
            <w:noWrap w:val="0"/>
            <w:vAlign w:val="center"/>
          </w:tcPr>
          <w:p w14:paraId="35D191E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5</w:t>
            </w:r>
          </w:p>
        </w:tc>
      </w:tr>
      <w:tr w14:paraId="198171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66" w:hRule="atLeast"/>
        </w:trPr>
        <w:tc>
          <w:tcPr>
            <w:tcW w:w="305" w:type="pct"/>
            <w:vMerge w:val="continue"/>
            <w:tcBorders>
              <w:top w:val="single" w:color="auto" w:sz="4" w:space="0"/>
              <w:left w:val="single" w:color="auto" w:sz="4" w:space="0"/>
              <w:bottom w:val="single" w:color="auto" w:sz="8" w:space="0"/>
              <w:right w:val="single" w:color="auto" w:sz="8" w:space="0"/>
            </w:tcBorders>
            <w:noWrap w:val="0"/>
            <w:vAlign w:val="center"/>
          </w:tcPr>
          <w:p w14:paraId="310AF46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07" w:type="pct"/>
            <w:vMerge w:val="continue"/>
            <w:tcBorders>
              <w:top w:val="single" w:color="auto" w:sz="4" w:space="0"/>
              <w:left w:val="nil"/>
              <w:bottom w:val="single" w:color="auto" w:sz="8" w:space="0"/>
              <w:right w:val="single" w:color="auto" w:sz="8" w:space="0"/>
            </w:tcBorders>
            <w:noWrap w:val="0"/>
            <w:vAlign w:val="center"/>
          </w:tcPr>
          <w:p w14:paraId="19B1D04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310" w:type="pct"/>
            <w:vMerge w:val="restart"/>
            <w:tcBorders>
              <w:top w:val="single" w:color="auto" w:sz="4" w:space="0"/>
              <w:left w:val="nil"/>
              <w:bottom w:val="single" w:color="auto" w:sz="8" w:space="0"/>
              <w:right w:val="single" w:color="auto" w:sz="8" w:space="0"/>
            </w:tcBorders>
            <w:noWrap w:val="0"/>
            <w:vAlign w:val="center"/>
          </w:tcPr>
          <w:p w14:paraId="45957C4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资金投入</w:t>
            </w:r>
          </w:p>
        </w:tc>
        <w:tc>
          <w:tcPr>
            <w:tcW w:w="212" w:type="pct"/>
            <w:vMerge w:val="restart"/>
            <w:tcBorders>
              <w:top w:val="single" w:color="auto" w:sz="4" w:space="0"/>
              <w:left w:val="nil"/>
              <w:bottom w:val="single" w:color="auto" w:sz="8" w:space="0"/>
              <w:right w:val="single" w:color="auto" w:sz="8" w:space="0"/>
            </w:tcBorders>
            <w:noWrap w:val="0"/>
            <w:vAlign w:val="center"/>
          </w:tcPr>
          <w:p w14:paraId="7B4DA5A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8</w:t>
            </w:r>
          </w:p>
        </w:tc>
        <w:tc>
          <w:tcPr>
            <w:tcW w:w="427" w:type="pct"/>
            <w:tcBorders>
              <w:top w:val="single" w:color="auto" w:sz="4" w:space="0"/>
              <w:left w:val="nil"/>
              <w:bottom w:val="single" w:color="auto" w:sz="8" w:space="0"/>
              <w:right w:val="single" w:color="auto" w:sz="8" w:space="0"/>
            </w:tcBorders>
            <w:noWrap w:val="0"/>
            <w:vAlign w:val="center"/>
          </w:tcPr>
          <w:p w14:paraId="650ECE7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预算编制科学性</w:t>
            </w:r>
          </w:p>
        </w:tc>
        <w:tc>
          <w:tcPr>
            <w:tcW w:w="242" w:type="pct"/>
            <w:tcBorders>
              <w:top w:val="single" w:color="auto" w:sz="4" w:space="0"/>
              <w:left w:val="nil"/>
              <w:bottom w:val="single" w:color="auto" w:sz="8" w:space="0"/>
              <w:right w:val="single" w:color="auto" w:sz="8" w:space="0"/>
            </w:tcBorders>
            <w:noWrap w:val="0"/>
            <w:vAlign w:val="center"/>
          </w:tcPr>
          <w:p w14:paraId="261D43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4</w:t>
            </w:r>
          </w:p>
        </w:tc>
        <w:tc>
          <w:tcPr>
            <w:tcW w:w="658" w:type="pct"/>
            <w:tcBorders>
              <w:top w:val="single" w:color="auto" w:sz="4" w:space="0"/>
              <w:left w:val="nil"/>
              <w:bottom w:val="single" w:color="auto" w:sz="8" w:space="0"/>
              <w:right w:val="single" w:color="auto" w:sz="8" w:space="0"/>
            </w:tcBorders>
            <w:noWrap w:val="0"/>
            <w:vAlign w:val="center"/>
          </w:tcPr>
          <w:p w14:paraId="6A9D6CF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项目预算编制是否经过科学论证、有明确标准，资金额度与年度目标是否相适应，用以反映和考核项目预算编制的科学性、合理性情况。</w:t>
            </w:r>
          </w:p>
        </w:tc>
        <w:tc>
          <w:tcPr>
            <w:tcW w:w="266" w:type="pct"/>
            <w:tcBorders>
              <w:top w:val="single" w:color="auto" w:sz="4" w:space="0"/>
              <w:left w:val="nil"/>
              <w:bottom w:val="single" w:color="auto" w:sz="8" w:space="0"/>
              <w:right w:val="single" w:color="auto" w:sz="8" w:space="0"/>
            </w:tcBorders>
            <w:noWrap w:val="0"/>
            <w:vAlign w:val="center"/>
          </w:tcPr>
          <w:p w14:paraId="3189ABC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科学</w:t>
            </w:r>
          </w:p>
        </w:tc>
        <w:tc>
          <w:tcPr>
            <w:tcW w:w="1723" w:type="pct"/>
            <w:tcBorders>
              <w:top w:val="single" w:color="auto" w:sz="4" w:space="0"/>
              <w:left w:val="nil"/>
              <w:bottom w:val="single" w:color="auto" w:sz="8" w:space="0"/>
              <w:right w:val="single" w:color="auto" w:sz="8" w:space="0"/>
            </w:tcBorders>
            <w:noWrap w:val="0"/>
            <w:vAlign w:val="center"/>
          </w:tcPr>
          <w:p w14:paraId="63D18D9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①预算编制是否经过科学论证；</w:t>
            </w:r>
          </w:p>
          <w:p w14:paraId="22EB56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②预算内容与项目内容是否匹配；</w:t>
            </w:r>
          </w:p>
          <w:p w14:paraId="62C1F4A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③预算额度测算依据是否充分，是否按照标准编制；</w:t>
            </w:r>
          </w:p>
          <w:p w14:paraId="7517EC8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④预算确定的项目投资额或资金量是否与工作任务相匹配。</w:t>
            </w:r>
          </w:p>
          <w:p w14:paraId="4C9E17F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以上每条要素各占权重的25%，每有一条不符合，扣除对应的权重分，扣完为止。</w:t>
            </w:r>
          </w:p>
        </w:tc>
        <w:tc>
          <w:tcPr>
            <w:tcW w:w="319" w:type="pct"/>
            <w:tcBorders>
              <w:top w:val="single" w:color="auto" w:sz="4" w:space="0"/>
              <w:left w:val="nil"/>
              <w:bottom w:val="single" w:color="auto" w:sz="8" w:space="0"/>
              <w:right w:val="single" w:color="auto" w:sz="8" w:space="0"/>
            </w:tcBorders>
            <w:noWrap w:val="0"/>
            <w:vAlign w:val="center"/>
          </w:tcPr>
          <w:p w14:paraId="0489EB5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科学</w:t>
            </w:r>
          </w:p>
        </w:tc>
        <w:tc>
          <w:tcPr>
            <w:tcW w:w="326" w:type="pct"/>
            <w:tcBorders>
              <w:top w:val="single" w:color="auto" w:sz="4" w:space="0"/>
              <w:left w:val="nil"/>
              <w:bottom w:val="single" w:color="auto" w:sz="8" w:space="0"/>
              <w:right w:val="single" w:color="auto" w:sz="8" w:space="0"/>
            </w:tcBorders>
            <w:noWrap w:val="0"/>
            <w:vAlign w:val="center"/>
          </w:tcPr>
          <w:p w14:paraId="380A84A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4</w:t>
            </w:r>
          </w:p>
        </w:tc>
      </w:tr>
      <w:tr w14:paraId="491B5A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50" w:hRule="atLeast"/>
        </w:trPr>
        <w:tc>
          <w:tcPr>
            <w:tcW w:w="305" w:type="pct"/>
            <w:vMerge w:val="continue"/>
            <w:tcBorders>
              <w:top w:val="nil"/>
              <w:left w:val="single" w:color="auto" w:sz="4" w:space="0"/>
              <w:bottom w:val="single" w:color="auto" w:sz="8" w:space="0"/>
              <w:right w:val="single" w:color="auto" w:sz="8" w:space="0"/>
            </w:tcBorders>
            <w:noWrap w:val="0"/>
            <w:vAlign w:val="center"/>
          </w:tcPr>
          <w:p w14:paraId="047FB8A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07" w:type="pct"/>
            <w:vMerge w:val="continue"/>
            <w:tcBorders>
              <w:top w:val="nil"/>
              <w:left w:val="nil"/>
              <w:bottom w:val="single" w:color="auto" w:sz="8" w:space="0"/>
              <w:right w:val="single" w:color="auto" w:sz="8" w:space="0"/>
            </w:tcBorders>
            <w:noWrap w:val="0"/>
            <w:vAlign w:val="center"/>
          </w:tcPr>
          <w:p w14:paraId="4012B66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310" w:type="pct"/>
            <w:vMerge w:val="continue"/>
            <w:tcBorders>
              <w:top w:val="nil"/>
              <w:left w:val="nil"/>
              <w:bottom w:val="single" w:color="auto" w:sz="8" w:space="0"/>
              <w:right w:val="single" w:color="auto" w:sz="8" w:space="0"/>
            </w:tcBorders>
            <w:noWrap w:val="0"/>
            <w:vAlign w:val="center"/>
          </w:tcPr>
          <w:p w14:paraId="47A7CD5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12" w:type="pct"/>
            <w:vMerge w:val="continue"/>
            <w:tcBorders>
              <w:top w:val="nil"/>
              <w:left w:val="nil"/>
              <w:bottom w:val="single" w:color="auto" w:sz="8" w:space="0"/>
              <w:right w:val="single" w:color="auto" w:sz="8" w:space="0"/>
            </w:tcBorders>
            <w:noWrap w:val="0"/>
            <w:vAlign w:val="center"/>
          </w:tcPr>
          <w:p w14:paraId="56E55D4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427" w:type="pct"/>
            <w:tcBorders>
              <w:top w:val="nil"/>
              <w:left w:val="nil"/>
              <w:bottom w:val="single" w:color="auto" w:sz="8" w:space="0"/>
              <w:right w:val="single" w:color="auto" w:sz="8" w:space="0"/>
            </w:tcBorders>
            <w:noWrap w:val="0"/>
            <w:vAlign w:val="center"/>
          </w:tcPr>
          <w:p w14:paraId="4773A7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资金分配合理性</w:t>
            </w:r>
          </w:p>
        </w:tc>
        <w:tc>
          <w:tcPr>
            <w:tcW w:w="242" w:type="pct"/>
            <w:tcBorders>
              <w:top w:val="nil"/>
              <w:left w:val="nil"/>
              <w:bottom w:val="single" w:color="auto" w:sz="8" w:space="0"/>
              <w:right w:val="single" w:color="auto" w:sz="8" w:space="0"/>
            </w:tcBorders>
            <w:noWrap w:val="0"/>
            <w:vAlign w:val="center"/>
          </w:tcPr>
          <w:p w14:paraId="29F5702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4</w:t>
            </w:r>
          </w:p>
        </w:tc>
        <w:tc>
          <w:tcPr>
            <w:tcW w:w="658" w:type="pct"/>
            <w:tcBorders>
              <w:top w:val="nil"/>
              <w:left w:val="nil"/>
              <w:bottom w:val="single" w:color="auto" w:sz="8" w:space="0"/>
              <w:right w:val="single" w:color="auto" w:sz="8" w:space="0"/>
            </w:tcBorders>
            <w:noWrap w:val="0"/>
            <w:vAlign w:val="center"/>
          </w:tcPr>
          <w:p w14:paraId="12BB7D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项目预算资金分配是否有测算依据，与补助单位或地方实际是否相适应，用以反映和考核项目预算资金分配的科学性、合理性情况。</w:t>
            </w:r>
          </w:p>
        </w:tc>
        <w:tc>
          <w:tcPr>
            <w:tcW w:w="266" w:type="pct"/>
            <w:tcBorders>
              <w:top w:val="nil"/>
              <w:left w:val="nil"/>
              <w:bottom w:val="single" w:color="auto" w:sz="8" w:space="0"/>
              <w:right w:val="single" w:color="auto" w:sz="8" w:space="0"/>
            </w:tcBorders>
            <w:noWrap w:val="0"/>
            <w:vAlign w:val="center"/>
          </w:tcPr>
          <w:p w14:paraId="7316668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合理</w:t>
            </w:r>
          </w:p>
        </w:tc>
        <w:tc>
          <w:tcPr>
            <w:tcW w:w="1723" w:type="pct"/>
            <w:tcBorders>
              <w:top w:val="nil"/>
              <w:left w:val="nil"/>
              <w:bottom w:val="single" w:color="auto" w:sz="8" w:space="0"/>
              <w:right w:val="single" w:color="auto" w:sz="8" w:space="0"/>
            </w:tcBorders>
            <w:noWrap w:val="0"/>
            <w:vAlign w:val="center"/>
          </w:tcPr>
          <w:p w14:paraId="716FD57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①预算资金分配依据是否充分；</w:t>
            </w:r>
          </w:p>
          <w:p w14:paraId="1CDE631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②资金分配额度是否合理，与项目单位或地方实际是否相适应。</w:t>
            </w:r>
          </w:p>
          <w:p w14:paraId="2422340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以上每条要素各占权重的50%，每有一条不符合，扣除对应的权重分，扣完为止。</w:t>
            </w:r>
          </w:p>
        </w:tc>
        <w:tc>
          <w:tcPr>
            <w:tcW w:w="319" w:type="pct"/>
            <w:tcBorders>
              <w:top w:val="nil"/>
              <w:left w:val="nil"/>
              <w:bottom w:val="single" w:color="auto" w:sz="8" w:space="0"/>
              <w:right w:val="single" w:color="auto" w:sz="8" w:space="0"/>
            </w:tcBorders>
            <w:noWrap w:val="0"/>
            <w:vAlign w:val="center"/>
          </w:tcPr>
          <w:p w14:paraId="26228CE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合理</w:t>
            </w:r>
          </w:p>
        </w:tc>
        <w:tc>
          <w:tcPr>
            <w:tcW w:w="326" w:type="pct"/>
            <w:tcBorders>
              <w:top w:val="nil"/>
              <w:left w:val="nil"/>
              <w:bottom w:val="single" w:color="auto" w:sz="8" w:space="0"/>
              <w:right w:val="single" w:color="auto" w:sz="8" w:space="0"/>
            </w:tcBorders>
            <w:noWrap w:val="0"/>
            <w:vAlign w:val="center"/>
          </w:tcPr>
          <w:p w14:paraId="13D58AF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4</w:t>
            </w:r>
          </w:p>
        </w:tc>
      </w:tr>
      <w:tr w14:paraId="034968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70" w:hRule="atLeast"/>
        </w:trPr>
        <w:tc>
          <w:tcPr>
            <w:tcW w:w="305" w:type="pct"/>
            <w:vMerge w:val="restart"/>
            <w:tcBorders>
              <w:top w:val="nil"/>
              <w:left w:val="single" w:color="auto" w:sz="4" w:space="0"/>
              <w:bottom w:val="single" w:color="auto" w:sz="8" w:space="0"/>
              <w:right w:val="single" w:color="auto" w:sz="8" w:space="0"/>
            </w:tcBorders>
            <w:noWrap w:val="0"/>
            <w:vAlign w:val="center"/>
          </w:tcPr>
          <w:p w14:paraId="49DB9C2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项目过程</w:t>
            </w:r>
          </w:p>
        </w:tc>
        <w:tc>
          <w:tcPr>
            <w:tcW w:w="207" w:type="pct"/>
            <w:vMerge w:val="restart"/>
            <w:tcBorders>
              <w:top w:val="nil"/>
              <w:left w:val="nil"/>
              <w:bottom w:val="single" w:color="auto" w:sz="8" w:space="0"/>
              <w:right w:val="single" w:color="auto" w:sz="8" w:space="0"/>
            </w:tcBorders>
            <w:noWrap w:val="0"/>
            <w:vAlign w:val="center"/>
          </w:tcPr>
          <w:p w14:paraId="41506FC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12</w:t>
            </w:r>
          </w:p>
        </w:tc>
        <w:tc>
          <w:tcPr>
            <w:tcW w:w="310" w:type="pct"/>
            <w:vMerge w:val="restart"/>
            <w:tcBorders>
              <w:top w:val="nil"/>
              <w:left w:val="nil"/>
              <w:bottom w:val="single" w:color="auto" w:sz="8" w:space="0"/>
              <w:right w:val="single" w:color="auto" w:sz="8" w:space="0"/>
            </w:tcBorders>
            <w:noWrap w:val="0"/>
            <w:vAlign w:val="center"/>
          </w:tcPr>
          <w:p w14:paraId="1C6392C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资金管理</w:t>
            </w:r>
          </w:p>
        </w:tc>
        <w:tc>
          <w:tcPr>
            <w:tcW w:w="212" w:type="pct"/>
            <w:vMerge w:val="restart"/>
            <w:tcBorders>
              <w:top w:val="nil"/>
              <w:left w:val="nil"/>
              <w:bottom w:val="single" w:color="auto" w:sz="8" w:space="0"/>
              <w:right w:val="single" w:color="auto" w:sz="8" w:space="0"/>
            </w:tcBorders>
            <w:noWrap w:val="0"/>
            <w:vAlign w:val="center"/>
          </w:tcPr>
          <w:p w14:paraId="760654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6</w:t>
            </w:r>
          </w:p>
        </w:tc>
        <w:tc>
          <w:tcPr>
            <w:tcW w:w="427" w:type="pct"/>
            <w:tcBorders>
              <w:top w:val="nil"/>
              <w:left w:val="nil"/>
              <w:bottom w:val="single" w:color="auto" w:sz="8" w:space="0"/>
              <w:right w:val="single" w:color="auto" w:sz="8" w:space="0"/>
            </w:tcBorders>
            <w:noWrap w:val="0"/>
            <w:vAlign w:val="center"/>
          </w:tcPr>
          <w:p w14:paraId="161AEF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资金到位率</w:t>
            </w:r>
          </w:p>
        </w:tc>
        <w:tc>
          <w:tcPr>
            <w:tcW w:w="242" w:type="pct"/>
            <w:tcBorders>
              <w:top w:val="nil"/>
              <w:left w:val="nil"/>
              <w:bottom w:val="single" w:color="auto" w:sz="8" w:space="0"/>
              <w:right w:val="single" w:color="auto" w:sz="8" w:space="0"/>
            </w:tcBorders>
            <w:noWrap w:val="0"/>
            <w:vAlign w:val="center"/>
          </w:tcPr>
          <w:p w14:paraId="4718C80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w:t>
            </w:r>
          </w:p>
        </w:tc>
        <w:tc>
          <w:tcPr>
            <w:tcW w:w="658" w:type="pct"/>
            <w:tcBorders>
              <w:top w:val="nil"/>
              <w:left w:val="nil"/>
              <w:bottom w:val="single" w:color="auto" w:sz="8" w:space="0"/>
              <w:right w:val="single" w:color="auto" w:sz="8" w:space="0"/>
            </w:tcBorders>
            <w:noWrap w:val="0"/>
            <w:vAlign w:val="center"/>
          </w:tcPr>
          <w:p w14:paraId="66FA286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实际到位资金与预算资金的比率，用以反映和考核资金落实情况对项目实施的总体保障程度。</w:t>
            </w:r>
          </w:p>
        </w:tc>
        <w:tc>
          <w:tcPr>
            <w:tcW w:w="266" w:type="pct"/>
            <w:tcBorders>
              <w:top w:val="nil"/>
              <w:left w:val="nil"/>
              <w:bottom w:val="single" w:color="auto" w:sz="8" w:space="0"/>
              <w:right w:val="single" w:color="auto" w:sz="8" w:space="0"/>
            </w:tcBorders>
            <w:noWrap w:val="0"/>
            <w:vAlign w:val="center"/>
          </w:tcPr>
          <w:p w14:paraId="3439C3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100%</w:t>
            </w:r>
          </w:p>
        </w:tc>
        <w:tc>
          <w:tcPr>
            <w:tcW w:w="1723" w:type="pct"/>
            <w:tcBorders>
              <w:top w:val="nil"/>
              <w:left w:val="nil"/>
              <w:bottom w:val="single" w:color="auto" w:sz="8" w:space="0"/>
              <w:right w:val="single" w:color="auto" w:sz="8" w:space="0"/>
            </w:tcBorders>
            <w:noWrap w:val="0"/>
            <w:vAlign w:val="center"/>
          </w:tcPr>
          <w:p w14:paraId="332A285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资金到位率=（实际到位资金/预算资金）×100%。</w:t>
            </w:r>
          </w:p>
          <w:p w14:paraId="2902B10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资金到位率=100%，得权重分满分，每降低1%，扣除5%权重分，扣完为止。</w:t>
            </w:r>
          </w:p>
        </w:tc>
        <w:tc>
          <w:tcPr>
            <w:tcW w:w="319" w:type="pct"/>
            <w:tcBorders>
              <w:top w:val="nil"/>
              <w:left w:val="nil"/>
              <w:bottom w:val="single" w:color="auto" w:sz="8" w:space="0"/>
              <w:right w:val="single" w:color="auto" w:sz="8" w:space="0"/>
            </w:tcBorders>
            <w:noWrap w:val="0"/>
            <w:vAlign w:val="center"/>
          </w:tcPr>
          <w:p w14:paraId="22A8950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100%</w:t>
            </w:r>
          </w:p>
        </w:tc>
        <w:tc>
          <w:tcPr>
            <w:tcW w:w="326" w:type="pct"/>
            <w:tcBorders>
              <w:top w:val="nil"/>
              <w:left w:val="nil"/>
              <w:bottom w:val="single" w:color="auto" w:sz="8" w:space="0"/>
              <w:right w:val="single" w:color="auto" w:sz="8" w:space="0"/>
            </w:tcBorders>
            <w:noWrap w:val="0"/>
            <w:vAlign w:val="center"/>
          </w:tcPr>
          <w:p w14:paraId="77724F4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w:t>
            </w:r>
          </w:p>
        </w:tc>
      </w:tr>
      <w:tr w14:paraId="3CBD3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05" w:type="pct"/>
            <w:vMerge w:val="continue"/>
            <w:tcBorders>
              <w:top w:val="nil"/>
              <w:left w:val="single" w:color="auto" w:sz="4" w:space="0"/>
              <w:bottom w:val="single" w:color="auto" w:sz="4" w:space="0"/>
              <w:right w:val="single" w:color="auto" w:sz="8" w:space="0"/>
            </w:tcBorders>
            <w:noWrap w:val="0"/>
            <w:vAlign w:val="center"/>
          </w:tcPr>
          <w:p w14:paraId="1597D1B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07" w:type="pct"/>
            <w:vMerge w:val="continue"/>
            <w:tcBorders>
              <w:top w:val="nil"/>
              <w:left w:val="nil"/>
              <w:bottom w:val="single" w:color="auto" w:sz="4" w:space="0"/>
              <w:right w:val="single" w:color="auto" w:sz="8" w:space="0"/>
            </w:tcBorders>
            <w:noWrap w:val="0"/>
            <w:vAlign w:val="center"/>
          </w:tcPr>
          <w:p w14:paraId="627F9CD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310" w:type="pct"/>
            <w:vMerge w:val="continue"/>
            <w:tcBorders>
              <w:top w:val="nil"/>
              <w:left w:val="nil"/>
              <w:bottom w:val="single" w:color="auto" w:sz="4" w:space="0"/>
              <w:right w:val="single" w:color="auto" w:sz="8" w:space="0"/>
            </w:tcBorders>
            <w:noWrap w:val="0"/>
            <w:vAlign w:val="center"/>
          </w:tcPr>
          <w:p w14:paraId="642103F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12" w:type="pct"/>
            <w:vMerge w:val="continue"/>
            <w:tcBorders>
              <w:top w:val="nil"/>
              <w:left w:val="nil"/>
              <w:bottom w:val="single" w:color="auto" w:sz="4" w:space="0"/>
              <w:right w:val="single" w:color="auto" w:sz="8" w:space="0"/>
            </w:tcBorders>
            <w:noWrap w:val="0"/>
            <w:vAlign w:val="center"/>
          </w:tcPr>
          <w:p w14:paraId="2733952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427" w:type="pct"/>
            <w:tcBorders>
              <w:top w:val="nil"/>
              <w:left w:val="nil"/>
              <w:bottom w:val="single" w:color="auto" w:sz="4" w:space="0"/>
              <w:right w:val="single" w:color="auto" w:sz="8" w:space="0"/>
            </w:tcBorders>
            <w:noWrap w:val="0"/>
            <w:vAlign w:val="center"/>
          </w:tcPr>
          <w:p w14:paraId="5A24EAC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预算执行率</w:t>
            </w:r>
          </w:p>
        </w:tc>
        <w:tc>
          <w:tcPr>
            <w:tcW w:w="242" w:type="pct"/>
            <w:tcBorders>
              <w:top w:val="nil"/>
              <w:left w:val="nil"/>
              <w:bottom w:val="single" w:color="auto" w:sz="4" w:space="0"/>
              <w:right w:val="single" w:color="auto" w:sz="8" w:space="0"/>
            </w:tcBorders>
            <w:noWrap w:val="0"/>
            <w:vAlign w:val="center"/>
          </w:tcPr>
          <w:p w14:paraId="6A1E20A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2</w:t>
            </w:r>
          </w:p>
        </w:tc>
        <w:tc>
          <w:tcPr>
            <w:tcW w:w="658" w:type="pct"/>
            <w:tcBorders>
              <w:top w:val="nil"/>
              <w:left w:val="nil"/>
              <w:bottom w:val="single" w:color="auto" w:sz="4" w:space="0"/>
              <w:right w:val="single" w:color="auto" w:sz="8" w:space="0"/>
            </w:tcBorders>
            <w:noWrap w:val="0"/>
            <w:vAlign w:val="center"/>
          </w:tcPr>
          <w:p w14:paraId="45DBA19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项目预算资金是否按照计划执行，用以反映或考核项目预算执行情况。</w:t>
            </w:r>
          </w:p>
        </w:tc>
        <w:tc>
          <w:tcPr>
            <w:tcW w:w="266" w:type="pct"/>
            <w:tcBorders>
              <w:top w:val="nil"/>
              <w:left w:val="nil"/>
              <w:bottom w:val="single" w:color="auto" w:sz="4" w:space="0"/>
              <w:right w:val="single" w:color="auto" w:sz="8" w:space="0"/>
            </w:tcBorders>
            <w:noWrap w:val="0"/>
            <w:vAlign w:val="center"/>
          </w:tcPr>
          <w:p w14:paraId="47F67E5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100%</w:t>
            </w:r>
          </w:p>
        </w:tc>
        <w:tc>
          <w:tcPr>
            <w:tcW w:w="1723" w:type="pct"/>
            <w:tcBorders>
              <w:top w:val="nil"/>
              <w:left w:val="nil"/>
              <w:bottom w:val="single" w:color="auto" w:sz="4" w:space="0"/>
              <w:right w:val="single" w:color="auto" w:sz="8" w:space="0"/>
            </w:tcBorders>
            <w:noWrap w:val="0"/>
            <w:vAlign w:val="center"/>
          </w:tcPr>
          <w:p w14:paraId="5A8A308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预算执行率=（实际支出资金/实际到位资金）×100%。</w:t>
            </w:r>
          </w:p>
          <w:p w14:paraId="2F53C0F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预算执行率=100%，得权重分满分；若预算执行率＜100%，得分=预算执行率*分值；若执行率≤60%，则不得分。</w:t>
            </w:r>
          </w:p>
        </w:tc>
        <w:tc>
          <w:tcPr>
            <w:tcW w:w="319" w:type="pct"/>
            <w:tcBorders>
              <w:top w:val="nil"/>
              <w:left w:val="nil"/>
              <w:bottom w:val="single" w:color="auto" w:sz="4" w:space="0"/>
              <w:right w:val="single" w:color="auto" w:sz="8" w:space="0"/>
            </w:tcBorders>
            <w:noWrap w:val="0"/>
            <w:vAlign w:val="center"/>
          </w:tcPr>
          <w:p w14:paraId="7A94F41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100%</w:t>
            </w:r>
          </w:p>
        </w:tc>
        <w:tc>
          <w:tcPr>
            <w:tcW w:w="326" w:type="pct"/>
            <w:tcBorders>
              <w:top w:val="nil"/>
              <w:left w:val="nil"/>
              <w:bottom w:val="single" w:color="auto" w:sz="4" w:space="0"/>
              <w:right w:val="single" w:color="auto" w:sz="8" w:space="0"/>
            </w:tcBorders>
            <w:noWrap w:val="0"/>
            <w:vAlign w:val="center"/>
          </w:tcPr>
          <w:p w14:paraId="48C3668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2</w:t>
            </w:r>
          </w:p>
        </w:tc>
      </w:tr>
      <w:tr w14:paraId="1DAB7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0" w:hRule="atLeast"/>
        </w:trPr>
        <w:tc>
          <w:tcPr>
            <w:tcW w:w="305" w:type="pct"/>
            <w:vMerge w:val="continue"/>
            <w:tcBorders>
              <w:top w:val="single" w:color="auto" w:sz="4" w:space="0"/>
              <w:left w:val="single" w:color="auto" w:sz="4" w:space="0"/>
              <w:bottom w:val="single" w:color="auto" w:sz="4" w:space="0"/>
              <w:right w:val="single" w:color="auto" w:sz="8" w:space="0"/>
            </w:tcBorders>
            <w:noWrap w:val="0"/>
            <w:vAlign w:val="center"/>
          </w:tcPr>
          <w:p w14:paraId="6DC6C16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07" w:type="pct"/>
            <w:vMerge w:val="continue"/>
            <w:tcBorders>
              <w:top w:val="single" w:color="auto" w:sz="4" w:space="0"/>
              <w:left w:val="nil"/>
              <w:bottom w:val="single" w:color="auto" w:sz="4" w:space="0"/>
              <w:right w:val="single" w:color="auto" w:sz="8" w:space="0"/>
            </w:tcBorders>
            <w:noWrap w:val="0"/>
            <w:vAlign w:val="center"/>
          </w:tcPr>
          <w:p w14:paraId="7CD3AC5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310" w:type="pct"/>
            <w:vMerge w:val="continue"/>
            <w:tcBorders>
              <w:top w:val="single" w:color="auto" w:sz="4" w:space="0"/>
              <w:left w:val="nil"/>
              <w:bottom w:val="single" w:color="auto" w:sz="4" w:space="0"/>
              <w:right w:val="single" w:color="auto" w:sz="8" w:space="0"/>
            </w:tcBorders>
            <w:noWrap w:val="0"/>
            <w:vAlign w:val="center"/>
          </w:tcPr>
          <w:p w14:paraId="08073D9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12" w:type="pct"/>
            <w:vMerge w:val="continue"/>
            <w:tcBorders>
              <w:top w:val="single" w:color="auto" w:sz="4" w:space="0"/>
              <w:left w:val="nil"/>
              <w:bottom w:val="single" w:color="auto" w:sz="4" w:space="0"/>
              <w:right w:val="single" w:color="auto" w:sz="8" w:space="0"/>
            </w:tcBorders>
            <w:noWrap w:val="0"/>
            <w:vAlign w:val="center"/>
          </w:tcPr>
          <w:p w14:paraId="62DCD65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427" w:type="pct"/>
            <w:tcBorders>
              <w:top w:val="single" w:color="auto" w:sz="4" w:space="0"/>
              <w:left w:val="nil"/>
              <w:bottom w:val="single" w:color="auto" w:sz="4" w:space="0"/>
              <w:right w:val="single" w:color="auto" w:sz="8" w:space="0"/>
            </w:tcBorders>
            <w:noWrap w:val="0"/>
            <w:vAlign w:val="center"/>
          </w:tcPr>
          <w:p w14:paraId="554D0D2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资金使用合规性</w:t>
            </w:r>
          </w:p>
        </w:tc>
        <w:tc>
          <w:tcPr>
            <w:tcW w:w="242" w:type="pct"/>
            <w:tcBorders>
              <w:top w:val="single" w:color="auto" w:sz="4" w:space="0"/>
              <w:left w:val="nil"/>
              <w:bottom w:val="single" w:color="auto" w:sz="4" w:space="0"/>
              <w:right w:val="single" w:color="auto" w:sz="8" w:space="0"/>
            </w:tcBorders>
            <w:noWrap w:val="0"/>
            <w:vAlign w:val="center"/>
          </w:tcPr>
          <w:p w14:paraId="3A616BB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3</w:t>
            </w:r>
          </w:p>
        </w:tc>
        <w:tc>
          <w:tcPr>
            <w:tcW w:w="658" w:type="pct"/>
            <w:tcBorders>
              <w:top w:val="single" w:color="auto" w:sz="4" w:space="0"/>
              <w:left w:val="nil"/>
              <w:bottom w:val="single" w:color="auto" w:sz="4" w:space="0"/>
              <w:right w:val="single" w:color="auto" w:sz="8" w:space="0"/>
            </w:tcBorders>
            <w:noWrap w:val="0"/>
            <w:vAlign w:val="center"/>
          </w:tcPr>
          <w:p w14:paraId="104F5A1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项目资金使用是否符合相关的财务管理制度规定，用以反映和考核项目资金的规范运行情况。</w:t>
            </w:r>
          </w:p>
        </w:tc>
        <w:tc>
          <w:tcPr>
            <w:tcW w:w="266" w:type="pct"/>
            <w:tcBorders>
              <w:top w:val="single" w:color="auto" w:sz="4" w:space="0"/>
              <w:left w:val="nil"/>
              <w:bottom w:val="single" w:color="auto" w:sz="4" w:space="0"/>
              <w:right w:val="single" w:color="auto" w:sz="8" w:space="0"/>
            </w:tcBorders>
            <w:noWrap w:val="0"/>
            <w:vAlign w:val="center"/>
          </w:tcPr>
          <w:p w14:paraId="69786E0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合规</w:t>
            </w:r>
          </w:p>
        </w:tc>
        <w:tc>
          <w:tcPr>
            <w:tcW w:w="1723" w:type="pct"/>
            <w:tcBorders>
              <w:top w:val="single" w:color="auto" w:sz="4" w:space="0"/>
              <w:left w:val="nil"/>
              <w:bottom w:val="single" w:color="auto" w:sz="4" w:space="0"/>
              <w:right w:val="single" w:color="auto" w:sz="8" w:space="0"/>
            </w:tcBorders>
            <w:noWrap w:val="0"/>
            <w:vAlign w:val="center"/>
          </w:tcPr>
          <w:p w14:paraId="7EF9C2C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①否符合国家财经法规和财务管理制度以及有关专项资金管理办法的规定；</w:t>
            </w:r>
          </w:p>
          <w:p w14:paraId="3AF9D2B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②资金的拨付是否有完整的审批程序和手续；</w:t>
            </w:r>
          </w:p>
          <w:p w14:paraId="1C6CA8F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③是否符合项目预算批复或合同规定的用途；</w:t>
            </w:r>
          </w:p>
          <w:p w14:paraId="4F4B5C3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④是否存在截留、挤占、挪用、虚列支出等情况。</w:t>
            </w:r>
          </w:p>
          <w:p w14:paraId="7FBC36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以上每条指标各占权重分的25%，要素①②不符合，扣除对应权重分；要素③④不符合属于重大违纪，该指标不得分。</w:t>
            </w:r>
          </w:p>
        </w:tc>
        <w:tc>
          <w:tcPr>
            <w:tcW w:w="319" w:type="pct"/>
            <w:tcBorders>
              <w:top w:val="single" w:color="auto" w:sz="4" w:space="0"/>
              <w:left w:val="nil"/>
              <w:bottom w:val="single" w:color="auto" w:sz="4" w:space="0"/>
              <w:right w:val="single" w:color="auto" w:sz="8" w:space="0"/>
            </w:tcBorders>
            <w:noWrap w:val="0"/>
            <w:vAlign w:val="center"/>
          </w:tcPr>
          <w:p w14:paraId="06BC988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合规</w:t>
            </w:r>
          </w:p>
        </w:tc>
        <w:tc>
          <w:tcPr>
            <w:tcW w:w="326" w:type="pct"/>
            <w:tcBorders>
              <w:top w:val="single" w:color="auto" w:sz="4" w:space="0"/>
              <w:left w:val="nil"/>
              <w:bottom w:val="single" w:color="auto" w:sz="4" w:space="0"/>
              <w:right w:val="single" w:color="auto" w:sz="4" w:space="0"/>
            </w:tcBorders>
            <w:noWrap w:val="0"/>
            <w:vAlign w:val="center"/>
          </w:tcPr>
          <w:p w14:paraId="02F290B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3</w:t>
            </w:r>
          </w:p>
        </w:tc>
      </w:tr>
      <w:tr w14:paraId="195948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0" w:hRule="atLeast"/>
        </w:trPr>
        <w:tc>
          <w:tcPr>
            <w:tcW w:w="305" w:type="pct"/>
            <w:vMerge w:val="continue"/>
            <w:tcBorders>
              <w:top w:val="single" w:color="auto" w:sz="4" w:space="0"/>
              <w:left w:val="single" w:color="auto" w:sz="4" w:space="0"/>
              <w:bottom w:val="single" w:color="auto" w:sz="8" w:space="0"/>
              <w:right w:val="single" w:color="auto" w:sz="8" w:space="0"/>
            </w:tcBorders>
            <w:noWrap w:val="0"/>
            <w:vAlign w:val="center"/>
          </w:tcPr>
          <w:p w14:paraId="517574F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07" w:type="pct"/>
            <w:vMerge w:val="continue"/>
            <w:tcBorders>
              <w:top w:val="single" w:color="auto" w:sz="4" w:space="0"/>
              <w:left w:val="nil"/>
              <w:bottom w:val="single" w:color="auto" w:sz="8" w:space="0"/>
              <w:right w:val="single" w:color="auto" w:sz="8" w:space="0"/>
            </w:tcBorders>
            <w:noWrap w:val="0"/>
            <w:vAlign w:val="center"/>
          </w:tcPr>
          <w:p w14:paraId="222BB0C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310" w:type="pct"/>
            <w:vMerge w:val="restart"/>
            <w:tcBorders>
              <w:top w:val="single" w:color="auto" w:sz="4" w:space="0"/>
              <w:left w:val="nil"/>
              <w:bottom w:val="single" w:color="auto" w:sz="8" w:space="0"/>
              <w:right w:val="single" w:color="auto" w:sz="8" w:space="0"/>
            </w:tcBorders>
            <w:noWrap w:val="0"/>
            <w:vAlign w:val="center"/>
          </w:tcPr>
          <w:p w14:paraId="523D69C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组织实施</w:t>
            </w:r>
          </w:p>
        </w:tc>
        <w:tc>
          <w:tcPr>
            <w:tcW w:w="212" w:type="pct"/>
            <w:vMerge w:val="restart"/>
            <w:tcBorders>
              <w:top w:val="single" w:color="auto" w:sz="4" w:space="0"/>
              <w:left w:val="nil"/>
              <w:bottom w:val="single" w:color="auto" w:sz="8" w:space="0"/>
              <w:right w:val="single" w:color="auto" w:sz="8" w:space="0"/>
            </w:tcBorders>
            <w:noWrap w:val="0"/>
            <w:vAlign w:val="center"/>
          </w:tcPr>
          <w:p w14:paraId="0A8D318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6</w:t>
            </w:r>
          </w:p>
        </w:tc>
        <w:tc>
          <w:tcPr>
            <w:tcW w:w="427" w:type="pct"/>
            <w:tcBorders>
              <w:top w:val="single" w:color="auto" w:sz="4" w:space="0"/>
              <w:left w:val="nil"/>
              <w:bottom w:val="single" w:color="auto" w:sz="8" w:space="0"/>
              <w:right w:val="single" w:color="auto" w:sz="8" w:space="0"/>
            </w:tcBorders>
            <w:noWrap w:val="0"/>
            <w:vAlign w:val="center"/>
          </w:tcPr>
          <w:p w14:paraId="05BF3A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管理制度健全性</w:t>
            </w:r>
          </w:p>
        </w:tc>
        <w:tc>
          <w:tcPr>
            <w:tcW w:w="242" w:type="pct"/>
            <w:tcBorders>
              <w:top w:val="single" w:color="auto" w:sz="4" w:space="0"/>
              <w:left w:val="nil"/>
              <w:bottom w:val="single" w:color="auto" w:sz="8" w:space="0"/>
              <w:right w:val="single" w:color="auto" w:sz="8" w:space="0"/>
            </w:tcBorders>
            <w:noWrap w:val="0"/>
            <w:vAlign w:val="center"/>
          </w:tcPr>
          <w:p w14:paraId="417E64A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3</w:t>
            </w:r>
          </w:p>
        </w:tc>
        <w:tc>
          <w:tcPr>
            <w:tcW w:w="658" w:type="pct"/>
            <w:tcBorders>
              <w:top w:val="single" w:color="auto" w:sz="4" w:space="0"/>
              <w:left w:val="nil"/>
              <w:bottom w:val="single" w:color="auto" w:sz="8" w:space="0"/>
              <w:right w:val="single" w:color="auto" w:sz="8" w:space="0"/>
            </w:tcBorders>
            <w:noWrap w:val="0"/>
            <w:vAlign w:val="center"/>
          </w:tcPr>
          <w:p w14:paraId="1537D18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项目实施单位的财务和业务管理制度是否健全，用以反映和考核财务和业务管理制度对项目顺利实施的保障情况。</w:t>
            </w:r>
          </w:p>
        </w:tc>
        <w:tc>
          <w:tcPr>
            <w:tcW w:w="266" w:type="pct"/>
            <w:tcBorders>
              <w:top w:val="single" w:color="auto" w:sz="4" w:space="0"/>
              <w:left w:val="nil"/>
              <w:bottom w:val="single" w:color="auto" w:sz="8" w:space="0"/>
              <w:right w:val="single" w:color="auto" w:sz="8" w:space="0"/>
            </w:tcBorders>
            <w:noWrap w:val="0"/>
            <w:vAlign w:val="center"/>
          </w:tcPr>
          <w:p w14:paraId="5DF4A37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健全</w:t>
            </w:r>
          </w:p>
        </w:tc>
        <w:tc>
          <w:tcPr>
            <w:tcW w:w="1723" w:type="pct"/>
            <w:tcBorders>
              <w:top w:val="single" w:color="auto" w:sz="4" w:space="0"/>
              <w:left w:val="nil"/>
              <w:bottom w:val="single" w:color="auto" w:sz="4" w:space="0"/>
              <w:right w:val="single" w:color="auto" w:sz="8" w:space="0"/>
            </w:tcBorders>
            <w:noWrap w:val="0"/>
            <w:vAlign w:val="center"/>
          </w:tcPr>
          <w:p w14:paraId="33F4FC1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①是否已制定或具有相应的财务和业务管理制度；</w:t>
            </w:r>
          </w:p>
          <w:p w14:paraId="0C896E7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②财务和业务管理制度是否合法、合规、完整。</w:t>
            </w:r>
          </w:p>
          <w:p w14:paraId="15FD4B0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以上每条要素各占权重的50%，每有一条不符合，扣除对应的权重分，扣完为止。</w:t>
            </w:r>
          </w:p>
        </w:tc>
        <w:tc>
          <w:tcPr>
            <w:tcW w:w="319" w:type="pct"/>
            <w:tcBorders>
              <w:top w:val="single" w:color="auto" w:sz="4" w:space="0"/>
              <w:left w:val="nil"/>
              <w:bottom w:val="single" w:color="auto" w:sz="8" w:space="0"/>
              <w:right w:val="single" w:color="auto" w:sz="8" w:space="0"/>
            </w:tcBorders>
            <w:noWrap w:val="0"/>
            <w:vAlign w:val="center"/>
          </w:tcPr>
          <w:p w14:paraId="512F562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健全</w:t>
            </w:r>
          </w:p>
        </w:tc>
        <w:tc>
          <w:tcPr>
            <w:tcW w:w="326" w:type="pct"/>
            <w:tcBorders>
              <w:top w:val="single" w:color="auto" w:sz="4" w:space="0"/>
              <w:left w:val="nil"/>
              <w:bottom w:val="single" w:color="auto" w:sz="8" w:space="0"/>
              <w:right w:val="single" w:color="auto" w:sz="8" w:space="0"/>
            </w:tcBorders>
            <w:noWrap w:val="0"/>
            <w:vAlign w:val="center"/>
          </w:tcPr>
          <w:p w14:paraId="59C77C9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3</w:t>
            </w:r>
          </w:p>
        </w:tc>
      </w:tr>
      <w:tr w14:paraId="6D050B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9" w:hRule="atLeast"/>
        </w:trPr>
        <w:tc>
          <w:tcPr>
            <w:tcW w:w="305" w:type="pct"/>
            <w:vMerge w:val="continue"/>
            <w:tcBorders>
              <w:top w:val="nil"/>
              <w:left w:val="single" w:color="auto" w:sz="4" w:space="0"/>
              <w:bottom w:val="single" w:color="auto" w:sz="8" w:space="0"/>
              <w:right w:val="single" w:color="auto" w:sz="8" w:space="0"/>
            </w:tcBorders>
            <w:noWrap w:val="0"/>
            <w:vAlign w:val="center"/>
          </w:tcPr>
          <w:p w14:paraId="3E5F7C6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07" w:type="pct"/>
            <w:vMerge w:val="continue"/>
            <w:tcBorders>
              <w:top w:val="nil"/>
              <w:left w:val="nil"/>
              <w:bottom w:val="single" w:color="auto" w:sz="8" w:space="0"/>
              <w:right w:val="single" w:color="auto" w:sz="8" w:space="0"/>
            </w:tcBorders>
            <w:noWrap w:val="0"/>
            <w:vAlign w:val="center"/>
          </w:tcPr>
          <w:p w14:paraId="4E473F8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310" w:type="pct"/>
            <w:vMerge w:val="continue"/>
            <w:tcBorders>
              <w:top w:val="nil"/>
              <w:left w:val="nil"/>
              <w:bottom w:val="single" w:color="auto" w:sz="8" w:space="0"/>
              <w:right w:val="single" w:color="auto" w:sz="8" w:space="0"/>
            </w:tcBorders>
            <w:noWrap w:val="0"/>
            <w:vAlign w:val="center"/>
          </w:tcPr>
          <w:p w14:paraId="794CBB6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12" w:type="pct"/>
            <w:vMerge w:val="continue"/>
            <w:tcBorders>
              <w:top w:val="nil"/>
              <w:left w:val="nil"/>
              <w:bottom w:val="single" w:color="auto" w:sz="8" w:space="0"/>
              <w:right w:val="single" w:color="auto" w:sz="8" w:space="0"/>
            </w:tcBorders>
            <w:noWrap w:val="0"/>
            <w:vAlign w:val="center"/>
          </w:tcPr>
          <w:p w14:paraId="04E9B8F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427" w:type="pct"/>
            <w:tcBorders>
              <w:top w:val="nil"/>
              <w:left w:val="nil"/>
              <w:bottom w:val="single" w:color="auto" w:sz="8" w:space="0"/>
              <w:right w:val="single" w:color="auto" w:sz="8" w:space="0"/>
            </w:tcBorders>
            <w:noWrap w:val="0"/>
            <w:vAlign w:val="center"/>
          </w:tcPr>
          <w:p w14:paraId="254692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制度执行有效性</w:t>
            </w:r>
          </w:p>
        </w:tc>
        <w:tc>
          <w:tcPr>
            <w:tcW w:w="242" w:type="pct"/>
            <w:tcBorders>
              <w:top w:val="nil"/>
              <w:left w:val="nil"/>
              <w:bottom w:val="single" w:color="auto" w:sz="8" w:space="0"/>
              <w:right w:val="single" w:color="auto" w:sz="8" w:space="0"/>
            </w:tcBorders>
            <w:noWrap w:val="0"/>
            <w:vAlign w:val="center"/>
          </w:tcPr>
          <w:p w14:paraId="3973702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3</w:t>
            </w:r>
          </w:p>
        </w:tc>
        <w:tc>
          <w:tcPr>
            <w:tcW w:w="658" w:type="pct"/>
            <w:tcBorders>
              <w:top w:val="nil"/>
              <w:left w:val="nil"/>
              <w:bottom w:val="single" w:color="auto" w:sz="8" w:space="0"/>
              <w:right w:val="single" w:color="auto" w:sz="8" w:space="0"/>
            </w:tcBorders>
            <w:noWrap w:val="0"/>
            <w:vAlign w:val="center"/>
          </w:tcPr>
          <w:p w14:paraId="08A21E2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项目实施是否符合相关管理规定，用以反映和考核相关管理制度的有效执行情况。</w:t>
            </w:r>
          </w:p>
        </w:tc>
        <w:tc>
          <w:tcPr>
            <w:tcW w:w="266" w:type="pct"/>
            <w:tcBorders>
              <w:top w:val="nil"/>
              <w:left w:val="nil"/>
              <w:bottom w:val="single" w:color="auto" w:sz="8" w:space="0"/>
              <w:right w:val="single" w:color="auto" w:sz="4" w:space="0"/>
            </w:tcBorders>
            <w:noWrap w:val="0"/>
            <w:vAlign w:val="center"/>
          </w:tcPr>
          <w:p w14:paraId="1BFB007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有效</w:t>
            </w:r>
          </w:p>
        </w:tc>
        <w:tc>
          <w:tcPr>
            <w:tcW w:w="1723" w:type="pct"/>
            <w:tcBorders>
              <w:top w:val="single" w:color="auto" w:sz="4" w:space="0"/>
              <w:left w:val="single" w:color="auto" w:sz="4" w:space="0"/>
              <w:bottom w:val="single" w:color="auto" w:sz="4" w:space="0"/>
              <w:right w:val="single" w:color="auto" w:sz="4" w:space="0"/>
            </w:tcBorders>
            <w:noWrap w:val="0"/>
            <w:vAlign w:val="center"/>
          </w:tcPr>
          <w:p w14:paraId="25D1CA3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①否遵守相关法律法规和相关管理规定；</w:t>
            </w:r>
          </w:p>
          <w:p w14:paraId="6EAA46D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②项目调整及支出调整手续是否完备；</w:t>
            </w:r>
          </w:p>
          <w:p w14:paraId="74256B6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③项目资料是否齐全并及时归档。</w:t>
            </w:r>
          </w:p>
          <w:p w14:paraId="1BFA97E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①②③齐全得权重分的100%，缺①扣权重分的30%，缺②扣权重分的40%，缺③扣权重分的30%。</w:t>
            </w:r>
          </w:p>
        </w:tc>
        <w:tc>
          <w:tcPr>
            <w:tcW w:w="319" w:type="pct"/>
            <w:tcBorders>
              <w:top w:val="nil"/>
              <w:left w:val="single" w:color="auto" w:sz="4" w:space="0"/>
              <w:bottom w:val="single" w:color="auto" w:sz="8" w:space="0"/>
              <w:right w:val="single" w:color="auto" w:sz="8" w:space="0"/>
            </w:tcBorders>
            <w:noWrap w:val="0"/>
            <w:vAlign w:val="center"/>
          </w:tcPr>
          <w:p w14:paraId="5FD61E1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有效</w:t>
            </w:r>
          </w:p>
        </w:tc>
        <w:tc>
          <w:tcPr>
            <w:tcW w:w="326" w:type="pct"/>
            <w:tcBorders>
              <w:top w:val="nil"/>
              <w:left w:val="nil"/>
              <w:bottom w:val="single" w:color="auto" w:sz="8" w:space="0"/>
              <w:right w:val="single" w:color="auto" w:sz="8" w:space="0"/>
            </w:tcBorders>
            <w:noWrap w:val="0"/>
            <w:vAlign w:val="center"/>
          </w:tcPr>
          <w:p w14:paraId="70D5FAC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3</w:t>
            </w:r>
          </w:p>
        </w:tc>
      </w:tr>
      <w:tr w14:paraId="735922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0" w:hRule="atLeast"/>
        </w:trPr>
        <w:tc>
          <w:tcPr>
            <w:tcW w:w="305" w:type="pct"/>
            <w:vMerge w:val="restart"/>
            <w:tcBorders>
              <w:top w:val="nil"/>
              <w:left w:val="single" w:color="auto" w:sz="4" w:space="0"/>
              <w:bottom w:val="single" w:color="auto" w:sz="8" w:space="0"/>
              <w:right w:val="single" w:color="auto" w:sz="8" w:space="0"/>
            </w:tcBorders>
            <w:noWrap w:val="0"/>
            <w:vAlign w:val="center"/>
          </w:tcPr>
          <w:p w14:paraId="3BDA77F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项目产出</w:t>
            </w:r>
          </w:p>
        </w:tc>
        <w:tc>
          <w:tcPr>
            <w:tcW w:w="207" w:type="pct"/>
            <w:vMerge w:val="restart"/>
            <w:tcBorders>
              <w:top w:val="nil"/>
              <w:left w:val="nil"/>
              <w:bottom w:val="single" w:color="auto" w:sz="8" w:space="0"/>
              <w:right w:val="single" w:color="auto" w:sz="8" w:space="0"/>
            </w:tcBorders>
            <w:noWrap w:val="0"/>
            <w:vAlign w:val="center"/>
          </w:tcPr>
          <w:p w14:paraId="708D07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40</w:t>
            </w:r>
          </w:p>
        </w:tc>
        <w:tc>
          <w:tcPr>
            <w:tcW w:w="310" w:type="pct"/>
            <w:tcBorders>
              <w:top w:val="nil"/>
              <w:left w:val="nil"/>
              <w:bottom w:val="single" w:color="auto" w:sz="8" w:space="0"/>
              <w:right w:val="single" w:color="auto" w:sz="8" w:space="0"/>
            </w:tcBorders>
            <w:noWrap w:val="0"/>
            <w:vAlign w:val="center"/>
          </w:tcPr>
          <w:p w14:paraId="3526D6E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产出数量</w:t>
            </w:r>
          </w:p>
        </w:tc>
        <w:tc>
          <w:tcPr>
            <w:tcW w:w="212" w:type="pct"/>
            <w:tcBorders>
              <w:top w:val="nil"/>
              <w:left w:val="nil"/>
              <w:bottom w:val="single" w:color="auto" w:sz="8" w:space="0"/>
              <w:right w:val="single" w:color="auto" w:sz="8" w:space="0"/>
            </w:tcBorders>
            <w:noWrap w:val="0"/>
            <w:vAlign w:val="center"/>
          </w:tcPr>
          <w:p w14:paraId="1AEFEFE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w:t>
            </w:r>
          </w:p>
        </w:tc>
        <w:tc>
          <w:tcPr>
            <w:tcW w:w="427" w:type="pct"/>
            <w:tcBorders>
              <w:top w:val="nil"/>
              <w:left w:val="nil"/>
              <w:bottom w:val="single" w:color="auto" w:sz="8" w:space="0"/>
              <w:right w:val="single" w:color="auto" w:sz="8" w:space="0"/>
            </w:tcBorders>
            <w:noWrap w:val="0"/>
            <w:vAlign w:val="center"/>
          </w:tcPr>
          <w:p w14:paraId="43BAD9F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实际完成率</w:t>
            </w:r>
          </w:p>
        </w:tc>
        <w:tc>
          <w:tcPr>
            <w:tcW w:w="242" w:type="pct"/>
            <w:tcBorders>
              <w:top w:val="nil"/>
              <w:left w:val="nil"/>
              <w:bottom w:val="single" w:color="auto" w:sz="8" w:space="0"/>
              <w:right w:val="single" w:color="auto" w:sz="8" w:space="0"/>
            </w:tcBorders>
            <w:noWrap w:val="0"/>
            <w:vAlign w:val="center"/>
          </w:tcPr>
          <w:p w14:paraId="23436C8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10</w:t>
            </w:r>
          </w:p>
        </w:tc>
        <w:tc>
          <w:tcPr>
            <w:tcW w:w="658" w:type="pct"/>
            <w:tcBorders>
              <w:top w:val="nil"/>
              <w:left w:val="nil"/>
              <w:bottom w:val="single" w:color="auto" w:sz="8" w:space="0"/>
              <w:right w:val="single" w:color="auto" w:sz="8" w:space="0"/>
            </w:tcBorders>
            <w:noWrap w:val="0"/>
            <w:vAlign w:val="center"/>
          </w:tcPr>
          <w:p w14:paraId="7FD44BD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涉及行政村个数</w:t>
            </w:r>
          </w:p>
        </w:tc>
        <w:tc>
          <w:tcPr>
            <w:tcW w:w="266" w:type="pct"/>
            <w:tcBorders>
              <w:top w:val="nil"/>
              <w:left w:val="nil"/>
              <w:bottom w:val="single" w:color="auto" w:sz="8" w:space="0"/>
              <w:right w:val="single" w:color="auto" w:sz="4" w:space="0"/>
            </w:tcBorders>
            <w:noWrap w:val="0"/>
            <w:vAlign w:val="center"/>
          </w:tcPr>
          <w:p w14:paraId="09D331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=4个</w:t>
            </w:r>
          </w:p>
        </w:tc>
        <w:tc>
          <w:tcPr>
            <w:tcW w:w="1723" w:type="pct"/>
            <w:tcBorders>
              <w:top w:val="single" w:color="auto" w:sz="4" w:space="0"/>
              <w:left w:val="single" w:color="auto" w:sz="4" w:space="0"/>
              <w:bottom w:val="single" w:color="auto" w:sz="4" w:space="0"/>
              <w:right w:val="single" w:color="auto" w:sz="4" w:space="0"/>
            </w:tcBorders>
            <w:noWrap w:val="0"/>
            <w:vAlign w:val="center"/>
          </w:tcPr>
          <w:p w14:paraId="516D14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实际完成率=（实际完成/预期完成）×100%。</w:t>
            </w:r>
          </w:p>
          <w:p w14:paraId="0ACF414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①实际完成率≥100%，且偏离程度＜20%，得满分；</w:t>
            </w:r>
          </w:p>
          <w:p w14:paraId="7272B5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②实际完成率≥100%，偏离程度≥20%，得0分；</w:t>
            </w:r>
          </w:p>
          <w:p w14:paraId="61590ED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③实际完成率×100%＜100%，得分=实际完成率×指标分值。</w:t>
            </w:r>
          </w:p>
        </w:tc>
        <w:tc>
          <w:tcPr>
            <w:tcW w:w="319" w:type="pct"/>
            <w:tcBorders>
              <w:top w:val="nil"/>
              <w:left w:val="single" w:color="auto" w:sz="4" w:space="0"/>
              <w:bottom w:val="single" w:color="auto" w:sz="8" w:space="0"/>
              <w:right w:val="single" w:color="auto" w:sz="8" w:space="0"/>
            </w:tcBorders>
            <w:noWrap w:val="0"/>
            <w:vAlign w:val="center"/>
          </w:tcPr>
          <w:p w14:paraId="01FD080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=4个</w:t>
            </w:r>
          </w:p>
        </w:tc>
        <w:tc>
          <w:tcPr>
            <w:tcW w:w="326" w:type="pct"/>
            <w:tcBorders>
              <w:top w:val="nil"/>
              <w:left w:val="nil"/>
              <w:bottom w:val="single" w:color="auto" w:sz="8" w:space="0"/>
              <w:right w:val="single" w:color="auto" w:sz="8" w:space="0"/>
            </w:tcBorders>
            <w:noWrap w:val="0"/>
            <w:vAlign w:val="center"/>
          </w:tcPr>
          <w:p w14:paraId="1AB94AC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w:t>
            </w:r>
          </w:p>
        </w:tc>
      </w:tr>
      <w:tr w14:paraId="2DDBDB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5" w:type="pct"/>
            <w:vMerge w:val="continue"/>
            <w:tcBorders>
              <w:top w:val="nil"/>
              <w:left w:val="single" w:color="auto" w:sz="4" w:space="0"/>
              <w:bottom w:val="single" w:color="auto" w:sz="4" w:space="0"/>
              <w:right w:val="single" w:color="auto" w:sz="8" w:space="0"/>
            </w:tcBorders>
            <w:noWrap w:val="0"/>
            <w:vAlign w:val="center"/>
          </w:tcPr>
          <w:p w14:paraId="17CAE81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07" w:type="pct"/>
            <w:vMerge w:val="continue"/>
            <w:tcBorders>
              <w:top w:val="nil"/>
              <w:left w:val="nil"/>
              <w:bottom w:val="single" w:color="auto" w:sz="4" w:space="0"/>
              <w:right w:val="single" w:color="auto" w:sz="8" w:space="0"/>
            </w:tcBorders>
            <w:noWrap w:val="0"/>
            <w:vAlign w:val="center"/>
          </w:tcPr>
          <w:p w14:paraId="5D154C6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310" w:type="pct"/>
            <w:tcBorders>
              <w:top w:val="nil"/>
              <w:left w:val="nil"/>
              <w:bottom w:val="single" w:color="auto" w:sz="4" w:space="0"/>
              <w:right w:val="single" w:color="auto" w:sz="8" w:space="0"/>
            </w:tcBorders>
            <w:noWrap w:val="0"/>
            <w:vAlign w:val="center"/>
          </w:tcPr>
          <w:p w14:paraId="00A278A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产出质量</w:t>
            </w:r>
          </w:p>
        </w:tc>
        <w:tc>
          <w:tcPr>
            <w:tcW w:w="212" w:type="pct"/>
            <w:tcBorders>
              <w:top w:val="nil"/>
              <w:left w:val="nil"/>
              <w:bottom w:val="single" w:color="auto" w:sz="4" w:space="0"/>
              <w:right w:val="single" w:color="auto" w:sz="8" w:space="0"/>
            </w:tcBorders>
            <w:noWrap w:val="0"/>
            <w:vAlign w:val="center"/>
          </w:tcPr>
          <w:p w14:paraId="319C378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w:t>
            </w:r>
          </w:p>
        </w:tc>
        <w:tc>
          <w:tcPr>
            <w:tcW w:w="427" w:type="pct"/>
            <w:tcBorders>
              <w:top w:val="nil"/>
              <w:left w:val="nil"/>
              <w:bottom w:val="single" w:color="auto" w:sz="4" w:space="0"/>
              <w:right w:val="single" w:color="auto" w:sz="8" w:space="0"/>
            </w:tcBorders>
            <w:noWrap w:val="0"/>
            <w:vAlign w:val="center"/>
          </w:tcPr>
          <w:p w14:paraId="16A2B00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质量达标率</w:t>
            </w:r>
          </w:p>
        </w:tc>
        <w:tc>
          <w:tcPr>
            <w:tcW w:w="242" w:type="pct"/>
            <w:tcBorders>
              <w:top w:val="nil"/>
              <w:left w:val="nil"/>
              <w:bottom w:val="single" w:color="auto" w:sz="4" w:space="0"/>
              <w:right w:val="single" w:color="auto" w:sz="8" w:space="0"/>
            </w:tcBorders>
            <w:noWrap w:val="0"/>
            <w:vAlign w:val="center"/>
          </w:tcPr>
          <w:p w14:paraId="7D2F895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10</w:t>
            </w:r>
          </w:p>
        </w:tc>
        <w:tc>
          <w:tcPr>
            <w:tcW w:w="658" w:type="pct"/>
            <w:tcBorders>
              <w:top w:val="nil"/>
              <w:left w:val="nil"/>
              <w:bottom w:val="single" w:color="auto" w:sz="4" w:space="0"/>
              <w:right w:val="single" w:color="auto" w:sz="8" w:space="0"/>
            </w:tcBorders>
            <w:noWrap w:val="0"/>
            <w:vAlign w:val="center"/>
          </w:tcPr>
          <w:p w14:paraId="6D86EB8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资金使用合规率</w:t>
            </w:r>
          </w:p>
        </w:tc>
        <w:tc>
          <w:tcPr>
            <w:tcW w:w="266" w:type="pct"/>
            <w:tcBorders>
              <w:top w:val="nil"/>
              <w:left w:val="nil"/>
              <w:bottom w:val="single" w:color="auto" w:sz="4" w:space="0"/>
              <w:right w:val="single" w:color="auto" w:sz="4" w:space="0"/>
            </w:tcBorders>
            <w:noWrap w:val="0"/>
            <w:vAlign w:val="center"/>
          </w:tcPr>
          <w:p w14:paraId="00B538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100%</w:t>
            </w:r>
          </w:p>
        </w:tc>
        <w:tc>
          <w:tcPr>
            <w:tcW w:w="1723" w:type="pct"/>
            <w:vMerge w:val="restart"/>
            <w:tcBorders>
              <w:top w:val="single" w:color="auto" w:sz="4" w:space="0"/>
              <w:left w:val="single" w:color="auto" w:sz="4" w:space="0"/>
              <w:bottom w:val="single" w:color="auto" w:sz="4" w:space="0"/>
              <w:right w:val="single" w:color="auto" w:sz="4" w:space="0"/>
            </w:tcBorders>
            <w:noWrap w:val="0"/>
            <w:vAlign w:val="center"/>
          </w:tcPr>
          <w:p w14:paraId="5E20E60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若指标达到标杆值，则得100%权重分；否则，得分=（实际完成/预期完成）×100%×指标分值。</w:t>
            </w:r>
          </w:p>
          <w:p w14:paraId="17C9A59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若指标完成值达到标杆值，则得100%权重分；否则，不得分。</w:t>
            </w:r>
          </w:p>
          <w:p w14:paraId="11926FA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若指标完成值达到标杆值，则得100%权重分；否则，得分=（实际完成/预期完成）×100%×指标分值。</w:t>
            </w:r>
          </w:p>
        </w:tc>
        <w:tc>
          <w:tcPr>
            <w:tcW w:w="319" w:type="pct"/>
            <w:tcBorders>
              <w:top w:val="nil"/>
              <w:left w:val="single" w:color="auto" w:sz="4" w:space="0"/>
              <w:bottom w:val="single" w:color="auto" w:sz="4" w:space="0"/>
              <w:right w:val="single" w:color="auto" w:sz="8" w:space="0"/>
            </w:tcBorders>
            <w:noWrap w:val="0"/>
            <w:vAlign w:val="center"/>
          </w:tcPr>
          <w:p w14:paraId="091C188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100%</w:t>
            </w:r>
          </w:p>
        </w:tc>
        <w:tc>
          <w:tcPr>
            <w:tcW w:w="326" w:type="pct"/>
            <w:tcBorders>
              <w:top w:val="nil"/>
              <w:left w:val="nil"/>
              <w:bottom w:val="single" w:color="auto" w:sz="4" w:space="0"/>
              <w:right w:val="single" w:color="auto" w:sz="8" w:space="0"/>
            </w:tcBorders>
            <w:noWrap w:val="0"/>
            <w:vAlign w:val="center"/>
          </w:tcPr>
          <w:p w14:paraId="3E806E0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w:t>
            </w:r>
          </w:p>
        </w:tc>
      </w:tr>
      <w:tr w14:paraId="32FE1A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5" w:type="pct"/>
            <w:vMerge w:val="continue"/>
            <w:tcBorders>
              <w:top w:val="single" w:color="auto" w:sz="4" w:space="0"/>
              <w:left w:val="single" w:color="auto" w:sz="4" w:space="0"/>
              <w:bottom w:val="single" w:color="auto" w:sz="4" w:space="0"/>
              <w:right w:val="single" w:color="auto" w:sz="4" w:space="0"/>
            </w:tcBorders>
            <w:noWrap w:val="0"/>
            <w:vAlign w:val="center"/>
          </w:tcPr>
          <w:p w14:paraId="1FA7C7E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07" w:type="pct"/>
            <w:vMerge w:val="continue"/>
            <w:tcBorders>
              <w:top w:val="single" w:color="auto" w:sz="4" w:space="0"/>
              <w:left w:val="single" w:color="auto" w:sz="4" w:space="0"/>
              <w:bottom w:val="single" w:color="auto" w:sz="4" w:space="0"/>
              <w:right w:val="single" w:color="auto" w:sz="4" w:space="0"/>
            </w:tcBorders>
            <w:noWrap w:val="0"/>
            <w:vAlign w:val="center"/>
          </w:tcPr>
          <w:p w14:paraId="14AA6AA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310" w:type="pct"/>
            <w:vMerge w:val="restart"/>
            <w:tcBorders>
              <w:top w:val="single" w:color="auto" w:sz="4" w:space="0"/>
              <w:left w:val="single" w:color="auto" w:sz="4" w:space="0"/>
              <w:bottom w:val="single" w:color="auto" w:sz="4" w:space="0"/>
              <w:right w:val="single" w:color="auto" w:sz="4" w:space="0"/>
            </w:tcBorders>
            <w:noWrap w:val="0"/>
            <w:vAlign w:val="center"/>
          </w:tcPr>
          <w:p w14:paraId="73BBF68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产出时效</w:t>
            </w:r>
          </w:p>
        </w:tc>
        <w:tc>
          <w:tcPr>
            <w:tcW w:w="212" w:type="pct"/>
            <w:vMerge w:val="restart"/>
            <w:tcBorders>
              <w:top w:val="single" w:color="auto" w:sz="4" w:space="0"/>
              <w:left w:val="single" w:color="auto" w:sz="4" w:space="0"/>
              <w:bottom w:val="single" w:color="auto" w:sz="4" w:space="0"/>
              <w:right w:val="single" w:color="auto" w:sz="4" w:space="0"/>
            </w:tcBorders>
            <w:noWrap w:val="0"/>
            <w:vAlign w:val="center"/>
          </w:tcPr>
          <w:p w14:paraId="5CF2525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w:t>
            </w:r>
          </w:p>
        </w:tc>
        <w:tc>
          <w:tcPr>
            <w:tcW w:w="427" w:type="pct"/>
            <w:vMerge w:val="restart"/>
            <w:tcBorders>
              <w:top w:val="single" w:color="auto" w:sz="4" w:space="0"/>
              <w:left w:val="single" w:color="auto" w:sz="4" w:space="0"/>
              <w:bottom w:val="single" w:color="auto" w:sz="4" w:space="0"/>
              <w:right w:val="single" w:color="auto" w:sz="4" w:space="0"/>
            </w:tcBorders>
            <w:noWrap w:val="0"/>
            <w:vAlign w:val="center"/>
          </w:tcPr>
          <w:p w14:paraId="18EFB6F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完成及时率</w:t>
            </w:r>
          </w:p>
        </w:tc>
        <w:tc>
          <w:tcPr>
            <w:tcW w:w="242" w:type="pct"/>
            <w:vMerge w:val="restart"/>
            <w:tcBorders>
              <w:top w:val="single" w:color="auto" w:sz="4" w:space="0"/>
              <w:left w:val="single" w:color="auto" w:sz="4" w:space="0"/>
              <w:bottom w:val="single" w:color="auto" w:sz="4" w:space="0"/>
              <w:right w:val="single" w:color="auto" w:sz="4" w:space="0"/>
            </w:tcBorders>
            <w:noWrap w:val="0"/>
            <w:vAlign w:val="center"/>
          </w:tcPr>
          <w:p w14:paraId="3A60012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10</w:t>
            </w:r>
          </w:p>
        </w:tc>
        <w:tc>
          <w:tcPr>
            <w:tcW w:w="658" w:type="pct"/>
            <w:tcBorders>
              <w:top w:val="single" w:color="auto" w:sz="4" w:space="0"/>
              <w:left w:val="single" w:color="auto" w:sz="4" w:space="0"/>
              <w:bottom w:val="single" w:color="auto" w:sz="4" w:space="0"/>
              <w:right w:val="single" w:color="auto" w:sz="4" w:space="0"/>
            </w:tcBorders>
            <w:noWrap w:val="0"/>
            <w:vAlign w:val="center"/>
          </w:tcPr>
          <w:p w14:paraId="5767CD6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资金支付及时率</w:t>
            </w:r>
          </w:p>
        </w:tc>
        <w:tc>
          <w:tcPr>
            <w:tcW w:w="266" w:type="pct"/>
            <w:tcBorders>
              <w:top w:val="single" w:color="auto" w:sz="4" w:space="0"/>
              <w:left w:val="single" w:color="auto" w:sz="4" w:space="0"/>
              <w:bottom w:val="single" w:color="auto" w:sz="4" w:space="0"/>
              <w:right w:val="single" w:color="auto" w:sz="4" w:space="0"/>
            </w:tcBorders>
            <w:noWrap w:val="0"/>
            <w:vAlign w:val="center"/>
          </w:tcPr>
          <w:p w14:paraId="011B1C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100%</w:t>
            </w:r>
          </w:p>
        </w:tc>
        <w:tc>
          <w:tcPr>
            <w:tcW w:w="1723" w:type="pct"/>
            <w:vMerge w:val="continue"/>
            <w:tcBorders>
              <w:top w:val="single" w:color="auto" w:sz="4" w:space="0"/>
              <w:left w:val="single" w:color="auto" w:sz="4" w:space="0"/>
              <w:bottom w:val="single" w:color="auto" w:sz="4" w:space="0"/>
              <w:right w:val="single" w:color="auto" w:sz="4" w:space="0"/>
            </w:tcBorders>
            <w:noWrap w:val="0"/>
            <w:vAlign w:val="center"/>
          </w:tcPr>
          <w:p w14:paraId="673B07E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p>
        </w:tc>
        <w:tc>
          <w:tcPr>
            <w:tcW w:w="319" w:type="pct"/>
            <w:tcBorders>
              <w:top w:val="single" w:color="auto" w:sz="4" w:space="0"/>
              <w:left w:val="single" w:color="auto" w:sz="4" w:space="0"/>
              <w:bottom w:val="single" w:color="auto" w:sz="4" w:space="0"/>
              <w:right w:val="single" w:color="auto" w:sz="4" w:space="0"/>
            </w:tcBorders>
            <w:noWrap w:val="0"/>
            <w:vAlign w:val="center"/>
          </w:tcPr>
          <w:p w14:paraId="7DEFCC7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100%</w:t>
            </w:r>
          </w:p>
        </w:tc>
        <w:tc>
          <w:tcPr>
            <w:tcW w:w="326" w:type="pct"/>
            <w:vMerge w:val="restart"/>
            <w:tcBorders>
              <w:top w:val="single" w:color="auto" w:sz="4" w:space="0"/>
              <w:left w:val="single" w:color="auto" w:sz="4" w:space="0"/>
              <w:bottom w:val="single" w:color="auto" w:sz="4" w:space="0"/>
              <w:right w:val="single" w:color="auto" w:sz="4" w:space="0"/>
            </w:tcBorders>
            <w:noWrap w:val="0"/>
            <w:vAlign w:val="center"/>
          </w:tcPr>
          <w:p w14:paraId="63161FC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w:t>
            </w:r>
          </w:p>
        </w:tc>
      </w:tr>
      <w:tr w14:paraId="3E5E7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0" w:hRule="atLeast"/>
        </w:trPr>
        <w:tc>
          <w:tcPr>
            <w:tcW w:w="305" w:type="pct"/>
            <w:vMerge w:val="continue"/>
            <w:tcBorders>
              <w:top w:val="single" w:color="auto" w:sz="4" w:space="0"/>
              <w:left w:val="single" w:color="auto" w:sz="4" w:space="0"/>
              <w:bottom w:val="single" w:color="auto" w:sz="4" w:space="0"/>
              <w:right w:val="single" w:color="auto" w:sz="4" w:space="0"/>
            </w:tcBorders>
            <w:noWrap w:val="0"/>
            <w:vAlign w:val="center"/>
          </w:tcPr>
          <w:p w14:paraId="446C21D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07" w:type="pct"/>
            <w:vMerge w:val="continue"/>
            <w:tcBorders>
              <w:top w:val="single" w:color="auto" w:sz="4" w:space="0"/>
              <w:left w:val="single" w:color="auto" w:sz="4" w:space="0"/>
              <w:bottom w:val="single" w:color="auto" w:sz="4" w:space="0"/>
              <w:right w:val="single" w:color="auto" w:sz="4" w:space="0"/>
            </w:tcBorders>
            <w:noWrap w:val="0"/>
            <w:vAlign w:val="center"/>
          </w:tcPr>
          <w:p w14:paraId="19D8941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310" w:type="pct"/>
            <w:vMerge w:val="continue"/>
            <w:tcBorders>
              <w:top w:val="single" w:color="auto" w:sz="4" w:space="0"/>
              <w:left w:val="single" w:color="auto" w:sz="4" w:space="0"/>
              <w:bottom w:val="single" w:color="auto" w:sz="4" w:space="0"/>
              <w:right w:val="single" w:color="auto" w:sz="4" w:space="0"/>
            </w:tcBorders>
            <w:noWrap w:val="0"/>
            <w:vAlign w:val="center"/>
          </w:tcPr>
          <w:p w14:paraId="5ED58E2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12" w:type="pct"/>
            <w:vMerge w:val="continue"/>
            <w:tcBorders>
              <w:top w:val="single" w:color="auto" w:sz="4" w:space="0"/>
              <w:left w:val="single" w:color="auto" w:sz="4" w:space="0"/>
              <w:bottom w:val="single" w:color="auto" w:sz="4" w:space="0"/>
              <w:right w:val="single" w:color="auto" w:sz="4" w:space="0"/>
            </w:tcBorders>
            <w:noWrap w:val="0"/>
            <w:vAlign w:val="center"/>
          </w:tcPr>
          <w:p w14:paraId="2178A7B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427" w:type="pct"/>
            <w:vMerge w:val="continue"/>
            <w:tcBorders>
              <w:top w:val="single" w:color="auto" w:sz="4" w:space="0"/>
              <w:left w:val="single" w:color="auto" w:sz="4" w:space="0"/>
              <w:bottom w:val="single" w:color="auto" w:sz="4" w:space="0"/>
              <w:right w:val="single" w:color="auto" w:sz="4" w:space="0"/>
            </w:tcBorders>
            <w:noWrap w:val="0"/>
            <w:vAlign w:val="center"/>
          </w:tcPr>
          <w:p w14:paraId="4B0A4F7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42" w:type="pct"/>
            <w:vMerge w:val="continue"/>
            <w:tcBorders>
              <w:top w:val="single" w:color="auto" w:sz="4" w:space="0"/>
              <w:left w:val="single" w:color="auto" w:sz="4" w:space="0"/>
              <w:bottom w:val="single" w:color="auto" w:sz="4" w:space="0"/>
              <w:right w:val="single" w:color="auto" w:sz="4" w:space="0"/>
            </w:tcBorders>
            <w:noWrap w:val="0"/>
            <w:vAlign w:val="center"/>
          </w:tcPr>
          <w:p w14:paraId="7393702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658" w:type="pct"/>
            <w:tcBorders>
              <w:top w:val="single" w:color="auto" w:sz="4" w:space="0"/>
              <w:left w:val="single" w:color="auto" w:sz="4" w:space="0"/>
              <w:bottom w:val="single" w:color="auto" w:sz="4" w:space="0"/>
              <w:right w:val="single" w:color="auto" w:sz="4" w:space="0"/>
            </w:tcBorders>
            <w:noWrap w:val="0"/>
            <w:vAlign w:val="center"/>
          </w:tcPr>
          <w:p w14:paraId="78C3D7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项目完成时间</w:t>
            </w:r>
          </w:p>
        </w:tc>
        <w:tc>
          <w:tcPr>
            <w:tcW w:w="266" w:type="pct"/>
            <w:tcBorders>
              <w:top w:val="single" w:color="auto" w:sz="4" w:space="0"/>
              <w:left w:val="single" w:color="auto" w:sz="4" w:space="0"/>
              <w:bottom w:val="single" w:color="auto" w:sz="4" w:space="0"/>
              <w:right w:val="single" w:color="auto" w:sz="4" w:space="0"/>
            </w:tcBorders>
            <w:noWrap w:val="0"/>
            <w:vAlign w:val="center"/>
          </w:tcPr>
          <w:p w14:paraId="7CA1A08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2024年12月</w:t>
            </w:r>
          </w:p>
        </w:tc>
        <w:tc>
          <w:tcPr>
            <w:tcW w:w="1723" w:type="pct"/>
            <w:tcBorders>
              <w:top w:val="single" w:color="auto" w:sz="4" w:space="0"/>
              <w:left w:val="single" w:color="auto" w:sz="4" w:space="0"/>
              <w:bottom w:val="single" w:color="auto" w:sz="4" w:space="0"/>
              <w:right w:val="single" w:color="auto" w:sz="4" w:space="0"/>
            </w:tcBorders>
            <w:noWrap w:val="0"/>
            <w:vAlign w:val="center"/>
          </w:tcPr>
          <w:p w14:paraId="014FDE4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若在规定时间内完成，得100%权重分；若未在规定的时间内完成，得分=（1-未在规定时间内完成工作数/实际完成工作总数）×分值。</w:t>
            </w:r>
          </w:p>
        </w:tc>
        <w:tc>
          <w:tcPr>
            <w:tcW w:w="319" w:type="pct"/>
            <w:tcBorders>
              <w:top w:val="single" w:color="auto" w:sz="4" w:space="0"/>
              <w:left w:val="single" w:color="auto" w:sz="4" w:space="0"/>
              <w:bottom w:val="single" w:color="auto" w:sz="4" w:space="0"/>
              <w:right w:val="single" w:color="auto" w:sz="4" w:space="0"/>
            </w:tcBorders>
            <w:noWrap w:val="0"/>
            <w:vAlign w:val="center"/>
          </w:tcPr>
          <w:p w14:paraId="1F2B0C0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2024年12月</w:t>
            </w:r>
          </w:p>
        </w:tc>
        <w:tc>
          <w:tcPr>
            <w:tcW w:w="326" w:type="pct"/>
            <w:vMerge w:val="continue"/>
            <w:tcBorders>
              <w:top w:val="single" w:color="auto" w:sz="4" w:space="0"/>
              <w:left w:val="single" w:color="auto" w:sz="4" w:space="0"/>
              <w:bottom w:val="single" w:color="auto" w:sz="4" w:space="0"/>
              <w:right w:val="single" w:color="auto" w:sz="4" w:space="0"/>
            </w:tcBorders>
            <w:noWrap w:val="0"/>
            <w:vAlign w:val="center"/>
          </w:tcPr>
          <w:p w14:paraId="1BED7BA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r>
      <w:tr w14:paraId="719A30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0" w:hRule="atLeast"/>
        </w:trPr>
        <w:tc>
          <w:tcPr>
            <w:tcW w:w="305" w:type="pct"/>
            <w:vMerge w:val="continue"/>
            <w:tcBorders>
              <w:top w:val="single" w:color="auto" w:sz="4" w:space="0"/>
              <w:left w:val="single" w:color="auto" w:sz="4" w:space="0"/>
              <w:bottom w:val="single" w:color="auto" w:sz="8" w:space="0"/>
              <w:right w:val="single" w:color="auto" w:sz="8" w:space="0"/>
            </w:tcBorders>
            <w:noWrap w:val="0"/>
            <w:vAlign w:val="center"/>
          </w:tcPr>
          <w:p w14:paraId="5BA867B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07" w:type="pct"/>
            <w:vMerge w:val="continue"/>
            <w:tcBorders>
              <w:top w:val="single" w:color="auto" w:sz="4" w:space="0"/>
              <w:left w:val="nil"/>
              <w:bottom w:val="single" w:color="auto" w:sz="8" w:space="0"/>
              <w:right w:val="single" w:color="auto" w:sz="8" w:space="0"/>
            </w:tcBorders>
            <w:noWrap w:val="0"/>
            <w:vAlign w:val="center"/>
          </w:tcPr>
          <w:p w14:paraId="2C3D496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310" w:type="pct"/>
            <w:tcBorders>
              <w:top w:val="single" w:color="auto" w:sz="4" w:space="0"/>
              <w:left w:val="nil"/>
              <w:bottom w:val="single" w:color="auto" w:sz="8" w:space="0"/>
              <w:right w:val="single" w:color="auto" w:sz="8" w:space="0"/>
            </w:tcBorders>
            <w:noWrap w:val="0"/>
            <w:vAlign w:val="center"/>
          </w:tcPr>
          <w:p w14:paraId="0F3C371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产出成本</w:t>
            </w:r>
          </w:p>
        </w:tc>
        <w:tc>
          <w:tcPr>
            <w:tcW w:w="212" w:type="pct"/>
            <w:tcBorders>
              <w:top w:val="single" w:color="auto" w:sz="4" w:space="0"/>
              <w:left w:val="nil"/>
              <w:bottom w:val="single" w:color="auto" w:sz="8" w:space="0"/>
              <w:right w:val="single" w:color="auto" w:sz="8" w:space="0"/>
            </w:tcBorders>
            <w:noWrap w:val="0"/>
            <w:vAlign w:val="center"/>
          </w:tcPr>
          <w:p w14:paraId="025D04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w:t>
            </w:r>
          </w:p>
        </w:tc>
        <w:tc>
          <w:tcPr>
            <w:tcW w:w="427" w:type="pct"/>
            <w:tcBorders>
              <w:top w:val="single" w:color="auto" w:sz="4" w:space="0"/>
              <w:left w:val="nil"/>
              <w:bottom w:val="single" w:color="auto" w:sz="8" w:space="0"/>
              <w:right w:val="single" w:color="auto" w:sz="8" w:space="0"/>
            </w:tcBorders>
            <w:noWrap w:val="0"/>
            <w:vAlign w:val="center"/>
          </w:tcPr>
          <w:p w14:paraId="4006DE5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成本节约率</w:t>
            </w:r>
          </w:p>
        </w:tc>
        <w:tc>
          <w:tcPr>
            <w:tcW w:w="242" w:type="pct"/>
            <w:tcBorders>
              <w:top w:val="single" w:color="auto" w:sz="4" w:space="0"/>
              <w:left w:val="nil"/>
              <w:bottom w:val="single" w:color="auto" w:sz="8" w:space="0"/>
              <w:right w:val="single" w:color="auto" w:sz="8" w:space="0"/>
            </w:tcBorders>
            <w:noWrap w:val="0"/>
            <w:vAlign w:val="center"/>
          </w:tcPr>
          <w:p w14:paraId="6ABA88B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10</w:t>
            </w:r>
          </w:p>
        </w:tc>
        <w:tc>
          <w:tcPr>
            <w:tcW w:w="658" w:type="pct"/>
            <w:tcBorders>
              <w:top w:val="single" w:color="auto" w:sz="4" w:space="0"/>
              <w:left w:val="nil"/>
              <w:bottom w:val="single" w:color="auto" w:sz="8" w:space="0"/>
              <w:right w:val="single" w:color="auto" w:sz="8" w:space="0"/>
            </w:tcBorders>
            <w:noWrap w:val="0"/>
            <w:vAlign w:val="center"/>
          </w:tcPr>
          <w:p w14:paraId="1EEE3E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每个村运转成本</w:t>
            </w:r>
          </w:p>
        </w:tc>
        <w:tc>
          <w:tcPr>
            <w:tcW w:w="266" w:type="pct"/>
            <w:tcBorders>
              <w:top w:val="single" w:color="auto" w:sz="4" w:space="0"/>
              <w:left w:val="nil"/>
              <w:bottom w:val="single" w:color="auto" w:sz="8" w:space="0"/>
              <w:right w:val="single" w:color="auto" w:sz="8" w:space="0"/>
            </w:tcBorders>
            <w:noWrap w:val="0"/>
            <w:vAlign w:val="center"/>
          </w:tcPr>
          <w:p w14:paraId="798B40C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≤4.5万元</w:t>
            </w:r>
          </w:p>
        </w:tc>
        <w:tc>
          <w:tcPr>
            <w:tcW w:w="1723" w:type="pct"/>
            <w:tcBorders>
              <w:top w:val="single" w:color="auto" w:sz="4" w:space="0"/>
              <w:left w:val="nil"/>
              <w:bottom w:val="single" w:color="auto" w:sz="8" w:space="0"/>
              <w:right w:val="single" w:color="auto" w:sz="8" w:space="0"/>
            </w:tcBorders>
            <w:noWrap w:val="0"/>
            <w:vAlign w:val="center"/>
          </w:tcPr>
          <w:p w14:paraId="1C43018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实际完成率=（实际支付资金数/计划应支付资金数）×100%。</w:t>
            </w:r>
          </w:p>
          <w:p w14:paraId="15A0328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①实际完成率＞年度指标值，得0得分；</w:t>
            </w:r>
          </w:p>
          <w:p w14:paraId="60F3C98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②实际完成率≤年度指标值，且偏离程度＜20%，得满分；</w:t>
            </w:r>
          </w:p>
          <w:p w14:paraId="380DBD5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③实际完成率＜年度指标值，且偏离程度≥20%，得分=实际完成率×分值。</w:t>
            </w:r>
          </w:p>
        </w:tc>
        <w:tc>
          <w:tcPr>
            <w:tcW w:w="319" w:type="pct"/>
            <w:tcBorders>
              <w:top w:val="single" w:color="auto" w:sz="4" w:space="0"/>
              <w:left w:val="nil"/>
              <w:bottom w:val="single" w:color="auto" w:sz="8" w:space="0"/>
              <w:right w:val="single" w:color="auto" w:sz="8" w:space="0"/>
            </w:tcBorders>
            <w:noWrap w:val="0"/>
            <w:vAlign w:val="center"/>
          </w:tcPr>
          <w:p w14:paraId="7038661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=4.5万元</w:t>
            </w:r>
          </w:p>
        </w:tc>
        <w:tc>
          <w:tcPr>
            <w:tcW w:w="326" w:type="pct"/>
            <w:tcBorders>
              <w:top w:val="single" w:color="auto" w:sz="4" w:space="0"/>
              <w:left w:val="nil"/>
              <w:bottom w:val="single" w:color="auto" w:sz="8" w:space="0"/>
              <w:right w:val="single" w:color="auto" w:sz="8" w:space="0"/>
            </w:tcBorders>
            <w:noWrap w:val="0"/>
            <w:vAlign w:val="center"/>
          </w:tcPr>
          <w:p w14:paraId="7D14E2C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rPr>
              <w:t>10</w:t>
            </w:r>
          </w:p>
        </w:tc>
      </w:tr>
      <w:tr w14:paraId="2855AA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0" w:hRule="atLeast"/>
        </w:trPr>
        <w:tc>
          <w:tcPr>
            <w:tcW w:w="305" w:type="pct"/>
            <w:vMerge w:val="restart"/>
            <w:tcBorders>
              <w:top w:val="nil"/>
              <w:left w:val="single" w:color="auto" w:sz="8" w:space="0"/>
              <w:bottom w:val="single" w:color="auto" w:sz="8" w:space="0"/>
              <w:right w:val="single" w:color="auto" w:sz="8" w:space="0"/>
            </w:tcBorders>
            <w:noWrap w:val="0"/>
            <w:vAlign w:val="center"/>
          </w:tcPr>
          <w:p w14:paraId="5C113D4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项目效益</w:t>
            </w:r>
          </w:p>
        </w:tc>
        <w:tc>
          <w:tcPr>
            <w:tcW w:w="207" w:type="pct"/>
            <w:vMerge w:val="restart"/>
            <w:tcBorders>
              <w:top w:val="nil"/>
              <w:left w:val="nil"/>
              <w:bottom w:val="single" w:color="auto" w:sz="8" w:space="0"/>
              <w:right w:val="single" w:color="auto" w:sz="8" w:space="0"/>
            </w:tcBorders>
            <w:noWrap w:val="0"/>
            <w:vAlign w:val="center"/>
          </w:tcPr>
          <w:p w14:paraId="032D588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25</w:t>
            </w:r>
          </w:p>
        </w:tc>
        <w:tc>
          <w:tcPr>
            <w:tcW w:w="310" w:type="pct"/>
            <w:vMerge w:val="restart"/>
            <w:tcBorders>
              <w:top w:val="nil"/>
              <w:left w:val="nil"/>
              <w:bottom w:val="single" w:color="auto" w:sz="8" w:space="0"/>
              <w:right w:val="single" w:color="auto" w:sz="8" w:space="0"/>
            </w:tcBorders>
            <w:noWrap w:val="0"/>
            <w:vAlign w:val="center"/>
          </w:tcPr>
          <w:p w14:paraId="17DC212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项目效益</w:t>
            </w:r>
          </w:p>
        </w:tc>
        <w:tc>
          <w:tcPr>
            <w:tcW w:w="212" w:type="pct"/>
            <w:vMerge w:val="restart"/>
            <w:tcBorders>
              <w:top w:val="nil"/>
              <w:left w:val="nil"/>
              <w:bottom w:val="single" w:color="auto" w:sz="8" w:space="0"/>
              <w:right w:val="single" w:color="auto" w:sz="8" w:space="0"/>
            </w:tcBorders>
            <w:noWrap w:val="0"/>
            <w:vAlign w:val="center"/>
          </w:tcPr>
          <w:p w14:paraId="1EDDBCC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25</w:t>
            </w:r>
          </w:p>
        </w:tc>
        <w:tc>
          <w:tcPr>
            <w:tcW w:w="427" w:type="pct"/>
            <w:tcBorders>
              <w:top w:val="nil"/>
              <w:left w:val="nil"/>
              <w:bottom w:val="single" w:color="auto" w:sz="8" w:space="0"/>
              <w:right w:val="single" w:color="auto" w:sz="8" w:space="0"/>
            </w:tcBorders>
            <w:noWrap w:val="0"/>
            <w:vAlign w:val="center"/>
          </w:tcPr>
          <w:p w14:paraId="0786EAE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社会效益</w:t>
            </w:r>
          </w:p>
        </w:tc>
        <w:tc>
          <w:tcPr>
            <w:tcW w:w="242" w:type="pct"/>
            <w:tcBorders>
              <w:top w:val="nil"/>
              <w:left w:val="nil"/>
              <w:bottom w:val="single" w:color="auto" w:sz="8" w:space="0"/>
              <w:right w:val="single" w:color="auto" w:sz="8" w:space="0"/>
            </w:tcBorders>
            <w:noWrap w:val="0"/>
            <w:vAlign w:val="center"/>
          </w:tcPr>
          <w:p w14:paraId="66D14F9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15</w:t>
            </w:r>
          </w:p>
        </w:tc>
        <w:tc>
          <w:tcPr>
            <w:tcW w:w="658" w:type="pct"/>
            <w:tcBorders>
              <w:top w:val="nil"/>
              <w:left w:val="nil"/>
              <w:bottom w:val="single" w:color="auto" w:sz="8" w:space="0"/>
              <w:right w:val="single" w:color="auto" w:sz="8" w:space="0"/>
            </w:tcBorders>
            <w:noWrap w:val="0"/>
            <w:vAlign w:val="center"/>
          </w:tcPr>
          <w:p w14:paraId="152B711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保障村级各项工作运转高效</w:t>
            </w:r>
          </w:p>
        </w:tc>
        <w:tc>
          <w:tcPr>
            <w:tcW w:w="266" w:type="pct"/>
            <w:tcBorders>
              <w:top w:val="nil"/>
              <w:left w:val="nil"/>
              <w:bottom w:val="single" w:color="auto" w:sz="8" w:space="0"/>
              <w:right w:val="single" w:color="auto" w:sz="8" w:space="0"/>
            </w:tcBorders>
            <w:noWrap w:val="0"/>
            <w:vAlign w:val="center"/>
          </w:tcPr>
          <w:p w14:paraId="135C9C0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持续保障</w:t>
            </w:r>
          </w:p>
        </w:tc>
        <w:tc>
          <w:tcPr>
            <w:tcW w:w="1723" w:type="pct"/>
            <w:tcBorders>
              <w:top w:val="nil"/>
              <w:left w:val="nil"/>
              <w:bottom w:val="single" w:color="auto" w:sz="8" w:space="0"/>
              <w:right w:val="single" w:color="auto" w:sz="8" w:space="0"/>
            </w:tcBorders>
            <w:noWrap w:val="0"/>
            <w:vAlign w:val="center"/>
          </w:tcPr>
          <w:p w14:paraId="08E0226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按评判等级赋分。分为基本达成目标、部分实现目标、实现目标程度较低三个档次，并分别按照该指标对应分值区间100%-80%（含）、80%-60%（含）、60%-0%合理确定分值。</w:t>
            </w:r>
          </w:p>
        </w:tc>
        <w:tc>
          <w:tcPr>
            <w:tcW w:w="319" w:type="pct"/>
            <w:tcBorders>
              <w:top w:val="nil"/>
              <w:left w:val="nil"/>
              <w:bottom w:val="single" w:color="auto" w:sz="8" w:space="0"/>
              <w:right w:val="single" w:color="auto" w:sz="8" w:space="0"/>
            </w:tcBorders>
            <w:noWrap w:val="0"/>
            <w:vAlign w:val="center"/>
          </w:tcPr>
          <w:p w14:paraId="7444D8F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持续保障</w:t>
            </w:r>
          </w:p>
        </w:tc>
        <w:tc>
          <w:tcPr>
            <w:tcW w:w="326" w:type="pct"/>
            <w:tcBorders>
              <w:top w:val="nil"/>
              <w:left w:val="nil"/>
              <w:bottom w:val="single" w:color="auto" w:sz="8" w:space="0"/>
              <w:right w:val="single" w:color="auto" w:sz="8" w:space="0"/>
            </w:tcBorders>
            <w:noWrap w:val="0"/>
            <w:vAlign w:val="center"/>
          </w:tcPr>
          <w:p w14:paraId="308F8F1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15</w:t>
            </w:r>
          </w:p>
        </w:tc>
      </w:tr>
      <w:tr w14:paraId="514709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05" w:type="pct"/>
            <w:vMerge w:val="continue"/>
            <w:tcBorders>
              <w:top w:val="nil"/>
              <w:left w:val="single" w:color="auto" w:sz="8" w:space="0"/>
              <w:bottom w:val="single" w:color="auto" w:sz="8" w:space="0"/>
              <w:right w:val="single" w:color="auto" w:sz="8" w:space="0"/>
            </w:tcBorders>
            <w:noWrap w:val="0"/>
            <w:vAlign w:val="center"/>
          </w:tcPr>
          <w:p w14:paraId="2A469AD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07" w:type="pct"/>
            <w:vMerge w:val="continue"/>
            <w:tcBorders>
              <w:top w:val="nil"/>
              <w:left w:val="nil"/>
              <w:bottom w:val="single" w:color="auto" w:sz="8" w:space="0"/>
              <w:right w:val="single" w:color="auto" w:sz="8" w:space="0"/>
            </w:tcBorders>
            <w:noWrap w:val="0"/>
            <w:vAlign w:val="center"/>
          </w:tcPr>
          <w:p w14:paraId="1D6FF81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310" w:type="pct"/>
            <w:vMerge w:val="continue"/>
            <w:tcBorders>
              <w:top w:val="nil"/>
              <w:left w:val="nil"/>
              <w:bottom w:val="single" w:color="auto" w:sz="8" w:space="0"/>
              <w:right w:val="single" w:color="auto" w:sz="8" w:space="0"/>
            </w:tcBorders>
            <w:noWrap w:val="0"/>
            <w:vAlign w:val="center"/>
          </w:tcPr>
          <w:p w14:paraId="5A358EE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12" w:type="pct"/>
            <w:vMerge w:val="continue"/>
            <w:tcBorders>
              <w:top w:val="nil"/>
              <w:left w:val="nil"/>
              <w:bottom w:val="single" w:color="auto" w:sz="8" w:space="0"/>
              <w:right w:val="single" w:color="auto" w:sz="8" w:space="0"/>
            </w:tcBorders>
            <w:noWrap w:val="0"/>
            <w:vAlign w:val="center"/>
          </w:tcPr>
          <w:p w14:paraId="427CB43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427" w:type="pct"/>
            <w:tcBorders>
              <w:top w:val="nil"/>
              <w:left w:val="nil"/>
              <w:bottom w:val="single" w:color="auto" w:sz="8" w:space="0"/>
              <w:right w:val="single" w:color="auto" w:sz="8" w:space="0"/>
            </w:tcBorders>
            <w:noWrap w:val="0"/>
            <w:vAlign w:val="center"/>
          </w:tcPr>
          <w:p w14:paraId="15831E3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服务对象满意度</w:t>
            </w:r>
          </w:p>
        </w:tc>
        <w:tc>
          <w:tcPr>
            <w:tcW w:w="242" w:type="pct"/>
            <w:tcBorders>
              <w:top w:val="nil"/>
              <w:left w:val="nil"/>
              <w:bottom w:val="single" w:color="auto" w:sz="8" w:space="0"/>
              <w:right w:val="single" w:color="auto" w:sz="8" w:space="0"/>
            </w:tcBorders>
            <w:noWrap w:val="0"/>
            <w:vAlign w:val="center"/>
          </w:tcPr>
          <w:p w14:paraId="3AA25FB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w:t>
            </w:r>
          </w:p>
        </w:tc>
        <w:tc>
          <w:tcPr>
            <w:tcW w:w="658" w:type="pct"/>
            <w:tcBorders>
              <w:top w:val="nil"/>
              <w:left w:val="nil"/>
              <w:bottom w:val="single" w:color="auto" w:sz="8" w:space="0"/>
              <w:right w:val="single" w:color="auto" w:sz="8" w:space="0"/>
            </w:tcBorders>
            <w:noWrap w:val="0"/>
            <w:vAlign w:val="center"/>
          </w:tcPr>
          <w:p w14:paraId="7736B6F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村干部满意度</w:t>
            </w:r>
          </w:p>
        </w:tc>
        <w:tc>
          <w:tcPr>
            <w:tcW w:w="266" w:type="pct"/>
            <w:tcBorders>
              <w:top w:val="nil"/>
              <w:left w:val="nil"/>
              <w:bottom w:val="single" w:color="auto" w:sz="8" w:space="0"/>
              <w:right w:val="single" w:color="auto" w:sz="8" w:space="0"/>
            </w:tcBorders>
            <w:noWrap w:val="0"/>
            <w:vAlign w:val="center"/>
          </w:tcPr>
          <w:p w14:paraId="4CD5EE7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≥95%</w:t>
            </w:r>
          </w:p>
        </w:tc>
        <w:tc>
          <w:tcPr>
            <w:tcW w:w="1723" w:type="pct"/>
            <w:tcBorders>
              <w:top w:val="nil"/>
              <w:left w:val="nil"/>
              <w:bottom w:val="single" w:color="auto" w:sz="8" w:space="0"/>
              <w:right w:val="single" w:color="auto" w:sz="8" w:space="0"/>
            </w:tcBorders>
            <w:noWrap w:val="0"/>
            <w:vAlign w:val="center"/>
          </w:tcPr>
          <w:p w14:paraId="00F3782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根据问卷调查，满意度达到标杆值，得权重分的100%；否则低于95%，得分=实际满意度*指标分值。</w:t>
            </w:r>
          </w:p>
        </w:tc>
        <w:tc>
          <w:tcPr>
            <w:tcW w:w="319" w:type="pct"/>
            <w:tcBorders>
              <w:top w:val="nil"/>
              <w:left w:val="nil"/>
              <w:bottom w:val="single" w:color="auto" w:sz="8" w:space="0"/>
              <w:right w:val="single" w:color="auto" w:sz="8" w:space="0"/>
            </w:tcBorders>
            <w:noWrap w:val="0"/>
            <w:vAlign w:val="center"/>
          </w:tcPr>
          <w:p w14:paraId="0B940EA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≥95%</w:t>
            </w:r>
          </w:p>
        </w:tc>
        <w:tc>
          <w:tcPr>
            <w:tcW w:w="326" w:type="pct"/>
            <w:tcBorders>
              <w:top w:val="nil"/>
              <w:left w:val="nil"/>
              <w:bottom w:val="single" w:color="auto" w:sz="8" w:space="0"/>
              <w:right w:val="single" w:color="auto" w:sz="8" w:space="0"/>
            </w:tcBorders>
            <w:noWrap w:val="0"/>
            <w:vAlign w:val="center"/>
          </w:tcPr>
          <w:p w14:paraId="466F7A8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w:t>
            </w:r>
          </w:p>
        </w:tc>
      </w:tr>
      <w:tr w14:paraId="03986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05" w:type="pct"/>
            <w:tcBorders>
              <w:top w:val="nil"/>
              <w:left w:val="single" w:color="auto" w:sz="8" w:space="0"/>
              <w:bottom w:val="single" w:color="auto" w:sz="8" w:space="0"/>
              <w:right w:val="single" w:color="auto" w:sz="8" w:space="0"/>
            </w:tcBorders>
            <w:noWrap w:val="0"/>
            <w:vAlign w:val="center"/>
          </w:tcPr>
          <w:p w14:paraId="76238E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总分</w:t>
            </w:r>
          </w:p>
        </w:tc>
        <w:tc>
          <w:tcPr>
            <w:tcW w:w="207" w:type="pct"/>
            <w:tcBorders>
              <w:top w:val="nil"/>
              <w:left w:val="nil"/>
              <w:bottom w:val="single" w:color="auto" w:sz="8" w:space="0"/>
              <w:right w:val="single" w:color="auto" w:sz="8" w:space="0"/>
            </w:tcBorders>
            <w:noWrap w:val="0"/>
            <w:vAlign w:val="center"/>
          </w:tcPr>
          <w:p w14:paraId="2C23AB0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100</w:t>
            </w:r>
          </w:p>
        </w:tc>
        <w:tc>
          <w:tcPr>
            <w:tcW w:w="310" w:type="pct"/>
            <w:tcBorders>
              <w:top w:val="nil"/>
              <w:left w:val="nil"/>
              <w:bottom w:val="single" w:color="auto" w:sz="8" w:space="0"/>
              <w:right w:val="single" w:color="auto" w:sz="8" w:space="0"/>
            </w:tcBorders>
            <w:noWrap w:val="0"/>
            <w:vAlign w:val="center"/>
          </w:tcPr>
          <w:p w14:paraId="4587DD1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12" w:type="pct"/>
            <w:tcBorders>
              <w:top w:val="nil"/>
              <w:left w:val="nil"/>
              <w:bottom w:val="single" w:color="auto" w:sz="8" w:space="0"/>
              <w:right w:val="single" w:color="auto" w:sz="8" w:space="0"/>
            </w:tcBorders>
            <w:noWrap w:val="0"/>
            <w:vAlign w:val="center"/>
          </w:tcPr>
          <w:p w14:paraId="7650B06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100</w:t>
            </w:r>
          </w:p>
        </w:tc>
        <w:tc>
          <w:tcPr>
            <w:tcW w:w="427" w:type="pct"/>
            <w:tcBorders>
              <w:top w:val="nil"/>
              <w:left w:val="nil"/>
              <w:bottom w:val="single" w:color="auto" w:sz="8" w:space="0"/>
              <w:right w:val="single" w:color="auto" w:sz="8" w:space="0"/>
            </w:tcBorders>
            <w:noWrap w:val="0"/>
            <w:vAlign w:val="center"/>
          </w:tcPr>
          <w:p w14:paraId="30C9B44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42" w:type="pct"/>
            <w:tcBorders>
              <w:top w:val="nil"/>
              <w:left w:val="nil"/>
              <w:bottom w:val="single" w:color="auto" w:sz="8" w:space="0"/>
              <w:right w:val="single" w:color="auto" w:sz="8" w:space="0"/>
            </w:tcBorders>
            <w:noWrap w:val="0"/>
            <w:vAlign w:val="center"/>
          </w:tcPr>
          <w:p w14:paraId="3724D4A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100</w:t>
            </w:r>
          </w:p>
        </w:tc>
        <w:tc>
          <w:tcPr>
            <w:tcW w:w="658" w:type="pct"/>
            <w:tcBorders>
              <w:top w:val="nil"/>
              <w:left w:val="nil"/>
              <w:bottom w:val="single" w:color="auto" w:sz="8" w:space="0"/>
              <w:right w:val="single" w:color="auto" w:sz="8" w:space="0"/>
            </w:tcBorders>
            <w:noWrap w:val="0"/>
            <w:vAlign w:val="center"/>
          </w:tcPr>
          <w:p w14:paraId="64B4D05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66" w:type="pct"/>
            <w:tcBorders>
              <w:top w:val="nil"/>
              <w:left w:val="nil"/>
              <w:bottom w:val="single" w:color="auto" w:sz="8" w:space="0"/>
              <w:right w:val="single" w:color="auto" w:sz="8" w:space="0"/>
            </w:tcBorders>
            <w:noWrap w:val="0"/>
            <w:vAlign w:val="center"/>
          </w:tcPr>
          <w:p w14:paraId="0A81240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w:t>
            </w:r>
          </w:p>
        </w:tc>
        <w:tc>
          <w:tcPr>
            <w:tcW w:w="1723" w:type="pct"/>
            <w:tcBorders>
              <w:top w:val="nil"/>
              <w:left w:val="nil"/>
              <w:bottom w:val="single" w:color="auto" w:sz="8" w:space="0"/>
              <w:right w:val="single" w:color="auto" w:sz="8" w:space="0"/>
            </w:tcBorders>
            <w:noWrap w:val="0"/>
            <w:vAlign w:val="center"/>
          </w:tcPr>
          <w:p w14:paraId="644FD07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319" w:type="pct"/>
            <w:tcBorders>
              <w:top w:val="nil"/>
              <w:left w:val="nil"/>
              <w:bottom w:val="single" w:color="auto" w:sz="8" w:space="0"/>
              <w:right w:val="single" w:color="auto" w:sz="8" w:space="0"/>
            </w:tcBorders>
            <w:noWrap w:val="0"/>
            <w:vAlign w:val="center"/>
          </w:tcPr>
          <w:p w14:paraId="531B449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326" w:type="pct"/>
            <w:tcBorders>
              <w:top w:val="nil"/>
              <w:left w:val="nil"/>
              <w:bottom w:val="single" w:color="auto" w:sz="8" w:space="0"/>
              <w:right w:val="single" w:color="auto" w:sz="8" w:space="0"/>
            </w:tcBorders>
            <w:noWrap w:val="0"/>
            <w:vAlign w:val="center"/>
          </w:tcPr>
          <w:p w14:paraId="3B2E03C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rPr>
              <w:t>100</w:t>
            </w:r>
          </w:p>
        </w:tc>
      </w:tr>
    </w:tbl>
    <w:p w14:paraId="6CD438BC">
      <w:pPr>
        <w:pStyle w:val="10"/>
        <w:jc w:val="center"/>
        <w:rPr>
          <w:rFonts w:hint="eastAsia" w:ascii="宋体" w:hAnsi="宋体" w:eastAsia="宋体" w:cs="宋体"/>
          <w:color w:val="auto"/>
          <w:sz w:val="24"/>
          <w:szCs w:val="24"/>
          <w:lang w:eastAsia="zh-CN"/>
        </w:rPr>
      </w:pPr>
    </w:p>
    <w:p w14:paraId="4A50025F">
      <w:pPr>
        <w:pStyle w:val="10"/>
        <w:jc w:val="center"/>
        <w:rPr>
          <w:rFonts w:hint="eastAsia" w:ascii="宋体" w:hAnsi="宋体" w:eastAsia="宋体" w:cs="宋体"/>
          <w:color w:val="auto"/>
          <w:sz w:val="24"/>
          <w:szCs w:val="24"/>
          <w:lang w:eastAsia="zh-CN"/>
        </w:rPr>
      </w:pPr>
    </w:p>
    <w:p w14:paraId="0AC2C293">
      <w:pPr>
        <w:pStyle w:val="10"/>
        <w:ind w:left="0" w:leftChars="0" w:firstLine="0" w:firstLineChars="0"/>
        <w:jc w:val="both"/>
        <w:rPr>
          <w:rFonts w:hint="eastAsia" w:ascii="宋体" w:hAnsi="宋体" w:eastAsia="宋体" w:cs="宋体"/>
          <w:color w:val="auto"/>
          <w:sz w:val="24"/>
          <w:szCs w:val="24"/>
          <w:lang w:eastAsia="zh-CN"/>
        </w:rPr>
      </w:pPr>
    </w:p>
    <w:p w14:paraId="46C110BB">
      <w:pPr>
        <w:pStyle w:val="10"/>
        <w:ind w:left="0" w:leftChars="0" w:firstLine="0" w:firstLineChars="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附件2：</w:t>
      </w:r>
    </w:p>
    <w:tbl>
      <w:tblPr>
        <w:tblStyle w:val="24"/>
        <w:tblW w:w="1302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2694"/>
        <w:gridCol w:w="2086"/>
      </w:tblGrid>
      <w:tr w14:paraId="6BAB14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3EE097B8">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auto"/>
                <w:sz w:val="22"/>
                <w:szCs w:val="22"/>
                <w:u w:val="none"/>
              </w:rPr>
            </w:pPr>
          </w:p>
        </w:tc>
        <w:tc>
          <w:tcPr>
            <w:tcW w:w="1778" w:type="dxa"/>
            <w:tcBorders>
              <w:top w:val="nil"/>
              <w:left w:val="nil"/>
              <w:bottom w:val="nil"/>
              <w:right w:val="nil"/>
            </w:tcBorders>
            <w:noWrap/>
            <w:vAlign w:val="center"/>
          </w:tcPr>
          <w:p w14:paraId="149DE2D2">
            <w:pPr>
              <w:rPr>
                <w:rFonts w:hint="eastAsia" w:ascii="宋体" w:hAnsi="宋体" w:eastAsia="宋体" w:cs="宋体"/>
                <w:i w:val="0"/>
                <w:iCs w:val="0"/>
                <w:color w:val="auto"/>
                <w:sz w:val="22"/>
                <w:szCs w:val="22"/>
                <w:u w:val="none"/>
              </w:rPr>
            </w:pPr>
          </w:p>
        </w:tc>
        <w:tc>
          <w:tcPr>
            <w:tcW w:w="2786" w:type="dxa"/>
            <w:tcBorders>
              <w:top w:val="nil"/>
              <w:left w:val="nil"/>
              <w:bottom w:val="nil"/>
              <w:right w:val="nil"/>
            </w:tcBorders>
            <w:noWrap/>
            <w:vAlign w:val="center"/>
          </w:tcPr>
          <w:p w14:paraId="6FD3F724">
            <w:pPr>
              <w:rPr>
                <w:rFonts w:hint="eastAsia" w:ascii="宋体" w:hAnsi="宋体" w:eastAsia="宋体" w:cs="宋体"/>
                <w:i w:val="0"/>
                <w:iCs w:val="0"/>
                <w:color w:val="auto"/>
                <w:sz w:val="22"/>
                <w:szCs w:val="22"/>
                <w:u w:val="none"/>
              </w:rPr>
            </w:pPr>
          </w:p>
        </w:tc>
        <w:tc>
          <w:tcPr>
            <w:tcW w:w="2314" w:type="dxa"/>
            <w:tcBorders>
              <w:top w:val="nil"/>
              <w:left w:val="nil"/>
              <w:bottom w:val="nil"/>
              <w:right w:val="nil"/>
            </w:tcBorders>
            <w:noWrap/>
            <w:vAlign w:val="center"/>
          </w:tcPr>
          <w:p w14:paraId="384959B3">
            <w:pPr>
              <w:rPr>
                <w:rFonts w:hint="eastAsia" w:ascii="宋体" w:hAnsi="宋体" w:eastAsia="宋体" w:cs="宋体"/>
                <w:i w:val="0"/>
                <w:iCs w:val="0"/>
                <w:color w:val="auto"/>
                <w:sz w:val="22"/>
                <w:szCs w:val="22"/>
                <w:u w:val="none"/>
              </w:rPr>
            </w:pPr>
          </w:p>
        </w:tc>
        <w:tc>
          <w:tcPr>
            <w:tcW w:w="2694" w:type="dxa"/>
            <w:tcBorders>
              <w:top w:val="nil"/>
              <w:left w:val="nil"/>
              <w:bottom w:val="nil"/>
              <w:right w:val="nil"/>
            </w:tcBorders>
            <w:noWrap/>
            <w:vAlign w:val="center"/>
          </w:tcPr>
          <w:p w14:paraId="6507D9F4">
            <w:pPr>
              <w:rPr>
                <w:rFonts w:hint="eastAsia" w:ascii="宋体" w:hAnsi="宋体" w:eastAsia="宋体" w:cs="宋体"/>
                <w:i w:val="0"/>
                <w:iCs w:val="0"/>
                <w:color w:val="auto"/>
                <w:sz w:val="22"/>
                <w:szCs w:val="22"/>
                <w:u w:val="none"/>
              </w:rPr>
            </w:pPr>
          </w:p>
        </w:tc>
        <w:tc>
          <w:tcPr>
            <w:tcW w:w="2086" w:type="dxa"/>
            <w:tcBorders>
              <w:top w:val="nil"/>
              <w:left w:val="nil"/>
              <w:bottom w:val="nil"/>
              <w:right w:val="nil"/>
            </w:tcBorders>
            <w:noWrap/>
            <w:vAlign w:val="center"/>
          </w:tcPr>
          <w:p w14:paraId="21809549">
            <w:pPr>
              <w:rPr>
                <w:rFonts w:hint="eastAsia" w:ascii="宋体" w:hAnsi="宋体" w:eastAsia="宋体" w:cs="宋体"/>
                <w:i w:val="0"/>
                <w:iCs w:val="0"/>
                <w:color w:val="auto"/>
                <w:sz w:val="22"/>
                <w:szCs w:val="22"/>
                <w:u w:val="none"/>
              </w:rPr>
            </w:pPr>
          </w:p>
        </w:tc>
      </w:tr>
      <w:tr w14:paraId="57B8C6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33573E8F">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洛财预〔2024〕04号：2024年村级运转经费（县配套）项目综合得分表</w:t>
            </w:r>
          </w:p>
        </w:tc>
      </w:tr>
      <w:tr w14:paraId="63BA56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935689D">
            <w:pPr>
              <w:keepNext w:val="0"/>
              <w:keepLines w:val="0"/>
              <w:pageBreakBefore w:val="0"/>
              <w:widowControl/>
              <w:suppressLineNumbers w:val="0"/>
              <w:kinsoku/>
              <w:wordWrap/>
              <w:overflowPunct/>
              <w:topLinePunct w:val="0"/>
              <w:autoSpaceDE/>
              <w:autoSpaceDN/>
              <w:bidi w:val="0"/>
              <w:adjustRightInd/>
              <w:snapToGrid/>
              <w:spacing w:line="480" w:lineRule="auto"/>
              <w:ind w:left="0" w:leftChars="0"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14006C0">
            <w:pPr>
              <w:keepNext w:val="0"/>
              <w:keepLines w:val="0"/>
              <w:pageBreakBefore w:val="0"/>
              <w:widowControl/>
              <w:suppressLineNumbers w:val="0"/>
              <w:kinsoku/>
              <w:wordWrap/>
              <w:overflowPunct/>
              <w:topLinePunct w:val="0"/>
              <w:autoSpaceDE/>
              <w:autoSpaceDN/>
              <w:bidi w:val="0"/>
              <w:adjustRightInd/>
              <w:snapToGrid/>
              <w:spacing w:line="480" w:lineRule="auto"/>
              <w:ind w:left="0" w:leftChars="0"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CA10E05">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9F9042C">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项目产出</w:t>
            </w:r>
          </w:p>
        </w:tc>
        <w:tc>
          <w:tcPr>
            <w:tcW w:w="269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113351F">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项目效益</w:t>
            </w:r>
          </w:p>
        </w:tc>
        <w:tc>
          <w:tcPr>
            <w:tcW w:w="20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61F97B2">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合计</w:t>
            </w:r>
          </w:p>
        </w:tc>
      </w:tr>
      <w:tr w14:paraId="17D49F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610BA3B">
            <w:pPr>
              <w:keepNext w:val="0"/>
              <w:keepLines w:val="0"/>
              <w:pageBreakBefore w:val="0"/>
              <w:widowControl/>
              <w:suppressLineNumbers w:val="0"/>
              <w:kinsoku/>
              <w:wordWrap/>
              <w:overflowPunct/>
              <w:topLinePunct w:val="0"/>
              <w:autoSpaceDE/>
              <w:autoSpaceDN/>
              <w:bidi w:val="0"/>
              <w:adjustRightInd/>
              <w:snapToGrid/>
              <w:spacing w:line="480" w:lineRule="auto"/>
              <w:ind w:left="0" w:leftChars="0"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39375CE9">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1ECF102F">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792F3027">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40.00</w:t>
            </w:r>
          </w:p>
        </w:tc>
        <w:tc>
          <w:tcPr>
            <w:tcW w:w="2694" w:type="dxa"/>
            <w:tcBorders>
              <w:top w:val="single" w:color="auto" w:sz="4" w:space="0"/>
              <w:left w:val="single" w:color="auto" w:sz="4" w:space="0"/>
              <w:bottom w:val="single" w:color="auto" w:sz="4" w:space="0"/>
              <w:right w:val="single" w:color="auto" w:sz="4" w:space="0"/>
            </w:tcBorders>
            <w:noWrap w:val="0"/>
            <w:vAlign w:val="center"/>
          </w:tcPr>
          <w:p w14:paraId="6805D298">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25.00</w:t>
            </w:r>
          </w:p>
        </w:tc>
        <w:tc>
          <w:tcPr>
            <w:tcW w:w="2086" w:type="dxa"/>
            <w:tcBorders>
              <w:top w:val="single" w:color="auto" w:sz="4" w:space="0"/>
              <w:left w:val="single" w:color="auto" w:sz="4" w:space="0"/>
              <w:bottom w:val="single" w:color="auto" w:sz="4" w:space="0"/>
              <w:right w:val="single" w:color="auto" w:sz="4" w:space="0"/>
            </w:tcBorders>
            <w:noWrap w:val="0"/>
            <w:vAlign w:val="center"/>
          </w:tcPr>
          <w:p w14:paraId="2D88B2DF">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r>
      <w:tr w14:paraId="62CBB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26E6300">
            <w:pPr>
              <w:keepNext w:val="0"/>
              <w:keepLines w:val="0"/>
              <w:pageBreakBefore w:val="0"/>
              <w:widowControl/>
              <w:suppressLineNumbers w:val="0"/>
              <w:kinsoku/>
              <w:wordWrap/>
              <w:overflowPunct/>
              <w:topLinePunct w:val="0"/>
              <w:autoSpaceDE/>
              <w:autoSpaceDN/>
              <w:bidi w:val="0"/>
              <w:adjustRightInd/>
              <w:snapToGrid/>
              <w:spacing w:line="480" w:lineRule="auto"/>
              <w:ind w:left="0" w:leftChars="0"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6311C4C">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FC5C359">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eastAsia"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78769B3">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40.00</w:t>
            </w:r>
          </w:p>
        </w:tc>
        <w:tc>
          <w:tcPr>
            <w:tcW w:w="269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9606B5B">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25.00</w:t>
            </w:r>
          </w:p>
        </w:tc>
        <w:tc>
          <w:tcPr>
            <w:tcW w:w="2086" w:type="dxa"/>
            <w:tcBorders>
              <w:top w:val="single" w:color="auto" w:sz="4" w:space="0"/>
              <w:left w:val="single" w:color="auto" w:sz="4" w:space="0"/>
              <w:bottom w:val="single" w:color="auto" w:sz="4" w:space="0"/>
              <w:right w:val="single" w:color="auto" w:sz="4" w:space="0"/>
            </w:tcBorders>
            <w:noWrap w:val="0"/>
            <w:vAlign w:val="center"/>
          </w:tcPr>
          <w:p w14:paraId="30DADD11">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100.00</w:t>
            </w:r>
          </w:p>
        </w:tc>
      </w:tr>
      <w:tr w14:paraId="411316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21F4D2F">
            <w:pPr>
              <w:keepNext w:val="0"/>
              <w:keepLines w:val="0"/>
              <w:pageBreakBefore w:val="0"/>
              <w:widowControl/>
              <w:suppressLineNumbers w:val="0"/>
              <w:kinsoku/>
              <w:wordWrap/>
              <w:overflowPunct/>
              <w:topLinePunct w:val="0"/>
              <w:autoSpaceDE/>
              <w:autoSpaceDN/>
              <w:bidi w:val="0"/>
              <w:adjustRightInd/>
              <w:snapToGrid/>
              <w:spacing w:line="480" w:lineRule="auto"/>
              <w:ind w:left="0" w:leftChars="0"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17ECDBB7">
            <w:pPr>
              <w:keepNext w:val="0"/>
              <w:keepLines w:val="0"/>
              <w:pageBreakBefore w:val="0"/>
              <w:widowControl/>
              <w:suppressLineNumbers w:val="0"/>
              <w:kinsoku/>
              <w:wordWrap/>
              <w:overflowPunct/>
              <w:topLinePunct w:val="0"/>
              <w:autoSpaceDE/>
              <w:autoSpaceDN/>
              <w:bidi w:val="0"/>
              <w:adjustRightInd/>
              <w:snapToGrid/>
              <w:spacing w:line="480" w:lineRule="auto"/>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422CA24F">
            <w:pPr>
              <w:keepNext w:val="0"/>
              <w:keepLines w:val="0"/>
              <w:pageBreakBefore w:val="0"/>
              <w:widowControl/>
              <w:suppressLineNumbers w:val="0"/>
              <w:kinsoku/>
              <w:wordWrap/>
              <w:overflowPunct/>
              <w:topLinePunct w:val="0"/>
              <w:autoSpaceDE/>
              <w:autoSpaceDN/>
              <w:bidi w:val="0"/>
              <w:adjustRightInd/>
              <w:snapToGrid/>
              <w:spacing w:line="480" w:lineRule="auto"/>
              <w:ind w:firstLine="480" w:firstLineChars="20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653C1876">
            <w:pPr>
              <w:keepNext w:val="0"/>
              <w:keepLines w:val="0"/>
              <w:pageBreakBefore w:val="0"/>
              <w:widowControl/>
              <w:suppressLineNumbers w:val="0"/>
              <w:kinsoku/>
              <w:wordWrap/>
              <w:overflowPunct/>
              <w:topLinePunct w:val="0"/>
              <w:autoSpaceDE/>
              <w:autoSpaceDN/>
              <w:bidi w:val="0"/>
              <w:adjustRightInd/>
              <w:snapToGrid/>
              <w:spacing w:line="480" w:lineRule="auto"/>
              <w:ind w:firstLine="480" w:firstLineChars="20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c>
          <w:tcPr>
            <w:tcW w:w="2694" w:type="dxa"/>
            <w:tcBorders>
              <w:top w:val="single" w:color="auto" w:sz="4" w:space="0"/>
              <w:left w:val="single" w:color="auto" w:sz="4" w:space="0"/>
              <w:bottom w:val="single" w:color="auto" w:sz="4" w:space="0"/>
              <w:right w:val="single" w:color="auto" w:sz="4" w:space="0"/>
            </w:tcBorders>
            <w:noWrap w:val="0"/>
            <w:vAlign w:val="center"/>
          </w:tcPr>
          <w:p w14:paraId="14E78B80">
            <w:pPr>
              <w:keepNext w:val="0"/>
              <w:keepLines w:val="0"/>
              <w:pageBreakBefore w:val="0"/>
              <w:widowControl/>
              <w:suppressLineNumbers w:val="0"/>
              <w:kinsoku/>
              <w:wordWrap/>
              <w:overflowPunct/>
              <w:topLinePunct w:val="0"/>
              <w:autoSpaceDE/>
              <w:autoSpaceDN/>
              <w:bidi w:val="0"/>
              <w:adjustRightInd/>
              <w:snapToGrid/>
              <w:spacing w:line="480" w:lineRule="auto"/>
              <w:ind w:firstLine="480" w:firstLineChars="20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c>
          <w:tcPr>
            <w:tcW w:w="2086" w:type="dxa"/>
            <w:tcBorders>
              <w:top w:val="single" w:color="auto" w:sz="4" w:space="0"/>
              <w:left w:val="single" w:color="auto" w:sz="4" w:space="0"/>
              <w:bottom w:val="single" w:color="auto" w:sz="4" w:space="0"/>
              <w:right w:val="single" w:color="auto" w:sz="4" w:space="0"/>
            </w:tcBorders>
            <w:noWrap w:val="0"/>
            <w:vAlign w:val="center"/>
          </w:tcPr>
          <w:p w14:paraId="3D4A36C4">
            <w:pPr>
              <w:keepNext w:val="0"/>
              <w:keepLines w:val="0"/>
              <w:pageBreakBefore w:val="0"/>
              <w:widowControl/>
              <w:suppressLineNumbers w:val="0"/>
              <w:kinsoku/>
              <w:wordWrap/>
              <w:overflowPunct/>
              <w:topLinePunct w:val="0"/>
              <w:autoSpaceDE/>
              <w:autoSpaceDN/>
              <w:bidi w:val="0"/>
              <w:adjustRightInd/>
              <w:snapToGrid/>
              <w:spacing w:line="480" w:lineRule="auto"/>
              <w:ind w:firstLine="480" w:firstLineChars="20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r>
    </w:tbl>
    <w:p w14:paraId="30268CF3">
      <w:pPr>
        <w:pStyle w:val="10"/>
        <w:ind w:left="0" w:leftChars="0" w:firstLine="0" w:firstLineChars="0"/>
        <w:jc w:val="both"/>
        <w:rPr>
          <w:rFonts w:hint="eastAsia" w:ascii="宋体" w:hAnsi="宋体" w:eastAsia="宋体" w:cs="宋体"/>
          <w:color w:val="auto"/>
          <w:sz w:val="24"/>
          <w:szCs w:val="24"/>
          <w:lang w:eastAsia="zh-CN"/>
        </w:rPr>
        <w:sectPr>
          <w:pgSz w:w="16838" w:h="11906" w:orient="landscape"/>
          <w:pgMar w:top="1531" w:right="1985" w:bottom="1531" w:left="1701" w:header="851" w:footer="992" w:gutter="0"/>
          <w:pgNumType w:fmt="decimal"/>
          <w:cols w:space="720" w:num="1"/>
          <w:docGrid w:type="linesAndChars" w:linePitch="386" w:charSpace="0"/>
        </w:sectPr>
      </w:pPr>
    </w:p>
    <w:p w14:paraId="4CFF12F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附件3：</w:t>
      </w:r>
    </w:p>
    <w:p w14:paraId="5B04B9C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center"/>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eastAsia="zh-CN"/>
        </w:rPr>
        <w:t>村组织运转经费项目</w:t>
      </w:r>
      <w:r>
        <w:rPr>
          <w:rFonts w:hint="eastAsia" w:ascii="宋体" w:hAnsi="宋体" w:eastAsia="宋体" w:cs="宋体"/>
          <w:b/>
          <w:bCs/>
          <w:color w:val="auto"/>
          <w:sz w:val="24"/>
          <w:szCs w:val="24"/>
          <w:highlight w:val="none"/>
        </w:rPr>
        <w:t>调查问卷</w:t>
      </w:r>
      <w:r>
        <w:rPr>
          <w:rFonts w:hint="eastAsia" w:ascii="宋体" w:hAnsi="宋体" w:eastAsia="宋体" w:cs="宋体"/>
          <w:b/>
          <w:bCs/>
          <w:color w:val="auto"/>
          <w:sz w:val="24"/>
          <w:szCs w:val="24"/>
          <w:highlight w:val="none"/>
          <w:lang w:val="en-US" w:eastAsia="zh-CN"/>
        </w:rPr>
        <w:t>分析报告</w:t>
      </w:r>
    </w:p>
    <w:p w14:paraId="09E5D2F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color w:val="auto"/>
          <w:sz w:val="24"/>
          <w:szCs w:val="24"/>
          <w:highlight w:val="none"/>
        </w:rPr>
        <w:t>为客观评价该项目的社会效果，了解</w:t>
      </w:r>
      <w:r>
        <w:rPr>
          <w:rFonts w:hint="eastAsia" w:ascii="宋体" w:hAnsi="宋体" w:eastAsia="宋体" w:cs="宋体"/>
          <w:color w:val="auto"/>
          <w:sz w:val="24"/>
          <w:szCs w:val="24"/>
          <w:highlight w:val="none"/>
          <w:lang w:val="en-US" w:eastAsia="zh-CN"/>
        </w:rPr>
        <w:t>项目受益群体</w:t>
      </w:r>
      <w:r>
        <w:rPr>
          <w:rFonts w:hint="eastAsia" w:ascii="宋体" w:hAnsi="宋体" w:eastAsia="宋体" w:cs="宋体"/>
          <w:color w:val="auto"/>
          <w:sz w:val="24"/>
          <w:szCs w:val="24"/>
          <w:highlight w:val="none"/>
        </w:rPr>
        <w:t>对项目</w:t>
      </w:r>
      <w:r>
        <w:rPr>
          <w:rFonts w:hint="eastAsia" w:ascii="宋体" w:hAnsi="宋体" w:eastAsia="宋体" w:cs="宋体"/>
          <w:color w:val="auto"/>
          <w:sz w:val="24"/>
          <w:szCs w:val="24"/>
          <w:highlight w:val="none"/>
          <w:lang w:val="en-US" w:eastAsia="zh-CN"/>
        </w:rPr>
        <w:t>实施后</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val="en-US" w:eastAsia="zh-CN"/>
        </w:rPr>
        <w:t>真实</w:t>
      </w:r>
      <w:r>
        <w:rPr>
          <w:rFonts w:hint="eastAsia" w:ascii="宋体" w:hAnsi="宋体" w:eastAsia="宋体" w:cs="宋体"/>
          <w:color w:val="auto"/>
          <w:sz w:val="24"/>
          <w:szCs w:val="24"/>
          <w:highlight w:val="none"/>
        </w:rPr>
        <w:t>评价情况，对本项目</w:t>
      </w:r>
      <w:r>
        <w:rPr>
          <w:rFonts w:hint="eastAsia" w:ascii="宋体" w:hAnsi="宋体" w:eastAsia="宋体" w:cs="宋体"/>
          <w:color w:val="auto"/>
          <w:sz w:val="24"/>
          <w:szCs w:val="24"/>
          <w:highlight w:val="none"/>
          <w:lang w:eastAsia="zh-CN"/>
        </w:rPr>
        <w:t>开展</w:t>
      </w:r>
      <w:r>
        <w:rPr>
          <w:rFonts w:hint="eastAsia" w:ascii="宋体" w:hAnsi="宋体" w:eastAsia="宋体" w:cs="宋体"/>
          <w:color w:val="auto"/>
          <w:sz w:val="24"/>
          <w:szCs w:val="24"/>
          <w:highlight w:val="none"/>
        </w:rPr>
        <w:t>满意度问卷调查。问卷调查工作情况如下。问卷调查工作情况如下：</w:t>
      </w:r>
    </w:p>
    <w:p w14:paraId="5E33B38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该问卷调查从202</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年</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月</w:t>
      </w: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日开始至202</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年</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月</w:t>
      </w:r>
      <w:r>
        <w:rPr>
          <w:rFonts w:hint="eastAsia" w:ascii="宋体" w:hAnsi="宋体" w:eastAsia="宋体" w:cs="宋体"/>
          <w:b/>
          <w:bCs/>
          <w:color w:val="auto"/>
          <w:sz w:val="24"/>
          <w:szCs w:val="24"/>
          <w:highlight w:val="none"/>
          <w:lang w:val="en-US" w:eastAsia="zh-CN"/>
        </w:rPr>
        <w:t>20</w:t>
      </w:r>
      <w:r>
        <w:rPr>
          <w:rFonts w:hint="eastAsia" w:ascii="宋体" w:hAnsi="宋体" w:eastAsia="宋体" w:cs="宋体"/>
          <w:b/>
          <w:bCs/>
          <w:color w:val="auto"/>
          <w:sz w:val="24"/>
          <w:szCs w:val="24"/>
          <w:highlight w:val="none"/>
        </w:rPr>
        <w:t>日结束，调查问卷共设置</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道题目。</w:t>
      </w:r>
    </w:p>
    <w:p w14:paraId="2712E779">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调查</w:t>
      </w:r>
      <w:r>
        <w:rPr>
          <w:rFonts w:hint="eastAsia" w:ascii="宋体" w:hAnsi="宋体" w:eastAsia="宋体" w:cs="宋体"/>
          <w:b/>
          <w:bCs/>
          <w:color w:val="auto"/>
          <w:sz w:val="24"/>
          <w:szCs w:val="24"/>
          <w:highlight w:val="none"/>
        </w:rPr>
        <w:t>对象</w:t>
      </w:r>
    </w:p>
    <w:p w14:paraId="436F02D8">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本次调查的受益对象为村民。</w:t>
      </w:r>
    </w:p>
    <w:p w14:paraId="27B2BF0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i w:val="0"/>
          <w:iCs w:val="0"/>
          <w:color w:val="auto"/>
          <w:sz w:val="24"/>
          <w:szCs w:val="24"/>
          <w:highlight w:val="none"/>
        </w:rPr>
        <w:t>2.</w:t>
      </w:r>
      <w:r>
        <w:rPr>
          <w:rFonts w:hint="eastAsia" w:ascii="宋体" w:hAnsi="宋体" w:eastAsia="宋体" w:cs="宋体"/>
          <w:b/>
          <w:bCs/>
          <w:i w:val="0"/>
          <w:iCs w:val="0"/>
          <w:color w:val="auto"/>
          <w:sz w:val="24"/>
          <w:szCs w:val="24"/>
          <w:highlight w:val="none"/>
          <w:lang w:eastAsia="zh-CN"/>
        </w:rPr>
        <w:t>调查</w:t>
      </w:r>
      <w:r>
        <w:rPr>
          <w:rFonts w:hint="eastAsia" w:ascii="宋体" w:hAnsi="宋体" w:eastAsia="宋体" w:cs="宋体"/>
          <w:b/>
          <w:bCs/>
          <w:i w:val="0"/>
          <w:iCs w:val="0"/>
          <w:color w:val="auto"/>
          <w:sz w:val="24"/>
          <w:szCs w:val="24"/>
          <w:highlight w:val="none"/>
        </w:rPr>
        <w:t>内容</w:t>
      </w:r>
    </w:p>
    <w:p w14:paraId="17AF20BA">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1.您对村组织运转经费项目对本村使用于化解债务效果是否满意?</w:t>
      </w:r>
    </w:p>
    <w:p w14:paraId="346A0F4F">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非常满意      比较满意    一般     不满意 </w:t>
      </w:r>
    </w:p>
    <w:p w14:paraId="13040939">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2.您对村组织运转经费项目资金对本村开展各项工作带来的效益是否满意？</w:t>
      </w:r>
    </w:p>
    <w:p w14:paraId="61F48676">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非常满意      比较满意    一般     不满意 </w:t>
      </w:r>
    </w:p>
    <w:p w14:paraId="71E1263B">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总的来说，你对村组织运转经费项目完成后对社会带来的效益是否满意？</w:t>
      </w:r>
    </w:p>
    <w:p w14:paraId="3B6DE262">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非常满意      比较满意    一般     不满意 </w:t>
      </w:r>
    </w:p>
    <w:p w14:paraId="0758D4FD">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调查</w:t>
      </w:r>
      <w:r>
        <w:rPr>
          <w:rFonts w:hint="eastAsia" w:ascii="宋体" w:hAnsi="宋体" w:eastAsia="宋体" w:cs="宋体"/>
          <w:b/>
          <w:bCs/>
          <w:color w:val="auto"/>
          <w:sz w:val="24"/>
          <w:szCs w:val="24"/>
          <w:highlight w:val="none"/>
        </w:rPr>
        <w:t>方法</w:t>
      </w:r>
    </w:p>
    <w:p w14:paraId="2CFFE0B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rPr>
        <w:t>问卷调查采取</w:t>
      </w:r>
      <w:r>
        <w:rPr>
          <w:rFonts w:hint="eastAsia" w:ascii="宋体" w:hAnsi="宋体" w:eastAsia="宋体" w:cs="宋体"/>
          <w:color w:val="auto"/>
          <w:sz w:val="24"/>
          <w:szCs w:val="24"/>
          <w:highlight w:val="none"/>
          <w:lang w:val="en-US" w:eastAsia="zh-CN"/>
        </w:rPr>
        <w:t>分层</w:t>
      </w:r>
      <w:r>
        <w:rPr>
          <w:rFonts w:hint="eastAsia" w:ascii="宋体" w:hAnsi="宋体" w:eastAsia="宋体" w:cs="宋体"/>
          <w:color w:val="auto"/>
          <w:sz w:val="24"/>
          <w:szCs w:val="24"/>
          <w:highlight w:val="none"/>
        </w:rPr>
        <w:t>抽样和</w:t>
      </w:r>
      <w:r>
        <w:rPr>
          <w:rFonts w:hint="eastAsia" w:ascii="宋体" w:hAnsi="宋体" w:eastAsia="宋体" w:cs="宋体"/>
          <w:color w:val="auto"/>
          <w:sz w:val="24"/>
          <w:szCs w:val="24"/>
          <w:highlight w:val="none"/>
          <w:lang w:val="en-US" w:eastAsia="zh-CN"/>
        </w:rPr>
        <w:t>随机抽样相结合</w:t>
      </w:r>
      <w:r>
        <w:rPr>
          <w:rFonts w:hint="eastAsia" w:ascii="宋体" w:hAnsi="宋体" w:eastAsia="宋体" w:cs="宋体"/>
          <w:color w:val="auto"/>
          <w:sz w:val="24"/>
          <w:szCs w:val="24"/>
          <w:highlight w:val="none"/>
        </w:rPr>
        <w:t>的方式进行。在全面</w:t>
      </w:r>
      <w:r>
        <w:rPr>
          <w:rFonts w:hint="eastAsia" w:ascii="宋体" w:hAnsi="宋体" w:eastAsia="宋体" w:cs="宋体"/>
          <w:color w:val="auto"/>
          <w:sz w:val="24"/>
          <w:szCs w:val="24"/>
          <w:highlight w:val="none"/>
          <w:lang w:eastAsia="zh-CN"/>
        </w:rPr>
        <w:t>调查</w:t>
      </w:r>
      <w:r>
        <w:rPr>
          <w:rFonts w:hint="eastAsia" w:ascii="宋体" w:hAnsi="宋体" w:eastAsia="宋体" w:cs="宋体"/>
          <w:color w:val="auto"/>
          <w:sz w:val="24"/>
          <w:szCs w:val="24"/>
          <w:highlight w:val="none"/>
        </w:rPr>
        <w:t>开展之前会先进行论证，依据论证结果对问卷和抽样方案再进行一次修改和调整</w:t>
      </w:r>
      <w:r>
        <w:rPr>
          <w:rFonts w:hint="eastAsia" w:ascii="宋体" w:hAnsi="宋体" w:eastAsia="宋体" w:cs="宋体"/>
          <w:color w:val="auto"/>
          <w:sz w:val="24"/>
          <w:szCs w:val="24"/>
          <w:highlight w:val="none"/>
          <w:lang w:val="en-US" w:eastAsia="zh-CN"/>
        </w:rPr>
        <w:t>之后再付诸实施</w:t>
      </w:r>
      <w:r>
        <w:rPr>
          <w:rFonts w:hint="eastAsia" w:ascii="宋体" w:hAnsi="宋体" w:eastAsia="宋体" w:cs="宋体"/>
          <w:color w:val="auto"/>
          <w:sz w:val="24"/>
          <w:szCs w:val="24"/>
          <w:highlight w:val="none"/>
        </w:rPr>
        <w:t>。</w:t>
      </w:r>
    </w:p>
    <w:p w14:paraId="3D0C6D0B">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抽样方式</w:t>
      </w:r>
    </w:p>
    <w:p w14:paraId="4889C0F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rPr>
        <w:t>为确保问卷</w:t>
      </w:r>
      <w:r>
        <w:rPr>
          <w:rFonts w:hint="eastAsia" w:ascii="宋体" w:hAnsi="宋体" w:eastAsia="宋体" w:cs="宋体"/>
          <w:color w:val="auto"/>
          <w:sz w:val="24"/>
          <w:szCs w:val="24"/>
          <w:highlight w:val="none"/>
          <w:lang w:eastAsia="zh-CN"/>
        </w:rPr>
        <w:t>调查</w:t>
      </w:r>
      <w:r>
        <w:rPr>
          <w:rFonts w:hint="eastAsia" w:ascii="宋体" w:hAnsi="宋体" w:eastAsia="宋体" w:cs="宋体"/>
          <w:color w:val="auto"/>
          <w:sz w:val="24"/>
          <w:szCs w:val="24"/>
          <w:highlight w:val="none"/>
        </w:rPr>
        <w:t>的全面性和代表性，本次</w:t>
      </w:r>
      <w:r>
        <w:rPr>
          <w:rFonts w:hint="eastAsia" w:ascii="宋体" w:hAnsi="宋体" w:eastAsia="宋体" w:cs="宋体"/>
          <w:color w:val="auto"/>
          <w:sz w:val="24"/>
          <w:szCs w:val="24"/>
          <w:highlight w:val="none"/>
          <w:lang w:eastAsia="zh-CN"/>
        </w:rPr>
        <w:t>调查</w:t>
      </w:r>
      <w:r>
        <w:rPr>
          <w:rFonts w:hint="eastAsia" w:ascii="宋体" w:hAnsi="宋体" w:eastAsia="宋体" w:cs="宋体"/>
          <w:color w:val="auto"/>
          <w:sz w:val="24"/>
          <w:szCs w:val="24"/>
          <w:highlight w:val="none"/>
        </w:rPr>
        <w:t>问卷调查采取</w:t>
      </w:r>
      <w:r>
        <w:rPr>
          <w:rFonts w:hint="eastAsia" w:ascii="宋体" w:hAnsi="宋体" w:eastAsia="宋体" w:cs="宋体"/>
          <w:color w:val="auto"/>
          <w:sz w:val="24"/>
          <w:szCs w:val="24"/>
          <w:highlight w:val="none"/>
          <w:lang w:val="en-US" w:eastAsia="zh-CN"/>
        </w:rPr>
        <w:t>随机</w:t>
      </w:r>
      <w:r>
        <w:rPr>
          <w:rFonts w:hint="eastAsia" w:ascii="宋体" w:hAnsi="宋体" w:eastAsia="宋体" w:cs="宋体"/>
          <w:color w:val="auto"/>
          <w:sz w:val="24"/>
          <w:szCs w:val="24"/>
          <w:highlight w:val="none"/>
        </w:rPr>
        <w:t>抽样和</w:t>
      </w:r>
      <w:r>
        <w:rPr>
          <w:rFonts w:hint="eastAsia" w:ascii="宋体" w:hAnsi="宋体" w:eastAsia="宋体" w:cs="宋体"/>
          <w:color w:val="auto"/>
          <w:sz w:val="24"/>
          <w:szCs w:val="24"/>
          <w:highlight w:val="none"/>
          <w:lang w:val="en-US" w:eastAsia="zh-CN"/>
        </w:rPr>
        <w:t>分层抽样相结合</w:t>
      </w:r>
      <w:r>
        <w:rPr>
          <w:rFonts w:hint="eastAsia" w:ascii="宋体" w:hAnsi="宋体" w:eastAsia="宋体" w:cs="宋体"/>
          <w:color w:val="auto"/>
          <w:sz w:val="24"/>
          <w:szCs w:val="24"/>
          <w:highlight w:val="none"/>
        </w:rPr>
        <w:t>方式进行。</w:t>
      </w:r>
    </w:p>
    <w:p w14:paraId="4DE8A88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5.问卷的发放和回收</w:t>
      </w:r>
    </w:p>
    <w:p w14:paraId="561AE21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为了给调查对象营造良好的作答环境，保证调查的科学性和严谨性，由我单位工作人员在线下发放问卷，邀请相应的调查对象填写问卷。到目前为止共回收问卷30份，其中有效问卷30份，有效问卷回收率为100%。</w:t>
      </w:r>
    </w:p>
    <w:p w14:paraId="0BD1B35B">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6.问卷调查分析结果</w:t>
      </w:r>
    </w:p>
    <w:p w14:paraId="2479FB5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本次调查过程中，评价小组实际发放问卷30份，回收问卷30份，问卷回收率为100.00%，有效问卷30份，有效回收率100.00%，本次调查的整体情况如下：</w:t>
      </w:r>
    </w:p>
    <w:p w14:paraId="18131C09">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第一个问题：该项统计有效问卷数量30份，选择非常满意的人数为29人。选择比较满意的人数为1人，选择一般的人数0人，选择不满意的人数0人，选择非常不满意的人数0人。</w:t>
      </w:r>
    </w:p>
    <w:p w14:paraId="741F88B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第二个问题：该项统计有效问卷数量30份，选择非常满意的人数为27人。选择比较满意的人数为3人，选择一般的人数0人，选择不满意的人数0人，选择非常不满意的人数0人。</w:t>
      </w:r>
    </w:p>
    <w:p w14:paraId="1AC580B8">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第三个问题：该项统计有效问卷数量30份，选择非常满意的人数为30人。选择比较满意的人数为0人，选择一般的人数0人，选择不满意的人数0人，选择非常不满意的人数0人。</w:t>
      </w:r>
    </w:p>
    <w:p w14:paraId="6412134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二、调查结果统计</w:t>
      </w:r>
    </w:p>
    <w:p w14:paraId="400C355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村组织运转经费项目</w:t>
      </w:r>
      <w:r>
        <w:rPr>
          <w:rFonts w:hint="eastAsia" w:ascii="宋体" w:hAnsi="宋体" w:eastAsia="宋体" w:cs="宋体"/>
          <w:color w:val="auto"/>
          <w:sz w:val="24"/>
          <w:szCs w:val="24"/>
          <w:highlight w:val="none"/>
          <w:lang w:val="en-US" w:eastAsia="zh-CN"/>
        </w:rPr>
        <w:t>针对受益人员发放30份调查问卷，最终统计受益人群满意度为100%。</w:t>
      </w:r>
    </w:p>
    <w:p w14:paraId="7A3DF76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righ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洛浦县阿其克乡人民政府</w:t>
      </w:r>
    </w:p>
    <w:p w14:paraId="68D91C1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righ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highlight w:val="none"/>
          <w:lang w:val="en-US" w:eastAsia="zh-CN"/>
        </w:rPr>
        <w:t>2025年3月18日</w:t>
      </w:r>
    </w:p>
    <w:sectPr>
      <w:pgSz w:w="11906" w:h="16838"/>
      <w:pgMar w:top="1985" w:right="1531" w:bottom="1701" w:left="1531" w:header="851" w:footer="992" w:gutter="0"/>
      <w:pgNumType w:fmt="decimal"/>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B02E8">
    <w:pPr>
      <w:pStyle w:val="1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FBC965">
    <w:pPr>
      <w:pStyle w:val="16"/>
      <w:ind w:firstLine="360"/>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aspectratio="f"/>
          <v:textbox inset="0mm,0mm,0mm,0mm" style="mso-fit-shape-to-text:t;">
            <w:txbxContent>
              <w:p w14:paraId="78FAC664">
                <w:pPr>
                  <w:pStyle w:val="16"/>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26</w:t>
                </w:r>
                <w:r>
                  <w:t xml:space="preserve"> 页</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AF75C9">
    <w:pPr>
      <w:pStyle w:val="17"/>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1"/>
      <w:numFmt w:val="decimal"/>
      <w:suff w:val="nothing"/>
      <w:lvlText w:val="（%1）"/>
      <w:lvlJc w:val="left"/>
    </w:lvl>
  </w:abstractNum>
  <w:abstractNum w:abstractNumId="1">
    <w:nsid w:val="BF205925"/>
    <w:multiLevelType w:val="singleLevel"/>
    <w:tmpl w:val="BF205925"/>
    <w:lvl w:ilvl="0" w:tentative="0">
      <w:start w:val="1"/>
      <w:numFmt w:val="decimal"/>
      <w:suff w:val="nothing"/>
      <w:lvlText w:val="（%1）"/>
      <w:lvlJc w:val="left"/>
    </w:lvl>
  </w:abstractNum>
  <w:abstractNum w:abstractNumId="2">
    <w:nsid w:val="CF092B84"/>
    <w:multiLevelType w:val="singleLevel"/>
    <w:tmpl w:val="CF092B84"/>
    <w:lvl w:ilvl="0" w:tentative="0">
      <w:start w:val="1"/>
      <w:numFmt w:val="decimal"/>
      <w:suff w:val="nothing"/>
      <w:lvlText w:val="（%1）"/>
      <w:lvlJc w:val="left"/>
    </w:lvl>
  </w:abstractNum>
  <w:abstractNum w:abstractNumId="3">
    <w:nsid w:val="0053208E"/>
    <w:multiLevelType w:val="singleLevel"/>
    <w:tmpl w:val="0053208E"/>
    <w:lvl w:ilvl="0" w:tentative="0">
      <w:start w:val="2"/>
      <w:numFmt w:val="decimal"/>
      <w:lvlText w:val="%1."/>
      <w:lvlJc w:val="left"/>
      <w:pPr>
        <w:tabs>
          <w:tab w:val="left" w:pos="312"/>
        </w:tabs>
      </w:pPr>
    </w:lvl>
  </w:abstractNum>
  <w:abstractNum w:abstractNumId="4">
    <w:nsid w:val="03D62ECE"/>
    <w:multiLevelType w:val="singleLevel"/>
    <w:tmpl w:val="03D62ECE"/>
    <w:lvl w:ilvl="0" w:tentative="0">
      <w:start w:val="3"/>
      <w:numFmt w:val="chineseCounting"/>
      <w:suff w:val="nothing"/>
      <w:lvlText w:val="（%1）"/>
      <w:lvlJc w:val="left"/>
      <w:rPr>
        <w:rFonts w:hint="eastAsia"/>
        <w:b/>
        <w:bCs/>
      </w:rPr>
    </w:lvl>
  </w:abstractNum>
  <w:abstractNum w:abstractNumId="5">
    <w:nsid w:val="59ADCABA"/>
    <w:multiLevelType w:val="singleLevel"/>
    <w:tmpl w:val="59ADCABA"/>
    <w:lvl w:ilvl="0" w:tentative="0">
      <w:start w:val="1"/>
      <w:numFmt w:val="decimal"/>
      <w:suff w:val="nothing"/>
      <w:lvlText w:val="（%1）"/>
      <w:lvlJc w:val="left"/>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0F6D5C04"/>
    <w:rsid w:val="2CCC5558"/>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qFormat="1" w:uiPriority="39" w:semiHidden="0" w:name="toc 3"/>
    <w:lsdException w:uiPriority="39" w:semiHidden="0" w:name="toc 4"/>
    <w:lsdException w:qFormat="1" w:uiPriority="39" w:semiHidden="0" w:name="toc 5"/>
    <w:lsdException w:qFormat="1" w:uiPriority="39" w:semiHidden="0" w:name="toc 6"/>
    <w:lsdException w:qFormat="1" w:uiPriority="39" w:semiHidden="0" w:name="toc 7"/>
    <w:lsdException w:uiPriority="39" w:semiHidden="0" w:name="toc 8"/>
    <w:lsdException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4">
    <w:name w:val="heading 1"/>
    <w:basedOn w:val="1"/>
    <w:next w:val="2"/>
    <w:link w:val="33"/>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5">
    <w:name w:val="heading 2"/>
    <w:basedOn w:val="1"/>
    <w:next w:val="1"/>
    <w:link w:val="34"/>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link w:val="35"/>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6"/>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6">
    <w:name w:val="Default Paragraph Font"/>
    <w:unhideWhenUsed/>
    <w:uiPriority w:val="1"/>
  </w:style>
  <w:style w:type="table" w:default="1" w:styleId="24">
    <w:name w:val="Normal Table"/>
    <w:unhideWhenUsed/>
    <w:qFormat/>
    <w:uiPriority w:val="99"/>
    <w:tblPr>
      <w:tblCellMar>
        <w:top w:w="0" w:type="dxa"/>
        <w:left w:w="108" w:type="dxa"/>
        <w:bottom w:w="0" w:type="dxa"/>
        <w:right w:w="108" w:type="dxa"/>
      </w:tblCellMar>
    </w:tblPr>
  </w:style>
  <w:style w:type="paragraph" w:styleId="2">
    <w:name w:val="Body Text First Indent 2"/>
    <w:basedOn w:val="3"/>
    <w:link w:val="32"/>
    <w:unhideWhenUsed/>
    <w:uiPriority w:val="0"/>
    <w:pPr>
      <w:ind w:firstLine="420"/>
    </w:pPr>
  </w:style>
  <w:style w:type="paragraph" w:styleId="3">
    <w:name w:val="Body Text Indent"/>
    <w:basedOn w:val="1"/>
    <w:link w:val="31"/>
    <w:unhideWhenUsed/>
    <w:qFormat/>
    <w:uiPriority w:val="99"/>
    <w:pPr>
      <w:spacing w:after="120"/>
      <w:ind w:left="420" w:leftChars="200"/>
    </w:pPr>
    <w:rPr>
      <w:rFonts w:cs="Times New Roman"/>
      <w:kern w:val="0"/>
      <w:szCs w:val="20"/>
    </w:rPr>
  </w:style>
  <w:style w:type="paragraph" w:styleId="8">
    <w:name w:val="toc 7"/>
    <w:basedOn w:val="1"/>
    <w:next w:val="1"/>
    <w:unhideWhenUsed/>
    <w:qFormat/>
    <w:uiPriority w:val="39"/>
    <w:pPr>
      <w:ind w:left="1680"/>
      <w:jc w:val="left"/>
    </w:pPr>
    <w:rPr>
      <w:rFonts w:ascii="Calibri" w:hAnsi="Calibri" w:cs="Calibri"/>
      <w:sz w:val="18"/>
      <w:szCs w:val="18"/>
    </w:rPr>
  </w:style>
  <w:style w:type="paragraph" w:styleId="9">
    <w:name w:val="Document Map"/>
    <w:basedOn w:val="1"/>
    <w:link w:val="37"/>
    <w:unhideWhenUsed/>
    <w:qFormat/>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qFormat/>
    <w:uiPriority w:val="39"/>
    <w:pPr>
      <w:ind w:left="1120"/>
      <w:jc w:val="left"/>
    </w:pPr>
    <w:rPr>
      <w:rFonts w:ascii="Calibri" w:hAnsi="Calibri" w:cs="Calibri"/>
      <w:sz w:val="18"/>
      <w:szCs w:val="18"/>
    </w:rPr>
  </w:style>
  <w:style w:type="paragraph" w:styleId="12">
    <w:name w:val="toc 3"/>
    <w:basedOn w:val="1"/>
    <w:next w:val="1"/>
    <w:unhideWhenUsed/>
    <w:qFormat/>
    <w:uiPriority w:val="39"/>
    <w:pPr>
      <w:ind w:left="560"/>
      <w:jc w:val="left"/>
    </w:pPr>
    <w:rPr>
      <w:rFonts w:ascii="Calibri" w:hAnsi="Calibri" w:cs="Calibri"/>
      <w:i/>
      <w:iCs/>
      <w:sz w:val="20"/>
      <w:szCs w:val="20"/>
    </w:rPr>
  </w:style>
  <w:style w:type="paragraph" w:styleId="13">
    <w:name w:val="Plain Text"/>
    <w:basedOn w:val="1"/>
    <w:qFormat/>
    <w:uiPriority w:val="99"/>
    <w:rPr>
      <w:rFonts w:ascii="宋体" w:hAnsi="Courier New" w:cs="Courier New"/>
      <w:szCs w:val="21"/>
    </w:rPr>
  </w:style>
  <w:style w:type="paragraph" w:styleId="14">
    <w:name w:val="toc 8"/>
    <w:basedOn w:val="1"/>
    <w:next w:val="1"/>
    <w:unhideWhenUsed/>
    <w:uiPriority w:val="39"/>
    <w:pPr>
      <w:ind w:left="1960"/>
      <w:jc w:val="left"/>
    </w:pPr>
    <w:rPr>
      <w:rFonts w:ascii="Calibri" w:hAnsi="Calibri" w:cs="Calibri"/>
      <w:sz w:val="18"/>
      <w:szCs w:val="18"/>
    </w:rPr>
  </w:style>
  <w:style w:type="paragraph" w:styleId="15">
    <w:name w:val="Balloon Text"/>
    <w:basedOn w:val="1"/>
    <w:link w:val="39"/>
    <w:unhideWhenUsed/>
    <w:uiPriority w:val="99"/>
    <w:rPr>
      <w:rFonts w:cs="Times New Roman"/>
      <w:kern w:val="0"/>
      <w:sz w:val="18"/>
      <w:szCs w:val="18"/>
    </w:rPr>
  </w:style>
  <w:style w:type="paragraph" w:styleId="16">
    <w:name w:val="footer"/>
    <w:basedOn w:val="1"/>
    <w:link w:val="40"/>
    <w:unhideWhenUsed/>
    <w:qFormat/>
    <w:uiPriority w:val="99"/>
    <w:pPr>
      <w:tabs>
        <w:tab w:val="center" w:pos="4153"/>
        <w:tab w:val="right" w:pos="8306"/>
      </w:tabs>
      <w:snapToGrid w:val="0"/>
      <w:jc w:val="left"/>
    </w:pPr>
    <w:rPr>
      <w:rFonts w:cs="Times New Roman"/>
      <w:kern w:val="0"/>
      <w:sz w:val="18"/>
      <w:szCs w:val="18"/>
    </w:rPr>
  </w:style>
  <w:style w:type="paragraph" w:styleId="17">
    <w:name w:val="header"/>
    <w:basedOn w:val="1"/>
    <w:link w:val="41"/>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8">
    <w:name w:val="toc 1"/>
    <w:basedOn w:val="1"/>
    <w:next w:val="1"/>
    <w:unhideWhenUsed/>
    <w:uiPriority w:val="39"/>
    <w:pPr>
      <w:spacing w:before="120" w:after="120"/>
      <w:jc w:val="left"/>
    </w:pPr>
    <w:rPr>
      <w:rFonts w:ascii="Calibri" w:hAnsi="Calibri" w:cs="Calibri"/>
      <w:b/>
      <w:bCs/>
      <w:caps/>
      <w:sz w:val="20"/>
      <w:szCs w:val="20"/>
    </w:rPr>
  </w:style>
  <w:style w:type="paragraph" w:styleId="19">
    <w:name w:val="toc 4"/>
    <w:basedOn w:val="1"/>
    <w:next w:val="1"/>
    <w:unhideWhenUsed/>
    <w:uiPriority w:val="39"/>
    <w:pPr>
      <w:ind w:left="840"/>
      <w:jc w:val="left"/>
    </w:pPr>
    <w:rPr>
      <w:rFonts w:ascii="Calibri" w:hAnsi="Calibri" w:cs="Calibri"/>
      <w:sz w:val="18"/>
      <w:szCs w:val="18"/>
    </w:rPr>
  </w:style>
  <w:style w:type="paragraph" w:styleId="20">
    <w:name w:val="toc 6"/>
    <w:basedOn w:val="1"/>
    <w:next w:val="1"/>
    <w:unhideWhenUsed/>
    <w:qFormat/>
    <w:uiPriority w:val="39"/>
    <w:pPr>
      <w:ind w:left="1400"/>
      <w:jc w:val="left"/>
    </w:pPr>
    <w:rPr>
      <w:rFonts w:ascii="Calibri" w:hAnsi="Calibri" w:cs="Calibri"/>
      <w:sz w:val="18"/>
      <w:szCs w:val="18"/>
    </w:rPr>
  </w:style>
  <w:style w:type="paragraph" w:styleId="21">
    <w:name w:val="toc 2"/>
    <w:basedOn w:val="1"/>
    <w:next w:val="1"/>
    <w:unhideWhenUsed/>
    <w:uiPriority w:val="39"/>
    <w:pPr>
      <w:ind w:left="280"/>
      <w:jc w:val="left"/>
    </w:pPr>
    <w:rPr>
      <w:rFonts w:ascii="Calibri" w:hAnsi="Calibri" w:cs="Calibri"/>
      <w:smallCaps/>
      <w:sz w:val="20"/>
      <w:szCs w:val="20"/>
    </w:rPr>
  </w:style>
  <w:style w:type="paragraph" w:styleId="22">
    <w:name w:val="toc 9"/>
    <w:basedOn w:val="1"/>
    <w:next w:val="1"/>
    <w:unhideWhenUsed/>
    <w:uiPriority w:val="39"/>
    <w:pPr>
      <w:ind w:left="2240"/>
      <w:jc w:val="left"/>
    </w:pPr>
    <w:rPr>
      <w:rFonts w:ascii="Calibri" w:hAnsi="Calibri" w:cs="Calibri"/>
      <w:sz w:val="18"/>
      <w:szCs w:val="18"/>
    </w:rPr>
  </w:style>
  <w:style w:type="paragraph" w:styleId="23">
    <w:name w:val="Title"/>
    <w:basedOn w:val="1"/>
    <w:next w:val="1"/>
    <w:link w:val="42"/>
    <w:qFormat/>
    <w:uiPriority w:val="10"/>
    <w:pPr>
      <w:spacing w:before="240" w:after="60"/>
      <w:jc w:val="center"/>
      <w:outlineLvl w:val="0"/>
    </w:pPr>
    <w:rPr>
      <w:rFonts w:ascii="Cambria" w:hAnsi="Cambria" w:eastAsia="宋体" w:cs="Times New Roman"/>
      <w:b/>
      <w:bCs/>
      <w:sz w:val="32"/>
      <w:szCs w:val="32"/>
    </w:rPr>
  </w:style>
  <w:style w:type="table" w:styleId="25">
    <w:name w:val="Table Grid"/>
    <w:basedOn w:val="24"/>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Hyperlink"/>
    <w:unhideWhenUsed/>
    <w:uiPriority w:val="99"/>
    <w:rPr>
      <w:color w:val="0000FF"/>
      <w:u w:val="single"/>
    </w:rPr>
  </w:style>
  <w:style w:type="paragraph" w:customStyle="1" w:styleId="28">
    <w:name w:val="Comment Text"/>
    <w:basedOn w:val="1"/>
    <w:link w:val="38"/>
    <w:unhideWhenUsed/>
    <w:uiPriority w:val="99"/>
    <w:rPr>
      <w:rFonts w:cs="Times New Roman"/>
      <w:kern w:val="0"/>
      <w:sz w:val="20"/>
      <w:szCs w:val="20"/>
    </w:rPr>
  </w:style>
  <w:style w:type="paragraph" w:customStyle="1" w:styleId="29">
    <w:name w:val="Comment Subject"/>
    <w:basedOn w:val="28"/>
    <w:next w:val="28"/>
    <w:link w:val="43"/>
    <w:unhideWhenUsed/>
    <w:qFormat/>
    <w:uiPriority w:val="99"/>
    <w:rPr>
      <w:b/>
      <w:bCs/>
    </w:rPr>
  </w:style>
  <w:style w:type="character" w:customStyle="1" w:styleId="30">
    <w:name w:val="Comment Reference"/>
    <w:unhideWhenUsed/>
    <w:qFormat/>
    <w:uiPriority w:val="99"/>
    <w:rPr>
      <w:sz w:val="16"/>
      <w:szCs w:val="16"/>
    </w:rPr>
  </w:style>
  <w:style w:type="character" w:customStyle="1" w:styleId="31">
    <w:name w:val="正文文本缩进 Char"/>
    <w:link w:val="3"/>
    <w:semiHidden/>
    <w:qFormat/>
    <w:uiPriority w:val="99"/>
    <w:rPr>
      <w:rFonts w:ascii="Calibri" w:hAnsi="Calibri" w:eastAsia="仿宋_GB2312" w:cs="黑体"/>
      <w:sz w:val="28"/>
    </w:rPr>
  </w:style>
  <w:style w:type="character" w:customStyle="1" w:styleId="32">
    <w:name w:val="正文首行缩进 2 Char"/>
    <w:link w:val="2"/>
    <w:uiPriority w:val="0"/>
    <w:rPr>
      <w:rFonts w:ascii="Calibri" w:hAnsi="Calibri" w:eastAsia="仿宋_GB2312" w:cs="黑体"/>
      <w:sz w:val="28"/>
    </w:rPr>
  </w:style>
  <w:style w:type="character" w:customStyle="1" w:styleId="33">
    <w:name w:val="标题 1 Char"/>
    <w:link w:val="4"/>
    <w:uiPriority w:val="9"/>
    <w:rPr>
      <w:rFonts w:ascii="Times New Roman" w:hAnsi="Times New Roman" w:eastAsia="仿宋_GB2312" w:cs="Times New Roman"/>
      <w:b/>
      <w:bCs/>
      <w:kern w:val="44"/>
      <w:sz w:val="32"/>
      <w:szCs w:val="44"/>
    </w:rPr>
  </w:style>
  <w:style w:type="character" w:customStyle="1" w:styleId="34">
    <w:name w:val="标题 2 Char"/>
    <w:link w:val="5"/>
    <w:uiPriority w:val="0"/>
    <w:rPr>
      <w:rFonts w:ascii="Cambria" w:hAnsi="Cambria" w:eastAsia="仿宋_GB2312" w:cs="Times New Roman"/>
      <w:b/>
      <w:bCs/>
      <w:kern w:val="0"/>
      <w:sz w:val="30"/>
      <w:szCs w:val="32"/>
    </w:rPr>
  </w:style>
  <w:style w:type="character" w:customStyle="1" w:styleId="35">
    <w:name w:val="标题 3 Char"/>
    <w:link w:val="6"/>
    <w:qFormat/>
    <w:uiPriority w:val="9"/>
    <w:rPr>
      <w:rFonts w:ascii="Calibri" w:hAnsi="Calibri" w:eastAsia="仿宋_GB2312" w:cs="黑体"/>
      <w:bCs/>
      <w:sz w:val="28"/>
      <w:szCs w:val="32"/>
    </w:rPr>
  </w:style>
  <w:style w:type="character" w:customStyle="1" w:styleId="36">
    <w:name w:val="标题 4 Char"/>
    <w:link w:val="7"/>
    <w:semiHidden/>
    <w:uiPriority w:val="9"/>
    <w:rPr>
      <w:rFonts w:ascii="Cambria" w:hAnsi="Cambria" w:eastAsia="宋体" w:cs="Times New Roman"/>
      <w:b/>
      <w:bCs/>
      <w:sz w:val="28"/>
      <w:szCs w:val="28"/>
    </w:rPr>
  </w:style>
  <w:style w:type="character" w:customStyle="1" w:styleId="37">
    <w:name w:val="文档结构图 Char"/>
    <w:link w:val="9"/>
    <w:semiHidden/>
    <w:uiPriority w:val="99"/>
    <w:rPr>
      <w:rFonts w:ascii="宋体" w:hAnsi="Calibri" w:eastAsia="宋体" w:cs="黑体"/>
      <w:sz w:val="18"/>
      <w:szCs w:val="18"/>
    </w:rPr>
  </w:style>
  <w:style w:type="character" w:customStyle="1" w:styleId="38">
    <w:name w:val="批注文字 Char"/>
    <w:link w:val="28"/>
    <w:semiHidden/>
    <w:qFormat/>
    <w:uiPriority w:val="99"/>
    <w:rPr>
      <w:rFonts w:ascii="Calibri" w:hAnsi="Calibri" w:eastAsia="仿宋_GB2312" w:cs="黑体"/>
      <w:sz w:val="20"/>
      <w:szCs w:val="20"/>
    </w:rPr>
  </w:style>
  <w:style w:type="character" w:customStyle="1" w:styleId="39">
    <w:name w:val="批注框文本 Char"/>
    <w:link w:val="15"/>
    <w:semiHidden/>
    <w:qFormat/>
    <w:uiPriority w:val="99"/>
    <w:rPr>
      <w:rFonts w:ascii="Calibri" w:hAnsi="Calibri" w:eastAsia="仿宋_GB2312" w:cs="黑体"/>
      <w:sz w:val="18"/>
      <w:szCs w:val="18"/>
    </w:rPr>
  </w:style>
  <w:style w:type="character" w:customStyle="1" w:styleId="40">
    <w:name w:val="页脚 Char"/>
    <w:link w:val="16"/>
    <w:qFormat/>
    <w:uiPriority w:val="99"/>
    <w:rPr>
      <w:rFonts w:ascii="Calibri" w:hAnsi="Calibri" w:eastAsia="仿宋_GB2312" w:cs="黑体"/>
      <w:sz w:val="18"/>
      <w:szCs w:val="18"/>
    </w:rPr>
  </w:style>
  <w:style w:type="character" w:customStyle="1" w:styleId="41">
    <w:name w:val="页眉 Char"/>
    <w:link w:val="17"/>
    <w:qFormat/>
    <w:uiPriority w:val="99"/>
    <w:rPr>
      <w:rFonts w:ascii="Calibri" w:hAnsi="Calibri" w:eastAsia="仿宋_GB2312" w:cs="黑体"/>
      <w:sz w:val="18"/>
      <w:szCs w:val="18"/>
    </w:rPr>
  </w:style>
  <w:style w:type="character" w:customStyle="1" w:styleId="42">
    <w:name w:val="标题 Char"/>
    <w:link w:val="23"/>
    <w:qFormat/>
    <w:uiPriority w:val="10"/>
    <w:rPr>
      <w:rFonts w:ascii="Cambria" w:hAnsi="Cambria"/>
      <w:b/>
      <w:bCs/>
      <w:kern w:val="2"/>
      <w:sz w:val="32"/>
      <w:szCs w:val="32"/>
    </w:rPr>
  </w:style>
  <w:style w:type="character" w:customStyle="1" w:styleId="43">
    <w:name w:val="批注主题 Char"/>
    <w:link w:val="29"/>
    <w:semiHidden/>
    <w:qFormat/>
    <w:uiPriority w:val="99"/>
    <w:rPr>
      <w:rFonts w:ascii="Calibri" w:hAnsi="Calibri" w:eastAsia="仿宋_GB2312" w:cs="黑体"/>
      <w:b/>
      <w:bCs/>
      <w:sz w:val="20"/>
      <w:szCs w:val="20"/>
    </w:rPr>
  </w:style>
  <w:style w:type="character" w:customStyle="1" w:styleId="44">
    <w:name w:val="闻政-正文一级标题 Char"/>
    <w:link w:val="45"/>
    <w:qFormat/>
    <w:uiPriority w:val="3"/>
    <w:rPr>
      <w:rFonts w:ascii="黑体" w:hAnsi="黑体" w:eastAsia="黑体"/>
      <w:bCs/>
      <w:sz w:val="32"/>
      <w:szCs w:val="32"/>
    </w:rPr>
  </w:style>
  <w:style w:type="paragraph" w:customStyle="1" w:styleId="45">
    <w:name w:val="闻政-正文一级标题"/>
    <w:basedOn w:val="6"/>
    <w:next w:val="46"/>
    <w:link w:val="44"/>
    <w:qFormat/>
    <w:uiPriority w:val="3"/>
    <w:pPr>
      <w:spacing w:before="120" w:after="60" w:line="500" w:lineRule="exact"/>
      <w:ind w:firstLine="0" w:firstLineChars="0"/>
      <w:outlineLvl w:val="0"/>
    </w:pPr>
    <w:rPr>
      <w:rFonts w:ascii="黑体" w:hAnsi="黑体" w:eastAsia="黑体"/>
      <w:sz w:val="32"/>
    </w:rPr>
  </w:style>
  <w:style w:type="paragraph" w:customStyle="1" w:styleId="46">
    <w:name w:val="闻政-正文段落文字"/>
    <w:basedOn w:val="1"/>
    <w:link w:val="47"/>
    <w:qFormat/>
    <w:uiPriority w:val="3"/>
    <w:pPr>
      <w:spacing w:line="500" w:lineRule="exact"/>
      <w:ind w:firstLine="200"/>
    </w:pPr>
    <w:rPr>
      <w:rFonts w:ascii="Times New Roman" w:hAnsi="Times New Roman" w:cs="Times New Roman"/>
      <w:kern w:val="0"/>
      <w:szCs w:val="28"/>
    </w:rPr>
  </w:style>
  <w:style w:type="character" w:customStyle="1" w:styleId="47">
    <w:name w:val="闻政-正文段落文字 Char"/>
    <w:link w:val="46"/>
    <w:uiPriority w:val="3"/>
    <w:rPr>
      <w:rFonts w:ascii="Times New Roman" w:hAnsi="Times New Roman" w:eastAsia="仿宋_GB2312"/>
      <w:sz w:val="28"/>
      <w:szCs w:val="28"/>
    </w:rPr>
  </w:style>
  <w:style w:type="character" w:customStyle="1" w:styleId="48">
    <w:name w:val="闻政-正文二级标题 Char"/>
    <w:link w:val="49"/>
    <w:uiPriority w:val="3"/>
    <w:rPr>
      <w:rFonts w:ascii="Times New Roman" w:hAnsi="Times New Roman" w:eastAsia="仿宋_GB2312"/>
      <w:b/>
      <w:bCs/>
      <w:sz w:val="28"/>
      <w:szCs w:val="32"/>
    </w:rPr>
  </w:style>
  <w:style w:type="paragraph" w:customStyle="1" w:styleId="49">
    <w:name w:val="闻政-正文二级标题"/>
    <w:basedOn w:val="5"/>
    <w:next w:val="46"/>
    <w:link w:val="48"/>
    <w:qFormat/>
    <w:uiPriority w:val="3"/>
    <w:pPr>
      <w:spacing w:before="120" w:after="60" w:line="500" w:lineRule="exact"/>
      <w:ind w:left="200" w:leftChars="200" w:firstLine="0" w:firstLineChars="0"/>
    </w:pPr>
    <w:rPr>
      <w:rFonts w:ascii="Times New Roman" w:hAnsi="Times New Roman"/>
      <w:sz w:val="28"/>
    </w:rPr>
  </w:style>
  <w:style w:type="character" w:customStyle="1" w:styleId="50">
    <w:name w:val="font11"/>
    <w:uiPriority w:val="0"/>
    <w:rPr>
      <w:rFonts w:hint="eastAsia" w:ascii="方正仿宋_GBK" w:hAnsi="方正仿宋_GBK" w:eastAsia="方正仿宋_GBK" w:cs="方正仿宋_GBK"/>
      <w:color w:val="000000"/>
      <w:sz w:val="24"/>
      <w:szCs w:val="24"/>
      <w:u w:val="none"/>
    </w:rPr>
  </w:style>
  <w:style w:type="character" w:customStyle="1" w:styleId="51">
    <w:name w:val="51"/>
    <w:qFormat/>
    <w:uiPriority w:val="0"/>
    <w:rPr>
      <w:b/>
      <w:bCs/>
      <w:smallCaps/>
      <w:color w:val="C0504D"/>
      <w:spacing w:val="5"/>
      <w:u w:val="single"/>
    </w:rPr>
  </w:style>
  <w:style w:type="character" w:customStyle="1" w:styleId="52">
    <w:name w:val="闻政-正文三级标题 Char"/>
    <w:link w:val="53"/>
    <w:uiPriority w:val="3"/>
    <w:rPr>
      <w:rFonts w:ascii="Times New Roman" w:hAnsi="Times New Roman" w:eastAsia="仿宋_GB2312"/>
      <w:b/>
      <w:snapToGrid w:val="0"/>
      <w:sz w:val="28"/>
      <w:szCs w:val="28"/>
    </w:rPr>
  </w:style>
  <w:style w:type="paragraph" w:customStyle="1" w:styleId="53">
    <w:name w:val="闻政-正文三级标题"/>
    <w:basedOn w:val="1"/>
    <w:next w:val="46"/>
    <w:link w:val="52"/>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4">
    <w:name w:val="font21"/>
    <w:uiPriority w:val="0"/>
    <w:rPr>
      <w:rFonts w:hint="default" w:ascii="Times New Roman" w:hAnsi="Times New Roman" w:cs="Times New Roman"/>
      <w:color w:val="000000"/>
      <w:sz w:val="24"/>
      <w:szCs w:val="24"/>
      <w:u w:val="none"/>
    </w:rPr>
  </w:style>
  <w:style w:type="character" w:customStyle="1" w:styleId="55">
    <w:name w:val="无间隔 Char"/>
    <w:link w:val="56"/>
    <w:uiPriority w:val="1"/>
    <w:rPr>
      <w:rFonts w:eastAsia="仿宋_GB2312" w:cs="黑体"/>
      <w:kern w:val="2"/>
      <w:sz w:val="28"/>
      <w:szCs w:val="22"/>
      <w:lang w:val="en-US" w:eastAsia="zh-CN" w:bidi="ar-SA"/>
    </w:rPr>
  </w:style>
  <w:style w:type="paragraph" w:styleId="56">
    <w:name w:val="No Spacing"/>
    <w:link w:val="55"/>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57">
    <w:name w:val="List Paragraph"/>
    <w:basedOn w:val="1"/>
    <w:qFormat/>
    <w:uiPriority w:val="34"/>
    <w:pPr>
      <w:ind w:firstLine="420"/>
    </w:pPr>
  </w:style>
  <w:style w:type="paragraph" w:customStyle="1" w:styleId="58">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character" w:customStyle="1" w:styleId="59">
    <w:name w:val="font71"/>
    <w:basedOn w:val="26"/>
    <w:uiPriority w:val="0"/>
    <w:rPr>
      <w:rFonts w:hint="eastAsia" w:ascii="微软雅黑" w:hAnsi="微软雅黑" w:eastAsia="微软雅黑" w:cs="微软雅黑"/>
      <w:b/>
      <w:bCs/>
      <w:color w:val="000000"/>
      <w:sz w:val="32"/>
      <w:szCs w:val="32"/>
      <w:u w:val="none"/>
    </w:rPr>
  </w:style>
  <w:style w:type="paragraph" w:customStyle="1" w:styleId="60">
    <w:name w:val="样式1"/>
    <w:basedOn w:val="1"/>
    <w:qFormat/>
    <w:uiPriority w:val="0"/>
  </w:style>
  <w:style w:type="character" w:customStyle="1" w:styleId="61">
    <w:name w:val="font61"/>
    <w:basedOn w:val="26"/>
    <w:uiPriority w:val="0"/>
    <w:rPr>
      <w:rFonts w:hint="eastAsia" w:ascii="微软雅黑" w:hAnsi="微软雅黑" w:eastAsia="微软雅黑" w:cs="微软雅黑"/>
      <w:b/>
      <w:bCs/>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E48710B7A0794D52B99615759DBC7365_13</vt:lpwstr>
  </property>
  <property fmtid="{D5CDD505-2E9C-101B-9397-08002B2CF9AE}" pid="4" name="KSOTemplateDocerSaveRecord">
    <vt:lpwstr>eyJoZGlkIjoiMDQ1ZWQzNDcwNGQ1NmI1YmE2ZjNjNDU5NGM2YmIyNzMiLCJ1c2VySWQiOiIxNjA3OTQ0OTI4In0=</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b6dd57-6de6-4676-9749-bc21c5ccdcf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27</Pages>
  <Words>2857</Words>
  <Characters>3030</Characters>
  <Lines>44</Lines>
  <Paragraphs>12</Paragraphs>
  <TotalTime>12</TotalTime>
  <ScaleCrop>false</ScaleCrop>
  <LinksUpToDate>false</LinksUpToDate>
  <CharactersWithSpaces>3043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2025-10-10T08:14:43Z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E48710B7A0794D52B99615759DBC7365_13</vt:lpwstr>
  </property>
  <property fmtid="{D5CDD505-2E9C-101B-9397-08002B2CF9AE}" pid="4" name="KSOTemplateDocerSaveRecord">
    <vt:lpwstr>eyJoZGlkIjoiMGIxZTI3ODM4ZmVjOGE5NDFiYmE3OTRiMjQ5OTEyNzIiLCJ1c2VySWQiOiIzNzI2MDMzNTYifQ==</vt:lpwstr>
  </property>
</Properties>
</file>