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AD40F"/>
    <w:p w14:paraId="1D0DA851">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highlight w:val="none"/>
          <w:lang w:val="en-US" w:eastAsia="zh-CN" w:bidi="en-US"/>
        </w:rPr>
      </w:pPr>
    </w:p>
    <w:p w14:paraId="10BCED0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highlight w:val="none"/>
        </w:rPr>
      </w:pPr>
      <w:r>
        <w:rPr>
          <w:rFonts w:hint="eastAsia" w:ascii="黑体" w:hAnsi="黑体" w:eastAsia="黑体" w:cs="黑体"/>
          <w:b/>
          <w:color w:val="auto"/>
          <w:sz w:val="36"/>
          <w:szCs w:val="36"/>
          <w:highlight w:val="none"/>
          <w:lang w:val="en-US" w:eastAsia="zh-CN"/>
        </w:rPr>
        <w:t>和田地区洛浦县专项资金-和地财建[2024]26号：2024年第三批自治区预算内投资-和田地区洛浦县综合发展和环境改善工程项目</w:t>
      </w:r>
      <w:r>
        <w:rPr>
          <w:rFonts w:hint="eastAsia" w:ascii="黑体" w:hAnsi="黑体" w:eastAsia="黑体" w:cs="黑体"/>
          <w:b/>
          <w:color w:val="auto"/>
          <w:sz w:val="36"/>
          <w:szCs w:val="36"/>
          <w:highlight w:val="none"/>
        </w:rPr>
        <w:t>支出绩效评价报告</w:t>
      </w:r>
    </w:p>
    <w:p w14:paraId="276E66A4">
      <w:pPr>
        <w:pStyle w:val="6"/>
        <w:jc w:val="center"/>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lang w:val="en-US" w:eastAsia="zh-CN"/>
        </w:rPr>
        <w:t>2024年度</w:t>
      </w:r>
      <w:r>
        <w:rPr>
          <w:rFonts w:hint="eastAsia"/>
          <w:color w:val="auto"/>
          <w:highlight w:val="none"/>
          <w:lang w:eastAsia="zh-CN"/>
        </w:rPr>
        <w:t>）</w:t>
      </w:r>
    </w:p>
    <w:p w14:paraId="712BC78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4B125E21">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5F872027">
      <w:pPr>
        <w:pStyle w:val="6"/>
        <w:rPr>
          <w:rFonts w:hint="eastAsia" w:eastAsia="方正仿宋_GBK" w:cs="方正仿宋_GBK"/>
          <w:b/>
          <w:color w:val="auto"/>
          <w:kern w:val="0"/>
          <w:sz w:val="32"/>
          <w:szCs w:val="32"/>
          <w:highlight w:val="none"/>
          <w:lang w:bidi="en-US"/>
        </w:rPr>
      </w:pPr>
    </w:p>
    <w:p w14:paraId="77DC91BB">
      <w:pPr>
        <w:rPr>
          <w:rFonts w:hint="eastAsia" w:eastAsia="方正仿宋_GBK" w:cs="方正仿宋_GBK"/>
          <w:b/>
          <w:color w:val="auto"/>
          <w:kern w:val="0"/>
          <w:sz w:val="32"/>
          <w:szCs w:val="32"/>
          <w:highlight w:val="none"/>
          <w:lang w:bidi="en-US"/>
        </w:rPr>
      </w:pPr>
    </w:p>
    <w:p w14:paraId="7B5E6CB6">
      <w:pPr>
        <w:pStyle w:val="6"/>
        <w:rPr>
          <w:rFonts w:hint="eastAsia"/>
          <w:color w:val="auto"/>
          <w:highlight w:val="none"/>
        </w:rPr>
      </w:pPr>
    </w:p>
    <w:p w14:paraId="352FC117">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highlight w:val="none"/>
          <w:lang w:bidi="en-US"/>
        </w:rPr>
      </w:pPr>
    </w:p>
    <w:p w14:paraId="45918218">
      <w:pPr>
        <w:pageBreakBefore w:val="0"/>
        <w:widowControl w:val="0"/>
        <w:kinsoku/>
        <w:wordWrap/>
        <w:topLinePunct w:val="0"/>
        <w:autoSpaceDE/>
        <w:autoSpaceDN/>
        <w:bidi w:val="0"/>
        <w:spacing w:line="560" w:lineRule="exact"/>
        <w:ind w:left="0" w:leftChars="0" w:firstLine="560"/>
        <w:textAlignment w:val="auto"/>
        <w:rPr>
          <w:rFonts w:hint="eastAsia"/>
          <w:color w:val="auto"/>
          <w:highlight w:val="none"/>
        </w:rPr>
      </w:pPr>
    </w:p>
    <w:p w14:paraId="736787A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50594AC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eastAsia="zh-CN" w:bidi="en-US"/>
        </w:rPr>
        <w:t>项目名称：专项资金-和地财建[2024]26号：2024年第三批自治区预算内投资-和田地区洛浦县综合发展和环境改善工程项目</w:t>
      </w:r>
    </w:p>
    <w:p w14:paraId="25F6C47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项目单位：</w:t>
      </w:r>
      <w:r>
        <w:rPr>
          <w:rFonts w:hint="eastAsia" w:ascii="宋体" w:hAnsi="宋体" w:eastAsia="宋体" w:cs="宋体"/>
          <w:color w:val="auto"/>
          <w:kern w:val="0"/>
          <w:sz w:val="28"/>
          <w:szCs w:val="28"/>
          <w:highlight w:val="none"/>
          <w:lang w:eastAsia="zh-CN" w:bidi="en-US"/>
        </w:rPr>
        <w:t>洛浦县多鲁镇人民政府</w:t>
      </w:r>
    </w:p>
    <w:p w14:paraId="17E4C56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主管部门：</w:t>
      </w:r>
      <w:r>
        <w:rPr>
          <w:rFonts w:hint="eastAsia" w:ascii="宋体" w:hAnsi="宋体" w:eastAsia="宋体" w:cs="宋体"/>
          <w:color w:val="auto"/>
          <w:kern w:val="0"/>
          <w:sz w:val="28"/>
          <w:szCs w:val="28"/>
          <w:highlight w:val="none"/>
          <w:lang w:eastAsia="zh-CN" w:bidi="en-US"/>
        </w:rPr>
        <w:t>洛浦县多鲁镇人民政府</w:t>
      </w:r>
    </w:p>
    <w:p w14:paraId="792E92C6">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eastAsia="zh-CN" w:bidi="en-US"/>
        </w:rPr>
        <w:t>麦提喀斯木</w:t>
      </w:r>
      <w:r>
        <w:rPr>
          <w:rFonts w:hint="eastAsia" w:ascii="宋体" w:hAnsi="宋体" w:eastAsia="宋体" w:cs="宋体"/>
          <w:color w:val="auto"/>
          <w:kern w:val="0"/>
          <w:sz w:val="28"/>
          <w:szCs w:val="28"/>
          <w:highlight w:val="none"/>
          <w:lang w:val="en-US" w:eastAsia="zh-CN" w:bidi="en-US"/>
        </w:rPr>
        <w:t>·伊敏托乎提</w:t>
      </w:r>
    </w:p>
    <w:p w14:paraId="3DC820B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 xml:space="preserve">填报时间： </w:t>
      </w:r>
      <w:r>
        <w:rPr>
          <w:rFonts w:hint="eastAsia" w:ascii="宋体" w:hAnsi="宋体" w:eastAsia="宋体" w:cs="宋体"/>
          <w:color w:val="auto"/>
          <w:kern w:val="0"/>
          <w:sz w:val="28"/>
          <w:szCs w:val="28"/>
          <w:highlight w:val="none"/>
          <w:lang w:val="en-US" w:eastAsia="zh-CN" w:bidi="en-US"/>
        </w:rPr>
        <w:t>2025</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4</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15</w:t>
      </w:r>
      <w:r>
        <w:rPr>
          <w:rFonts w:hint="eastAsia" w:ascii="宋体" w:hAnsi="宋体" w:eastAsia="宋体" w:cs="宋体"/>
          <w:color w:val="auto"/>
          <w:kern w:val="0"/>
          <w:sz w:val="28"/>
          <w:szCs w:val="28"/>
          <w:highlight w:val="none"/>
          <w:lang w:bidi="en-US"/>
        </w:rPr>
        <w:t>日</w:t>
      </w:r>
    </w:p>
    <w:p w14:paraId="2347122A">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highlight w:val="none"/>
          <w:lang w:bidi="en-US"/>
        </w:rPr>
      </w:pPr>
    </w:p>
    <w:p w14:paraId="2B101D8C">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0" w:name="_Toc68364657"/>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5B4B461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505DCD1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451A801B">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利用已有的果园资源，打造集农业生产、休闲观光、餐饮服务、文化旅游等多种功能于一体的休闲农业项目，符合当前农村产业转型升级的趋势，也能满足人们对于健康生活和文化体验的需求。</w:t>
      </w:r>
    </w:p>
    <w:p w14:paraId="12DA3D2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4427DAB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36DFD53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专项资金-和地财建[2024]26号：2024年第三批自治区预算内投资-和田地区洛浦县综合发展和环境改善工程项目实施方案</w:t>
      </w:r>
      <w:r>
        <w:rPr>
          <w:rFonts w:hint="eastAsia" w:ascii="宋体" w:hAnsi="宋体" w:eastAsia="宋体" w:cs="宋体"/>
          <w:color w:val="auto"/>
          <w:sz w:val="24"/>
          <w:szCs w:val="24"/>
          <w:highlight w:val="none"/>
        </w:rPr>
        <w:t>多鲁镇共涉及的5个村，针对多鲁镇5个村的现状及综合发展与环境改善工程的标准，经摸排和统计，本次项目主要建设内容如下：</w:t>
      </w:r>
    </w:p>
    <w:p w14:paraId="1029C3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多鲁镇：包括色日克村、尧勒其库勒村、墩库孜来克村、哈勒瓦南村、闹台买村综合发展与环境改善工程。</w:t>
      </w:r>
    </w:p>
    <w:p w14:paraId="4E80AFF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1、色日克村</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村委会院内环境整治；办公楼、国语教室楼面灯带875米，村委会院内铺设地砖126 m，地面硬化180 m°。种植格桑花（株30-50cm）、万寿菊（25-30林/m）、地雷花 片植）、翠菊（片植）及蔬菜苗3亩，文化大舞台前安装1.4术长木凳120个，村级公用喇叭（带扩音器）1个，篮球场围网48.m，篮球场绿化带安装护栏95米，一站式服务大厅房顶加装</w:t>
      </w:r>
      <w:r>
        <w:rPr>
          <w:rFonts w:hint="eastAsia" w:ascii="宋体" w:hAnsi="宋体" w:eastAsia="宋体" w:cs="宋体"/>
          <w:color w:val="auto"/>
          <w:sz w:val="24"/>
          <w:szCs w:val="24"/>
          <w:highlight w:val="none"/>
          <w:lang w:eastAsia="zh-CN"/>
        </w:rPr>
        <w:t>矿棉板</w:t>
      </w:r>
      <w:r>
        <w:rPr>
          <w:rFonts w:hint="eastAsia" w:ascii="宋体" w:hAnsi="宋体" w:eastAsia="宋体" w:cs="宋体"/>
          <w:color w:val="auto"/>
          <w:sz w:val="24"/>
          <w:szCs w:val="24"/>
          <w:highlight w:val="none"/>
        </w:rPr>
        <w:t>171.51m，一站式服务大厅群众服务台拆除与向外</w:t>
      </w:r>
      <w:r>
        <w:rPr>
          <w:rFonts w:hint="eastAsia" w:ascii="宋体" w:hAnsi="宋体" w:eastAsia="宋体" w:cs="宋体"/>
          <w:color w:val="auto"/>
          <w:sz w:val="24"/>
          <w:szCs w:val="24"/>
          <w:highlight w:val="none"/>
          <w:lang w:eastAsia="zh-CN"/>
        </w:rPr>
        <w:t>扩建8米；2.</w:t>
      </w:r>
      <w:r>
        <w:rPr>
          <w:rFonts w:hint="eastAsia" w:ascii="宋体" w:hAnsi="宋体" w:eastAsia="宋体" w:cs="宋体"/>
          <w:color w:val="auto"/>
          <w:sz w:val="24"/>
          <w:szCs w:val="24"/>
          <w:highlight w:val="none"/>
        </w:rPr>
        <w:t>村级基础设施维护及环境整治:1-3 小队村道路两旁种植格桑花（株距 30-50cm）、万寿菊（25-30株/m'）、地雷花（片植）12亩，购置葡萄苗（行距3m株距1.5m） 250株，安装交通标识（交通凸镜)4个，塑胶减速带 60米，养老助餐点房顶铺设灰瓦77.5 m，养老助餐点新建门头1个，公共卫生间维修包括墙体维修15 m²及玻璃更换13m’，二小队机耕桥维修与拓宽4座，主于渠清理700米，太阳能路灯维护32盏，进村主干道、村委会前主干道安装围栏(1.5米高)1670米，2小队围栏喷漆1700米，土地平整（土方量310 平方厘米），混凝土硬化 177 m'，树枝清运 600吨，壮大集体经济门面房改造包括安装铝合金双开门5个、拆除墙面21.5m'、粉刷墙面120m'及砖混台阶10米。</w:t>
      </w:r>
    </w:p>
    <w:p w14:paraId="5B8D72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尧</w:t>
      </w:r>
      <w:r>
        <w:rPr>
          <w:rFonts w:hint="eastAsia" w:ascii="宋体" w:hAnsi="宋体" w:eastAsia="宋体" w:cs="宋体"/>
          <w:color w:val="auto"/>
          <w:sz w:val="24"/>
          <w:szCs w:val="24"/>
          <w:highlight w:val="none"/>
        </w:rPr>
        <w:t>勒其库勒村；①办公楼除险加固及内墙粉刷；开裂墙面修补100.00m清理墙面n500.00m，墙面粉刷2000.00m：2文体活动角打造:福字亭(3mX3m)1个，草坪23.00m、绿植</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批，健身活动器材1套，宣传橱窗(3m*1.6m)6个，宣传橱窗(15m*1.45m) 1个，文化墙手绘壁画(7 m’/幅)6幅：③便民服务站改造:墙面粉刷120.00 m，新建大厅服务台及5个工位1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项(6.6m*0.8m*0.6m)；④)值班室改造：墙面粉刷100.00m，地面修整及涂漆 12.m’;⑤)村委会植被保护护栏（高50cm）550.00米；⑥村委会大门更换(3m×6m铁艺)18 m'。</w:t>
      </w:r>
    </w:p>
    <w:p w14:paraId="3CD910D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3、墩库孜来克村：①村委会值班室新建25.00m'，砖混结构，地上一层；②村委会大门更换(3mx6m铁艺)18.00mt；3)国语教室楼梯维修及刷漆50 m”;④更换大门雨棚 89.00 m':⑤室内外墙面粉刷 850.00 m';⑥村文体活动室维修翻新60m；⑦</w:t>
      </w:r>
      <w:r>
        <w:rPr>
          <w:rFonts w:hint="eastAsia" w:ascii="宋体" w:hAnsi="宋体" w:eastAsia="宋体" w:cs="宋体"/>
          <w:color w:val="auto"/>
          <w:sz w:val="24"/>
          <w:szCs w:val="24"/>
          <w:highlight w:val="none"/>
          <w:lang w:eastAsia="zh-CN"/>
        </w:rPr>
        <w:t>排水管</w:t>
      </w:r>
      <w:r>
        <w:rPr>
          <w:rFonts w:hint="eastAsia" w:ascii="宋体" w:hAnsi="宋体" w:eastAsia="宋体" w:cs="宋体"/>
          <w:color w:val="auto"/>
          <w:sz w:val="24"/>
          <w:szCs w:val="24"/>
          <w:highlight w:val="none"/>
        </w:rPr>
        <w:t>道 70.00 米:③村委会屋顶雨棚 196.00m*;9村委会院内人字形雨棚 60.00 m*;10)村委会院内绿化围栏 195.00 米；(ID国语教室供暖系统更新1800 m。</w:t>
      </w:r>
    </w:p>
    <w:p w14:paraId="794A27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4、哈勒瓦甫村:①办公楼室内卫生间和院落卫生间及公共浴室维修改造53m*;②文化墙维护维修30.00m'③办公楼室内墙面粉刷 100.00 m';④国语教师室内墙面粉刷 240.00 m';⑤村委会院内外墙维修180.00 m'；6村委会大门上安装遮阳棚21.00 m'；7河道护栏（水泥仿木 1.2m 高） 600.00 米8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修缮、加固老化损杯的护栏600米；9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村委会供暖管道更新及地面恢复200.00米；</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修缮村委会门口停车场100.00m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葡萄架60.00米；</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滴灌菜园0.5亩。</w:t>
      </w:r>
    </w:p>
    <w:p w14:paraId="1E632EB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5、阔台买村：1国语教室屋顶防雨棚200.00m'；2内外墙粉刷 500.00 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村委会公共卫生间维修 25.00 m'；</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消防车兼酒水车1.00辆（容量2.5吨）；5新建储藏间（砖混结构）30.00m';</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道路铺平整修200m';</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木制垃圾桶改造小花坛10个;</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种植玫瑰（高度40cm）600棵</w:t>
      </w:r>
      <w:r>
        <w:rPr>
          <w:rFonts w:hint="eastAsia" w:ascii="宋体" w:hAnsi="宋体" w:eastAsia="宋体" w:cs="宋体"/>
          <w:color w:val="auto"/>
          <w:sz w:val="24"/>
          <w:szCs w:val="24"/>
          <w:highlight w:val="none"/>
          <w:lang w:eastAsia="zh-CN"/>
        </w:rPr>
        <w:t>。</w:t>
      </w:r>
    </w:p>
    <w:p w14:paraId="35438E1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3D0E673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3D1FC87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本项目主管部门为多鲁镇人民政府，实施单位为洛浦县多鲁镇人民政府。</w:t>
      </w:r>
    </w:p>
    <w:p w14:paraId="5B4A00C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0DFB2CD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7DFA5D3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本项目于2024年12月31日前全部完工。</w:t>
      </w:r>
    </w:p>
    <w:p w14:paraId="484A45A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本项目由各个涉及村自主进行招标或政府采购进行，由多鲁镇人民政府监督执行，未进行决算审计。</w:t>
      </w:r>
    </w:p>
    <w:p w14:paraId="5F6FE4E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4FA803E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0ABE094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eastAsia="zh-CN"/>
        </w:rPr>
        <w:t>150</w:t>
      </w:r>
      <w:r>
        <w:rPr>
          <w:rFonts w:hint="eastAsia" w:ascii="宋体" w:hAnsi="宋体" w:eastAsia="宋体" w:cs="宋体"/>
          <w:color w:val="auto"/>
          <w:sz w:val="24"/>
          <w:szCs w:val="24"/>
          <w:highlight w:val="none"/>
        </w:rPr>
        <w:t>万元，资金来源为自治区专项资金，其中：财政资金</w:t>
      </w:r>
      <w:r>
        <w:rPr>
          <w:rFonts w:hint="eastAsia" w:ascii="宋体" w:hAnsi="宋体" w:eastAsia="宋体" w:cs="宋体"/>
          <w:color w:val="auto"/>
          <w:sz w:val="24"/>
          <w:szCs w:val="24"/>
          <w:highlight w:val="none"/>
          <w:lang w:eastAsia="zh-CN"/>
        </w:rPr>
        <w:t>150</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eastAsia="zh-CN"/>
        </w:rPr>
        <w:t>150</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eastAsia="zh-CN"/>
        </w:rPr>
        <w:t>100%</w:t>
      </w:r>
    </w:p>
    <w:p w14:paraId="70B0135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4D4C4BC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145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eastAsia="zh-CN"/>
        </w:rPr>
        <w:t>97.</w:t>
      </w:r>
      <w:r>
        <w:rPr>
          <w:rFonts w:hint="eastAsia" w:ascii="宋体" w:hAnsi="宋体" w:eastAsia="宋体" w:cs="宋体"/>
          <w:color w:val="auto"/>
          <w:sz w:val="24"/>
          <w:szCs w:val="24"/>
          <w:highlight w:val="none"/>
          <w:lang w:val="en-US" w:eastAsia="zh-CN"/>
        </w:rPr>
        <w:t>67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，剩余4万元为项目结算审计费</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145</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审计</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w:t>
      </w:r>
    </w:p>
    <w:p w14:paraId="6722664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2A1857E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4A48E72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0F35A4D9">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通过实施此项目提高辖区村民幸福度，基层单位服务能力，为多鲁镇的综合发展与环境改善做出自己的一份努力</w:t>
      </w:r>
    </w:p>
    <w:p w14:paraId="55224F4E">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阶段性目标</w:t>
      </w:r>
    </w:p>
    <w:p w14:paraId="7D2C1B0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8812376">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4EB611BD">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13A9841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基础设施建设村数量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5个村</w:t>
      </w:r>
      <w:r>
        <w:rPr>
          <w:rFonts w:hint="eastAsia" w:ascii="宋体" w:hAnsi="宋体" w:eastAsia="宋体" w:cs="宋体"/>
          <w:color w:val="auto"/>
          <w:sz w:val="24"/>
          <w:szCs w:val="24"/>
          <w:highlight w:val="none"/>
        </w:rPr>
        <w:t>；</w:t>
      </w:r>
    </w:p>
    <w:p w14:paraId="7C97DEC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6BA1BF95">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工程质量合格率：预期指标值为</w:t>
      </w:r>
      <w:r>
        <w:rPr>
          <w:rFonts w:hint="eastAsia" w:ascii="宋体" w:hAnsi="宋体" w:eastAsia="宋体" w:cs="宋体"/>
          <w:color w:val="auto"/>
          <w:sz w:val="24"/>
          <w:szCs w:val="24"/>
          <w:highlight w:val="none"/>
          <w:lang w:val="en-US" w:eastAsia="zh-CN"/>
        </w:rPr>
        <w:t>=100%；</w:t>
      </w:r>
    </w:p>
    <w:p w14:paraId="380995B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70DEC61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00A93F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w:t>
      </w:r>
    </w:p>
    <w:p w14:paraId="4E749F4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5255D0C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01AE7AA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每个村平均建设经费：预期指标值为≥</w:t>
      </w:r>
      <w:r>
        <w:rPr>
          <w:rFonts w:hint="eastAsia" w:ascii="宋体" w:hAnsi="宋体" w:eastAsia="宋体" w:cs="宋体"/>
          <w:color w:val="auto"/>
          <w:sz w:val="24"/>
          <w:szCs w:val="24"/>
          <w:highlight w:val="none"/>
          <w:lang w:val="en-US" w:eastAsia="zh-CN"/>
        </w:rPr>
        <w:t>30.00万元</w:t>
      </w:r>
      <w:r>
        <w:rPr>
          <w:rFonts w:hint="eastAsia" w:ascii="宋体" w:hAnsi="宋体" w:eastAsia="宋体" w:cs="宋体"/>
          <w:color w:val="auto"/>
          <w:sz w:val="24"/>
          <w:szCs w:val="24"/>
          <w:highlight w:val="none"/>
        </w:rPr>
        <w:t>；</w:t>
      </w:r>
    </w:p>
    <w:p w14:paraId="0EC045A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00AB413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1）社会效益指标：</w:t>
      </w:r>
    </w:p>
    <w:p w14:paraId="6FB7D4A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促进基层民生改善：</w:t>
      </w:r>
      <w:r>
        <w:rPr>
          <w:rFonts w:hint="eastAsia" w:ascii="宋体" w:hAnsi="宋体" w:eastAsia="宋体" w:cs="宋体"/>
          <w:color w:val="auto"/>
          <w:sz w:val="24"/>
          <w:szCs w:val="24"/>
          <w:highlight w:val="none"/>
          <w:lang w:val="en-US" w:eastAsia="zh-CN"/>
        </w:rPr>
        <w:t>预期指标值为效果显著；</w:t>
      </w:r>
    </w:p>
    <w:p w14:paraId="6ABE624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58F8D6D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受益群众满意度：预期指标值为≥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w:t>
      </w:r>
    </w:p>
    <w:p w14:paraId="191A417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00BF082">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3"/>
    </w:p>
    <w:p w14:paraId="532BDFAC">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4" w:name="_Toc68364661"/>
      <w:r>
        <w:rPr>
          <w:rFonts w:hint="eastAsia" w:ascii="宋体" w:hAnsi="宋体" w:eastAsia="宋体" w:cs="宋体"/>
          <w:color w:val="auto"/>
          <w:sz w:val="24"/>
          <w:szCs w:val="24"/>
          <w:highlight w:val="none"/>
        </w:rPr>
        <w:t>（一）绩效评价目的、对象和范围</w:t>
      </w:r>
      <w:bookmarkEnd w:id="4"/>
    </w:p>
    <w:p w14:paraId="5160693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71BC07B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color w:val="auto"/>
          <w:sz w:val="24"/>
          <w:szCs w:val="24"/>
          <w:highlight w:val="none"/>
          <w:lang w:eastAsia="zh-CN"/>
        </w:rPr>
        <w:t>专项资金-和地财建[2024]26号：2024年第三批自治区预算内投资-和田地区洛浦县综合发展和环境改善工程项目实施方案</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color w:val="auto"/>
          <w:sz w:val="24"/>
          <w:szCs w:val="24"/>
          <w:highlight w:val="none"/>
          <w:lang w:eastAsia="zh-CN"/>
        </w:rPr>
        <w:t>专项资金-和地财建[2024]26号：2024年第三批自治区预算内投资-和田地区洛浦县综合发展和环境改善工程项目实施方案</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7DBC45E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43223A4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0325C1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11AEBE7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4C9542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XX</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C7D52F8">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5FC601C3">
      <w:pPr>
        <w:pStyle w:val="45"/>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eastAsia="zh-CN"/>
        </w:rPr>
        <w:t>专项资金-和地财建[2024]26号：2024年第三批自治区预算内投资-和田地区洛浦县综合发展和环境改善工程项目实施方案</w:t>
      </w:r>
      <w:r>
        <w:rPr>
          <w:rFonts w:hint="eastAsia" w:ascii="宋体" w:hAnsi="宋体" w:eastAsia="宋体" w:cs="宋体"/>
          <w:color w:val="auto"/>
          <w:sz w:val="24"/>
          <w:szCs w:val="24"/>
          <w:highlight w:val="none"/>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212AEF8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5"/>
    </w:p>
    <w:p w14:paraId="4278C03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51C383F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F3EFB3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5988D42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0D0AD2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6523ED3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442B788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561EC28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4CDA0B7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7F06616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881297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39A514B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3D169E9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65A4351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A8DFF4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2168B5A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72F859E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1D4ED88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789317E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4E15015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533A94B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28ECE37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415197D8">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1F84422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0001761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02BEB36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7581B08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DBF7BF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553C8161">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7F3E374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w:t>
      </w:r>
      <w:r>
        <w:rPr>
          <w:rFonts w:hint="eastAsia" w:ascii="宋体" w:hAnsi="宋体" w:eastAsia="宋体" w:cs="宋体"/>
          <w:b w:val="0"/>
          <w:bCs w:val="0"/>
          <w:color w:val="auto"/>
          <w:sz w:val="24"/>
          <w:szCs w:val="24"/>
          <w:highlight w:val="none"/>
        </w:rPr>
        <w:t>次评价主要采用了</w:t>
      </w:r>
      <w:bookmarkStart w:id="7" w:name="_Toc17882"/>
      <w:bookmarkStart w:id="8" w:name="_Toc31464"/>
      <w:r>
        <w:rPr>
          <w:rFonts w:hint="eastAsia" w:ascii="宋体" w:hAnsi="宋体" w:eastAsia="宋体" w:cs="宋体"/>
          <w:b w:val="0"/>
          <w:bCs w:val="0"/>
          <w:color w:val="auto"/>
          <w:sz w:val="24"/>
          <w:szCs w:val="24"/>
          <w:highlight w:val="none"/>
        </w:rPr>
        <w:t>计划标准</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rPr>
        <w:t>指以预先制定的目标、计划、预算、定额等作为评价标准。</w:t>
      </w:r>
      <w:bookmarkEnd w:id="7"/>
      <w:bookmarkEnd w:id="8"/>
    </w:p>
    <w:p w14:paraId="55DE340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6"/>
    </w:p>
    <w:p w14:paraId="4F352E01">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9" w:name="_Toc68364664"/>
      <w:r>
        <w:rPr>
          <w:rFonts w:hint="eastAsia" w:ascii="宋体" w:hAnsi="宋体" w:eastAsia="宋体" w:cs="宋体"/>
          <w:color w:val="auto"/>
          <w:sz w:val="24"/>
          <w:szCs w:val="24"/>
          <w:highlight w:val="none"/>
        </w:rPr>
        <w:t>1.前期准备</w:t>
      </w:r>
    </w:p>
    <w:p w14:paraId="0034FB7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4E7DD2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周军</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组织安排绩效评价工作</w:t>
      </w:r>
      <w:r>
        <w:rPr>
          <w:rFonts w:hint="eastAsia" w:ascii="宋体" w:hAnsi="宋体" w:eastAsia="宋体" w:cs="宋体"/>
          <w:color w:val="auto"/>
          <w:sz w:val="24"/>
          <w:szCs w:val="24"/>
          <w:highlight w:val="none"/>
        </w:rPr>
        <w:t>;</w:t>
      </w:r>
    </w:p>
    <w:p w14:paraId="5DDACCD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麦麦提艾力</w:t>
      </w:r>
      <w:r>
        <w:rPr>
          <w:rFonts w:hint="eastAsia" w:ascii="宋体" w:hAnsi="宋体" w:eastAsia="宋体" w:cs="宋体"/>
          <w:color w:val="auto"/>
          <w:sz w:val="24"/>
          <w:szCs w:val="24"/>
          <w:highlight w:val="none"/>
          <w:lang w:val="en-US" w:eastAsia="zh-CN"/>
        </w:rPr>
        <w:t>·麦麦提奴尔</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资料整理及信息汇总工作</w:t>
      </w:r>
      <w:r>
        <w:rPr>
          <w:rFonts w:hint="eastAsia" w:ascii="宋体" w:hAnsi="宋体" w:eastAsia="宋体" w:cs="宋体"/>
          <w:color w:val="auto"/>
          <w:sz w:val="24"/>
          <w:szCs w:val="24"/>
          <w:highlight w:val="none"/>
        </w:rPr>
        <w:t>;</w:t>
      </w:r>
    </w:p>
    <w:p w14:paraId="77325D7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阿卜力克木</w:t>
      </w:r>
      <w:r>
        <w:rPr>
          <w:rFonts w:hint="eastAsia" w:ascii="宋体" w:hAnsi="宋体" w:eastAsia="宋体" w:cs="宋体"/>
          <w:color w:val="auto"/>
          <w:sz w:val="24"/>
          <w:szCs w:val="24"/>
          <w:highlight w:val="none"/>
          <w:lang w:val="en-US" w:eastAsia="zh-CN"/>
        </w:rPr>
        <w:t>·阿卜杜克热木</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出具项目绩效评价报告</w:t>
      </w:r>
      <w:r>
        <w:rPr>
          <w:rFonts w:hint="eastAsia" w:ascii="宋体" w:hAnsi="宋体" w:eastAsia="宋体" w:cs="宋体"/>
          <w:color w:val="auto"/>
          <w:sz w:val="24"/>
          <w:szCs w:val="24"/>
          <w:highlight w:val="none"/>
        </w:rPr>
        <w:t>。</w:t>
      </w:r>
    </w:p>
    <w:p w14:paraId="3B90FBD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289360E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6B04F44C">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23C5317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520AA0C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676B8B8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2FD9D5C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090F2FB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EEC2FB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241E20F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5934999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24459098">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9"/>
    </w:p>
    <w:p w14:paraId="7145806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0" w:name="_Toc68364665"/>
      <w:r>
        <w:rPr>
          <w:rFonts w:hint="eastAsia" w:ascii="宋体" w:hAnsi="宋体" w:eastAsia="宋体" w:cs="宋体"/>
          <w:color w:val="auto"/>
          <w:sz w:val="24"/>
          <w:szCs w:val="24"/>
          <w:highlight w:val="none"/>
        </w:rPr>
        <w:t>（一）综合评价情况</w:t>
      </w:r>
      <w:bookmarkEnd w:id="10"/>
    </w:p>
    <w:p w14:paraId="479F436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6"/>
      <w:r>
        <w:rPr>
          <w:rFonts w:hint="eastAsia" w:ascii="宋体" w:hAnsi="宋体" w:eastAsia="宋体" w:cs="宋体"/>
          <w:color w:val="auto"/>
          <w:sz w:val="24"/>
          <w:szCs w:val="24"/>
          <w:highlight w:val="none"/>
        </w:rPr>
        <w:t>根据和地财建[2024]26号：2024年第三批自治区预算内投资-和田地区洛浦县综合发展和环境改善工程实施此项目，内容主要为保障5个村基础设施建设，通过项目实施，进一步完善村级公共文体基础设施，促进基层民生改善。项目实施主要通过项目决策、项目过程、项目产出以及项目效益等方面进行评价，其中：</w:t>
      </w:r>
    </w:p>
    <w:p w14:paraId="0FDE60F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项目决策：根据和地财建[2024]26号：2024年第三批自治区预算内投资-和田地区洛浦县综合发展和环境改善工程实施此项目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项目立项依据充分，立项程序规范。 </w:t>
      </w:r>
    </w:p>
    <w:p w14:paraId="1294928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项目过程：和田地区洛浦县综合发展和环境改善工程项目预算安排 </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145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96.66</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4F9A832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项目产出：1、色日克村</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村委会院内环境整治；办公楼、国语教室楼面灯带875米，村委会院内铺设地砖126 m，地面硬化180 m°。种植格桑花（株30-50cm）、万寿菊（25-30林/m）、地雷花 片植）、翠菊（片植）及蔬菜苗3亩，文化大舞台前安装1.4术长木凳120个，村级公用喇叭（带扩音器）1个，篮球场围网48.m，篮球场绿化带安装护栏95米，一站式服务大厅房顶加装</w:t>
      </w:r>
      <w:r>
        <w:rPr>
          <w:rFonts w:hint="eastAsia" w:ascii="宋体" w:hAnsi="宋体" w:eastAsia="宋体" w:cs="宋体"/>
          <w:color w:val="auto"/>
          <w:sz w:val="24"/>
          <w:szCs w:val="24"/>
          <w:highlight w:val="none"/>
          <w:lang w:eastAsia="zh-CN"/>
        </w:rPr>
        <w:t>矿棉板</w:t>
      </w:r>
      <w:r>
        <w:rPr>
          <w:rFonts w:hint="eastAsia" w:ascii="宋体" w:hAnsi="宋体" w:eastAsia="宋体" w:cs="宋体"/>
          <w:color w:val="auto"/>
          <w:sz w:val="24"/>
          <w:szCs w:val="24"/>
          <w:highlight w:val="none"/>
        </w:rPr>
        <w:t>171.51m，一站式服务大厅群众服务台拆除与向外</w:t>
      </w:r>
      <w:r>
        <w:rPr>
          <w:rFonts w:hint="eastAsia" w:ascii="宋体" w:hAnsi="宋体" w:eastAsia="宋体" w:cs="宋体"/>
          <w:color w:val="auto"/>
          <w:sz w:val="24"/>
          <w:szCs w:val="24"/>
          <w:highlight w:val="none"/>
          <w:lang w:eastAsia="zh-CN"/>
        </w:rPr>
        <w:t>扩建8米；2.</w:t>
      </w:r>
      <w:r>
        <w:rPr>
          <w:rFonts w:hint="eastAsia" w:ascii="宋体" w:hAnsi="宋体" w:eastAsia="宋体" w:cs="宋体"/>
          <w:color w:val="auto"/>
          <w:sz w:val="24"/>
          <w:szCs w:val="24"/>
          <w:highlight w:val="none"/>
        </w:rPr>
        <w:t>村级基础设施维护及环境整治:1-3 小队村道路两旁种植格桑花（株距 30-50cm）、万寿菊（25-30株/m'）、地雷花（片植）12亩，购置葡萄苗（行距3m株距1.5m） 250株，安装交通标识（交通凸镜)4个，塑胶减速带 60米，养老助餐点房顶铺设灰瓦77.5 m，养老助餐点新建门头1个，公共卫生间维修包括墙体维修15 m²及玻璃更换13m’，二小队机耕桥维修与拓宽4座，主于渠清理700米，太阳能路灯维护32盏，进村主干道、村委会前主干道安装围栏(1.5米高)1670米，2小队围栏喷漆1700米，土地平整（土方量310 平方厘米），混凝土硬化 177 m'，树枝清运 600吨，壮大集体经济门面房改造包括安装铝合金双开门5个、拆除墙面21.5m'、粉刷墙面120m'及砖混台阶10米。</w:t>
      </w:r>
    </w:p>
    <w:p w14:paraId="5AFCB2F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尧</w:t>
      </w:r>
      <w:r>
        <w:rPr>
          <w:rFonts w:hint="eastAsia" w:ascii="宋体" w:hAnsi="宋体" w:eastAsia="宋体" w:cs="宋体"/>
          <w:color w:val="auto"/>
          <w:sz w:val="24"/>
          <w:szCs w:val="24"/>
          <w:highlight w:val="none"/>
        </w:rPr>
        <w:t>勒其库勒村；①办公楼除险加固及内墙粉刷；开裂墙面修补100.00m清理墙面n500.00m，墙面粉刷2000.00m：2文体活动角打造:福字亭(3mX3m)1个，草坪23.00m、绿植</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批，健身活动器材1套，宣传橱窗(3m*1.6m)6个，宣传橱窗(15m*1.45m) 1个，文化墙手绘壁画(7 m’/幅)6幅：③便民服务站改造:墙面粉刷120.00 m，新建大厅服务台及5个工位1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项(6.6m*0.8m*0.6m)；④)值班室改造：墙面粉刷100.00m，地面修整及涂漆 12.m’;⑤)村委会植被保护护栏（高50cm）550.00米；⑥村委会大门更换(3m×6m铁艺)18 m'。</w:t>
      </w:r>
    </w:p>
    <w:p w14:paraId="54C6B80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3、墩库孜来克村：①村委会值班室新建25.00m'，砖混结构，地上一层；②村委会大门更换(3mx6m铁艺)18.00mt；3)国语教室楼梯维修及刷漆50 m”;④更换大门雨棚 89.00 m':⑤室内外墙面粉刷 850.00 m';⑥村文体活动室维修翻新60m；⑦</w:t>
      </w:r>
      <w:r>
        <w:rPr>
          <w:rFonts w:hint="eastAsia" w:ascii="宋体" w:hAnsi="宋体" w:eastAsia="宋体" w:cs="宋体"/>
          <w:color w:val="auto"/>
          <w:sz w:val="24"/>
          <w:szCs w:val="24"/>
          <w:highlight w:val="none"/>
          <w:lang w:eastAsia="zh-CN"/>
        </w:rPr>
        <w:t>排水管</w:t>
      </w:r>
      <w:r>
        <w:rPr>
          <w:rFonts w:hint="eastAsia" w:ascii="宋体" w:hAnsi="宋体" w:eastAsia="宋体" w:cs="宋体"/>
          <w:color w:val="auto"/>
          <w:sz w:val="24"/>
          <w:szCs w:val="24"/>
          <w:highlight w:val="none"/>
        </w:rPr>
        <w:t>道 70.00 米:③村委会屋顶雨棚 196.00m*;9村委会院内人字形雨棚 60.00 m*;10)村委会院内绿化围栏 195.00 米；(ID国语教室供暖系统更新1800 m。</w:t>
      </w:r>
    </w:p>
    <w:p w14:paraId="146B3A3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4、哈勒瓦甫村:①办公楼室内卫生间和院落卫生间及公共浴室维修改造53m*;②文化墙维护维修30.00m'③办公楼室内墙面粉刷 100.00 m';④国语教师室内墙面粉刷 240.00 m';⑤村委会院内外墙维修180.00 m'；6村委会大门上安装遮阳棚21.00 m'；7河道护栏（水泥仿木 1.2m 高） 600.00 米8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修缮、加固老化损杯的护栏600米；9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村委会供暖管道更新及地面恢复200.00米；</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修缮村委会门口停车场100.00m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葡萄架60.00米；</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滴灌菜园0.5亩。</w:t>
      </w:r>
    </w:p>
    <w:p w14:paraId="0216A5F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5、阔台买村：1国语教室屋顶防雨棚200.00m'；2内外墙粉刷 500.00 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村委会公共卫生间维修 25.00 m'；</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消防车兼酒水车1.00辆（容量2.5吨）；5新建储藏间（砖混结构）30.00m';</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道路铺平整修200m';</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木制垃圾桶改造小花坛10个;</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种植玫瑰（高度40cm）600棵</w:t>
      </w:r>
      <w:r>
        <w:rPr>
          <w:rFonts w:hint="eastAsia" w:ascii="宋体" w:hAnsi="宋体" w:eastAsia="宋体" w:cs="宋体"/>
          <w:color w:val="auto"/>
          <w:sz w:val="24"/>
          <w:szCs w:val="24"/>
          <w:highlight w:val="none"/>
          <w:lang w:eastAsia="zh-CN"/>
        </w:rPr>
        <w:t>。</w:t>
      </w:r>
    </w:p>
    <w:p w14:paraId="2096193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项目效益：通过</w:t>
      </w:r>
      <w:r>
        <w:rPr>
          <w:rFonts w:hint="eastAsia" w:ascii="宋体" w:hAnsi="宋体" w:eastAsia="宋体" w:cs="宋体"/>
          <w:color w:val="auto"/>
          <w:sz w:val="24"/>
          <w:szCs w:val="24"/>
          <w:highlight w:val="none"/>
          <w:lang w:val="en-US" w:eastAsia="zh-CN"/>
        </w:rPr>
        <w:t>实施此项目</w:t>
      </w:r>
      <w:r>
        <w:rPr>
          <w:rFonts w:hint="eastAsia" w:ascii="宋体" w:hAnsi="宋体" w:eastAsia="宋体" w:cs="宋体"/>
          <w:color w:val="auto"/>
          <w:sz w:val="24"/>
          <w:szCs w:val="24"/>
          <w:highlight w:val="none"/>
        </w:rPr>
        <w:t>，通过项目实施，进一步完善村级公共文体基础设施，促进基层民生改善。</w:t>
      </w:r>
    </w:p>
    <w:p w14:paraId="01200F4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56445C0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和田地区洛浦县综合发展和环境改善工程项目进行客观评价，最终评分结果：评价总分</w:t>
      </w:r>
      <w:r>
        <w:rPr>
          <w:rFonts w:hint="eastAsia" w:ascii="宋体" w:hAnsi="宋体" w:eastAsia="宋体" w:cs="宋体"/>
          <w:color w:val="auto"/>
          <w:sz w:val="24"/>
          <w:szCs w:val="24"/>
          <w:highlight w:val="none"/>
          <w:lang w:val="en-US" w:eastAsia="zh-CN"/>
        </w:rPr>
        <w:t>99.6</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1"/>
    </w:p>
    <w:p w14:paraId="648402F8">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7"/>
    </w:p>
    <w:p w14:paraId="4BBC2E2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四、绩效评价指标分析</w:t>
      </w:r>
      <w:bookmarkEnd w:id="12"/>
    </w:p>
    <w:p w14:paraId="60924616">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8"/>
      <w:r>
        <w:rPr>
          <w:rFonts w:hint="eastAsia" w:ascii="宋体" w:hAnsi="宋体" w:eastAsia="宋体" w:cs="宋体"/>
          <w:color w:val="auto"/>
          <w:sz w:val="24"/>
          <w:szCs w:val="24"/>
          <w:highlight w:val="none"/>
        </w:rPr>
        <w:t>（一）项目决策情况</w:t>
      </w:r>
    </w:p>
    <w:p w14:paraId="68D6194C">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AAC925E">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1BA55AE1">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自治区财政厅新财建【</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56号</w:t>
      </w:r>
      <w:r>
        <w:rPr>
          <w:rFonts w:hint="eastAsia" w:ascii="宋体" w:hAnsi="宋体" w:eastAsia="宋体" w:cs="宋体"/>
          <w:color w:val="auto"/>
          <w:sz w:val="24"/>
          <w:szCs w:val="24"/>
          <w:highlight w:val="none"/>
          <w:lang w:eastAsia="zh-CN"/>
        </w:rPr>
        <w:t>文件内容</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关于下达</w:t>
      </w:r>
      <w:r>
        <w:rPr>
          <w:rFonts w:hint="eastAsia" w:ascii="宋体" w:hAnsi="宋体" w:eastAsia="宋体" w:cs="宋体"/>
          <w:color w:val="auto"/>
          <w:sz w:val="24"/>
          <w:szCs w:val="24"/>
          <w:highlight w:val="none"/>
          <w:lang w:val="en-US" w:eastAsia="zh-CN"/>
        </w:rPr>
        <w:t>2024年第三批自治区预算内投资预算的通知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（和地财建【</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26号</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内容，符合行业发展规划和政策要求</w:t>
      </w:r>
      <w:r>
        <w:rPr>
          <w:rFonts w:hint="eastAsia" w:ascii="宋体" w:hAnsi="宋体" w:eastAsia="宋体" w:cs="宋体"/>
          <w:color w:val="auto"/>
          <w:sz w:val="24"/>
          <w:szCs w:val="24"/>
          <w:highlight w:val="none"/>
          <w:lang w:eastAsia="zh-CN"/>
        </w:rPr>
        <w:t>。</w:t>
      </w:r>
    </w:p>
    <w:p w14:paraId="2C8160F8">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51474B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531B098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本项目按照规定的程序申请设立，项目立项过程中产生的文件均符合相关要求。本项目</w:t>
      </w:r>
      <w:r>
        <w:rPr>
          <w:rFonts w:hint="eastAsia" w:ascii="宋体" w:hAnsi="宋体" w:eastAsia="宋体" w:cs="宋体"/>
          <w:color w:val="auto"/>
          <w:sz w:val="24"/>
          <w:szCs w:val="24"/>
          <w:highlight w:val="none"/>
          <w:lang w:eastAsia="zh-CN"/>
        </w:rPr>
        <w:t>基建类</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本单位</w:t>
      </w:r>
      <w:r>
        <w:rPr>
          <w:rFonts w:hint="eastAsia" w:ascii="宋体" w:hAnsi="宋体" w:eastAsia="宋体" w:cs="宋体"/>
          <w:color w:val="auto"/>
          <w:sz w:val="24"/>
          <w:szCs w:val="24"/>
          <w:highlight w:val="none"/>
        </w:rPr>
        <w:t>完成本项目可行性研究报告的编制，并经过专家论证。</w:t>
      </w:r>
    </w:p>
    <w:p w14:paraId="5E6259C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788A44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w:t>
      </w:r>
      <w:r>
        <w:rPr>
          <w:rFonts w:hint="eastAsia" w:ascii="宋体" w:hAnsi="宋体" w:eastAsia="宋体" w:cs="宋体"/>
          <w:color w:val="auto"/>
          <w:sz w:val="24"/>
          <w:szCs w:val="24"/>
          <w:highlight w:val="none"/>
        </w:rPr>
        <w:t>1、色日克村</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村委会院内环境整治；办公楼、国语教室楼面灯带875米，村委会院内铺设地砖126 m，地面硬化180 m°。种植格桑花（株30-50cm）、万寿菊（25-30林/m）、地雷花 片植）、翠菊（片植）及蔬菜苗3亩，文化大舞台前安装1.4术长木凳120个，村级公用喇叭（带扩音器）1个，篮球场围网48.m，篮球场绿化带安装护栏95米，一站式服务大厅房顶加装</w:t>
      </w:r>
      <w:r>
        <w:rPr>
          <w:rFonts w:hint="eastAsia" w:ascii="宋体" w:hAnsi="宋体" w:eastAsia="宋体" w:cs="宋体"/>
          <w:color w:val="auto"/>
          <w:sz w:val="24"/>
          <w:szCs w:val="24"/>
          <w:highlight w:val="none"/>
          <w:lang w:eastAsia="zh-CN"/>
        </w:rPr>
        <w:t>矿棉板</w:t>
      </w:r>
      <w:r>
        <w:rPr>
          <w:rFonts w:hint="eastAsia" w:ascii="宋体" w:hAnsi="宋体" w:eastAsia="宋体" w:cs="宋体"/>
          <w:color w:val="auto"/>
          <w:sz w:val="24"/>
          <w:szCs w:val="24"/>
          <w:highlight w:val="none"/>
        </w:rPr>
        <w:t>171.51m，一站式服务大厅群众服务台拆除与向外</w:t>
      </w:r>
      <w:r>
        <w:rPr>
          <w:rFonts w:hint="eastAsia" w:ascii="宋体" w:hAnsi="宋体" w:eastAsia="宋体" w:cs="宋体"/>
          <w:color w:val="auto"/>
          <w:sz w:val="24"/>
          <w:szCs w:val="24"/>
          <w:highlight w:val="none"/>
          <w:lang w:eastAsia="zh-CN"/>
        </w:rPr>
        <w:t>扩建8米；2.</w:t>
      </w:r>
      <w:r>
        <w:rPr>
          <w:rFonts w:hint="eastAsia" w:ascii="宋体" w:hAnsi="宋体" w:eastAsia="宋体" w:cs="宋体"/>
          <w:color w:val="auto"/>
          <w:sz w:val="24"/>
          <w:szCs w:val="24"/>
          <w:highlight w:val="none"/>
        </w:rPr>
        <w:t>村级基础设施维护及环境整治:1-3 小队村道路两旁种植格桑花（株距 30-50cm）、万寿菊（25-30株/m'）、地雷花（片植）12亩，购置葡萄苗（行距3m株距1.5m） 250株，安装交通标识（交通凸镜)4个，塑胶减速带 60米，养老助餐点房顶铺设灰瓦77.5 m，养老助餐点新建门头1个，公共卫生间维修包括墙体维修15 m²及玻璃更换13m’，二小队机耕桥维修与拓宽4座，主于渠清理700米，太阳能路灯维护32盏，进村主干道、村委会前主干道安装围栏(1.5米高)1670米，2小队围栏喷漆1700米，土地平整（土方量310 平方厘米），混凝土硬化 177 m'，树枝清运 600吨，壮大集体经济门面房改造包括安装铝合金双开门5个、拆除墙面21.5m'、粉刷墙面120m'及砖混台阶10米。</w:t>
      </w:r>
    </w:p>
    <w:p w14:paraId="67BC2E2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尧</w:t>
      </w:r>
      <w:r>
        <w:rPr>
          <w:rFonts w:hint="eastAsia" w:ascii="宋体" w:hAnsi="宋体" w:eastAsia="宋体" w:cs="宋体"/>
          <w:color w:val="auto"/>
          <w:sz w:val="24"/>
          <w:szCs w:val="24"/>
          <w:highlight w:val="none"/>
        </w:rPr>
        <w:t>勒其库勒村；①办公楼除险加固及内墙粉刷；开裂墙面修补100.00m清理墙面n500.00m，墙面粉刷2000.00m：2文体活动角打造:福字亭(3mX3m)1个，草坪23.00m、绿植</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批，健身活动器材1套，宣传橱窗(3m*1.6m)6个，宣传橱窗(15m*1.45m) 1个，文化墙手绘壁画(7 m’/幅)6幅：③便民服务站改造:墙面粉刷120.00 m，新建大厅服务台及5个工位1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项(6.6m*0.8m*0.6m)；④)值班室改造：墙面粉刷100.00m，地面修整及涂漆 12.m’;⑤)村委会植被保护护栏（高50cm）550.00米；⑥村委会大门更换(3m×6m铁艺)18 m'。</w:t>
      </w:r>
    </w:p>
    <w:p w14:paraId="2CFE244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3、墩库孜来克村：①村委会值班室新建25.00m'，砖混结构，地上一层；②村委会大门更换(3mx6m铁艺)18.00mt；3)国语教室楼梯维修及刷漆50 m”;④更换大门雨棚 89.00 m':⑤室内外墙面粉刷 850.00 m';⑥村文体活动室维修翻新60m；⑦</w:t>
      </w:r>
      <w:r>
        <w:rPr>
          <w:rFonts w:hint="eastAsia" w:ascii="宋体" w:hAnsi="宋体" w:eastAsia="宋体" w:cs="宋体"/>
          <w:color w:val="auto"/>
          <w:sz w:val="24"/>
          <w:szCs w:val="24"/>
          <w:highlight w:val="none"/>
          <w:lang w:eastAsia="zh-CN"/>
        </w:rPr>
        <w:t>排水管</w:t>
      </w:r>
      <w:r>
        <w:rPr>
          <w:rFonts w:hint="eastAsia" w:ascii="宋体" w:hAnsi="宋体" w:eastAsia="宋体" w:cs="宋体"/>
          <w:color w:val="auto"/>
          <w:sz w:val="24"/>
          <w:szCs w:val="24"/>
          <w:highlight w:val="none"/>
        </w:rPr>
        <w:t>道 70.00 米:③村委会屋顶雨棚 196.00m*;9村委会院内人字形雨棚 60.00 m*;10)村委会院内绿化围栏 195.00 米；(ID国语教室供暖系统更新1800 m。</w:t>
      </w:r>
    </w:p>
    <w:p w14:paraId="0191677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4、哈勒瓦甫村:①办公楼室内卫生间和院落卫生间及公共浴室维修改造53m*;②文化墙维护维修30.00m'③办公楼室内墙面粉刷 100.00 m';④国语教师室内墙面粉刷 240.00 m';⑤村委会院内外墙维修180.00 m'；6村委会大门上安装遮阳棚21.00 m'；7河道护栏（水泥仿木 1.2m 高） 600.00 米8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修缮、加固老化损杯的护栏600米；9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村委会供暖管道更新及地面恢复200.00米；</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修缮村委会门口停车场100.00m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葡萄架60.00米；</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滴灌菜园0.5亩。</w:t>
      </w:r>
    </w:p>
    <w:p w14:paraId="30ADA39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5、阔台买村：1国语教室屋顶防雨棚200.00m'；2内外墙粉刷 500.00 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村委会公共卫生间维修 25.00 m'；</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消防车兼酒水车1.00辆（容量2.5吨）；5新建储藏间（砖混结构）30.00m';</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道路铺平整修200m';</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木制垃圾桶改造小花坛10个;</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种植玫瑰（高度40cm）600棵</w:t>
      </w:r>
      <w:r>
        <w:rPr>
          <w:rFonts w:hint="eastAsia" w:ascii="宋体" w:hAnsi="宋体" w:eastAsia="宋体" w:cs="宋体"/>
          <w:color w:val="auto"/>
          <w:sz w:val="24"/>
          <w:szCs w:val="24"/>
          <w:highlight w:val="none"/>
          <w:lang w:eastAsia="zh-CN"/>
        </w:rPr>
        <w:t>。</w:t>
      </w:r>
    </w:p>
    <w:p w14:paraId="1995D2C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绩效目标合理</w:t>
      </w:r>
      <w:r>
        <w:rPr>
          <w:rFonts w:hint="eastAsia" w:ascii="宋体" w:hAnsi="宋体" w:eastAsia="宋体" w:cs="宋体"/>
          <w:color w:val="auto"/>
          <w:sz w:val="24"/>
          <w:szCs w:val="24"/>
          <w:highlight w:val="none"/>
        </w:rPr>
        <w:t>。</w:t>
      </w:r>
    </w:p>
    <w:p w14:paraId="6DC9D281">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71.43</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4201F1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该《项目绩效目标申报表》中，数量指标指标值为基础设施建设村数量，三级指标的年度指标值与年度绩效目标中任务数一致，已设置时效指标“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资金支付及时率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、“项目完成时间”</w:t>
      </w:r>
      <w:r>
        <w:rPr>
          <w:rFonts w:hint="eastAsia" w:ascii="宋体" w:hAnsi="宋体" w:eastAsia="宋体" w:cs="宋体"/>
          <w:color w:val="auto"/>
          <w:sz w:val="24"/>
          <w:szCs w:val="24"/>
          <w:highlight w:val="none"/>
        </w:rPr>
        <w:t>。已设置的绩效目标具备明确性、可衡量性、可实现性、相关性、时限性。</w:t>
      </w:r>
    </w:p>
    <w:p w14:paraId="0A0F9BD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903DF4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本项目预算编制较科学且经过论证；预算申请内容为1、色日克村</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村委会院内环境整治；办公楼、国语教室楼面灯带875米，村委会院内铺设地砖126 m，地面硬化180 m°。种植格桑花（株30-50cm）、万寿菊（25-30林/m）、地雷花 片植）、翠菊（片植）及蔬菜苗3亩，文化大舞台前安装1.4术长木凳120个，村级公用喇叭（带扩音器）1个，篮球场围网48.m，篮球场绿化带安装护栏95米，一站式服务大厅房顶加装</w:t>
      </w:r>
      <w:r>
        <w:rPr>
          <w:rFonts w:hint="eastAsia" w:ascii="宋体" w:hAnsi="宋体" w:eastAsia="宋体" w:cs="宋体"/>
          <w:color w:val="auto"/>
          <w:sz w:val="24"/>
          <w:szCs w:val="24"/>
          <w:highlight w:val="none"/>
          <w:lang w:eastAsia="zh-CN"/>
        </w:rPr>
        <w:t>矿棉板</w:t>
      </w:r>
      <w:r>
        <w:rPr>
          <w:rFonts w:hint="eastAsia" w:ascii="宋体" w:hAnsi="宋体" w:eastAsia="宋体" w:cs="宋体"/>
          <w:color w:val="auto"/>
          <w:sz w:val="24"/>
          <w:szCs w:val="24"/>
          <w:highlight w:val="none"/>
        </w:rPr>
        <w:t>171.51m，一站式服务大厅群众服务台拆除与向外</w:t>
      </w:r>
      <w:r>
        <w:rPr>
          <w:rFonts w:hint="eastAsia" w:ascii="宋体" w:hAnsi="宋体" w:eastAsia="宋体" w:cs="宋体"/>
          <w:color w:val="auto"/>
          <w:sz w:val="24"/>
          <w:szCs w:val="24"/>
          <w:highlight w:val="none"/>
          <w:lang w:eastAsia="zh-CN"/>
        </w:rPr>
        <w:t>扩建8米；2.</w:t>
      </w:r>
      <w:r>
        <w:rPr>
          <w:rFonts w:hint="eastAsia" w:ascii="宋体" w:hAnsi="宋体" w:eastAsia="宋体" w:cs="宋体"/>
          <w:color w:val="auto"/>
          <w:sz w:val="24"/>
          <w:szCs w:val="24"/>
          <w:highlight w:val="none"/>
        </w:rPr>
        <w:t>村级基础设施维护及环境整治:1-3 小队村道路两旁种植格桑花（株距 30-50cm）、万寿菊（25-30株/m'）、地雷花（片植）12亩，购置葡萄苗（行距3m株距1.5m） 250株，安装交通标识（交通凸镜)4个，塑胶减速带 60米，养老助餐点房顶铺设灰瓦77.5 m，养老助餐点新建门头1个，公共卫生间维修包括墙体维修15 m²及玻璃更换13m’，二小队机耕桥维修与拓宽4座，主于渠清理700米，太阳能路灯维护32盏，进村主干道、村委会前主干道安装围栏(1.5米高)1670米，2小队围栏喷漆1700米，土地平整（土方量310 平方厘米），混凝土硬化 177 m'，树枝清运 600吨，壮大集体经济门面房改造包括安装铝合金双开门5个、拆除墙面21.5m'、粉刷墙面120m'及砖混台阶10米。2、</w:t>
      </w:r>
      <w:r>
        <w:rPr>
          <w:rFonts w:hint="eastAsia" w:ascii="宋体" w:hAnsi="宋体" w:eastAsia="宋体" w:cs="宋体"/>
          <w:color w:val="auto"/>
          <w:sz w:val="24"/>
          <w:szCs w:val="24"/>
          <w:highlight w:val="none"/>
          <w:lang w:eastAsia="zh-CN"/>
        </w:rPr>
        <w:t>尧</w:t>
      </w:r>
      <w:r>
        <w:rPr>
          <w:rFonts w:hint="eastAsia" w:ascii="宋体" w:hAnsi="宋体" w:eastAsia="宋体" w:cs="宋体"/>
          <w:color w:val="auto"/>
          <w:sz w:val="24"/>
          <w:szCs w:val="24"/>
          <w:highlight w:val="none"/>
        </w:rPr>
        <w:t>勒其库勒村；①办公楼除险加固及内墙粉刷；开裂墙面修补100.00m清理墙面n500.00m，墙面粉刷2000.00m：2文体活动角打造:福字亭(3mX3m)1个，草坪23.00m、绿植</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批，健身活动器材1套，宣传橱窗(3m*1.6m)6个，宣传橱窗(15m*1.45m) 1个，文化墙手绘壁画(7 m’/幅)6幅：③便民服务站改造:墙面粉刷120.00 m，新建大厅服务台及5个工位1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项(6.6m*0.8m*0.6m)；④)值班室改造：墙面粉刷100.00m，地面修整及涂漆 12.m’;⑤)村委会植被保护护栏（高50cm）550.00米；⑥村委会大门更换(3m×6m铁艺)18 m'。3、墩库孜来克村：①村委会值班室新建25.00m'，砖混结构，地上一层；②村委会大门更换(3mx6m铁艺)18.00mt；3)国语教室楼梯维修及刷漆50 m”;④更换大门雨棚 89.00 m':⑤室内外墙面粉刷 850.00 m';⑥村文体活动室维修翻新60m；⑦</w:t>
      </w:r>
      <w:r>
        <w:rPr>
          <w:rFonts w:hint="eastAsia" w:ascii="宋体" w:hAnsi="宋体" w:eastAsia="宋体" w:cs="宋体"/>
          <w:color w:val="auto"/>
          <w:sz w:val="24"/>
          <w:szCs w:val="24"/>
          <w:highlight w:val="none"/>
          <w:lang w:eastAsia="zh-CN"/>
        </w:rPr>
        <w:t>排水管</w:t>
      </w:r>
      <w:r>
        <w:rPr>
          <w:rFonts w:hint="eastAsia" w:ascii="宋体" w:hAnsi="宋体" w:eastAsia="宋体" w:cs="宋体"/>
          <w:color w:val="auto"/>
          <w:sz w:val="24"/>
          <w:szCs w:val="24"/>
          <w:highlight w:val="none"/>
        </w:rPr>
        <w:t>道 70.00 米:③村委会屋顶雨棚 196.00m*;9村委会院内人字形雨棚 60.00 m*;10)村委会院内绿化围栏 195.00 米；(ID国语教室供暖系统更新1800 m。4、哈勒瓦甫村:①办公楼室内卫生间和院落卫生间及公共浴室维修改造53m*;②文化墙维护维修30.00m'③办公楼室内墙面粉刷 100.00 m';④国语教师室内墙面粉刷 240.00 m';⑤村委会院内外墙维修180.00 m'；6村委会大门上安装遮阳棚21.00 m'；7河道护栏（水泥仿木 1.2m 高） 600.00 米8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修缮、加固老化损杯的护栏600米；9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村委会供暖管道更新及地面恢复200.00米；</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修缮村委会门口停车场100.00m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葡萄架60.00米；</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滴灌菜园0.5亩。5、阔台买村：1国语教室屋顶防雨棚200.00m'；2内外墙粉刷 500.00 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村委会公共卫生间维修 25.00 m'；</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消防车兼酒水车1.00辆（容量2.5吨）；5新建储藏间（砖混结构）30.00m';</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道路铺平整修200m';</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木制垃圾桶改造小花坛10个;</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种植玫瑰（高度40cm）600棵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，项目实际内容为1、色日克村</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村委会院内环境整治；办公楼、国语教室楼面灯带875米，村委会院内铺设地砖126 m，地面硬化180 m°。种植格桑花（株30-50cm）、万寿菊（25-30林/m）、地雷花 片植）、翠菊（片植）及蔬菜苗3亩，文化大舞台前安装1.4术长木凳120个，村级公用喇叭（带扩音器）1个，篮球场围网48.m，篮球场绿化带安装护栏95米，一站式服务大厅房顶加装</w:t>
      </w:r>
      <w:r>
        <w:rPr>
          <w:rFonts w:hint="eastAsia" w:ascii="宋体" w:hAnsi="宋体" w:eastAsia="宋体" w:cs="宋体"/>
          <w:color w:val="auto"/>
          <w:sz w:val="24"/>
          <w:szCs w:val="24"/>
          <w:highlight w:val="none"/>
          <w:lang w:eastAsia="zh-CN"/>
        </w:rPr>
        <w:t>矿棉板</w:t>
      </w:r>
      <w:r>
        <w:rPr>
          <w:rFonts w:hint="eastAsia" w:ascii="宋体" w:hAnsi="宋体" w:eastAsia="宋体" w:cs="宋体"/>
          <w:color w:val="auto"/>
          <w:sz w:val="24"/>
          <w:szCs w:val="24"/>
          <w:highlight w:val="none"/>
        </w:rPr>
        <w:t>171.51m，一站式服务大厅群众服务台拆除与向外</w:t>
      </w:r>
      <w:r>
        <w:rPr>
          <w:rFonts w:hint="eastAsia" w:ascii="宋体" w:hAnsi="宋体" w:eastAsia="宋体" w:cs="宋体"/>
          <w:color w:val="auto"/>
          <w:sz w:val="24"/>
          <w:szCs w:val="24"/>
          <w:highlight w:val="none"/>
          <w:lang w:eastAsia="zh-CN"/>
        </w:rPr>
        <w:t>扩建8米；2.</w:t>
      </w:r>
      <w:r>
        <w:rPr>
          <w:rFonts w:hint="eastAsia" w:ascii="宋体" w:hAnsi="宋体" w:eastAsia="宋体" w:cs="宋体"/>
          <w:color w:val="auto"/>
          <w:sz w:val="24"/>
          <w:szCs w:val="24"/>
          <w:highlight w:val="none"/>
        </w:rPr>
        <w:t>村级基础设施维护及环境整治:1-3 小队村道路两旁种植格桑花（株距 30-50cm）、万寿菊（25-30株/m'）、地雷花（片植）12亩，购置葡萄苗（行距3m株距1.5m） 250株，安装交通标识（交通凸镜)4个，塑胶减速带 60米，养老助餐点房顶铺设灰瓦77.5 m，养老助餐点新建门头1个，公共卫生间维修包括墙体维修15 m²及玻璃更换13m’，二小队机耕桥维修与拓宽4座，主于渠清理700米，太阳能路灯维护32盏，进村主干道、村委会前主干道安装围栏(1.5米高)1670米，2小队围栏喷漆1700米，土地平整（土方量310 平方厘米），混凝土硬化 177 m'，树枝清运 600吨，壮大集体经济门面房改造包括安装铝合金双开门5个、拆除墙面21.5m'、粉刷墙面120m'及砖混台阶10米。2、</w:t>
      </w:r>
      <w:r>
        <w:rPr>
          <w:rFonts w:hint="eastAsia" w:ascii="宋体" w:hAnsi="宋体" w:eastAsia="宋体" w:cs="宋体"/>
          <w:color w:val="auto"/>
          <w:sz w:val="24"/>
          <w:szCs w:val="24"/>
          <w:highlight w:val="none"/>
          <w:lang w:eastAsia="zh-CN"/>
        </w:rPr>
        <w:t>尧</w:t>
      </w:r>
      <w:r>
        <w:rPr>
          <w:rFonts w:hint="eastAsia" w:ascii="宋体" w:hAnsi="宋体" w:eastAsia="宋体" w:cs="宋体"/>
          <w:color w:val="auto"/>
          <w:sz w:val="24"/>
          <w:szCs w:val="24"/>
          <w:highlight w:val="none"/>
        </w:rPr>
        <w:t>勒其库勒村；①办公楼除险加固及内墙粉刷；开裂墙面修补100.00m清理墙面n500.00m，墙面粉刷2000.00m：2文体活动角打造:福字亭(3mX3m)1个，草坪23.00m、绿植</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批，健身活动器材1套，宣传橱窗(3m*1.6m)6个，宣传橱窗(15m*1.45m) 1个，文化墙手绘壁画(7 m’/幅)6幅：③便民服务站改造:墙面粉刷120.00 m，新建大厅服务台及5个工位1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项(6.6m*0.8m*0.6m)；④)值班室改造：墙面粉刷100.00m，地面修整及涂漆 12.m’;⑤)村委会植被保护护栏（高50cm）550.00米；⑥村委会大门更换(3m×6m铁艺)18 m'。3、墩库孜来克村：①村委会值班室新建25.00m'，砖混结构，地上一层；②村委会大门更换(3mx6m铁艺)18.00mt；3)国语教室楼梯维修及刷漆50 m”;④更换大门雨棚 89.00 m':⑤室内外墙面粉刷 850.00 m';⑥村文体活动室维修翻新60m；⑦</w:t>
      </w:r>
      <w:r>
        <w:rPr>
          <w:rFonts w:hint="eastAsia" w:ascii="宋体" w:hAnsi="宋体" w:eastAsia="宋体" w:cs="宋体"/>
          <w:color w:val="auto"/>
          <w:sz w:val="24"/>
          <w:szCs w:val="24"/>
          <w:highlight w:val="none"/>
          <w:lang w:eastAsia="zh-CN"/>
        </w:rPr>
        <w:t>排水管</w:t>
      </w:r>
      <w:r>
        <w:rPr>
          <w:rFonts w:hint="eastAsia" w:ascii="宋体" w:hAnsi="宋体" w:eastAsia="宋体" w:cs="宋体"/>
          <w:color w:val="auto"/>
          <w:sz w:val="24"/>
          <w:szCs w:val="24"/>
          <w:highlight w:val="none"/>
        </w:rPr>
        <w:t>道 70.00 米:③村委会屋顶雨棚 196.00m*;9村委会院内人字形雨棚 60.00 m*;10)村委会院内绿化围栏 195.00 米；(ID国语教室供暖系统更新1800 m。4、哈勒瓦甫村:①办公楼室内卫生间和院落卫生间及公共浴室维修改造53m*;②文化墙维护维修30.00m'③办公楼室内墙面粉刷 100.00 m';④国语教师室内墙面粉刷 240.00 m';⑤村委会院内外墙维修180.00 m'；6村委会大门上安装遮阳棚21.00 m'；7河道护栏（水泥仿木 1.2m 高） 600.00 米8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修缮、加固老化损杯的护栏600米；9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村委会供暖管道更新及地面恢复200.00米；</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修缮村委会门口停车场100.00m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葡萄架60.00米；</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滴灌菜园0.5亩。5、阔台买村：1国语教室屋顶防雨棚200.00m'；2内外墙粉刷 500.00 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村委会公共卫生间维修 25.00 m'；</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消防车兼酒水车1.00辆（容量2.5吨）；5新建储藏间（砖混结构）30.00m';</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道路铺平整修200m';</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木制垃圾桶改造小花坛10个;</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种植玫瑰（高度40cm）600棵，预算申请与《专项资金-和地财建[2024]26号：2024年第三批自治区预算内投资-和田地区洛浦县综合发展和环境改善工程项目实施方案》中涉及的项目内容匹配；</w:t>
      </w:r>
    </w:p>
    <w:p w14:paraId="0C0D3E6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150.00</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项目总投资</w:t>
      </w:r>
      <w:r>
        <w:rPr>
          <w:rFonts w:hint="eastAsia" w:ascii="宋体" w:hAnsi="宋体" w:eastAsia="宋体" w:cs="宋体"/>
          <w:color w:val="auto"/>
          <w:sz w:val="24"/>
          <w:szCs w:val="24"/>
          <w:highlight w:val="none"/>
          <w:lang w:val="en-US" w:eastAsia="zh-CN"/>
        </w:rPr>
        <w:t>150.00万元，每村30.00万元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5EA4255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预算编制科学</w:t>
      </w:r>
      <w:r>
        <w:rPr>
          <w:rFonts w:hint="eastAsia" w:ascii="宋体" w:hAnsi="宋体" w:eastAsia="宋体" w:cs="宋体"/>
          <w:color w:val="auto"/>
          <w:sz w:val="24"/>
          <w:szCs w:val="24"/>
          <w:highlight w:val="none"/>
        </w:rPr>
        <w:t>。</w:t>
      </w:r>
    </w:p>
    <w:p w14:paraId="3D5E922C">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资金分配合理性：</w:t>
      </w:r>
      <w:r>
        <w:rPr>
          <w:rFonts w:hint="eastAsia" w:ascii="宋体" w:hAnsi="宋体" w:eastAsia="宋体" w:cs="宋体"/>
          <w:color w:val="auto"/>
          <w:sz w:val="24"/>
          <w:szCs w:val="24"/>
          <w:highlight w:val="none"/>
        </w:rPr>
        <w:t>本项目实际分配资金以《</w:t>
      </w:r>
      <w:r>
        <w:rPr>
          <w:rFonts w:hint="eastAsia" w:ascii="宋体" w:hAnsi="宋体" w:eastAsia="宋体" w:cs="宋体"/>
          <w:color w:val="auto"/>
          <w:sz w:val="24"/>
          <w:szCs w:val="24"/>
          <w:highlight w:val="none"/>
          <w:lang w:eastAsia="zh-CN"/>
        </w:rPr>
        <w:t>和田地区</w:t>
      </w:r>
      <w:r>
        <w:rPr>
          <w:rFonts w:hint="eastAsia" w:ascii="宋体" w:hAnsi="宋体" w:eastAsia="宋体" w:cs="宋体"/>
          <w:color w:val="auto"/>
          <w:sz w:val="24"/>
          <w:szCs w:val="24"/>
          <w:highlight w:val="none"/>
          <w:lang w:val="en-US" w:eastAsia="zh-CN"/>
        </w:rPr>
        <w:t>2024年洛浦县综合发展与环境改善</w:t>
      </w:r>
      <w:r>
        <w:rPr>
          <w:rFonts w:hint="eastAsia" w:ascii="宋体" w:hAnsi="宋体" w:eastAsia="宋体" w:cs="宋体"/>
          <w:color w:val="auto"/>
          <w:sz w:val="24"/>
          <w:szCs w:val="24"/>
          <w:highlight w:val="none"/>
        </w:rPr>
        <w:t>项目实施方案》为依据进行资金分配，预算资金分配依据充分。</w:t>
      </w:r>
      <w:r>
        <w:rPr>
          <w:rFonts w:hint="eastAsia" w:ascii="宋体" w:hAnsi="宋体" w:eastAsia="宋体" w:cs="宋体"/>
          <w:color w:val="auto"/>
          <w:sz w:val="24"/>
          <w:szCs w:val="24"/>
          <w:highlight w:val="none"/>
          <w:lang w:eastAsia="zh-CN"/>
        </w:rPr>
        <w:t>根据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关于下达</w:t>
      </w:r>
      <w:r>
        <w:rPr>
          <w:rFonts w:hint="eastAsia" w:ascii="宋体" w:hAnsi="宋体" w:eastAsia="宋体" w:cs="宋体"/>
          <w:color w:val="auto"/>
          <w:sz w:val="24"/>
          <w:szCs w:val="24"/>
          <w:highlight w:val="none"/>
          <w:lang w:val="en-US" w:eastAsia="zh-CN"/>
        </w:rPr>
        <w:t>2024年第三批自治区预算内投资预算的通知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（和地财建【</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26号</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487F657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资金分配合理</w:t>
      </w:r>
      <w:r>
        <w:rPr>
          <w:rFonts w:hint="eastAsia" w:ascii="宋体" w:hAnsi="宋体" w:eastAsia="宋体" w:cs="宋体"/>
          <w:color w:val="auto"/>
          <w:sz w:val="24"/>
          <w:szCs w:val="24"/>
          <w:highlight w:val="none"/>
        </w:rPr>
        <w:t>。</w:t>
      </w:r>
    </w:p>
    <w:p w14:paraId="57A40230">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7FB8926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11.93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99.62</w:t>
      </w:r>
      <w:r>
        <w:rPr>
          <w:rFonts w:hint="eastAsia" w:ascii="宋体" w:hAnsi="宋体" w:eastAsia="宋体" w:cs="宋体"/>
          <w:color w:val="auto"/>
          <w:sz w:val="24"/>
          <w:szCs w:val="24"/>
          <w:highlight w:val="none"/>
        </w:rPr>
        <w:t>%。</w:t>
      </w:r>
    </w:p>
    <w:p w14:paraId="7A60A3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150.00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150.00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150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2759F0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145.00</w:t>
      </w:r>
      <w:r>
        <w:rPr>
          <w:rFonts w:hint="eastAsia" w:ascii="宋体" w:hAnsi="宋体" w:eastAsia="宋体" w:cs="宋体"/>
          <w:color w:val="auto"/>
          <w:sz w:val="24"/>
          <w:szCs w:val="24"/>
          <w:highlight w:val="none"/>
        </w:rPr>
        <w:t>万元，预算执</w:t>
      </w:r>
      <w:r>
        <w:rPr>
          <w:rFonts w:hint="eastAsia" w:ascii="宋体" w:hAnsi="宋体" w:eastAsia="宋体" w:cs="宋体"/>
          <w:b w:val="0"/>
          <w:bCs w:val="0"/>
          <w:color w:val="auto"/>
          <w:sz w:val="24"/>
          <w:szCs w:val="24"/>
          <w:highlight w:val="none"/>
        </w:rPr>
        <w:t>行率=</w:t>
      </w:r>
      <w:r>
        <w:rPr>
          <w:rFonts w:hint="eastAsia" w:ascii="宋体" w:hAnsi="宋体" w:eastAsia="宋体" w:cs="宋体"/>
          <w:b w:val="0"/>
          <w:bCs w:val="0"/>
          <w:color w:val="auto"/>
          <w:sz w:val="24"/>
          <w:szCs w:val="24"/>
          <w:highlight w:val="none"/>
          <w:lang w:val="en-US" w:eastAsia="zh-CN"/>
        </w:rPr>
        <w:t>96.67</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预算编制较为详细，项目资金支出总体能够按照预算</w:t>
      </w:r>
      <w:r>
        <w:rPr>
          <w:rFonts w:hint="eastAsia" w:ascii="宋体" w:hAnsi="宋体" w:eastAsia="宋体" w:cs="宋体"/>
          <w:color w:val="auto"/>
          <w:sz w:val="24"/>
          <w:szCs w:val="24"/>
          <w:highlight w:val="none"/>
        </w:rPr>
        <w:t>执行，根据评分标准，该指标扣</w:t>
      </w:r>
      <w:r>
        <w:rPr>
          <w:rFonts w:hint="eastAsia" w:ascii="宋体" w:hAnsi="宋体" w:eastAsia="宋体" w:cs="宋体"/>
          <w:color w:val="auto"/>
          <w:sz w:val="24"/>
          <w:szCs w:val="24"/>
          <w:highlight w:val="none"/>
          <w:lang w:val="en-US" w:eastAsia="zh-CN"/>
        </w:rPr>
        <w:t>0.07</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1.93</w:t>
      </w:r>
      <w:r>
        <w:rPr>
          <w:rFonts w:hint="eastAsia" w:ascii="宋体" w:hAnsi="宋体" w:eastAsia="宋体" w:cs="宋体"/>
          <w:color w:val="auto"/>
          <w:sz w:val="24"/>
          <w:szCs w:val="24"/>
          <w:highlight w:val="none"/>
        </w:rPr>
        <w:t>分。</w:t>
      </w:r>
    </w:p>
    <w:p w14:paraId="6829284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A438B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eastAsia="zh-CN"/>
        </w:rPr>
        <w:t>多鲁镇</w:t>
      </w:r>
      <w:r>
        <w:rPr>
          <w:rFonts w:hint="eastAsia" w:ascii="宋体" w:hAnsi="宋体" w:eastAsia="宋体" w:cs="宋体"/>
          <w:b w:val="0"/>
          <w:color w:val="auto"/>
          <w:sz w:val="24"/>
          <w:szCs w:val="24"/>
          <w:highlight w:val="none"/>
          <w:lang w:val="en-US" w:eastAsia="zh-CN"/>
        </w:rPr>
        <w:t>人民政府</w:t>
      </w:r>
      <w:r>
        <w:rPr>
          <w:rFonts w:hint="eastAsia" w:ascii="宋体" w:hAnsi="宋体" w:eastAsia="宋体" w:cs="宋体"/>
          <w:b w:val="0"/>
          <w:bCs w:val="0"/>
          <w:color w:val="auto"/>
          <w:sz w:val="24"/>
          <w:szCs w:val="24"/>
          <w:highlight w:val="none"/>
        </w:rPr>
        <w:t>采购业务管理制度》《</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65D8A03B">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：该项目的实施符合《</w:t>
      </w:r>
      <w:r>
        <w:rPr>
          <w:rFonts w:hint="eastAsia" w:ascii="宋体" w:hAnsi="宋体" w:eastAsia="宋体" w:cs="宋体"/>
          <w:color w:val="auto"/>
          <w:sz w:val="24"/>
          <w:szCs w:val="24"/>
          <w:highlight w:val="none"/>
          <w:lang w:eastAsia="zh-CN"/>
        </w:rPr>
        <w:t>多鲁镇人民政府资金</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eastAsia="zh-CN"/>
        </w:rPr>
        <w:t>多鲁镇人民政府资金</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多鲁镇人民政府</w:t>
      </w:r>
      <w:r>
        <w:rPr>
          <w:rFonts w:hint="eastAsia" w:ascii="宋体" w:hAnsi="宋体" w:eastAsia="宋体" w:cs="宋体"/>
          <w:color w:val="auto"/>
          <w:sz w:val="24"/>
          <w:szCs w:val="24"/>
          <w:highlight w:val="none"/>
        </w:rPr>
        <w:t>合同管理制度》等相关法律法规及管理规定，项目具备完整规范的立项程序；项目采购、实施、验收等过程均按照采购管理办法和合同管理办法等相关制度执行，该项目实施过程中不存在调整事项</w:t>
      </w:r>
      <w:r>
        <w:rPr>
          <w:rFonts w:hint="eastAsia" w:ascii="宋体" w:hAnsi="宋体" w:eastAsia="宋体" w:cs="宋体"/>
          <w:color w:val="auto"/>
          <w:sz w:val="24"/>
          <w:szCs w:val="24"/>
          <w:highlight w:val="none"/>
          <w:lang w:val="en-US" w:eastAsia="zh-CN"/>
        </w:rPr>
        <w:t>；2024年12月项目结束，各类</w:t>
      </w:r>
      <w:r>
        <w:rPr>
          <w:rFonts w:hint="eastAsia" w:ascii="宋体" w:hAnsi="宋体" w:eastAsia="宋体" w:cs="宋体"/>
          <w:color w:val="auto"/>
          <w:sz w:val="24"/>
          <w:szCs w:val="24"/>
          <w:highlight w:val="none"/>
        </w:rPr>
        <w:t>会议纪要、项目资金支付审批表、</w:t>
      </w:r>
      <w:r>
        <w:rPr>
          <w:rFonts w:hint="eastAsia" w:ascii="宋体" w:hAnsi="宋体" w:eastAsia="宋体" w:cs="宋体"/>
          <w:color w:val="auto"/>
          <w:sz w:val="24"/>
          <w:szCs w:val="24"/>
          <w:highlight w:val="none"/>
          <w:lang w:eastAsia="zh-CN"/>
        </w:rPr>
        <w:t>合同、验收单、</w:t>
      </w:r>
      <w:r>
        <w:rPr>
          <w:rFonts w:hint="eastAsia" w:ascii="宋体" w:hAnsi="宋体" w:eastAsia="宋体" w:cs="宋体"/>
          <w:color w:val="auto"/>
          <w:sz w:val="24"/>
          <w:szCs w:val="24"/>
          <w:highlight w:val="none"/>
        </w:rPr>
        <w:t>记账凭证等</w:t>
      </w:r>
      <w:r>
        <w:rPr>
          <w:rFonts w:hint="eastAsia" w:ascii="宋体" w:hAnsi="宋体" w:eastAsia="宋体" w:cs="宋体"/>
          <w:color w:val="auto"/>
          <w:sz w:val="24"/>
          <w:szCs w:val="24"/>
          <w:highlight w:val="none"/>
          <w:lang w:eastAsia="zh-CN"/>
        </w:rPr>
        <w:t>财务</w:t>
      </w:r>
      <w:r>
        <w:rPr>
          <w:rFonts w:hint="eastAsia" w:ascii="宋体" w:hAnsi="宋体" w:eastAsia="宋体" w:cs="宋体"/>
          <w:color w:val="auto"/>
          <w:sz w:val="24"/>
          <w:szCs w:val="24"/>
          <w:highlight w:val="none"/>
        </w:rPr>
        <w:t>资料齐全并及时归档</w:t>
      </w:r>
      <w:r>
        <w:rPr>
          <w:rFonts w:hint="eastAsia" w:ascii="宋体" w:hAnsi="宋体" w:eastAsia="宋体" w:cs="宋体"/>
          <w:b w:val="0"/>
          <w:bCs w:val="0"/>
          <w:color w:val="auto"/>
          <w:sz w:val="24"/>
          <w:szCs w:val="24"/>
          <w:highlight w:val="none"/>
          <w:lang w:eastAsia="zh-CN"/>
        </w:rPr>
        <w:t>。</w:t>
      </w:r>
    </w:p>
    <w:p w14:paraId="60763ED3">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分。</w:t>
      </w:r>
    </w:p>
    <w:p w14:paraId="3FA4C21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51D0B0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39.67</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99.18</w:t>
      </w:r>
      <w:r>
        <w:rPr>
          <w:rFonts w:hint="eastAsia" w:ascii="宋体" w:hAnsi="宋体" w:eastAsia="宋体" w:cs="宋体"/>
          <w:color w:val="auto"/>
          <w:sz w:val="24"/>
          <w:szCs w:val="24"/>
          <w:highlight w:val="none"/>
        </w:rPr>
        <w:t>%。</w:t>
      </w:r>
    </w:p>
    <w:p w14:paraId="64B3E82E">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CA5D27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基础设施建设村数量指标，预期指标值为</w:t>
      </w:r>
      <w:r>
        <w:rPr>
          <w:rFonts w:hint="eastAsia" w:ascii="宋体" w:hAnsi="宋体" w:eastAsia="宋体" w:cs="宋体"/>
          <w:color w:val="auto"/>
          <w:sz w:val="24"/>
          <w:szCs w:val="24"/>
          <w:highlight w:val="none"/>
          <w:lang w:val="en-US" w:eastAsia="zh-CN"/>
        </w:rPr>
        <w:t>=5个村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5个村</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172F2985">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7A08C91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工程验收合格率指标，预期指标值为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0B7BE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CF312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合计得分10分。</w:t>
      </w:r>
    </w:p>
    <w:p w14:paraId="77C5780A">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721DA68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资金支付及时率指标，预期指标值为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，与预期目标一致，根据评分标准，该指标不扣分，得</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p>
    <w:p w14:paraId="5642751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项目完成时间指标，预期指标值为</w:t>
      </w:r>
      <w:r>
        <w:rPr>
          <w:rFonts w:hint="eastAsia" w:ascii="宋体" w:hAnsi="宋体" w:eastAsia="宋体" w:cs="宋体"/>
          <w:b w:val="0"/>
          <w:bCs w:val="0"/>
          <w:color w:val="auto"/>
          <w:sz w:val="24"/>
          <w:szCs w:val="24"/>
          <w:highlight w:val="none"/>
          <w:lang w:val="en-US" w:eastAsia="zh-CN"/>
        </w:rPr>
        <w:t>2024年12月</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2025年12月</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，与预期目标</w:t>
      </w:r>
      <w:r>
        <w:rPr>
          <w:rFonts w:hint="eastAsia" w:ascii="宋体" w:hAnsi="宋体" w:eastAsia="宋体" w:cs="宋体"/>
          <w:b w:val="0"/>
          <w:bCs w:val="0"/>
          <w:color w:val="auto"/>
          <w:sz w:val="24"/>
          <w:szCs w:val="24"/>
          <w:highlight w:val="none"/>
          <w:lang w:eastAsia="zh-CN"/>
        </w:rPr>
        <w:t>不</w:t>
      </w:r>
      <w:r>
        <w:rPr>
          <w:rFonts w:hint="eastAsia" w:ascii="宋体" w:hAnsi="宋体" w:eastAsia="宋体" w:cs="宋体"/>
          <w:b w:val="0"/>
          <w:bCs w:val="0"/>
          <w:color w:val="auto"/>
          <w:sz w:val="24"/>
          <w:szCs w:val="24"/>
          <w:highlight w:val="none"/>
        </w:rPr>
        <w:t>一致，根据评分标准，该指标</w:t>
      </w:r>
      <w:r>
        <w:rPr>
          <w:rFonts w:hint="eastAsia" w:ascii="宋体" w:hAnsi="宋体" w:eastAsia="宋体" w:cs="宋体"/>
          <w:b w:val="0"/>
          <w:bCs w:val="0"/>
          <w:color w:val="auto"/>
          <w:sz w:val="24"/>
          <w:szCs w:val="24"/>
          <w:highlight w:val="none"/>
          <w:lang w:eastAsia="zh-CN"/>
        </w:rPr>
        <w:t>得</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w:t>
      </w:r>
    </w:p>
    <w:p w14:paraId="2100019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合计得</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分。</w:t>
      </w:r>
    </w:p>
    <w:p w14:paraId="0B0ECD9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23D62F8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每个村平均建设经费指标，预期指标值为≥30.00万元，实际完成值为</w:t>
      </w:r>
      <w:r>
        <w:rPr>
          <w:rFonts w:hint="eastAsia" w:ascii="宋体" w:hAnsi="宋体" w:eastAsia="宋体" w:cs="宋体"/>
          <w:color w:val="auto"/>
          <w:sz w:val="24"/>
          <w:szCs w:val="24"/>
          <w:highlight w:val="none"/>
          <w:lang w:val="en-US" w:eastAsia="zh-CN"/>
        </w:rPr>
        <w:t>29.00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96.67%，</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万元，项目经费都能控制绩效目标范围内，根据评分标准，该指标扣</w:t>
      </w:r>
      <w:r>
        <w:rPr>
          <w:rFonts w:hint="eastAsia" w:ascii="宋体" w:hAnsi="宋体" w:eastAsia="宋体" w:cs="宋体"/>
          <w:color w:val="auto"/>
          <w:sz w:val="24"/>
          <w:szCs w:val="24"/>
          <w:highlight w:val="none"/>
          <w:lang w:val="en-US" w:eastAsia="zh-CN"/>
        </w:rPr>
        <w:t>0.33</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9.67</w:t>
      </w:r>
      <w:r>
        <w:rPr>
          <w:rFonts w:hint="eastAsia" w:ascii="宋体" w:hAnsi="宋体" w:eastAsia="宋体" w:cs="宋体"/>
          <w:color w:val="auto"/>
          <w:sz w:val="24"/>
          <w:szCs w:val="24"/>
          <w:highlight w:val="none"/>
        </w:rPr>
        <w:t>分。</w:t>
      </w:r>
    </w:p>
    <w:p w14:paraId="7D9E21AF">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7C331A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230EF9F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400AAB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促进基层民生改善指标，该指标预期指标值为</w:t>
      </w:r>
      <w:r>
        <w:rPr>
          <w:rFonts w:hint="eastAsia" w:ascii="宋体" w:hAnsi="宋体" w:eastAsia="宋体" w:cs="宋体"/>
          <w:color w:val="auto"/>
          <w:sz w:val="24"/>
          <w:szCs w:val="24"/>
          <w:highlight w:val="none"/>
          <w:lang w:val="en-US" w:eastAsia="zh-CN"/>
        </w:rPr>
        <w:t>效果显著</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效果显著</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28D68D9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（2）对于“经济效益指标”：</w:t>
      </w:r>
    </w:p>
    <w:p w14:paraId="4CF25A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3D210CB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（3）对于“生态效益指标”：</w:t>
      </w:r>
    </w:p>
    <w:p w14:paraId="167DDA5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该项目不涉及生态</w:t>
      </w:r>
      <w:r>
        <w:rPr>
          <w:rFonts w:hint="eastAsia" w:ascii="宋体" w:hAnsi="宋体" w:eastAsia="宋体" w:cs="宋体"/>
          <w:b w:val="0"/>
          <w:bCs w:val="0"/>
          <w:color w:val="auto"/>
          <w:sz w:val="24"/>
          <w:szCs w:val="24"/>
          <w:highlight w:val="none"/>
        </w:rPr>
        <w:t>效益指标</w:t>
      </w:r>
      <w:r>
        <w:rPr>
          <w:rFonts w:hint="eastAsia" w:ascii="宋体" w:hAnsi="宋体" w:eastAsia="宋体" w:cs="宋体"/>
          <w:b w:val="0"/>
          <w:bCs w:val="0"/>
          <w:color w:val="auto"/>
          <w:sz w:val="24"/>
          <w:szCs w:val="24"/>
          <w:highlight w:val="none"/>
          <w:lang w:val="en-US" w:eastAsia="zh-CN"/>
        </w:rPr>
        <w:t>。</w:t>
      </w:r>
    </w:p>
    <w:p w14:paraId="1C1B346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2F00A7D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对于“受益群众满意度指标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该指标预期指标值为</w:t>
      </w:r>
      <w:r>
        <w:rPr>
          <w:rFonts w:hint="eastAsia" w:ascii="宋体" w:hAnsi="宋体" w:eastAsia="宋体" w:cs="宋体"/>
          <w:color w:val="auto"/>
          <w:sz w:val="24"/>
          <w:szCs w:val="24"/>
          <w:highlight w:val="none"/>
          <w:lang w:val="en-US" w:eastAsia="zh-CN"/>
        </w:rPr>
        <w:t>≥95.00%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bookmarkEnd w:id="13"/>
    </w:p>
    <w:p w14:paraId="708F618D">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1B222BF5">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五、预算执行进度与绩效指标偏差情况</w:t>
      </w:r>
    </w:p>
    <w:p w14:paraId="1E36CBD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145</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96.66</w:t>
      </w:r>
      <w:r>
        <w:rPr>
          <w:rFonts w:hint="eastAsia" w:ascii="宋体" w:hAnsi="宋体" w:eastAsia="宋体" w:cs="宋体"/>
          <w:color w:val="auto"/>
          <w:sz w:val="24"/>
          <w:szCs w:val="24"/>
          <w:highlight w:val="none"/>
        </w:rPr>
        <w:t>%。</w:t>
      </w:r>
    </w:p>
    <w:p w14:paraId="3577D1F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96.66</w:t>
      </w:r>
      <w:r>
        <w:rPr>
          <w:rFonts w:hint="eastAsia" w:ascii="宋体" w:hAnsi="宋体" w:eastAsia="宋体" w:cs="宋体"/>
          <w:color w:val="auto"/>
          <w:sz w:val="24"/>
          <w:szCs w:val="24"/>
          <w:highlight w:val="none"/>
        </w:rPr>
        <w:t>%。</w:t>
      </w:r>
    </w:p>
    <w:p w14:paraId="1F13356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p>
    <w:p w14:paraId="1A9D1CA7">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4" w:name="_Toc68364673"/>
      <w:r>
        <w:rPr>
          <w:rFonts w:hint="eastAsia" w:ascii="黑体" w:hAnsi="黑体" w:eastAsia="黑体" w:cs="黑体"/>
          <w:color w:val="auto"/>
          <w:sz w:val="24"/>
          <w:szCs w:val="24"/>
          <w:highlight w:val="none"/>
        </w:rPr>
        <w:t>六、主要经验及做法、存在的问题及原因分析</w:t>
      </w:r>
    </w:p>
    <w:p w14:paraId="3DE992A5">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（一）主要经验及做法</w:t>
      </w:r>
      <w:bookmarkEnd w:id="14"/>
    </w:p>
    <w:p w14:paraId="3DFEF20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15" w:name="_Toc68364674"/>
      <w:r>
        <w:rPr>
          <w:rFonts w:hint="eastAsia" w:ascii="宋体" w:hAnsi="宋体" w:eastAsia="宋体" w:cs="宋体"/>
          <w:b w:val="0"/>
          <w:bCs w:val="0"/>
          <w:color w:val="auto"/>
          <w:sz w:val="24"/>
          <w:szCs w:val="24"/>
          <w:highlight w:val="none"/>
        </w:rPr>
        <w:t>我单位以本次绩效评价为契机，建立健全预算项目管理制度，合理设置内部管理机构和岗位，明确职责权限，明确业务个环节流程、时间要求、审批权限等，领导分工明确，事事有人管，件件有人抓，明确单位内部各个业务归口管理责任，加强对政府采购业务预算与计划管理，建立预算编制，提升编制预算的计划性、科学性和规范性，强化预算绩效意识。</w:t>
      </w:r>
    </w:p>
    <w:p w14:paraId="5F21A0D5">
      <w:pPr>
        <w:pStyle w:val="48"/>
        <w:pageBreakBefore w:val="0"/>
        <w:widowControl w:val="0"/>
        <w:numPr>
          <w:ilvl w:val="0"/>
          <w:numId w:val="7"/>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存在问题及原因分析</w:t>
      </w:r>
      <w:bookmarkEnd w:id="15"/>
    </w:p>
    <w:p w14:paraId="7A3C06D6">
      <w:pPr>
        <w:pStyle w:val="45"/>
        <w:pageBreakBefore w:val="0"/>
        <w:widowControl w:val="0"/>
        <w:numPr>
          <w:ilvl w:val="0"/>
          <w:numId w:val="8"/>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由于对项目管理的措施不到位，导致截止</w:t>
      </w:r>
      <w:r>
        <w:rPr>
          <w:rFonts w:hint="eastAsia" w:ascii="宋体" w:hAnsi="宋体" w:eastAsia="宋体" w:cs="宋体"/>
          <w:color w:val="auto"/>
          <w:sz w:val="24"/>
          <w:szCs w:val="24"/>
          <w:highlight w:val="none"/>
          <w:lang w:val="en-US" w:eastAsia="zh-CN"/>
        </w:rPr>
        <w:t>2024年底未能完成全部工程的项目验收工作。</w:t>
      </w:r>
    </w:p>
    <w:p w14:paraId="650815BD">
      <w:pPr>
        <w:pStyle w:val="45"/>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p>
    <w:p w14:paraId="5AAEE35C">
      <w:pPr>
        <w:pStyle w:val="45"/>
        <w:pageBreakBefore w:val="0"/>
        <w:widowControl w:val="0"/>
        <w:numPr>
          <w:ilvl w:val="0"/>
          <w:numId w:val="9"/>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b/>
          <w:bCs/>
          <w:color w:val="auto"/>
          <w:sz w:val="24"/>
          <w:szCs w:val="24"/>
          <w:highlight w:val="none"/>
        </w:rPr>
      </w:pPr>
      <w:bookmarkStart w:id="16" w:name="_Toc68364675"/>
      <w:r>
        <w:rPr>
          <w:rFonts w:hint="eastAsia" w:ascii="黑体" w:hAnsi="黑体" w:eastAsia="黑体" w:cs="黑体"/>
          <w:b/>
          <w:bCs/>
          <w:color w:val="auto"/>
          <w:sz w:val="24"/>
          <w:szCs w:val="24"/>
          <w:highlight w:val="none"/>
        </w:rPr>
        <w:t>有关建议</w:t>
      </w:r>
      <w:bookmarkEnd w:id="16"/>
      <w:bookmarkStart w:id="17" w:name="_Toc68364676"/>
    </w:p>
    <w:p w14:paraId="153C1AD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一是加强财务管理，严格财务审核。加强单位财务管理，健全单位财务管理制度体系，规范单位财务行为。在费用报账支付时，按照预算规定的费用项目和用途进行资金使用审核、财务严格核算，杜绝超支现象的发生。二是合理安排会计岗位，适当增加会计人员，增加业务知识培训，加强决算工作与账务处理工作衔接。三是对相关人员加强培训，特别是针对《中华人民共和国预算法》、《行政事业单位会计制度》等学习培训，规范部门预算收支核算，切实提高部门预算收支管理水平。</w:t>
      </w:r>
    </w:p>
    <w:p w14:paraId="63AA8322">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45CCA7B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八、其他需要说明的问题</w:t>
      </w:r>
      <w:bookmarkEnd w:id="17"/>
    </w:p>
    <w:p w14:paraId="25252AB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6106A5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26A21163">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附件1：专项资金-和地财建[2024]26号：2024年第三批自治区预算内投资-和田地区洛浦县综合发展和环境改善工程项目项目绩效评价指标体系</w:t>
      </w:r>
    </w:p>
    <w:p w14:paraId="40C54DDA">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附件2：专项资金-和地财建[2024]26号：2024年第三批自治区预算内投资-和田地区洛浦县综合发展和环境改善工程项目项目综合得分表</w:t>
      </w:r>
    </w:p>
    <w:p w14:paraId="687B94B6">
      <w:pPr>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附件3：满意度调查问分析情况</w:t>
      </w:r>
    </w:p>
    <w:p w14:paraId="49D41E0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p>
    <w:p w14:paraId="44F4F2CB">
      <w:pPr>
        <w:pStyle w:val="10"/>
        <w:ind w:left="0" w:leftChars="0" w:firstLine="0" w:firstLineChars="0"/>
        <w:jc w:val="both"/>
        <w:rPr>
          <w:rFonts w:hint="eastAsia" w:ascii="宋体" w:hAnsi="宋体" w:eastAsia="宋体" w:cs="宋体"/>
          <w:color w:val="auto"/>
          <w:sz w:val="24"/>
          <w:szCs w:val="24"/>
          <w:highlight w:val="none"/>
        </w:rPr>
      </w:pPr>
    </w:p>
    <w:p w14:paraId="4551F513">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2"/>
        <w:gridCol w:w="703"/>
        <w:gridCol w:w="673"/>
        <w:gridCol w:w="802"/>
        <w:gridCol w:w="874"/>
        <w:gridCol w:w="721"/>
        <w:gridCol w:w="1785"/>
        <w:gridCol w:w="639"/>
        <w:gridCol w:w="4542"/>
        <w:gridCol w:w="935"/>
        <w:gridCol w:w="884"/>
      </w:tblGrid>
      <w:tr w14:paraId="46CCA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728DB1E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附件1：</w:t>
            </w:r>
          </w:p>
        </w:tc>
      </w:tr>
      <w:tr w14:paraId="57F9D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5000" w:type="pct"/>
            <w:gridSpan w:val="11"/>
            <w:tcBorders>
              <w:top w:val="nil"/>
              <w:left w:val="nil"/>
              <w:bottom w:val="nil"/>
              <w:right w:val="nil"/>
            </w:tcBorders>
            <w:noWrap w:val="0"/>
            <w:vAlign w:val="center"/>
          </w:tcPr>
          <w:p w14:paraId="2BBFDC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24"/>
                <w:szCs w:val="24"/>
                <w:u w:val="none"/>
                <w:lang w:val="en-US" w:eastAsia="zh-CN"/>
              </w:rPr>
            </w:pPr>
            <w:r>
              <w:rPr>
                <w:rFonts w:hint="eastAsia" w:ascii="宋体" w:hAnsi="宋体" w:eastAsia="宋体" w:cs="宋体"/>
                <w:b/>
                <w:bCs/>
                <w:i w:val="0"/>
                <w:iCs w:val="0"/>
                <w:color w:val="000000"/>
                <w:kern w:val="0"/>
                <w:sz w:val="24"/>
                <w:szCs w:val="24"/>
                <w:u w:val="none"/>
                <w:lang w:val="en-US" w:eastAsia="zh-CN"/>
              </w:rPr>
              <w:t>专项资金-和地财建[2024]26号：2024年第三批自治区预算内投资-和田地区洛浦县综合发展和环境改善工程项目</w:t>
            </w:r>
          </w:p>
          <w:p w14:paraId="57A4F1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绩效评价指标体系综合评分表</w:t>
            </w:r>
          </w:p>
        </w:tc>
      </w:tr>
      <w:tr w14:paraId="3FD12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0" w:type="pct"/>
            <w:tcBorders>
              <w:top w:val="single" w:color="auto" w:sz="8" w:space="0"/>
              <w:left w:val="single" w:color="auto" w:sz="8" w:space="0"/>
              <w:bottom w:val="single" w:color="auto" w:sz="8" w:space="0"/>
              <w:right w:val="single" w:color="auto" w:sz="8" w:space="0"/>
            </w:tcBorders>
            <w:noWrap w:val="0"/>
            <w:vAlign w:val="center"/>
          </w:tcPr>
          <w:p w14:paraId="6A869A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一级指标</w:t>
            </w:r>
          </w:p>
        </w:tc>
        <w:tc>
          <w:tcPr>
            <w:tcW w:w="263" w:type="pct"/>
            <w:tcBorders>
              <w:top w:val="single" w:color="auto" w:sz="8" w:space="0"/>
              <w:left w:val="nil"/>
              <w:bottom w:val="single" w:color="auto" w:sz="8" w:space="0"/>
              <w:right w:val="single" w:color="auto" w:sz="8" w:space="0"/>
            </w:tcBorders>
            <w:noWrap w:val="0"/>
            <w:vAlign w:val="center"/>
          </w:tcPr>
          <w:p w14:paraId="049993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252" w:type="pct"/>
            <w:tcBorders>
              <w:top w:val="single" w:color="auto" w:sz="8" w:space="0"/>
              <w:left w:val="nil"/>
              <w:bottom w:val="single" w:color="auto" w:sz="8" w:space="0"/>
              <w:right w:val="single" w:color="auto" w:sz="8" w:space="0"/>
            </w:tcBorders>
            <w:noWrap w:val="0"/>
            <w:vAlign w:val="center"/>
          </w:tcPr>
          <w:p w14:paraId="3AC432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二级指标</w:t>
            </w:r>
          </w:p>
        </w:tc>
        <w:tc>
          <w:tcPr>
            <w:tcW w:w="300" w:type="pct"/>
            <w:tcBorders>
              <w:top w:val="single" w:color="auto" w:sz="8" w:space="0"/>
              <w:left w:val="nil"/>
              <w:bottom w:val="single" w:color="auto" w:sz="8" w:space="0"/>
              <w:right w:val="single" w:color="auto" w:sz="8" w:space="0"/>
            </w:tcBorders>
            <w:noWrap w:val="0"/>
            <w:vAlign w:val="center"/>
          </w:tcPr>
          <w:p w14:paraId="1EED42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327" w:type="pct"/>
            <w:tcBorders>
              <w:top w:val="single" w:color="auto" w:sz="8" w:space="0"/>
              <w:left w:val="nil"/>
              <w:bottom w:val="single" w:color="auto" w:sz="8" w:space="0"/>
              <w:right w:val="single" w:color="auto" w:sz="8" w:space="0"/>
            </w:tcBorders>
            <w:noWrap w:val="0"/>
            <w:vAlign w:val="center"/>
          </w:tcPr>
          <w:p w14:paraId="40EF5C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三级指标</w:t>
            </w:r>
          </w:p>
        </w:tc>
        <w:tc>
          <w:tcPr>
            <w:tcW w:w="270" w:type="pct"/>
            <w:tcBorders>
              <w:top w:val="single" w:color="auto" w:sz="8" w:space="0"/>
              <w:left w:val="nil"/>
              <w:bottom w:val="single" w:color="auto" w:sz="8" w:space="0"/>
              <w:right w:val="single" w:color="auto" w:sz="8" w:space="0"/>
            </w:tcBorders>
            <w:noWrap w:val="0"/>
            <w:vAlign w:val="center"/>
          </w:tcPr>
          <w:p w14:paraId="146F2C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668" w:type="pct"/>
            <w:tcBorders>
              <w:top w:val="single" w:color="auto" w:sz="8" w:space="0"/>
              <w:left w:val="nil"/>
              <w:bottom w:val="single" w:color="auto" w:sz="8" w:space="0"/>
              <w:right w:val="single" w:color="auto" w:sz="8" w:space="0"/>
            </w:tcBorders>
            <w:noWrap w:val="0"/>
            <w:vAlign w:val="center"/>
          </w:tcPr>
          <w:p w14:paraId="2DB5DB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指标解释</w:t>
            </w:r>
          </w:p>
        </w:tc>
        <w:tc>
          <w:tcPr>
            <w:tcW w:w="239" w:type="pct"/>
            <w:tcBorders>
              <w:top w:val="single" w:color="auto" w:sz="8" w:space="0"/>
              <w:left w:val="nil"/>
              <w:bottom w:val="single" w:color="auto" w:sz="8" w:space="0"/>
              <w:right w:val="single" w:color="auto" w:sz="8" w:space="0"/>
            </w:tcBorders>
            <w:noWrap w:val="0"/>
            <w:vAlign w:val="center"/>
          </w:tcPr>
          <w:p w14:paraId="33CA20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标杆值</w:t>
            </w:r>
          </w:p>
        </w:tc>
        <w:tc>
          <w:tcPr>
            <w:tcW w:w="1700" w:type="pct"/>
            <w:tcBorders>
              <w:top w:val="single" w:color="auto" w:sz="8" w:space="0"/>
              <w:left w:val="nil"/>
              <w:bottom w:val="single" w:color="auto" w:sz="8" w:space="0"/>
              <w:right w:val="single" w:color="auto" w:sz="8" w:space="0"/>
            </w:tcBorders>
            <w:noWrap w:val="0"/>
            <w:vAlign w:val="center"/>
          </w:tcPr>
          <w:p w14:paraId="35A950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评分标准</w:t>
            </w:r>
          </w:p>
        </w:tc>
        <w:tc>
          <w:tcPr>
            <w:tcW w:w="350" w:type="pct"/>
            <w:tcBorders>
              <w:top w:val="single" w:color="auto" w:sz="8" w:space="0"/>
              <w:left w:val="nil"/>
              <w:bottom w:val="single" w:color="auto" w:sz="8" w:space="0"/>
              <w:right w:val="single" w:color="auto" w:sz="8" w:space="0"/>
            </w:tcBorders>
            <w:noWrap w:val="0"/>
            <w:vAlign w:val="center"/>
          </w:tcPr>
          <w:p w14:paraId="22BE4B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完成值</w:t>
            </w:r>
          </w:p>
        </w:tc>
        <w:tc>
          <w:tcPr>
            <w:tcW w:w="324" w:type="pct"/>
            <w:tcBorders>
              <w:top w:val="single" w:color="auto" w:sz="8" w:space="0"/>
              <w:left w:val="nil"/>
              <w:bottom w:val="single" w:color="auto" w:sz="8" w:space="0"/>
              <w:right w:val="single" w:color="auto" w:sz="8" w:space="0"/>
            </w:tcBorders>
            <w:noWrap w:val="0"/>
            <w:vAlign w:val="center"/>
          </w:tcPr>
          <w:p w14:paraId="62807C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r>
      <w:tr w14:paraId="17968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6" w:hRule="atLeast"/>
        </w:trPr>
        <w:tc>
          <w:tcPr>
            <w:tcW w:w="300" w:type="pct"/>
            <w:vMerge w:val="restart"/>
            <w:tcBorders>
              <w:top w:val="nil"/>
              <w:left w:val="single" w:color="auto" w:sz="8" w:space="0"/>
              <w:bottom w:val="single" w:color="auto" w:sz="8" w:space="0"/>
              <w:right w:val="single" w:color="auto" w:sz="8" w:space="0"/>
            </w:tcBorders>
            <w:noWrap w:val="0"/>
            <w:vAlign w:val="center"/>
          </w:tcPr>
          <w:p w14:paraId="661235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项目决策</w:t>
            </w:r>
          </w:p>
        </w:tc>
        <w:tc>
          <w:tcPr>
            <w:tcW w:w="263" w:type="pct"/>
            <w:vMerge w:val="restart"/>
            <w:tcBorders>
              <w:top w:val="nil"/>
              <w:left w:val="nil"/>
              <w:bottom w:val="single" w:color="auto" w:sz="8" w:space="0"/>
              <w:right w:val="single" w:color="auto" w:sz="8" w:space="0"/>
            </w:tcBorders>
            <w:noWrap w:val="0"/>
            <w:vAlign w:val="center"/>
          </w:tcPr>
          <w:p w14:paraId="35FAE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23</w:t>
            </w:r>
          </w:p>
        </w:tc>
        <w:tc>
          <w:tcPr>
            <w:tcW w:w="252" w:type="pct"/>
            <w:vMerge w:val="restart"/>
            <w:tcBorders>
              <w:top w:val="nil"/>
              <w:left w:val="nil"/>
              <w:bottom w:val="single" w:color="auto" w:sz="8" w:space="0"/>
              <w:right w:val="single" w:color="auto" w:sz="8" w:space="0"/>
            </w:tcBorders>
            <w:noWrap w:val="0"/>
            <w:vAlign w:val="center"/>
          </w:tcPr>
          <w:p w14:paraId="1D2F24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w:t>
            </w:r>
          </w:p>
        </w:tc>
        <w:tc>
          <w:tcPr>
            <w:tcW w:w="300" w:type="pct"/>
            <w:vMerge w:val="restart"/>
            <w:tcBorders>
              <w:top w:val="nil"/>
              <w:left w:val="nil"/>
              <w:bottom w:val="single" w:color="auto" w:sz="8" w:space="0"/>
              <w:right w:val="single" w:color="auto" w:sz="8" w:space="0"/>
            </w:tcBorders>
            <w:noWrap w:val="0"/>
            <w:vAlign w:val="center"/>
          </w:tcPr>
          <w:p w14:paraId="21FF6D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327" w:type="pct"/>
            <w:tcBorders>
              <w:top w:val="nil"/>
              <w:left w:val="nil"/>
              <w:bottom w:val="single" w:color="auto" w:sz="8" w:space="0"/>
              <w:right w:val="single" w:color="auto" w:sz="8" w:space="0"/>
            </w:tcBorders>
            <w:noWrap w:val="0"/>
            <w:vAlign w:val="center"/>
          </w:tcPr>
          <w:p w14:paraId="2BFDCA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立项依据充分性</w:t>
            </w:r>
          </w:p>
        </w:tc>
        <w:tc>
          <w:tcPr>
            <w:tcW w:w="270" w:type="pct"/>
            <w:tcBorders>
              <w:top w:val="nil"/>
              <w:left w:val="nil"/>
              <w:bottom w:val="single" w:color="auto" w:sz="8" w:space="0"/>
              <w:right w:val="single" w:color="auto" w:sz="8" w:space="0"/>
            </w:tcBorders>
            <w:noWrap w:val="0"/>
            <w:vAlign w:val="center"/>
          </w:tcPr>
          <w:p w14:paraId="7DA074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668" w:type="pct"/>
            <w:tcBorders>
              <w:top w:val="nil"/>
              <w:left w:val="nil"/>
              <w:bottom w:val="single" w:color="auto" w:sz="8" w:space="0"/>
              <w:right w:val="single" w:color="auto" w:sz="8" w:space="0"/>
            </w:tcBorders>
            <w:noWrap w:val="0"/>
            <w:vAlign w:val="center"/>
          </w:tcPr>
          <w:p w14:paraId="7CAB11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项目立项是否符合法律法规、相关政策、发展规划以及部门职责，用以反映和考核项目立项依据情况。</w:t>
            </w:r>
          </w:p>
        </w:tc>
        <w:tc>
          <w:tcPr>
            <w:tcW w:w="239" w:type="pct"/>
            <w:tcBorders>
              <w:top w:val="nil"/>
              <w:left w:val="nil"/>
              <w:bottom w:val="single" w:color="auto" w:sz="8" w:space="0"/>
              <w:right w:val="single" w:color="auto" w:sz="8" w:space="0"/>
            </w:tcBorders>
            <w:noWrap w:val="0"/>
            <w:vAlign w:val="center"/>
          </w:tcPr>
          <w:p w14:paraId="25914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1700" w:type="pct"/>
            <w:tcBorders>
              <w:top w:val="nil"/>
              <w:left w:val="nil"/>
              <w:bottom w:val="single" w:color="auto" w:sz="8" w:space="0"/>
              <w:right w:val="single" w:color="auto" w:sz="8" w:space="0"/>
            </w:tcBorders>
            <w:noWrap w:val="0"/>
            <w:vAlign w:val="center"/>
          </w:tcPr>
          <w:p w14:paraId="62C063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①项目立项是否符合国家法律法规、国民经济发展规划和相关政策；</w:t>
            </w:r>
          </w:p>
          <w:p w14:paraId="005F7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②项目立项是否符合行业发展规划和政策要求；</w:t>
            </w:r>
          </w:p>
          <w:p w14:paraId="5255AF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③项目立项是否与部门职责范围相符，</w:t>
            </w:r>
            <w:bookmarkStart w:id="18" w:name="_GoBack"/>
            <w:bookmarkEnd w:id="18"/>
            <w:r>
              <w:rPr>
                <w:rFonts w:hint="eastAsia" w:ascii="宋体" w:hAnsi="宋体" w:eastAsia="宋体" w:cs="宋体"/>
                <w:i w:val="0"/>
                <w:iCs w:val="0"/>
                <w:color w:val="000000"/>
                <w:kern w:val="0"/>
                <w:sz w:val="24"/>
                <w:szCs w:val="24"/>
                <w:u w:val="none"/>
                <w:lang w:val="en-US" w:eastAsia="zh-CN"/>
              </w:rPr>
              <w:t>属于部门履职所需；</w:t>
            </w:r>
          </w:p>
          <w:p w14:paraId="06A5A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④项目是否属于公共财政支持范围，是否符合中央、地方事权支出责任划分原则；</w:t>
            </w:r>
          </w:p>
          <w:p w14:paraId="710011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⑤项目是否与相关部门同类项目或部门内部相关项目重复。</w:t>
            </w:r>
          </w:p>
          <w:p w14:paraId="3CCAA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以上每条要素占权重分的20%，每有一条不符合，扣除对应权重分，扣完为止。</w:t>
            </w:r>
          </w:p>
        </w:tc>
        <w:tc>
          <w:tcPr>
            <w:tcW w:w="350" w:type="pct"/>
            <w:tcBorders>
              <w:top w:val="nil"/>
              <w:left w:val="nil"/>
              <w:bottom w:val="single" w:color="auto" w:sz="8" w:space="0"/>
              <w:right w:val="single" w:color="auto" w:sz="8" w:space="0"/>
            </w:tcBorders>
            <w:noWrap w:val="0"/>
            <w:vAlign w:val="center"/>
          </w:tcPr>
          <w:p w14:paraId="2EA3FE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324" w:type="pct"/>
            <w:tcBorders>
              <w:top w:val="nil"/>
              <w:left w:val="nil"/>
              <w:bottom w:val="single" w:color="auto" w:sz="8" w:space="0"/>
              <w:right w:val="single" w:color="auto" w:sz="8" w:space="0"/>
            </w:tcBorders>
            <w:noWrap w:val="0"/>
            <w:vAlign w:val="center"/>
          </w:tcPr>
          <w:p w14:paraId="31E54B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r>
      <w:tr w14:paraId="1926F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1F8DF9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3A5E73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3CC41C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456CEF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167731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立项程序规范性</w:t>
            </w:r>
          </w:p>
        </w:tc>
        <w:tc>
          <w:tcPr>
            <w:tcW w:w="270" w:type="pct"/>
            <w:tcBorders>
              <w:top w:val="nil"/>
              <w:left w:val="nil"/>
              <w:bottom w:val="single" w:color="auto" w:sz="8" w:space="0"/>
              <w:right w:val="single" w:color="auto" w:sz="8" w:space="0"/>
            </w:tcBorders>
            <w:noWrap w:val="0"/>
            <w:vAlign w:val="center"/>
          </w:tcPr>
          <w:p w14:paraId="4D5B43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668" w:type="pct"/>
            <w:tcBorders>
              <w:top w:val="nil"/>
              <w:left w:val="nil"/>
              <w:bottom w:val="single" w:color="auto" w:sz="8" w:space="0"/>
              <w:right w:val="single" w:color="auto" w:sz="8" w:space="0"/>
            </w:tcBorders>
            <w:noWrap w:val="0"/>
            <w:vAlign w:val="center"/>
          </w:tcPr>
          <w:p w14:paraId="36AA5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项目申请、设立过程是否符合相关要求，用以反映和考核项目立项的规范情况。</w:t>
            </w:r>
          </w:p>
        </w:tc>
        <w:tc>
          <w:tcPr>
            <w:tcW w:w="239" w:type="pct"/>
            <w:tcBorders>
              <w:top w:val="nil"/>
              <w:left w:val="nil"/>
              <w:bottom w:val="single" w:color="auto" w:sz="8" w:space="0"/>
              <w:right w:val="single" w:color="auto" w:sz="8" w:space="0"/>
            </w:tcBorders>
            <w:noWrap w:val="0"/>
            <w:vAlign w:val="center"/>
          </w:tcPr>
          <w:p w14:paraId="53585D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1700" w:type="pct"/>
            <w:tcBorders>
              <w:top w:val="nil"/>
              <w:left w:val="nil"/>
              <w:bottom w:val="single" w:color="auto" w:sz="8" w:space="0"/>
              <w:right w:val="single" w:color="auto" w:sz="8" w:space="0"/>
            </w:tcBorders>
            <w:noWrap w:val="0"/>
            <w:vAlign w:val="center"/>
          </w:tcPr>
          <w:p w14:paraId="47E483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①项目是否按照规定的程序申请设立；</w:t>
            </w:r>
          </w:p>
          <w:p w14:paraId="0E6422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②审批文件、材料是否符合相关要求；</w:t>
            </w:r>
          </w:p>
          <w:p w14:paraId="75BB20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③事前是否已经过必要的可行性研究、专家论证、风险评估、绩效评估、集体决策。</w:t>
            </w:r>
          </w:p>
          <w:p w14:paraId="0912CA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①②③齐全得权重分的100%，缺①扣权重分的40%，缺②扣权重分的30%，缺③扣权重分的30%。</w:t>
            </w:r>
          </w:p>
        </w:tc>
        <w:tc>
          <w:tcPr>
            <w:tcW w:w="350" w:type="pct"/>
            <w:tcBorders>
              <w:top w:val="nil"/>
              <w:left w:val="nil"/>
              <w:bottom w:val="single" w:color="auto" w:sz="8" w:space="0"/>
              <w:right w:val="single" w:color="auto" w:sz="8" w:space="0"/>
            </w:tcBorders>
            <w:noWrap w:val="0"/>
            <w:vAlign w:val="center"/>
          </w:tcPr>
          <w:p w14:paraId="5957A7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324" w:type="pct"/>
            <w:tcBorders>
              <w:top w:val="nil"/>
              <w:left w:val="nil"/>
              <w:bottom w:val="single" w:color="auto" w:sz="8" w:space="0"/>
              <w:right w:val="single" w:color="auto" w:sz="8" w:space="0"/>
            </w:tcBorders>
            <w:noWrap w:val="0"/>
            <w:vAlign w:val="center"/>
          </w:tcPr>
          <w:p w14:paraId="36382F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68676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65F486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6B9997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restart"/>
            <w:tcBorders>
              <w:top w:val="nil"/>
              <w:left w:val="nil"/>
              <w:bottom w:val="single" w:color="auto" w:sz="8" w:space="0"/>
              <w:right w:val="single" w:color="auto" w:sz="8" w:space="0"/>
            </w:tcBorders>
            <w:noWrap w:val="0"/>
            <w:vAlign w:val="center"/>
          </w:tcPr>
          <w:p w14:paraId="44E36E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w:t>
            </w:r>
          </w:p>
        </w:tc>
        <w:tc>
          <w:tcPr>
            <w:tcW w:w="300" w:type="pct"/>
            <w:vMerge w:val="restart"/>
            <w:tcBorders>
              <w:top w:val="nil"/>
              <w:left w:val="nil"/>
              <w:bottom w:val="single" w:color="auto" w:sz="8" w:space="0"/>
              <w:right w:val="single" w:color="auto" w:sz="8" w:space="0"/>
            </w:tcBorders>
            <w:noWrap w:val="0"/>
            <w:vAlign w:val="center"/>
          </w:tcPr>
          <w:p w14:paraId="4FAE2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327" w:type="pct"/>
            <w:tcBorders>
              <w:top w:val="nil"/>
              <w:left w:val="nil"/>
              <w:bottom w:val="single" w:color="auto" w:sz="8" w:space="0"/>
              <w:right w:val="single" w:color="auto" w:sz="8" w:space="0"/>
            </w:tcBorders>
            <w:noWrap w:val="0"/>
            <w:vAlign w:val="center"/>
          </w:tcPr>
          <w:p w14:paraId="0E3AF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绩效目标合理性</w:t>
            </w:r>
          </w:p>
        </w:tc>
        <w:tc>
          <w:tcPr>
            <w:tcW w:w="270" w:type="pct"/>
            <w:tcBorders>
              <w:top w:val="nil"/>
              <w:left w:val="nil"/>
              <w:bottom w:val="single" w:color="auto" w:sz="8" w:space="0"/>
              <w:right w:val="single" w:color="auto" w:sz="8" w:space="0"/>
            </w:tcBorders>
            <w:noWrap w:val="0"/>
            <w:vAlign w:val="center"/>
          </w:tcPr>
          <w:p w14:paraId="15496B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8" w:space="0"/>
              <w:right w:val="single" w:color="auto" w:sz="8" w:space="0"/>
            </w:tcBorders>
            <w:noWrap w:val="0"/>
            <w:vAlign w:val="center"/>
          </w:tcPr>
          <w:p w14:paraId="57E309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项目所设定的绩效目标是否依据充分，是否符合客观实际，用以反映和考核项目绩效目标与项目实施的相符情况。</w:t>
            </w:r>
          </w:p>
        </w:tc>
        <w:tc>
          <w:tcPr>
            <w:tcW w:w="239" w:type="pct"/>
            <w:tcBorders>
              <w:top w:val="nil"/>
              <w:left w:val="nil"/>
              <w:bottom w:val="single" w:color="auto" w:sz="8" w:space="0"/>
              <w:right w:val="single" w:color="auto" w:sz="8" w:space="0"/>
            </w:tcBorders>
            <w:noWrap w:val="0"/>
            <w:vAlign w:val="center"/>
          </w:tcPr>
          <w:p w14:paraId="7D14E2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1700" w:type="pct"/>
            <w:tcBorders>
              <w:top w:val="nil"/>
              <w:left w:val="nil"/>
              <w:bottom w:val="single" w:color="auto" w:sz="8" w:space="0"/>
              <w:right w:val="single" w:color="auto" w:sz="8" w:space="0"/>
            </w:tcBorders>
            <w:noWrap w:val="0"/>
            <w:vAlign w:val="center"/>
          </w:tcPr>
          <w:p w14:paraId="09F687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①项目是否有绩效目标；</w:t>
            </w:r>
          </w:p>
          <w:p w14:paraId="09B2CA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②项目绩效目标与实际工作内容是否具有相关性；</w:t>
            </w:r>
          </w:p>
          <w:p w14:paraId="28FF66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③项目预期产出效益和效果是否符合正常的业绩水平；</w:t>
            </w:r>
          </w:p>
          <w:p w14:paraId="0585E4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④是否与预算确定的项目投资额或资金量相匹配。</w:t>
            </w:r>
          </w:p>
          <w:p w14:paraId="0C0232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350" w:type="pct"/>
            <w:tcBorders>
              <w:top w:val="nil"/>
              <w:left w:val="nil"/>
              <w:bottom w:val="single" w:color="auto" w:sz="8" w:space="0"/>
              <w:right w:val="single" w:color="auto" w:sz="8" w:space="0"/>
            </w:tcBorders>
            <w:noWrap w:val="0"/>
            <w:vAlign w:val="center"/>
          </w:tcPr>
          <w:p w14:paraId="3BBF27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24" w:type="pct"/>
            <w:tcBorders>
              <w:top w:val="nil"/>
              <w:left w:val="nil"/>
              <w:bottom w:val="single" w:color="auto" w:sz="8" w:space="0"/>
              <w:right w:val="single" w:color="auto" w:sz="8" w:space="0"/>
            </w:tcBorders>
            <w:noWrap w:val="0"/>
            <w:vAlign w:val="center"/>
          </w:tcPr>
          <w:p w14:paraId="32E8D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31F90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13B5E0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26ECB6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456663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781934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6DBB45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绩效指标明确性</w:t>
            </w:r>
          </w:p>
        </w:tc>
        <w:tc>
          <w:tcPr>
            <w:tcW w:w="270" w:type="pct"/>
            <w:tcBorders>
              <w:top w:val="nil"/>
              <w:left w:val="nil"/>
              <w:bottom w:val="single" w:color="auto" w:sz="8" w:space="0"/>
              <w:right w:val="single" w:color="auto" w:sz="8" w:space="0"/>
            </w:tcBorders>
            <w:noWrap w:val="0"/>
            <w:vAlign w:val="center"/>
          </w:tcPr>
          <w:p w14:paraId="06D863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8" w:space="0"/>
              <w:right w:val="single" w:color="auto" w:sz="8" w:space="0"/>
            </w:tcBorders>
            <w:noWrap w:val="0"/>
            <w:vAlign w:val="center"/>
          </w:tcPr>
          <w:p w14:paraId="4BF166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依据绩效目标设定的绩效指标是否清晰、细化、可衡量等，用以反映和考核项目绩效目标的明细化情况。</w:t>
            </w:r>
          </w:p>
        </w:tc>
        <w:tc>
          <w:tcPr>
            <w:tcW w:w="239" w:type="pct"/>
            <w:tcBorders>
              <w:top w:val="nil"/>
              <w:left w:val="nil"/>
              <w:bottom w:val="single" w:color="auto" w:sz="8" w:space="0"/>
              <w:right w:val="single" w:color="auto" w:sz="8" w:space="0"/>
            </w:tcBorders>
            <w:noWrap w:val="0"/>
            <w:vAlign w:val="center"/>
          </w:tcPr>
          <w:p w14:paraId="034812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1700" w:type="pct"/>
            <w:tcBorders>
              <w:top w:val="nil"/>
              <w:left w:val="nil"/>
              <w:bottom w:val="single" w:color="auto" w:sz="8" w:space="0"/>
              <w:right w:val="single" w:color="auto" w:sz="8" w:space="0"/>
            </w:tcBorders>
            <w:noWrap w:val="0"/>
            <w:vAlign w:val="center"/>
          </w:tcPr>
          <w:p w14:paraId="2134C9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①是否将项目绩效目标细化分解为具体的绩效指标；</w:t>
            </w:r>
          </w:p>
          <w:p w14:paraId="67C417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②是否通过清晰、可衡量的指标值予以体现；</w:t>
            </w:r>
          </w:p>
          <w:p w14:paraId="0B196C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③是否与项目目标任务数或计划数相对应。</w:t>
            </w:r>
          </w:p>
          <w:p w14:paraId="6E3AA7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①②③齐全得权重分的100%，缺①扣权重分的20%，缺②扣权重分的50%，缺③扣权重分的30%。</w:t>
            </w:r>
          </w:p>
        </w:tc>
        <w:tc>
          <w:tcPr>
            <w:tcW w:w="350" w:type="pct"/>
            <w:tcBorders>
              <w:top w:val="nil"/>
              <w:left w:val="nil"/>
              <w:bottom w:val="single" w:color="auto" w:sz="8" w:space="0"/>
              <w:right w:val="single" w:color="auto" w:sz="8" w:space="0"/>
            </w:tcBorders>
            <w:noWrap w:val="0"/>
            <w:vAlign w:val="center"/>
          </w:tcPr>
          <w:p w14:paraId="68A45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324" w:type="pct"/>
            <w:tcBorders>
              <w:top w:val="nil"/>
              <w:left w:val="nil"/>
              <w:bottom w:val="single" w:color="auto" w:sz="8" w:space="0"/>
              <w:right w:val="single" w:color="auto" w:sz="8" w:space="0"/>
            </w:tcBorders>
            <w:noWrap w:val="0"/>
            <w:vAlign w:val="center"/>
          </w:tcPr>
          <w:p w14:paraId="2D0276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0CD42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7"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77A060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0D4381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restart"/>
            <w:tcBorders>
              <w:top w:val="nil"/>
              <w:left w:val="nil"/>
              <w:bottom w:val="single" w:color="auto" w:sz="8" w:space="0"/>
              <w:right w:val="single" w:color="auto" w:sz="8" w:space="0"/>
            </w:tcBorders>
            <w:noWrap w:val="0"/>
            <w:vAlign w:val="center"/>
          </w:tcPr>
          <w:p w14:paraId="65887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资金投入</w:t>
            </w:r>
          </w:p>
        </w:tc>
        <w:tc>
          <w:tcPr>
            <w:tcW w:w="300" w:type="pct"/>
            <w:vMerge w:val="restart"/>
            <w:tcBorders>
              <w:top w:val="nil"/>
              <w:left w:val="nil"/>
              <w:bottom w:val="single" w:color="auto" w:sz="8" w:space="0"/>
              <w:right w:val="single" w:color="auto" w:sz="8" w:space="0"/>
            </w:tcBorders>
            <w:noWrap w:val="0"/>
            <w:vAlign w:val="center"/>
          </w:tcPr>
          <w:p w14:paraId="2C2770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8</w:t>
            </w:r>
          </w:p>
        </w:tc>
        <w:tc>
          <w:tcPr>
            <w:tcW w:w="327" w:type="pct"/>
            <w:tcBorders>
              <w:top w:val="nil"/>
              <w:left w:val="nil"/>
              <w:bottom w:val="single" w:color="auto" w:sz="8" w:space="0"/>
              <w:right w:val="single" w:color="auto" w:sz="8" w:space="0"/>
            </w:tcBorders>
            <w:noWrap w:val="0"/>
            <w:vAlign w:val="center"/>
          </w:tcPr>
          <w:p w14:paraId="4DC3F7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预算编制科学性</w:t>
            </w:r>
          </w:p>
        </w:tc>
        <w:tc>
          <w:tcPr>
            <w:tcW w:w="270" w:type="pct"/>
            <w:tcBorders>
              <w:top w:val="nil"/>
              <w:left w:val="nil"/>
              <w:bottom w:val="single" w:color="auto" w:sz="8" w:space="0"/>
              <w:right w:val="single" w:color="auto" w:sz="8" w:space="0"/>
            </w:tcBorders>
            <w:noWrap w:val="0"/>
            <w:vAlign w:val="center"/>
          </w:tcPr>
          <w:p w14:paraId="051A03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668" w:type="pct"/>
            <w:tcBorders>
              <w:top w:val="nil"/>
              <w:left w:val="nil"/>
              <w:bottom w:val="single" w:color="auto" w:sz="8" w:space="0"/>
              <w:right w:val="single" w:color="auto" w:sz="8" w:space="0"/>
            </w:tcBorders>
            <w:noWrap w:val="0"/>
            <w:vAlign w:val="center"/>
          </w:tcPr>
          <w:p w14:paraId="237143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项目预算编制是否经过科学论证、有明确标准，资金额度与年度目标是否相适应，用以反映和考核项目预算编制的科学性、合理性情况。</w:t>
            </w:r>
          </w:p>
        </w:tc>
        <w:tc>
          <w:tcPr>
            <w:tcW w:w="239" w:type="pct"/>
            <w:tcBorders>
              <w:top w:val="nil"/>
              <w:left w:val="nil"/>
              <w:bottom w:val="single" w:color="auto" w:sz="8" w:space="0"/>
              <w:right w:val="single" w:color="auto" w:sz="8" w:space="0"/>
            </w:tcBorders>
            <w:noWrap w:val="0"/>
            <w:vAlign w:val="center"/>
          </w:tcPr>
          <w:p w14:paraId="2F7603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1700" w:type="pct"/>
            <w:tcBorders>
              <w:top w:val="nil"/>
              <w:left w:val="nil"/>
              <w:bottom w:val="single" w:color="auto" w:sz="8" w:space="0"/>
              <w:right w:val="single" w:color="auto" w:sz="8" w:space="0"/>
            </w:tcBorders>
            <w:noWrap w:val="0"/>
            <w:vAlign w:val="center"/>
          </w:tcPr>
          <w:p w14:paraId="77C119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①预算编制是否经过科学论证；</w:t>
            </w:r>
          </w:p>
          <w:p w14:paraId="57E7E8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②预算内容与项目内容是否匹配；</w:t>
            </w:r>
          </w:p>
          <w:p w14:paraId="36655B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③预算额度测算依据是否充分，是否按照标准编制；</w:t>
            </w:r>
          </w:p>
          <w:p w14:paraId="52E624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④预算确定的项目投资额或资金量是否与工作任务相匹配。</w:t>
            </w:r>
          </w:p>
          <w:p w14:paraId="51EC6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350" w:type="pct"/>
            <w:tcBorders>
              <w:top w:val="nil"/>
              <w:left w:val="nil"/>
              <w:bottom w:val="single" w:color="auto" w:sz="8" w:space="0"/>
              <w:right w:val="single" w:color="auto" w:sz="8" w:space="0"/>
            </w:tcBorders>
            <w:noWrap w:val="0"/>
            <w:vAlign w:val="center"/>
          </w:tcPr>
          <w:p w14:paraId="6354B7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324" w:type="pct"/>
            <w:tcBorders>
              <w:top w:val="nil"/>
              <w:left w:val="nil"/>
              <w:bottom w:val="single" w:color="auto" w:sz="8" w:space="0"/>
              <w:right w:val="single" w:color="auto" w:sz="8" w:space="0"/>
            </w:tcBorders>
            <w:noWrap w:val="0"/>
            <w:vAlign w:val="center"/>
          </w:tcPr>
          <w:p w14:paraId="7E8F7F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4206F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3"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25000C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17E1DB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5B77AF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1E4AF3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0F122A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资金分配合理性</w:t>
            </w:r>
          </w:p>
        </w:tc>
        <w:tc>
          <w:tcPr>
            <w:tcW w:w="270" w:type="pct"/>
            <w:tcBorders>
              <w:top w:val="nil"/>
              <w:left w:val="nil"/>
              <w:bottom w:val="single" w:color="auto" w:sz="8" w:space="0"/>
              <w:right w:val="single" w:color="auto" w:sz="8" w:space="0"/>
            </w:tcBorders>
            <w:noWrap w:val="0"/>
            <w:vAlign w:val="center"/>
          </w:tcPr>
          <w:p w14:paraId="0F3693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668" w:type="pct"/>
            <w:tcBorders>
              <w:top w:val="nil"/>
              <w:left w:val="nil"/>
              <w:bottom w:val="single" w:color="auto" w:sz="8" w:space="0"/>
              <w:right w:val="single" w:color="auto" w:sz="8" w:space="0"/>
            </w:tcBorders>
            <w:noWrap w:val="0"/>
            <w:vAlign w:val="center"/>
          </w:tcPr>
          <w:p w14:paraId="1ED1DF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项目预算资金分配是否有测算依据，与补助单位或地方实际是否相适应，用以反映和考核项目预算资金分配的科学性、合理性情况。</w:t>
            </w:r>
          </w:p>
        </w:tc>
        <w:tc>
          <w:tcPr>
            <w:tcW w:w="239" w:type="pct"/>
            <w:tcBorders>
              <w:top w:val="nil"/>
              <w:left w:val="nil"/>
              <w:bottom w:val="single" w:color="auto" w:sz="8" w:space="0"/>
              <w:right w:val="single" w:color="auto" w:sz="8" w:space="0"/>
            </w:tcBorders>
            <w:noWrap w:val="0"/>
            <w:vAlign w:val="center"/>
          </w:tcPr>
          <w:p w14:paraId="4C209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1700" w:type="pct"/>
            <w:tcBorders>
              <w:top w:val="nil"/>
              <w:left w:val="nil"/>
              <w:bottom w:val="single" w:color="auto" w:sz="8" w:space="0"/>
              <w:right w:val="single" w:color="auto" w:sz="8" w:space="0"/>
            </w:tcBorders>
            <w:noWrap w:val="0"/>
            <w:vAlign w:val="center"/>
          </w:tcPr>
          <w:p w14:paraId="4F6E59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①预算资金分配依据是否充分；</w:t>
            </w:r>
          </w:p>
          <w:p w14:paraId="4FFD3F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②资金分配额度是否合理，与项目单位或地方实际是否相适应。</w:t>
            </w:r>
          </w:p>
          <w:p w14:paraId="407B62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350" w:type="pct"/>
            <w:tcBorders>
              <w:top w:val="nil"/>
              <w:left w:val="nil"/>
              <w:bottom w:val="single" w:color="auto" w:sz="8" w:space="0"/>
              <w:right w:val="single" w:color="auto" w:sz="8" w:space="0"/>
            </w:tcBorders>
            <w:noWrap w:val="0"/>
            <w:vAlign w:val="center"/>
          </w:tcPr>
          <w:p w14:paraId="2AC42B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24" w:type="pct"/>
            <w:tcBorders>
              <w:top w:val="nil"/>
              <w:left w:val="nil"/>
              <w:bottom w:val="single" w:color="auto" w:sz="8" w:space="0"/>
              <w:right w:val="single" w:color="auto" w:sz="8" w:space="0"/>
            </w:tcBorders>
            <w:noWrap w:val="0"/>
            <w:vAlign w:val="center"/>
          </w:tcPr>
          <w:p w14:paraId="037BBB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72653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00" w:type="pct"/>
            <w:vMerge w:val="restart"/>
            <w:tcBorders>
              <w:top w:val="nil"/>
              <w:left w:val="single" w:color="auto" w:sz="8" w:space="0"/>
              <w:bottom w:val="single" w:color="auto" w:sz="8" w:space="0"/>
              <w:right w:val="single" w:color="auto" w:sz="8" w:space="0"/>
            </w:tcBorders>
            <w:noWrap w:val="0"/>
            <w:vAlign w:val="center"/>
          </w:tcPr>
          <w:p w14:paraId="613B31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项目过程</w:t>
            </w:r>
          </w:p>
        </w:tc>
        <w:tc>
          <w:tcPr>
            <w:tcW w:w="263" w:type="pct"/>
            <w:vMerge w:val="restart"/>
            <w:tcBorders>
              <w:top w:val="nil"/>
              <w:left w:val="nil"/>
              <w:bottom w:val="single" w:color="auto" w:sz="8" w:space="0"/>
              <w:right w:val="single" w:color="auto" w:sz="8" w:space="0"/>
            </w:tcBorders>
            <w:noWrap w:val="0"/>
            <w:vAlign w:val="center"/>
          </w:tcPr>
          <w:p w14:paraId="0ED9F3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12</w:t>
            </w:r>
          </w:p>
        </w:tc>
        <w:tc>
          <w:tcPr>
            <w:tcW w:w="252" w:type="pct"/>
            <w:vMerge w:val="restart"/>
            <w:tcBorders>
              <w:top w:val="nil"/>
              <w:left w:val="nil"/>
              <w:bottom w:val="single" w:color="auto" w:sz="8" w:space="0"/>
              <w:right w:val="single" w:color="auto" w:sz="8" w:space="0"/>
            </w:tcBorders>
            <w:noWrap w:val="0"/>
            <w:vAlign w:val="center"/>
          </w:tcPr>
          <w:p w14:paraId="260309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资金管理</w:t>
            </w:r>
          </w:p>
        </w:tc>
        <w:tc>
          <w:tcPr>
            <w:tcW w:w="300" w:type="pct"/>
            <w:vMerge w:val="restart"/>
            <w:tcBorders>
              <w:top w:val="nil"/>
              <w:left w:val="nil"/>
              <w:bottom w:val="single" w:color="auto" w:sz="8" w:space="0"/>
              <w:right w:val="single" w:color="auto" w:sz="8" w:space="0"/>
            </w:tcBorders>
            <w:noWrap w:val="0"/>
            <w:vAlign w:val="center"/>
          </w:tcPr>
          <w:p w14:paraId="0F906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327" w:type="pct"/>
            <w:tcBorders>
              <w:top w:val="nil"/>
              <w:left w:val="nil"/>
              <w:bottom w:val="single" w:color="auto" w:sz="8" w:space="0"/>
              <w:right w:val="single" w:color="auto" w:sz="8" w:space="0"/>
            </w:tcBorders>
            <w:noWrap w:val="0"/>
            <w:vAlign w:val="center"/>
          </w:tcPr>
          <w:p w14:paraId="6402BF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w:t>
            </w:r>
          </w:p>
        </w:tc>
        <w:tc>
          <w:tcPr>
            <w:tcW w:w="270" w:type="pct"/>
            <w:tcBorders>
              <w:top w:val="nil"/>
              <w:left w:val="nil"/>
              <w:bottom w:val="single" w:color="auto" w:sz="8" w:space="0"/>
              <w:right w:val="single" w:color="auto" w:sz="8" w:space="0"/>
            </w:tcBorders>
            <w:noWrap w:val="0"/>
            <w:vAlign w:val="center"/>
          </w:tcPr>
          <w:p w14:paraId="480736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c>
          <w:tcPr>
            <w:tcW w:w="668" w:type="pct"/>
            <w:tcBorders>
              <w:top w:val="nil"/>
              <w:left w:val="nil"/>
              <w:bottom w:val="single" w:color="auto" w:sz="8" w:space="0"/>
              <w:right w:val="single" w:color="auto" w:sz="8" w:space="0"/>
            </w:tcBorders>
            <w:noWrap w:val="0"/>
            <w:vAlign w:val="center"/>
          </w:tcPr>
          <w:p w14:paraId="4FE7C0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实际到位资金与预算资金的比率，用以反映和考核资金落实情况对项目实施的总体保障程度。</w:t>
            </w:r>
          </w:p>
        </w:tc>
        <w:tc>
          <w:tcPr>
            <w:tcW w:w="239" w:type="pct"/>
            <w:tcBorders>
              <w:top w:val="nil"/>
              <w:left w:val="nil"/>
              <w:bottom w:val="single" w:color="auto" w:sz="8" w:space="0"/>
              <w:right w:val="single" w:color="auto" w:sz="8" w:space="0"/>
            </w:tcBorders>
            <w:noWrap w:val="0"/>
            <w:vAlign w:val="center"/>
          </w:tcPr>
          <w:p w14:paraId="15B1A6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700" w:type="pct"/>
            <w:tcBorders>
              <w:top w:val="nil"/>
              <w:left w:val="nil"/>
              <w:bottom w:val="single" w:color="auto" w:sz="8" w:space="0"/>
              <w:right w:val="single" w:color="auto" w:sz="8" w:space="0"/>
            </w:tcBorders>
            <w:noWrap w:val="0"/>
            <w:vAlign w:val="center"/>
          </w:tcPr>
          <w:p w14:paraId="1BA80C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资金到位率=（实际到位资金/预算资金）×100%。</w:t>
            </w:r>
          </w:p>
          <w:p w14:paraId="649AAA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资金到位率=100%，得权重分满分，每降低1%，扣除5%权重分，扣完为止。</w:t>
            </w:r>
          </w:p>
        </w:tc>
        <w:tc>
          <w:tcPr>
            <w:tcW w:w="350" w:type="pct"/>
            <w:tcBorders>
              <w:top w:val="nil"/>
              <w:left w:val="nil"/>
              <w:bottom w:val="single" w:color="auto" w:sz="8" w:space="0"/>
              <w:right w:val="single" w:color="auto" w:sz="8" w:space="0"/>
            </w:tcBorders>
            <w:noWrap w:val="0"/>
            <w:vAlign w:val="center"/>
          </w:tcPr>
          <w:p w14:paraId="64C660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4" w:type="pct"/>
            <w:tcBorders>
              <w:top w:val="nil"/>
              <w:left w:val="nil"/>
              <w:bottom w:val="single" w:color="auto" w:sz="8" w:space="0"/>
              <w:right w:val="single" w:color="auto" w:sz="8" w:space="0"/>
            </w:tcBorders>
            <w:noWrap w:val="0"/>
            <w:vAlign w:val="center"/>
          </w:tcPr>
          <w:p w14:paraId="4243B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r>
      <w:tr w14:paraId="6CC14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7E3752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3ADF50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2CF388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4803B5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72C611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w:t>
            </w:r>
          </w:p>
        </w:tc>
        <w:tc>
          <w:tcPr>
            <w:tcW w:w="270" w:type="pct"/>
            <w:tcBorders>
              <w:top w:val="nil"/>
              <w:left w:val="nil"/>
              <w:bottom w:val="single" w:color="auto" w:sz="8" w:space="0"/>
              <w:right w:val="single" w:color="auto" w:sz="8" w:space="0"/>
            </w:tcBorders>
            <w:noWrap w:val="0"/>
            <w:vAlign w:val="center"/>
          </w:tcPr>
          <w:p w14:paraId="5BBE47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668" w:type="pct"/>
            <w:tcBorders>
              <w:top w:val="nil"/>
              <w:left w:val="nil"/>
              <w:bottom w:val="single" w:color="auto" w:sz="8" w:space="0"/>
              <w:right w:val="single" w:color="auto" w:sz="8" w:space="0"/>
            </w:tcBorders>
            <w:noWrap w:val="0"/>
            <w:vAlign w:val="center"/>
          </w:tcPr>
          <w:p w14:paraId="77D13E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项目预算资金是否按照计划执行，用以反映或考核项目预算执行情况。</w:t>
            </w:r>
          </w:p>
        </w:tc>
        <w:tc>
          <w:tcPr>
            <w:tcW w:w="239" w:type="pct"/>
            <w:tcBorders>
              <w:top w:val="nil"/>
              <w:left w:val="nil"/>
              <w:bottom w:val="single" w:color="auto" w:sz="8" w:space="0"/>
              <w:right w:val="single" w:color="auto" w:sz="8" w:space="0"/>
            </w:tcBorders>
            <w:noWrap w:val="0"/>
            <w:vAlign w:val="center"/>
          </w:tcPr>
          <w:p w14:paraId="5DD1E4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700" w:type="pct"/>
            <w:tcBorders>
              <w:top w:val="nil"/>
              <w:left w:val="nil"/>
              <w:bottom w:val="single" w:color="auto" w:sz="8" w:space="0"/>
              <w:right w:val="single" w:color="auto" w:sz="8" w:space="0"/>
            </w:tcBorders>
            <w:noWrap w:val="0"/>
            <w:vAlign w:val="center"/>
          </w:tcPr>
          <w:p w14:paraId="6A2ED3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预算执行率=（实际支出资金/实际到位资金）×100%。</w:t>
            </w:r>
          </w:p>
          <w:p w14:paraId="3E6249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预算执行率=100%，得权重分满分；若预算执行率＜100%，得分=预算执行率*分值；若执行率≤60%，则不得分。</w:t>
            </w:r>
          </w:p>
        </w:tc>
        <w:tc>
          <w:tcPr>
            <w:tcW w:w="350" w:type="pct"/>
            <w:tcBorders>
              <w:top w:val="nil"/>
              <w:left w:val="nil"/>
              <w:bottom w:val="single" w:color="auto" w:sz="8" w:space="0"/>
              <w:right w:val="single" w:color="auto" w:sz="8" w:space="0"/>
            </w:tcBorders>
            <w:noWrap w:val="0"/>
            <w:vAlign w:val="center"/>
          </w:tcPr>
          <w:p w14:paraId="20DD7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96.67%</w:t>
            </w:r>
          </w:p>
        </w:tc>
        <w:tc>
          <w:tcPr>
            <w:tcW w:w="324" w:type="pct"/>
            <w:tcBorders>
              <w:top w:val="nil"/>
              <w:left w:val="nil"/>
              <w:bottom w:val="single" w:color="auto" w:sz="8" w:space="0"/>
              <w:right w:val="single" w:color="auto" w:sz="8" w:space="0"/>
            </w:tcBorders>
            <w:noWrap w:val="0"/>
            <w:vAlign w:val="center"/>
          </w:tcPr>
          <w:p w14:paraId="5BD49A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1.93 </w:t>
            </w:r>
          </w:p>
        </w:tc>
      </w:tr>
      <w:tr w14:paraId="21976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2133BE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6DF3C6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4DC5C8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58F769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2ADC86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资金使用合规性</w:t>
            </w:r>
          </w:p>
        </w:tc>
        <w:tc>
          <w:tcPr>
            <w:tcW w:w="270" w:type="pct"/>
            <w:tcBorders>
              <w:top w:val="nil"/>
              <w:left w:val="nil"/>
              <w:bottom w:val="single" w:color="auto" w:sz="8" w:space="0"/>
              <w:right w:val="single" w:color="auto" w:sz="8" w:space="0"/>
            </w:tcBorders>
            <w:noWrap w:val="0"/>
            <w:vAlign w:val="center"/>
          </w:tcPr>
          <w:p w14:paraId="01FB48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668" w:type="pct"/>
            <w:tcBorders>
              <w:top w:val="nil"/>
              <w:left w:val="nil"/>
              <w:bottom w:val="single" w:color="auto" w:sz="8" w:space="0"/>
              <w:right w:val="single" w:color="auto" w:sz="8" w:space="0"/>
            </w:tcBorders>
            <w:noWrap w:val="0"/>
            <w:vAlign w:val="center"/>
          </w:tcPr>
          <w:p w14:paraId="7BBAAA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项目资金使用是否符合相关的财务管理制度规定，用以反映和考核项目资金的规范运行情况。</w:t>
            </w:r>
          </w:p>
        </w:tc>
        <w:tc>
          <w:tcPr>
            <w:tcW w:w="239" w:type="pct"/>
            <w:tcBorders>
              <w:top w:val="nil"/>
              <w:left w:val="nil"/>
              <w:bottom w:val="single" w:color="auto" w:sz="8" w:space="0"/>
              <w:right w:val="single" w:color="auto" w:sz="8" w:space="0"/>
            </w:tcBorders>
            <w:noWrap w:val="0"/>
            <w:vAlign w:val="center"/>
          </w:tcPr>
          <w:p w14:paraId="67576F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1700" w:type="pct"/>
            <w:tcBorders>
              <w:top w:val="nil"/>
              <w:left w:val="nil"/>
              <w:bottom w:val="single" w:color="auto" w:sz="8" w:space="0"/>
              <w:right w:val="single" w:color="auto" w:sz="8" w:space="0"/>
            </w:tcBorders>
            <w:noWrap w:val="0"/>
            <w:vAlign w:val="center"/>
          </w:tcPr>
          <w:p w14:paraId="1D321E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①否符合国家财经法规和财务管理制度以及有关专项资金管理办法的规定；</w:t>
            </w:r>
          </w:p>
          <w:p w14:paraId="3BE83B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②资金的拨付是否有完整的审批程序和手续；</w:t>
            </w:r>
          </w:p>
          <w:p w14:paraId="708B9B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③是否符合项目预算批复或合同规定的用途；</w:t>
            </w:r>
          </w:p>
          <w:p w14:paraId="4E499A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④是否存在截留、挤占、挪用、虚列支出等情况。</w:t>
            </w:r>
          </w:p>
          <w:p w14:paraId="09B136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以上每条指标各占权重分的25%，要素①②不符合，扣除对应权重分；要素③④不符合属于重大违纪，该指标不得分。</w:t>
            </w:r>
          </w:p>
        </w:tc>
        <w:tc>
          <w:tcPr>
            <w:tcW w:w="350" w:type="pct"/>
            <w:tcBorders>
              <w:top w:val="nil"/>
              <w:left w:val="nil"/>
              <w:bottom w:val="single" w:color="auto" w:sz="8" w:space="0"/>
              <w:right w:val="single" w:color="auto" w:sz="8" w:space="0"/>
            </w:tcBorders>
            <w:noWrap w:val="0"/>
            <w:vAlign w:val="center"/>
          </w:tcPr>
          <w:p w14:paraId="70D779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324" w:type="pct"/>
            <w:tcBorders>
              <w:top w:val="nil"/>
              <w:left w:val="nil"/>
              <w:bottom w:val="single" w:color="auto" w:sz="8" w:space="0"/>
              <w:right w:val="single" w:color="auto" w:sz="8" w:space="0"/>
            </w:tcBorders>
            <w:noWrap w:val="0"/>
            <w:vAlign w:val="center"/>
          </w:tcPr>
          <w:p w14:paraId="493AF5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199E8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237C0B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5ABF55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restart"/>
            <w:tcBorders>
              <w:top w:val="nil"/>
              <w:left w:val="nil"/>
              <w:bottom w:val="single" w:color="auto" w:sz="8" w:space="0"/>
              <w:right w:val="single" w:color="auto" w:sz="8" w:space="0"/>
            </w:tcBorders>
            <w:noWrap w:val="0"/>
            <w:vAlign w:val="center"/>
          </w:tcPr>
          <w:p w14:paraId="3A121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组织实施</w:t>
            </w:r>
          </w:p>
        </w:tc>
        <w:tc>
          <w:tcPr>
            <w:tcW w:w="300" w:type="pct"/>
            <w:vMerge w:val="restart"/>
            <w:tcBorders>
              <w:top w:val="nil"/>
              <w:left w:val="nil"/>
              <w:bottom w:val="single" w:color="auto" w:sz="8" w:space="0"/>
              <w:right w:val="single" w:color="auto" w:sz="8" w:space="0"/>
            </w:tcBorders>
            <w:noWrap w:val="0"/>
            <w:vAlign w:val="center"/>
          </w:tcPr>
          <w:p w14:paraId="55E8F0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327" w:type="pct"/>
            <w:tcBorders>
              <w:top w:val="nil"/>
              <w:left w:val="nil"/>
              <w:bottom w:val="single" w:color="auto" w:sz="8" w:space="0"/>
              <w:right w:val="single" w:color="auto" w:sz="8" w:space="0"/>
            </w:tcBorders>
            <w:noWrap w:val="0"/>
            <w:vAlign w:val="center"/>
          </w:tcPr>
          <w:p w14:paraId="30F646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管理制度健全性</w:t>
            </w:r>
          </w:p>
        </w:tc>
        <w:tc>
          <w:tcPr>
            <w:tcW w:w="270" w:type="pct"/>
            <w:tcBorders>
              <w:top w:val="nil"/>
              <w:left w:val="nil"/>
              <w:bottom w:val="single" w:color="auto" w:sz="8" w:space="0"/>
              <w:right w:val="single" w:color="auto" w:sz="8" w:space="0"/>
            </w:tcBorders>
            <w:noWrap w:val="0"/>
            <w:vAlign w:val="center"/>
          </w:tcPr>
          <w:p w14:paraId="168C25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668" w:type="pct"/>
            <w:tcBorders>
              <w:top w:val="nil"/>
              <w:left w:val="nil"/>
              <w:bottom w:val="single" w:color="auto" w:sz="8" w:space="0"/>
              <w:right w:val="single" w:color="auto" w:sz="8" w:space="0"/>
            </w:tcBorders>
            <w:noWrap w:val="0"/>
            <w:vAlign w:val="center"/>
          </w:tcPr>
          <w:p w14:paraId="5328F0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项目实施单位的财务和业务管理制度是否健全，用以反映和考核财务和业务管理制度对项目顺利实施的保障情况。</w:t>
            </w:r>
          </w:p>
        </w:tc>
        <w:tc>
          <w:tcPr>
            <w:tcW w:w="239" w:type="pct"/>
            <w:tcBorders>
              <w:top w:val="nil"/>
              <w:left w:val="nil"/>
              <w:bottom w:val="single" w:color="auto" w:sz="8" w:space="0"/>
              <w:right w:val="single" w:color="auto" w:sz="8" w:space="0"/>
            </w:tcBorders>
            <w:noWrap w:val="0"/>
            <w:vAlign w:val="center"/>
          </w:tcPr>
          <w:p w14:paraId="46F85C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1700" w:type="pct"/>
            <w:tcBorders>
              <w:top w:val="nil"/>
              <w:left w:val="nil"/>
              <w:bottom w:val="single" w:color="auto" w:sz="8" w:space="0"/>
              <w:right w:val="single" w:color="auto" w:sz="8" w:space="0"/>
            </w:tcBorders>
            <w:noWrap w:val="0"/>
            <w:vAlign w:val="center"/>
          </w:tcPr>
          <w:p w14:paraId="263505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①是否已制定或具有相应的财务和业务管理制度；</w:t>
            </w:r>
          </w:p>
          <w:p w14:paraId="361008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②财务和业务管理制度是否合法、合规、完整。</w:t>
            </w:r>
          </w:p>
          <w:p w14:paraId="205442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350" w:type="pct"/>
            <w:tcBorders>
              <w:top w:val="nil"/>
              <w:left w:val="nil"/>
              <w:bottom w:val="single" w:color="auto" w:sz="8" w:space="0"/>
              <w:right w:val="single" w:color="auto" w:sz="8" w:space="0"/>
            </w:tcBorders>
            <w:noWrap w:val="0"/>
            <w:vAlign w:val="center"/>
          </w:tcPr>
          <w:p w14:paraId="22D12A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324" w:type="pct"/>
            <w:tcBorders>
              <w:top w:val="nil"/>
              <w:left w:val="nil"/>
              <w:bottom w:val="single" w:color="auto" w:sz="8" w:space="0"/>
              <w:right w:val="single" w:color="auto" w:sz="8" w:space="0"/>
            </w:tcBorders>
            <w:noWrap w:val="0"/>
            <w:vAlign w:val="center"/>
          </w:tcPr>
          <w:p w14:paraId="435B69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7FDF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00" w:type="pct"/>
            <w:vMerge w:val="continue"/>
            <w:tcBorders>
              <w:top w:val="nil"/>
              <w:left w:val="single" w:color="auto" w:sz="8" w:space="0"/>
              <w:bottom w:val="single" w:color="auto" w:sz="8" w:space="0"/>
              <w:right w:val="single" w:color="auto" w:sz="8" w:space="0"/>
            </w:tcBorders>
            <w:noWrap w:val="0"/>
            <w:vAlign w:val="center"/>
          </w:tcPr>
          <w:p w14:paraId="43BD61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58A97A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nil"/>
              <w:left w:val="nil"/>
              <w:bottom w:val="single" w:color="auto" w:sz="8" w:space="0"/>
              <w:right w:val="single" w:color="auto" w:sz="8" w:space="0"/>
            </w:tcBorders>
            <w:noWrap w:val="0"/>
            <w:vAlign w:val="center"/>
          </w:tcPr>
          <w:p w14:paraId="69A6EF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nil"/>
              <w:left w:val="nil"/>
              <w:bottom w:val="single" w:color="auto" w:sz="8" w:space="0"/>
              <w:right w:val="single" w:color="auto" w:sz="8" w:space="0"/>
            </w:tcBorders>
            <w:noWrap w:val="0"/>
            <w:vAlign w:val="center"/>
          </w:tcPr>
          <w:p w14:paraId="06E756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nil"/>
              <w:left w:val="nil"/>
              <w:bottom w:val="single" w:color="auto" w:sz="8" w:space="0"/>
              <w:right w:val="single" w:color="auto" w:sz="8" w:space="0"/>
            </w:tcBorders>
            <w:noWrap w:val="0"/>
            <w:vAlign w:val="center"/>
          </w:tcPr>
          <w:p w14:paraId="749502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制度执行有效性</w:t>
            </w:r>
          </w:p>
        </w:tc>
        <w:tc>
          <w:tcPr>
            <w:tcW w:w="270" w:type="pct"/>
            <w:tcBorders>
              <w:top w:val="nil"/>
              <w:left w:val="nil"/>
              <w:bottom w:val="single" w:color="auto" w:sz="8" w:space="0"/>
              <w:right w:val="single" w:color="auto" w:sz="8" w:space="0"/>
            </w:tcBorders>
            <w:noWrap w:val="0"/>
            <w:vAlign w:val="center"/>
          </w:tcPr>
          <w:p w14:paraId="36A132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668" w:type="pct"/>
            <w:tcBorders>
              <w:top w:val="nil"/>
              <w:left w:val="nil"/>
              <w:bottom w:val="single" w:color="auto" w:sz="8" w:space="0"/>
              <w:right w:val="single" w:color="auto" w:sz="8" w:space="0"/>
            </w:tcBorders>
            <w:noWrap w:val="0"/>
            <w:vAlign w:val="center"/>
          </w:tcPr>
          <w:p w14:paraId="78878F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项目实施是否符合相关管理规定，用以反映和考核相关管理制度的有效执行情况。</w:t>
            </w:r>
          </w:p>
        </w:tc>
        <w:tc>
          <w:tcPr>
            <w:tcW w:w="239" w:type="pct"/>
            <w:tcBorders>
              <w:top w:val="nil"/>
              <w:left w:val="nil"/>
              <w:bottom w:val="single" w:color="auto" w:sz="8" w:space="0"/>
              <w:right w:val="single" w:color="auto" w:sz="8" w:space="0"/>
            </w:tcBorders>
            <w:noWrap w:val="0"/>
            <w:vAlign w:val="center"/>
          </w:tcPr>
          <w:p w14:paraId="3E163D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1700" w:type="pct"/>
            <w:tcBorders>
              <w:top w:val="nil"/>
              <w:left w:val="nil"/>
              <w:bottom w:val="single" w:color="auto" w:sz="8" w:space="0"/>
              <w:right w:val="single" w:color="auto" w:sz="8" w:space="0"/>
            </w:tcBorders>
            <w:noWrap w:val="0"/>
            <w:vAlign w:val="center"/>
          </w:tcPr>
          <w:p w14:paraId="038801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①否遵守相关法律法规和相关管理规定；</w:t>
            </w:r>
          </w:p>
          <w:p w14:paraId="537740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②项目调整及支出调整手续是否完备；</w:t>
            </w:r>
          </w:p>
          <w:p w14:paraId="5CF48E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③项目资料是否齐全并及时归档。</w:t>
            </w:r>
          </w:p>
          <w:p w14:paraId="3F4864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①②③齐全得权重分的100%，缺①扣权重分的30%，缺②扣权重分的40%，缺③扣权重分的30%。</w:t>
            </w:r>
          </w:p>
        </w:tc>
        <w:tc>
          <w:tcPr>
            <w:tcW w:w="350" w:type="pct"/>
            <w:tcBorders>
              <w:top w:val="nil"/>
              <w:left w:val="nil"/>
              <w:bottom w:val="single" w:color="auto" w:sz="8" w:space="0"/>
              <w:right w:val="single" w:color="auto" w:sz="8" w:space="0"/>
            </w:tcBorders>
            <w:noWrap w:val="0"/>
            <w:vAlign w:val="center"/>
          </w:tcPr>
          <w:p w14:paraId="7AF35E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324" w:type="pct"/>
            <w:tcBorders>
              <w:top w:val="nil"/>
              <w:left w:val="nil"/>
              <w:bottom w:val="single" w:color="auto" w:sz="8" w:space="0"/>
              <w:right w:val="single" w:color="auto" w:sz="8" w:space="0"/>
            </w:tcBorders>
            <w:noWrap w:val="0"/>
            <w:vAlign w:val="center"/>
          </w:tcPr>
          <w:p w14:paraId="1CAFAA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5AE77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00" w:type="pct"/>
            <w:vMerge w:val="restart"/>
            <w:tcBorders>
              <w:top w:val="nil"/>
              <w:left w:val="single" w:color="auto" w:sz="4" w:space="0"/>
              <w:bottom w:val="single" w:color="auto" w:sz="8" w:space="0"/>
              <w:right w:val="single" w:color="auto" w:sz="8" w:space="0"/>
            </w:tcBorders>
            <w:noWrap w:val="0"/>
            <w:vAlign w:val="center"/>
          </w:tcPr>
          <w:p w14:paraId="4B987F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项目产出</w:t>
            </w:r>
          </w:p>
        </w:tc>
        <w:tc>
          <w:tcPr>
            <w:tcW w:w="263" w:type="pct"/>
            <w:vMerge w:val="restart"/>
            <w:tcBorders>
              <w:top w:val="nil"/>
              <w:left w:val="nil"/>
              <w:bottom w:val="single" w:color="auto" w:sz="8" w:space="0"/>
              <w:right w:val="single" w:color="auto" w:sz="8" w:space="0"/>
            </w:tcBorders>
            <w:noWrap w:val="0"/>
            <w:vAlign w:val="center"/>
          </w:tcPr>
          <w:p w14:paraId="19362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w:t>
            </w:r>
          </w:p>
        </w:tc>
        <w:tc>
          <w:tcPr>
            <w:tcW w:w="252" w:type="pct"/>
            <w:tcBorders>
              <w:top w:val="nil"/>
              <w:left w:val="nil"/>
              <w:bottom w:val="single" w:color="auto" w:sz="8" w:space="0"/>
              <w:right w:val="single" w:color="auto" w:sz="8" w:space="0"/>
            </w:tcBorders>
            <w:noWrap w:val="0"/>
            <w:vAlign w:val="center"/>
          </w:tcPr>
          <w:p w14:paraId="2EDB63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产出数量</w:t>
            </w:r>
          </w:p>
        </w:tc>
        <w:tc>
          <w:tcPr>
            <w:tcW w:w="300" w:type="pct"/>
            <w:tcBorders>
              <w:top w:val="nil"/>
              <w:left w:val="nil"/>
              <w:bottom w:val="single" w:color="auto" w:sz="8" w:space="0"/>
              <w:right w:val="single" w:color="auto" w:sz="8" w:space="0"/>
            </w:tcBorders>
            <w:noWrap w:val="0"/>
            <w:vAlign w:val="center"/>
          </w:tcPr>
          <w:p w14:paraId="198BE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327" w:type="pct"/>
            <w:tcBorders>
              <w:top w:val="nil"/>
              <w:left w:val="nil"/>
              <w:bottom w:val="single" w:color="auto" w:sz="8" w:space="0"/>
              <w:right w:val="single" w:color="auto" w:sz="8" w:space="0"/>
            </w:tcBorders>
            <w:noWrap w:val="0"/>
            <w:vAlign w:val="center"/>
          </w:tcPr>
          <w:p w14:paraId="7A2746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实际完成率</w:t>
            </w:r>
          </w:p>
        </w:tc>
        <w:tc>
          <w:tcPr>
            <w:tcW w:w="270" w:type="pct"/>
            <w:tcBorders>
              <w:top w:val="nil"/>
              <w:left w:val="nil"/>
              <w:bottom w:val="single" w:color="auto" w:sz="8" w:space="0"/>
              <w:right w:val="single" w:color="auto" w:sz="8" w:space="0"/>
            </w:tcBorders>
            <w:noWrap w:val="0"/>
            <w:vAlign w:val="center"/>
          </w:tcPr>
          <w:p w14:paraId="74BB7F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668" w:type="pct"/>
            <w:tcBorders>
              <w:top w:val="nil"/>
              <w:left w:val="nil"/>
              <w:bottom w:val="single" w:color="auto" w:sz="8" w:space="0"/>
              <w:right w:val="single" w:color="auto" w:sz="8" w:space="0"/>
            </w:tcBorders>
            <w:noWrap w:val="0"/>
            <w:vAlign w:val="center"/>
          </w:tcPr>
          <w:p w14:paraId="5F17DE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基础设施建设村数量</w:t>
            </w:r>
          </w:p>
        </w:tc>
        <w:tc>
          <w:tcPr>
            <w:tcW w:w="239" w:type="pct"/>
            <w:tcBorders>
              <w:top w:val="nil"/>
              <w:left w:val="nil"/>
              <w:bottom w:val="single" w:color="auto" w:sz="8" w:space="0"/>
              <w:right w:val="single" w:color="auto" w:sz="8" w:space="0"/>
            </w:tcBorders>
            <w:noWrap w:val="0"/>
            <w:vAlign w:val="center"/>
          </w:tcPr>
          <w:p w14:paraId="66EC1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=5个村</w:t>
            </w:r>
          </w:p>
        </w:tc>
        <w:tc>
          <w:tcPr>
            <w:tcW w:w="1700" w:type="pct"/>
            <w:tcBorders>
              <w:top w:val="nil"/>
              <w:left w:val="nil"/>
              <w:bottom w:val="single" w:color="auto" w:sz="8" w:space="0"/>
              <w:right w:val="single" w:color="auto" w:sz="8" w:space="0"/>
            </w:tcBorders>
            <w:noWrap w:val="0"/>
            <w:vAlign w:val="center"/>
          </w:tcPr>
          <w:p w14:paraId="4EE585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实际完成率=（实际完成/预期完成）×100%。</w:t>
            </w:r>
          </w:p>
          <w:p w14:paraId="2A0D3A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①实际完成率≥100%，且偏离程度＜20%，得满分；</w:t>
            </w:r>
          </w:p>
          <w:p w14:paraId="67F2F7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②实际完成率≥100%，偏离程度≥20%，得0分；</w:t>
            </w:r>
          </w:p>
          <w:p w14:paraId="77DBFE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③实际完成率×100%＜100%，得分=实际完成率×指标分值。</w:t>
            </w:r>
          </w:p>
        </w:tc>
        <w:tc>
          <w:tcPr>
            <w:tcW w:w="350" w:type="pct"/>
            <w:tcBorders>
              <w:top w:val="nil"/>
              <w:left w:val="nil"/>
              <w:bottom w:val="single" w:color="auto" w:sz="8" w:space="0"/>
              <w:right w:val="single" w:color="auto" w:sz="8" w:space="0"/>
            </w:tcBorders>
            <w:noWrap w:val="0"/>
            <w:vAlign w:val="center"/>
          </w:tcPr>
          <w:p w14:paraId="31E2B0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=5个村</w:t>
            </w:r>
          </w:p>
        </w:tc>
        <w:tc>
          <w:tcPr>
            <w:tcW w:w="324" w:type="pct"/>
            <w:tcBorders>
              <w:top w:val="nil"/>
              <w:left w:val="nil"/>
              <w:bottom w:val="single" w:color="auto" w:sz="8" w:space="0"/>
              <w:right w:val="single" w:color="auto" w:sz="8" w:space="0"/>
            </w:tcBorders>
            <w:noWrap w:val="0"/>
            <w:vAlign w:val="center"/>
          </w:tcPr>
          <w:p w14:paraId="148372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79BDE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0" w:type="pct"/>
            <w:vMerge w:val="continue"/>
            <w:tcBorders>
              <w:top w:val="nil"/>
              <w:left w:val="single" w:color="auto" w:sz="4" w:space="0"/>
              <w:bottom w:val="single" w:color="auto" w:sz="8" w:space="0"/>
              <w:right w:val="single" w:color="auto" w:sz="8" w:space="0"/>
            </w:tcBorders>
            <w:noWrap w:val="0"/>
            <w:vAlign w:val="center"/>
          </w:tcPr>
          <w:p w14:paraId="7E2A8E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13C8F3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restart"/>
            <w:tcBorders>
              <w:top w:val="single" w:color="auto" w:sz="4" w:space="0"/>
              <w:left w:val="single" w:color="auto" w:sz="4" w:space="0"/>
              <w:bottom w:val="single" w:color="auto" w:sz="4" w:space="0"/>
              <w:right w:val="single" w:color="auto" w:sz="4" w:space="0"/>
            </w:tcBorders>
            <w:noWrap w:val="0"/>
            <w:vAlign w:val="center"/>
          </w:tcPr>
          <w:p w14:paraId="7CB34E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产出质量</w:t>
            </w:r>
          </w:p>
        </w:tc>
        <w:tc>
          <w:tcPr>
            <w:tcW w:w="300" w:type="pct"/>
            <w:vMerge w:val="restart"/>
            <w:tcBorders>
              <w:top w:val="single" w:color="auto" w:sz="4" w:space="0"/>
              <w:left w:val="single" w:color="auto" w:sz="4" w:space="0"/>
              <w:bottom w:val="single" w:color="auto" w:sz="4" w:space="0"/>
              <w:right w:val="single" w:color="auto" w:sz="4" w:space="0"/>
            </w:tcBorders>
            <w:noWrap w:val="0"/>
            <w:vAlign w:val="center"/>
          </w:tcPr>
          <w:p w14:paraId="6C3789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327" w:type="pct"/>
            <w:vMerge w:val="restart"/>
            <w:tcBorders>
              <w:top w:val="single" w:color="auto" w:sz="4" w:space="0"/>
              <w:left w:val="single" w:color="auto" w:sz="4" w:space="0"/>
              <w:bottom w:val="single" w:color="auto" w:sz="4" w:space="0"/>
              <w:right w:val="single" w:color="auto" w:sz="4" w:space="0"/>
            </w:tcBorders>
            <w:noWrap w:val="0"/>
            <w:vAlign w:val="center"/>
          </w:tcPr>
          <w:p w14:paraId="4EB280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质量达标率</w:t>
            </w:r>
          </w:p>
        </w:tc>
        <w:tc>
          <w:tcPr>
            <w:tcW w:w="270" w:type="pct"/>
            <w:tcBorders>
              <w:top w:val="nil"/>
              <w:left w:val="nil"/>
              <w:bottom w:val="single" w:color="auto" w:sz="8" w:space="0"/>
              <w:right w:val="single" w:color="auto" w:sz="8" w:space="0"/>
            </w:tcBorders>
            <w:noWrap w:val="0"/>
            <w:vAlign w:val="center"/>
          </w:tcPr>
          <w:p w14:paraId="51D05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8" w:space="0"/>
              <w:right w:val="single" w:color="auto" w:sz="8" w:space="0"/>
            </w:tcBorders>
            <w:noWrap w:val="0"/>
            <w:vAlign w:val="center"/>
          </w:tcPr>
          <w:p w14:paraId="1AC06E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工程验收合格率</w:t>
            </w:r>
          </w:p>
        </w:tc>
        <w:tc>
          <w:tcPr>
            <w:tcW w:w="239" w:type="pct"/>
            <w:tcBorders>
              <w:top w:val="nil"/>
              <w:left w:val="nil"/>
              <w:bottom w:val="single" w:color="auto" w:sz="8" w:space="0"/>
              <w:right w:val="single" w:color="auto" w:sz="8" w:space="0"/>
            </w:tcBorders>
            <w:noWrap w:val="0"/>
            <w:vAlign w:val="center"/>
          </w:tcPr>
          <w:p w14:paraId="328590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700" w:type="pct"/>
            <w:vMerge w:val="restart"/>
            <w:tcBorders>
              <w:top w:val="nil"/>
              <w:left w:val="nil"/>
              <w:right w:val="single" w:color="auto" w:sz="8" w:space="0"/>
            </w:tcBorders>
            <w:noWrap w:val="0"/>
            <w:vAlign w:val="center"/>
          </w:tcPr>
          <w:p w14:paraId="77F07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若指标达到标杆值，则得100%权重分；否则，得分=（实际完成/预期完成）×100%×指标分值。</w:t>
            </w:r>
          </w:p>
          <w:p w14:paraId="29163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若指标完成值达到标杆值，则得100%权重分；否则，不得分。</w:t>
            </w:r>
          </w:p>
        </w:tc>
        <w:tc>
          <w:tcPr>
            <w:tcW w:w="350" w:type="pct"/>
            <w:tcBorders>
              <w:top w:val="nil"/>
              <w:left w:val="nil"/>
              <w:bottom w:val="single" w:color="auto" w:sz="8" w:space="0"/>
              <w:right w:val="single" w:color="auto" w:sz="8" w:space="0"/>
            </w:tcBorders>
            <w:noWrap w:val="0"/>
            <w:vAlign w:val="center"/>
          </w:tcPr>
          <w:p w14:paraId="1B8F9C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4" w:type="pct"/>
            <w:tcBorders>
              <w:top w:val="nil"/>
              <w:left w:val="nil"/>
              <w:bottom w:val="single" w:color="auto" w:sz="8" w:space="0"/>
              <w:right w:val="single" w:color="auto" w:sz="8" w:space="0"/>
            </w:tcBorders>
            <w:noWrap w:val="0"/>
            <w:vAlign w:val="center"/>
          </w:tcPr>
          <w:p w14:paraId="507CED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5B812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0" w:type="pct"/>
            <w:vMerge w:val="continue"/>
            <w:tcBorders>
              <w:top w:val="nil"/>
              <w:left w:val="single" w:color="auto" w:sz="4" w:space="0"/>
              <w:bottom w:val="single" w:color="auto" w:sz="8" w:space="0"/>
              <w:right w:val="single" w:color="auto" w:sz="8" w:space="0"/>
            </w:tcBorders>
            <w:noWrap w:val="0"/>
            <w:vAlign w:val="center"/>
          </w:tcPr>
          <w:p w14:paraId="458888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15FE6D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14:paraId="7E0416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single" w:color="auto" w:sz="4" w:space="0"/>
              <w:left w:val="single" w:color="auto" w:sz="4" w:space="0"/>
              <w:bottom w:val="single" w:color="auto" w:sz="4" w:space="0"/>
              <w:right w:val="single" w:color="auto" w:sz="4" w:space="0"/>
            </w:tcBorders>
            <w:noWrap w:val="0"/>
            <w:vAlign w:val="center"/>
          </w:tcPr>
          <w:p w14:paraId="4A9592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vMerge w:val="continue"/>
            <w:tcBorders>
              <w:top w:val="single" w:color="auto" w:sz="4" w:space="0"/>
              <w:left w:val="single" w:color="auto" w:sz="4" w:space="0"/>
              <w:bottom w:val="single" w:color="auto" w:sz="4" w:space="0"/>
              <w:right w:val="single" w:color="auto" w:sz="4" w:space="0"/>
            </w:tcBorders>
            <w:noWrap w:val="0"/>
            <w:vAlign w:val="center"/>
          </w:tcPr>
          <w:p w14:paraId="0AA80B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70" w:type="pct"/>
            <w:tcBorders>
              <w:top w:val="nil"/>
              <w:left w:val="nil"/>
              <w:bottom w:val="single" w:color="auto" w:sz="8" w:space="0"/>
              <w:right w:val="single" w:color="auto" w:sz="8" w:space="0"/>
            </w:tcBorders>
            <w:noWrap w:val="0"/>
            <w:vAlign w:val="center"/>
          </w:tcPr>
          <w:p w14:paraId="3FA96C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8" w:space="0"/>
              <w:right w:val="single" w:color="auto" w:sz="8" w:space="0"/>
            </w:tcBorders>
            <w:noWrap w:val="0"/>
            <w:vAlign w:val="center"/>
          </w:tcPr>
          <w:p w14:paraId="4F425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资金使用合规率</w:t>
            </w:r>
          </w:p>
        </w:tc>
        <w:tc>
          <w:tcPr>
            <w:tcW w:w="239" w:type="pct"/>
            <w:tcBorders>
              <w:top w:val="nil"/>
              <w:left w:val="nil"/>
              <w:bottom w:val="single" w:color="auto" w:sz="8" w:space="0"/>
              <w:right w:val="single" w:color="auto" w:sz="8" w:space="0"/>
            </w:tcBorders>
            <w:noWrap w:val="0"/>
            <w:vAlign w:val="center"/>
          </w:tcPr>
          <w:p w14:paraId="408219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700" w:type="pct"/>
            <w:vMerge w:val="continue"/>
            <w:tcBorders>
              <w:left w:val="nil"/>
              <w:bottom w:val="nil"/>
              <w:right w:val="single" w:color="auto" w:sz="8" w:space="0"/>
            </w:tcBorders>
            <w:noWrap w:val="0"/>
            <w:vAlign w:val="center"/>
          </w:tcPr>
          <w:p w14:paraId="009787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p>
        </w:tc>
        <w:tc>
          <w:tcPr>
            <w:tcW w:w="350" w:type="pct"/>
            <w:tcBorders>
              <w:top w:val="nil"/>
              <w:left w:val="nil"/>
              <w:bottom w:val="single" w:color="auto" w:sz="8" w:space="0"/>
              <w:right w:val="single" w:color="auto" w:sz="8" w:space="0"/>
            </w:tcBorders>
            <w:noWrap w:val="0"/>
            <w:vAlign w:val="center"/>
          </w:tcPr>
          <w:p w14:paraId="455CC0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4" w:type="pct"/>
            <w:tcBorders>
              <w:top w:val="nil"/>
              <w:left w:val="nil"/>
              <w:bottom w:val="single" w:color="auto" w:sz="8" w:space="0"/>
              <w:right w:val="single" w:color="auto" w:sz="8" w:space="0"/>
            </w:tcBorders>
            <w:noWrap w:val="0"/>
            <w:vAlign w:val="center"/>
          </w:tcPr>
          <w:p w14:paraId="3707B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2D29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0" w:type="pct"/>
            <w:vMerge w:val="continue"/>
            <w:tcBorders>
              <w:top w:val="nil"/>
              <w:left w:val="single" w:color="auto" w:sz="4" w:space="0"/>
              <w:bottom w:val="single" w:color="auto" w:sz="8" w:space="0"/>
              <w:right w:val="single" w:color="auto" w:sz="8" w:space="0"/>
            </w:tcBorders>
            <w:noWrap w:val="0"/>
            <w:vAlign w:val="center"/>
          </w:tcPr>
          <w:p w14:paraId="08C7D6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8" w:space="0"/>
              <w:right w:val="single" w:color="auto" w:sz="8" w:space="0"/>
            </w:tcBorders>
            <w:noWrap w:val="0"/>
            <w:vAlign w:val="center"/>
          </w:tcPr>
          <w:p w14:paraId="1883E1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restart"/>
            <w:tcBorders>
              <w:top w:val="single" w:color="auto" w:sz="4" w:space="0"/>
              <w:left w:val="single" w:color="auto" w:sz="4" w:space="0"/>
              <w:bottom w:val="single" w:color="auto" w:sz="4" w:space="0"/>
              <w:right w:val="single" w:color="auto" w:sz="4" w:space="0"/>
            </w:tcBorders>
            <w:noWrap w:val="0"/>
            <w:vAlign w:val="center"/>
          </w:tcPr>
          <w:p w14:paraId="13F1C3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产出时效</w:t>
            </w:r>
          </w:p>
        </w:tc>
        <w:tc>
          <w:tcPr>
            <w:tcW w:w="300" w:type="pct"/>
            <w:vMerge w:val="restart"/>
            <w:tcBorders>
              <w:top w:val="single" w:color="auto" w:sz="4" w:space="0"/>
              <w:left w:val="single" w:color="auto" w:sz="4" w:space="0"/>
              <w:bottom w:val="single" w:color="auto" w:sz="4" w:space="0"/>
              <w:right w:val="single" w:color="auto" w:sz="4" w:space="0"/>
            </w:tcBorders>
            <w:noWrap w:val="0"/>
            <w:vAlign w:val="center"/>
          </w:tcPr>
          <w:p w14:paraId="59FD5B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327" w:type="pct"/>
            <w:vMerge w:val="restart"/>
            <w:tcBorders>
              <w:top w:val="single" w:color="auto" w:sz="4" w:space="0"/>
              <w:left w:val="single" w:color="auto" w:sz="4" w:space="0"/>
              <w:bottom w:val="single" w:color="auto" w:sz="4" w:space="0"/>
              <w:right w:val="single" w:color="auto" w:sz="4" w:space="0"/>
            </w:tcBorders>
            <w:noWrap w:val="0"/>
            <w:vAlign w:val="center"/>
          </w:tcPr>
          <w:p w14:paraId="5206CE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完成及时率</w:t>
            </w:r>
          </w:p>
        </w:tc>
        <w:tc>
          <w:tcPr>
            <w:tcW w:w="270" w:type="pct"/>
            <w:tcBorders>
              <w:top w:val="nil"/>
              <w:left w:val="nil"/>
              <w:bottom w:val="single" w:color="auto" w:sz="8" w:space="0"/>
              <w:right w:val="single" w:color="auto" w:sz="8" w:space="0"/>
            </w:tcBorders>
            <w:noWrap w:val="0"/>
            <w:vAlign w:val="center"/>
          </w:tcPr>
          <w:p w14:paraId="1F384D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8" w:space="0"/>
              <w:right w:val="single" w:color="auto" w:sz="8" w:space="0"/>
            </w:tcBorders>
            <w:noWrap w:val="0"/>
            <w:vAlign w:val="center"/>
          </w:tcPr>
          <w:p w14:paraId="5303A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资金支付及时率</w:t>
            </w:r>
          </w:p>
        </w:tc>
        <w:tc>
          <w:tcPr>
            <w:tcW w:w="239" w:type="pct"/>
            <w:tcBorders>
              <w:top w:val="nil"/>
              <w:left w:val="nil"/>
              <w:bottom w:val="single" w:color="auto" w:sz="8" w:space="0"/>
              <w:right w:val="single" w:color="auto" w:sz="8" w:space="0"/>
            </w:tcBorders>
            <w:noWrap w:val="0"/>
            <w:vAlign w:val="center"/>
          </w:tcPr>
          <w:p w14:paraId="3033D0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700" w:type="pct"/>
            <w:vMerge w:val="restart"/>
            <w:tcBorders>
              <w:top w:val="single" w:color="auto" w:sz="8" w:space="0"/>
              <w:left w:val="nil"/>
              <w:right w:val="single" w:color="auto" w:sz="8" w:space="0"/>
            </w:tcBorders>
            <w:noWrap w:val="0"/>
            <w:vAlign w:val="center"/>
          </w:tcPr>
          <w:p w14:paraId="5F035E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若指标完成值达到标杆值，则得100%权重分；否则，得分=（实际完成/预期完成）×100%×指标分值。</w:t>
            </w:r>
          </w:p>
          <w:p w14:paraId="5D6FBB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若在规定时间内完成，得100%权重分；若未在规定的时间内完成，得分=（1-未在规定时间内完成工作数/实际完成工作总数）×分值。</w:t>
            </w:r>
          </w:p>
        </w:tc>
        <w:tc>
          <w:tcPr>
            <w:tcW w:w="350" w:type="pct"/>
            <w:tcBorders>
              <w:top w:val="nil"/>
              <w:left w:val="nil"/>
              <w:bottom w:val="single" w:color="auto" w:sz="8" w:space="0"/>
              <w:right w:val="single" w:color="auto" w:sz="8" w:space="0"/>
            </w:tcBorders>
            <w:noWrap w:val="0"/>
            <w:vAlign w:val="center"/>
          </w:tcPr>
          <w:p w14:paraId="3AC1C4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4" w:type="pct"/>
            <w:tcBorders>
              <w:top w:val="nil"/>
              <w:left w:val="nil"/>
              <w:bottom w:val="single" w:color="auto" w:sz="8" w:space="0"/>
              <w:right w:val="single" w:color="auto" w:sz="8" w:space="0"/>
            </w:tcBorders>
            <w:noWrap w:val="0"/>
            <w:vAlign w:val="center"/>
          </w:tcPr>
          <w:p w14:paraId="1CB901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4AF0F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0" w:type="pct"/>
            <w:vMerge w:val="continue"/>
            <w:tcBorders>
              <w:top w:val="nil"/>
              <w:left w:val="single" w:color="auto" w:sz="4" w:space="0"/>
              <w:bottom w:val="single" w:color="auto" w:sz="4" w:space="0"/>
              <w:right w:val="single" w:color="auto" w:sz="8" w:space="0"/>
            </w:tcBorders>
            <w:noWrap w:val="0"/>
            <w:vAlign w:val="center"/>
          </w:tcPr>
          <w:p w14:paraId="5FAC30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nil"/>
              <w:left w:val="nil"/>
              <w:bottom w:val="single" w:color="auto" w:sz="4" w:space="0"/>
              <w:right w:val="single" w:color="auto" w:sz="8" w:space="0"/>
            </w:tcBorders>
            <w:noWrap w:val="0"/>
            <w:vAlign w:val="center"/>
          </w:tcPr>
          <w:p w14:paraId="23A5C3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14:paraId="30EA46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single" w:color="auto" w:sz="4" w:space="0"/>
              <w:left w:val="single" w:color="auto" w:sz="4" w:space="0"/>
              <w:bottom w:val="single" w:color="auto" w:sz="4" w:space="0"/>
              <w:right w:val="single" w:color="auto" w:sz="4" w:space="0"/>
            </w:tcBorders>
            <w:noWrap w:val="0"/>
            <w:vAlign w:val="center"/>
          </w:tcPr>
          <w:p w14:paraId="2A6ADD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vMerge w:val="continue"/>
            <w:tcBorders>
              <w:top w:val="single" w:color="auto" w:sz="4" w:space="0"/>
              <w:left w:val="single" w:color="auto" w:sz="4" w:space="0"/>
              <w:bottom w:val="single" w:color="auto" w:sz="4" w:space="0"/>
              <w:right w:val="single" w:color="auto" w:sz="4" w:space="0"/>
            </w:tcBorders>
            <w:noWrap w:val="0"/>
            <w:vAlign w:val="center"/>
          </w:tcPr>
          <w:p w14:paraId="44F6DD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70" w:type="pct"/>
            <w:tcBorders>
              <w:top w:val="nil"/>
              <w:left w:val="nil"/>
              <w:bottom w:val="single" w:color="auto" w:sz="4" w:space="0"/>
              <w:right w:val="single" w:color="auto" w:sz="8" w:space="0"/>
            </w:tcBorders>
            <w:noWrap w:val="0"/>
            <w:vAlign w:val="center"/>
          </w:tcPr>
          <w:p w14:paraId="66632B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668" w:type="pct"/>
            <w:tcBorders>
              <w:top w:val="nil"/>
              <w:left w:val="nil"/>
              <w:bottom w:val="single" w:color="auto" w:sz="4" w:space="0"/>
              <w:right w:val="single" w:color="auto" w:sz="8" w:space="0"/>
            </w:tcBorders>
            <w:noWrap w:val="0"/>
            <w:vAlign w:val="center"/>
          </w:tcPr>
          <w:p w14:paraId="116B6E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项目完成时间</w:t>
            </w:r>
          </w:p>
        </w:tc>
        <w:tc>
          <w:tcPr>
            <w:tcW w:w="239" w:type="pct"/>
            <w:tcBorders>
              <w:top w:val="nil"/>
              <w:left w:val="nil"/>
              <w:bottom w:val="single" w:color="auto" w:sz="4" w:space="0"/>
              <w:right w:val="single" w:color="auto" w:sz="8" w:space="0"/>
            </w:tcBorders>
            <w:noWrap w:val="0"/>
            <w:vAlign w:val="center"/>
          </w:tcPr>
          <w:p w14:paraId="64E995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2024年12月</w:t>
            </w:r>
          </w:p>
        </w:tc>
        <w:tc>
          <w:tcPr>
            <w:tcW w:w="1700" w:type="pct"/>
            <w:vMerge w:val="continue"/>
            <w:tcBorders>
              <w:left w:val="nil"/>
              <w:bottom w:val="single" w:color="auto" w:sz="4" w:space="0"/>
              <w:right w:val="single" w:color="auto" w:sz="8" w:space="0"/>
            </w:tcBorders>
            <w:noWrap w:val="0"/>
            <w:vAlign w:val="center"/>
          </w:tcPr>
          <w:p w14:paraId="554330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p>
        </w:tc>
        <w:tc>
          <w:tcPr>
            <w:tcW w:w="350" w:type="pct"/>
            <w:tcBorders>
              <w:top w:val="nil"/>
              <w:left w:val="nil"/>
              <w:bottom w:val="single" w:color="auto" w:sz="4" w:space="0"/>
              <w:right w:val="single" w:color="auto" w:sz="8" w:space="0"/>
            </w:tcBorders>
            <w:noWrap w:val="0"/>
            <w:vAlign w:val="center"/>
          </w:tcPr>
          <w:p w14:paraId="1C37C5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2025年12月</w:t>
            </w:r>
          </w:p>
        </w:tc>
        <w:tc>
          <w:tcPr>
            <w:tcW w:w="324" w:type="pct"/>
            <w:tcBorders>
              <w:top w:val="nil"/>
              <w:left w:val="nil"/>
              <w:bottom w:val="single" w:color="auto" w:sz="4" w:space="0"/>
              <w:right w:val="single" w:color="auto" w:sz="8" w:space="0"/>
            </w:tcBorders>
            <w:noWrap w:val="0"/>
            <w:vAlign w:val="center"/>
          </w:tcPr>
          <w:p w14:paraId="3308BD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17DA7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300" w:type="pct"/>
            <w:vMerge w:val="continue"/>
            <w:tcBorders>
              <w:top w:val="single" w:color="auto" w:sz="4" w:space="0"/>
              <w:left w:val="single" w:color="auto" w:sz="4" w:space="0"/>
              <w:bottom w:val="single" w:color="auto" w:sz="4" w:space="0"/>
              <w:right w:val="single" w:color="auto" w:sz="8" w:space="0"/>
            </w:tcBorders>
            <w:noWrap w:val="0"/>
            <w:vAlign w:val="center"/>
          </w:tcPr>
          <w:p w14:paraId="3F605A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single" w:color="auto" w:sz="4" w:space="0"/>
              <w:left w:val="nil"/>
              <w:bottom w:val="single" w:color="auto" w:sz="4" w:space="0"/>
              <w:right w:val="single" w:color="auto" w:sz="8" w:space="0"/>
            </w:tcBorders>
            <w:noWrap w:val="0"/>
            <w:vAlign w:val="center"/>
          </w:tcPr>
          <w:p w14:paraId="511840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tcBorders>
              <w:top w:val="single" w:color="auto" w:sz="4" w:space="0"/>
              <w:left w:val="single" w:color="auto" w:sz="4" w:space="0"/>
              <w:bottom w:val="single" w:color="auto" w:sz="4" w:space="0"/>
              <w:right w:val="single" w:color="auto" w:sz="4" w:space="0"/>
            </w:tcBorders>
            <w:noWrap w:val="0"/>
            <w:vAlign w:val="center"/>
          </w:tcPr>
          <w:p w14:paraId="741685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产出成本</w:t>
            </w:r>
          </w:p>
        </w:tc>
        <w:tc>
          <w:tcPr>
            <w:tcW w:w="300" w:type="pct"/>
            <w:tcBorders>
              <w:top w:val="single" w:color="auto" w:sz="4" w:space="0"/>
              <w:left w:val="single" w:color="auto" w:sz="4" w:space="0"/>
              <w:bottom w:val="single" w:color="auto" w:sz="4" w:space="0"/>
              <w:right w:val="single" w:color="auto" w:sz="4" w:space="0"/>
            </w:tcBorders>
            <w:noWrap w:val="0"/>
            <w:vAlign w:val="center"/>
          </w:tcPr>
          <w:p w14:paraId="49B428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0853F1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成本节约率</w:t>
            </w:r>
          </w:p>
        </w:tc>
        <w:tc>
          <w:tcPr>
            <w:tcW w:w="270" w:type="pct"/>
            <w:tcBorders>
              <w:top w:val="single" w:color="auto" w:sz="4" w:space="0"/>
              <w:left w:val="nil"/>
              <w:bottom w:val="single" w:color="auto" w:sz="4" w:space="0"/>
              <w:right w:val="single" w:color="auto" w:sz="8" w:space="0"/>
            </w:tcBorders>
            <w:noWrap w:val="0"/>
            <w:vAlign w:val="center"/>
          </w:tcPr>
          <w:p w14:paraId="2444BB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668" w:type="pct"/>
            <w:tcBorders>
              <w:top w:val="single" w:color="auto" w:sz="4" w:space="0"/>
              <w:left w:val="nil"/>
              <w:bottom w:val="single" w:color="auto" w:sz="4" w:space="0"/>
              <w:right w:val="single" w:color="auto" w:sz="8" w:space="0"/>
            </w:tcBorders>
            <w:noWrap w:val="0"/>
            <w:vAlign w:val="center"/>
          </w:tcPr>
          <w:p w14:paraId="0C261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每个村平均建设经费</w:t>
            </w:r>
          </w:p>
        </w:tc>
        <w:tc>
          <w:tcPr>
            <w:tcW w:w="239" w:type="pct"/>
            <w:tcBorders>
              <w:top w:val="single" w:color="auto" w:sz="4" w:space="0"/>
              <w:left w:val="nil"/>
              <w:bottom w:val="single" w:color="auto" w:sz="4" w:space="0"/>
              <w:right w:val="single" w:color="auto" w:sz="8" w:space="0"/>
            </w:tcBorders>
            <w:noWrap w:val="0"/>
            <w:vAlign w:val="center"/>
          </w:tcPr>
          <w:p w14:paraId="23AE21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≤30万元</w:t>
            </w:r>
          </w:p>
        </w:tc>
        <w:tc>
          <w:tcPr>
            <w:tcW w:w="1700" w:type="pct"/>
            <w:tcBorders>
              <w:top w:val="single" w:color="auto" w:sz="4" w:space="0"/>
              <w:left w:val="nil"/>
              <w:bottom w:val="single" w:color="auto" w:sz="4" w:space="0"/>
              <w:right w:val="single" w:color="auto" w:sz="8" w:space="0"/>
            </w:tcBorders>
            <w:noWrap w:val="0"/>
            <w:vAlign w:val="center"/>
          </w:tcPr>
          <w:p w14:paraId="3890E5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实际完成率=（实际支付资金数/计划应支付资金数）×100%。</w:t>
            </w:r>
          </w:p>
          <w:p w14:paraId="0F4219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①实际完成率＞年度指标值，得0得分；</w:t>
            </w:r>
          </w:p>
          <w:p w14:paraId="34A3F9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②实际完成率≤年度指标值，且偏离程度＜20%，得满分；</w:t>
            </w:r>
          </w:p>
          <w:p w14:paraId="3D013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③实际完成率＜年度指标值，且偏离程度≥20%，得分=实际完成率×分值。</w:t>
            </w:r>
          </w:p>
        </w:tc>
        <w:tc>
          <w:tcPr>
            <w:tcW w:w="350" w:type="pct"/>
            <w:tcBorders>
              <w:top w:val="single" w:color="auto" w:sz="4" w:space="0"/>
              <w:left w:val="nil"/>
              <w:bottom w:val="single" w:color="auto" w:sz="4" w:space="0"/>
              <w:right w:val="single" w:color="auto" w:sz="8" w:space="0"/>
            </w:tcBorders>
            <w:noWrap w:val="0"/>
            <w:vAlign w:val="center"/>
          </w:tcPr>
          <w:p w14:paraId="18C625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=29万元</w:t>
            </w:r>
          </w:p>
        </w:tc>
        <w:tc>
          <w:tcPr>
            <w:tcW w:w="324" w:type="pct"/>
            <w:tcBorders>
              <w:top w:val="single" w:color="auto" w:sz="4" w:space="0"/>
              <w:left w:val="nil"/>
              <w:bottom w:val="single" w:color="auto" w:sz="4" w:space="0"/>
              <w:right w:val="single" w:color="auto" w:sz="4" w:space="0"/>
            </w:tcBorders>
            <w:noWrap w:val="0"/>
            <w:vAlign w:val="center"/>
          </w:tcPr>
          <w:p w14:paraId="15074C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9.67 </w:t>
            </w:r>
          </w:p>
        </w:tc>
      </w:tr>
      <w:tr w14:paraId="1C536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0" w:type="pct"/>
            <w:vMerge w:val="restart"/>
            <w:tcBorders>
              <w:top w:val="single" w:color="auto" w:sz="4" w:space="0"/>
              <w:left w:val="single" w:color="auto" w:sz="4" w:space="0"/>
              <w:bottom w:val="single" w:color="auto" w:sz="4" w:space="0"/>
              <w:right w:val="single" w:color="auto" w:sz="8" w:space="0"/>
            </w:tcBorders>
            <w:noWrap w:val="0"/>
            <w:vAlign w:val="center"/>
          </w:tcPr>
          <w:p w14:paraId="0888C9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263" w:type="pct"/>
            <w:vMerge w:val="restart"/>
            <w:tcBorders>
              <w:top w:val="single" w:color="auto" w:sz="4" w:space="0"/>
              <w:left w:val="nil"/>
              <w:bottom w:val="single" w:color="auto" w:sz="4" w:space="0"/>
              <w:right w:val="single" w:color="auto" w:sz="8" w:space="0"/>
            </w:tcBorders>
            <w:noWrap w:val="0"/>
            <w:vAlign w:val="center"/>
          </w:tcPr>
          <w:p w14:paraId="57C4A5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252" w:type="pct"/>
            <w:vMerge w:val="restart"/>
            <w:tcBorders>
              <w:top w:val="single" w:color="auto" w:sz="4" w:space="0"/>
              <w:left w:val="nil"/>
              <w:bottom w:val="single" w:color="auto" w:sz="4" w:space="0"/>
              <w:right w:val="single" w:color="auto" w:sz="8" w:space="0"/>
            </w:tcBorders>
            <w:noWrap w:val="0"/>
            <w:vAlign w:val="center"/>
          </w:tcPr>
          <w:p w14:paraId="2790E3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300" w:type="pct"/>
            <w:vMerge w:val="restart"/>
            <w:tcBorders>
              <w:top w:val="single" w:color="auto" w:sz="4" w:space="0"/>
              <w:left w:val="nil"/>
              <w:bottom w:val="single" w:color="auto" w:sz="4" w:space="0"/>
              <w:right w:val="single" w:color="auto" w:sz="8" w:space="0"/>
            </w:tcBorders>
            <w:noWrap w:val="0"/>
            <w:vAlign w:val="center"/>
          </w:tcPr>
          <w:p w14:paraId="0D3EE5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327" w:type="pct"/>
            <w:tcBorders>
              <w:top w:val="single" w:color="auto" w:sz="4" w:space="0"/>
              <w:left w:val="nil"/>
              <w:bottom w:val="single" w:color="auto" w:sz="4" w:space="0"/>
              <w:right w:val="single" w:color="auto" w:sz="8" w:space="0"/>
            </w:tcBorders>
            <w:noWrap w:val="0"/>
            <w:vAlign w:val="center"/>
          </w:tcPr>
          <w:p w14:paraId="3549C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社会效益</w:t>
            </w:r>
          </w:p>
        </w:tc>
        <w:tc>
          <w:tcPr>
            <w:tcW w:w="270" w:type="pct"/>
            <w:tcBorders>
              <w:top w:val="single" w:color="auto" w:sz="4" w:space="0"/>
              <w:left w:val="nil"/>
              <w:bottom w:val="single" w:color="auto" w:sz="4" w:space="0"/>
              <w:right w:val="single" w:color="auto" w:sz="8" w:space="0"/>
            </w:tcBorders>
            <w:noWrap w:val="0"/>
            <w:vAlign w:val="center"/>
          </w:tcPr>
          <w:p w14:paraId="772791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15</w:t>
            </w:r>
          </w:p>
        </w:tc>
        <w:tc>
          <w:tcPr>
            <w:tcW w:w="668" w:type="pct"/>
            <w:tcBorders>
              <w:top w:val="single" w:color="auto" w:sz="4" w:space="0"/>
              <w:left w:val="nil"/>
              <w:bottom w:val="single" w:color="auto" w:sz="4" w:space="0"/>
              <w:right w:val="single" w:color="auto" w:sz="8" w:space="0"/>
            </w:tcBorders>
            <w:noWrap w:val="0"/>
            <w:vAlign w:val="center"/>
          </w:tcPr>
          <w:p w14:paraId="0FD004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促进基层民生改善</w:t>
            </w:r>
          </w:p>
        </w:tc>
        <w:tc>
          <w:tcPr>
            <w:tcW w:w="239" w:type="pct"/>
            <w:tcBorders>
              <w:top w:val="single" w:color="auto" w:sz="4" w:space="0"/>
              <w:left w:val="nil"/>
              <w:bottom w:val="single" w:color="auto" w:sz="4" w:space="0"/>
              <w:right w:val="single" w:color="auto" w:sz="8" w:space="0"/>
            </w:tcBorders>
            <w:noWrap w:val="0"/>
            <w:vAlign w:val="center"/>
          </w:tcPr>
          <w:p w14:paraId="205A32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有效促进</w:t>
            </w:r>
          </w:p>
        </w:tc>
        <w:tc>
          <w:tcPr>
            <w:tcW w:w="1700" w:type="pct"/>
            <w:tcBorders>
              <w:top w:val="single" w:color="auto" w:sz="4" w:space="0"/>
              <w:left w:val="nil"/>
              <w:bottom w:val="single" w:color="auto" w:sz="4" w:space="0"/>
              <w:right w:val="single" w:color="auto" w:sz="8" w:space="0"/>
            </w:tcBorders>
            <w:noWrap w:val="0"/>
            <w:vAlign w:val="center"/>
          </w:tcPr>
          <w:p w14:paraId="1D7D37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按评判等级赋分。分为基本达成目标、部分实现目标、实现目标程度较低三个档次，并分别按照该指标对应分值区间100%-80%（含）、80%-60%（含）、60%-0%合理确定分值。</w:t>
            </w:r>
          </w:p>
        </w:tc>
        <w:tc>
          <w:tcPr>
            <w:tcW w:w="350" w:type="pct"/>
            <w:tcBorders>
              <w:top w:val="single" w:color="auto" w:sz="4" w:space="0"/>
              <w:left w:val="nil"/>
              <w:bottom w:val="single" w:color="auto" w:sz="4" w:space="0"/>
              <w:right w:val="single" w:color="auto" w:sz="8" w:space="0"/>
            </w:tcBorders>
            <w:noWrap w:val="0"/>
            <w:vAlign w:val="center"/>
          </w:tcPr>
          <w:p w14:paraId="5C56ED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有效促进</w:t>
            </w:r>
          </w:p>
        </w:tc>
        <w:tc>
          <w:tcPr>
            <w:tcW w:w="324" w:type="pct"/>
            <w:tcBorders>
              <w:top w:val="single" w:color="auto" w:sz="4" w:space="0"/>
              <w:left w:val="nil"/>
              <w:bottom w:val="single" w:color="auto" w:sz="4" w:space="0"/>
              <w:right w:val="single" w:color="auto" w:sz="4" w:space="0"/>
            </w:tcBorders>
            <w:noWrap w:val="0"/>
            <w:vAlign w:val="center"/>
          </w:tcPr>
          <w:p w14:paraId="16EED5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15</w:t>
            </w:r>
          </w:p>
        </w:tc>
      </w:tr>
      <w:tr w14:paraId="24DA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0" w:type="pct"/>
            <w:vMerge w:val="continue"/>
            <w:tcBorders>
              <w:top w:val="single" w:color="auto" w:sz="4" w:space="0"/>
              <w:left w:val="single" w:color="auto" w:sz="4" w:space="0"/>
              <w:bottom w:val="single" w:color="auto" w:sz="8" w:space="0"/>
              <w:right w:val="single" w:color="auto" w:sz="8" w:space="0"/>
            </w:tcBorders>
            <w:noWrap w:val="0"/>
            <w:vAlign w:val="center"/>
          </w:tcPr>
          <w:p w14:paraId="2B3DBD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3" w:type="pct"/>
            <w:vMerge w:val="continue"/>
            <w:tcBorders>
              <w:top w:val="single" w:color="auto" w:sz="4" w:space="0"/>
              <w:left w:val="nil"/>
              <w:bottom w:val="single" w:color="auto" w:sz="8" w:space="0"/>
              <w:right w:val="single" w:color="auto" w:sz="8" w:space="0"/>
            </w:tcBorders>
            <w:noWrap w:val="0"/>
            <w:vAlign w:val="center"/>
          </w:tcPr>
          <w:p w14:paraId="64E7B3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2" w:type="pct"/>
            <w:vMerge w:val="continue"/>
            <w:tcBorders>
              <w:top w:val="single" w:color="auto" w:sz="4" w:space="0"/>
              <w:left w:val="nil"/>
              <w:bottom w:val="single" w:color="auto" w:sz="8" w:space="0"/>
              <w:right w:val="single" w:color="auto" w:sz="8" w:space="0"/>
            </w:tcBorders>
            <w:noWrap w:val="0"/>
            <w:vAlign w:val="center"/>
          </w:tcPr>
          <w:p w14:paraId="54D83A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vMerge w:val="continue"/>
            <w:tcBorders>
              <w:top w:val="single" w:color="auto" w:sz="4" w:space="0"/>
              <w:left w:val="nil"/>
              <w:bottom w:val="single" w:color="auto" w:sz="8" w:space="0"/>
              <w:right w:val="single" w:color="auto" w:sz="8" w:space="0"/>
            </w:tcBorders>
            <w:noWrap w:val="0"/>
            <w:vAlign w:val="center"/>
          </w:tcPr>
          <w:p w14:paraId="0C10DF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7" w:type="pct"/>
            <w:tcBorders>
              <w:top w:val="single" w:color="auto" w:sz="4" w:space="0"/>
              <w:left w:val="nil"/>
              <w:bottom w:val="single" w:color="auto" w:sz="8" w:space="0"/>
              <w:right w:val="single" w:color="auto" w:sz="8" w:space="0"/>
            </w:tcBorders>
            <w:noWrap w:val="0"/>
            <w:vAlign w:val="center"/>
          </w:tcPr>
          <w:p w14:paraId="7D697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服务对象满意度</w:t>
            </w:r>
          </w:p>
        </w:tc>
        <w:tc>
          <w:tcPr>
            <w:tcW w:w="270" w:type="pct"/>
            <w:tcBorders>
              <w:top w:val="single" w:color="auto" w:sz="4" w:space="0"/>
              <w:left w:val="nil"/>
              <w:bottom w:val="single" w:color="auto" w:sz="8" w:space="0"/>
              <w:right w:val="single" w:color="auto" w:sz="8" w:space="0"/>
            </w:tcBorders>
            <w:noWrap w:val="0"/>
            <w:vAlign w:val="center"/>
          </w:tcPr>
          <w:p w14:paraId="76D3D7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668" w:type="pct"/>
            <w:tcBorders>
              <w:top w:val="single" w:color="auto" w:sz="4" w:space="0"/>
              <w:left w:val="nil"/>
              <w:bottom w:val="single" w:color="auto" w:sz="8" w:space="0"/>
              <w:right w:val="single" w:color="auto" w:sz="8" w:space="0"/>
            </w:tcBorders>
            <w:noWrap w:val="0"/>
            <w:vAlign w:val="center"/>
          </w:tcPr>
          <w:p w14:paraId="75E784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受益群众满意度</w:t>
            </w:r>
          </w:p>
        </w:tc>
        <w:tc>
          <w:tcPr>
            <w:tcW w:w="239" w:type="pct"/>
            <w:tcBorders>
              <w:top w:val="single" w:color="auto" w:sz="4" w:space="0"/>
              <w:left w:val="nil"/>
              <w:bottom w:val="single" w:color="auto" w:sz="8" w:space="0"/>
              <w:right w:val="single" w:color="auto" w:sz="8" w:space="0"/>
            </w:tcBorders>
            <w:noWrap w:val="0"/>
            <w:vAlign w:val="center"/>
          </w:tcPr>
          <w:p w14:paraId="2154F5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≥95%</w:t>
            </w:r>
          </w:p>
        </w:tc>
        <w:tc>
          <w:tcPr>
            <w:tcW w:w="1700" w:type="pct"/>
            <w:tcBorders>
              <w:top w:val="single" w:color="auto" w:sz="4" w:space="0"/>
              <w:left w:val="nil"/>
              <w:bottom w:val="single" w:color="auto" w:sz="8" w:space="0"/>
              <w:right w:val="single" w:color="auto" w:sz="8" w:space="0"/>
            </w:tcBorders>
            <w:noWrap w:val="0"/>
            <w:vAlign w:val="center"/>
          </w:tcPr>
          <w:p w14:paraId="1CA7D3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根据问卷调查，满意度达到标杆值，得权重分的100%；否则低于95%，得分=实际满意度*指标分值。</w:t>
            </w:r>
          </w:p>
        </w:tc>
        <w:tc>
          <w:tcPr>
            <w:tcW w:w="350" w:type="pct"/>
            <w:tcBorders>
              <w:top w:val="single" w:color="auto" w:sz="4" w:space="0"/>
              <w:left w:val="nil"/>
              <w:bottom w:val="single" w:color="auto" w:sz="8" w:space="0"/>
              <w:right w:val="single" w:color="auto" w:sz="8" w:space="0"/>
            </w:tcBorders>
            <w:noWrap w:val="0"/>
            <w:vAlign w:val="center"/>
          </w:tcPr>
          <w:p w14:paraId="71E8EB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4" w:type="pct"/>
            <w:tcBorders>
              <w:top w:val="single" w:color="auto" w:sz="4" w:space="0"/>
              <w:left w:val="nil"/>
              <w:bottom w:val="single" w:color="auto" w:sz="8" w:space="0"/>
              <w:right w:val="single" w:color="auto" w:sz="8" w:space="0"/>
            </w:tcBorders>
            <w:noWrap w:val="0"/>
            <w:vAlign w:val="center"/>
          </w:tcPr>
          <w:p w14:paraId="4FB620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r>
      <w:tr w14:paraId="7B185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0" w:type="pct"/>
            <w:tcBorders>
              <w:top w:val="nil"/>
              <w:left w:val="single" w:color="auto" w:sz="8" w:space="0"/>
              <w:bottom w:val="single" w:color="auto" w:sz="8" w:space="0"/>
              <w:right w:val="single" w:color="auto" w:sz="8" w:space="0"/>
            </w:tcBorders>
            <w:noWrap w:val="0"/>
            <w:vAlign w:val="center"/>
          </w:tcPr>
          <w:p w14:paraId="0FAE06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总分</w:t>
            </w:r>
          </w:p>
        </w:tc>
        <w:tc>
          <w:tcPr>
            <w:tcW w:w="263" w:type="pct"/>
            <w:tcBorders>
              <w:top w:val="nil"/>
              <w:left w:val="nil"/>
              <w:bottom w:val="single" w:color="auto" w:sz="8" w:space="0"/>
              <w:right w:val="single" w:color="auto" w:sz="8" w:space="0"/>
            </w:tcBorders>
            <w:noWrap w:val="0"/>
            <w:vAlign w:val="center"/>
          </w:tcPr>
          <w:p w14:paraId="2EB6D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252" w:type="pct"/>
            <w:tcBorders>
              <w:top w:val="nil"/>
              <w:left w:val="nil"/>
              <w:bottom w:val="single" w:color="auto" w:sz="8" w:space="0"/>
              <w:right w:val="single" w:color="auto" w:sz="8" w:space="0"/>
            </w:tcBorders>
            <w:noWrap w:val="0"/>
            <w:vAlign w:val="center"/>
          </w:tcPr>
          <w:p w14:paraId="131448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00" w:type="pct"/>
            <w:tcBorders>
              <w:top w:val="nil"/>
              <w:left w:val="nil"/>
              <w:bottom w:val="single" w:color="auto" w:sz="8" w:space="0"/>
              <w:right w:val="single" w:color="auto" w:sz="8" w:space="0"/>
            </w:tcBorders>
            <w:noWrap w:val="0"/>
            <w:vAlign w:val="center"/>
          </w:tcPr>
          <w:p w14:paraId="1307ED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27" w:type="pct"/>
            <w:tcBorders>
              <w:top w:val="nil"/>
              <w:left w:val="nil"/>
              <w:bottom w:val="single" w:color="auto" w:sz="8" w:space="0"/>
              <w:right w:val="single" w:color="auto" w:sz="8" w:space="0"/>
            </w:tcBorders>
            <w:noWrap w:val="0"/>
            <w:vAlign w:val="center"/>
          </w:tcPr>
          <w:p w14:paraId="4F69CE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70" w:type="pct"/>
            <w:tcBorders>
              <w:top w:val="nil"/>
              <w:left w:val="nil"/>
              <w:bottom w:val="single" w:color="auto" w:sz="8" w:space="0"/>
              <w:right w:val="single" w:color="auto" w:sz="8" w:space="0"/>
            </w:tcBorders>
            <w:noWrap w:val="0"/>
            <w:vAlign w:val="center"/>
          </w:tcPr>
          <w:p w14:paraId="1D4A04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668" w:type="pct"/>
            <w:tcBorders>
              <w:top w:val="nil"/>
              <w:left w:val="nil"/>
              <w:bottom w:val="single" w:color="auto" w:sz="8" w:space="0"/>
              <w:right w:val="single" w:color="auto" w:sz="8" w:space="0"/>
            </w:tcBorders>
            <w:noWrap w:val="0"/>
            <w:vAlign w:val="center"/>
          </w:tcPr>
          <w:p w14:paraId="4521A3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39" w:type="pct"/>
            <w:tcBorders>
              <w:top w:val="nil"/>
              <w:left w:val="nil"/>
              <w:bottom w:val="single" w:color="auto" w:sz="8" w:space="0"/>
              <w:right w:val="single" w:color="auto" w:sz="8" w:space="0"/>
            </w:tcBorders>
            <w:noWrap w:val="0"/>
            <w:vAlign w:val="center"/>
          </w:tcPr>
          <w:p w14:paraId="4D2CD7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w:t>
            </w:r>
          </w:p>
        </w:tc>
        <w:tc>
          <w:tcPr>
            <w:tcW w:w="1700" w:type="pct"/>
            <w:tcBorders>
              <w:top w:val="nil"/>
              <w:left w:val="nil"/>
              <w:bottom w:val="single" w:color="auto" w:sz="8" w:space="0"/>
              <w:right w:val="single" w:color="auto" w:sz="8" w:space="0"/>
            </w:tcBorders>
            <w:noWrap w:val="0"/>
            <w:vAlign w:val="center"/>
          </w:tcPr>
          <w:p w14:paraId="5E7F526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4"/>
                <w:szCs w:val="24"/>
                <w:u w:val="none"/>
              </w:rPr>
            </w:pPr>
          </w:p>
        </w:tc>
        <w:tc>
          <w:tcPr>
            <w:tcW w:w="350" w:type="pct"/>
            <w:tcBorders>
              <w:top w:val="nil"/>
              <w:left w:val="nil"/>
              <w:bottom w:val="single" w:color="auto" w:sz="8" w:space="0"/>
              <w:right w:val="single" w:color="auto" w:sz="8" w:space="0"/>
            </w:tcBorders>
            <w:noWrap w:val="0"/>
            <w:vAlign w:val="center"/>
          </w:tcPr>
          <w:p w14:paraId="1200E7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24" w:type="pct"/>
            <w:tcBorders>
              <w:top w:val="nil"/>
              <w:left w:val="nil"/>
              <w:bottom w:val="single" w:color="auto" w:sz="8" w:space="0"/>
              <w:right w:val="single" w:color="auto" w:sz="8" w:space="0"/>
            </w:tcBorders>
            <w:noWrap w:val="0"/>
            <w:vAlign w:val="center"/>
          </w:tcPr>
          <w:p w14:paraId="2C0535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99.6</w:t>
            </w:r>
          </w:p>
        </w:tc>
      </w:tr>
    </w:tbl>
    <w:p w14:paraId="0CCFF0B1">
      <w:pPr>
        <w:pStyle w:val="10"/>
        <w:jc w:val="both"/>
        <w:rPr>
          <w:rFonts w:hint="eastAsia" w:ascii="宋体" w:hAnsi="宋体" w:eastAsia="宋体" w:cs="宋体"/>
          <w:color w:val="auto"/>
          <w:sz w:val="24"/>
          <w:szCs w:val="24"/>
          <w:highlight w:val="none"/>
          <w:lang w:eastAsia="zh-CN"/>
        </w:rPr>
      </w:pPr>
    </w:p>
    <w:p w14:paraId="5BA90FDA">
      <w:pPr>
        <w:pStyle w:val="10"/>
        <w:jc w:val="both"/>
        <w:rPr>
          <w:rFonts w:hint="eastAsia" w:ascii="宋体" w:hAnsi="宋体" w:eastAsia="宋体" w:cs="宋体"/>
          <w:color w:val="auto"/>
          <w:sz w:val="24"/>
          <w:szCs w:val="24"/>
          <w:highlight w:val="none"/>
          <w:lang w:eastAsia="zh-CN"/>
        </w:rPr>
      </w:pPr>
    </w:p>
    <w:p w14:paraId="0F1F61EE">
      <w:pPr>
        <w:pStyle w:val="10"/>
        <w:jc w:val="both"/>
        <w:rPr>
          <w:rFonts w:hint="eastAsia" w:ascii="宋体" w:hAnsi="宋体" w:eastAsia="宋体" w:cs="宋体"/>
          <w:color w:val="auto"/>
          <w:sz w:val="24"/>
          <w:szCs w:val="24"/>
          <w:highlight w:val="none"/>
          <w:lang w:eastAsia="zh-CN"/>
        </w:rPr>
      </w:pPr>
    </w:p>
    <w:p w14:paraId="4F6A936C">
      <w:pPr>
        <w:pStyle w:val="10"/>
        <w:jc w:val="both"/>
        <w:rPr>
          <w:rFonts w:hint="eastAsia" w:ascii="宋体" w:hAnsi="宋体" w:eastAsia="宋体" w:cs="宋体"/>
          <w:color w:val="auto"/>
          <w:sz w:val="24"/>
          <w:szCs w:val="24"/>
          <w:highlight w:val="none"/>
          <w:lang w:eastAsia="zh-CN"/>
        </w:rPr>
      </w:pPr>
    </w:p>
    <w:p w14:paraId="779CBED6">
      <w:pPr>
        <w:pStyle w:val="10"/>
        <w:rPr>
          <w:rFonts w:hint="eastAsia" w:ascii="宋体" w:hAnsi="宋体" w:eastAsia="宋体" w:cs="宋体"/>
          <w:color w:val="auto"/>
          <w:sz w:val="24"/>
          <w:szCs w:val="24"/>
          <w:highlight w:val="none"/>
          <w:lang w:eastAsia="zh-CN"/>
        </w:rPr>
      </w:pPr>
    </w:p>
    <w:p w14:paraId="5F127ABB">
      <w:pPr>
        <w:pStyle w:val="10"/>
        <w:rPr>
          <w:rFonts w:hint="eastAsia" w:ascii="宋体" w:hAnsi="宋体" w:eastAsia="宋体" w:cs="宋体"/>
          <w:color w:val="auto"/>
          <w:sz w:val="24"/>
          <w:szCs w:val="24"/>
          <w:highlight w:val="none"/>
          <w:lang w:eastAsia="zh-CN"/>
        </w:rPr>
      </w:pPr>
    </w:p>
    <w:p w14:paraId="411353CA">
      <w:pPr>
        <w:pStyle w:val="10"/>
        <w:rPr>
          <w:rFonts w:hint="eastAsia" w:ascii="宋体" w:hAnsi="宋体" w:eastAsia="宋体" w:cs="宋体"/>
          <w:color w:val="auto"/>
          <w:sz w:val="24"/>
          <w:szCs w:val="24"/>
          <w:highlight w:val="none"/>
          <w:lang w:eastAsia="zh-CN"/>
        </w:rPr>
      </w:pPr>
    </w:p>
    <w:p w14:paraId="34EC457D">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143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640"/>
        <w:gridCol w:w="1022"/>
      </w:tblGrid>
      <w:tr w14:paraId="07834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8EA22C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09765F79">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2852D8D6">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0B56196F">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19D70693">
            <w:pPr>
              <w:rPr>
                <w:rFonts w:hint="eastAsia" w:ascii="宋体" w:hAnsi="宋体" w:eastAsia="宋体" w:cs="宋体"/>
                <w:i w:val="0"/>
                <w:iCs w:val="0"/>
                <w:color w:val="auto"/>
                <w:sz w:val="22"/>
                <w:szCs w:val="22"/>
                <w:highlight w:val="none"/>
                <w:u w:val="none"/>
              </w:rPr>
            </w:pPr>
          </w:p>
        </w:tc>
        <w:tc>
          <w:tcPr>
            <w:tcW w:w="1640" w:type="dxa"/>
            <w:tcBorders>
              <w:top w:val="nil"/>
              <w:left w:val="nil"/>
              <w:bottom w:val="nil"/>
              <w:right w:val="nil"/>
            </w:tcBorders>
            <w:noWrap/>
            <w:vAlign w:val="center"/>
          </w:tcPr>
          <w:p w14:paraId="283572C1">
            <w:pPr>
              <w:rPr>
                <w:rFonts w:hint="eastAsia" w:ascii="宋体" w:hAnsi="宋体" w:eastAsia="宋体" w:cs="宋体"/>
                <w:i w:val="0"/>
                <w:iCs w:val="0"/>
                <w:color w:val="auto"/>
                <w:sz w:val="22"/>
                <w:szCs w:val="22"/>
                <w:highlight w:val="none"/>
                <w:u w:val="none"/>
              </w:rPr>
            </w:pPr>
          </w:p>
        </w:tc>
        <w:tc>
          <w:tcPr>
            <w:tcW w:w="1022" w:type="dxa"/>
            <w:tcBorders>
              <w:top w:val="nil"/>
              <w:left w:val="nil"/>
              <w:bottom w:val="nil"/>
              <w:right w:val="nil"/>
            </w:tcBorders>
            <w:noWrap/>
            <w:vAlign w:val="center"/>
          </w:tcPr>
          <w:p w14:paraId="3DF9C138">
            <w:pPr>
              <w:rPr>
                <w:rFonts w:hint="eastAsia" w:ascii="宋体" w:hAnsi="宋体" w:eastAsia="宋体" w:cs="宋体"/>
                <w:i w:val="0"/>
                <w:iCs w:val="0"/>
                <w:color w:val="auto"/>
                <w:sz w:val="22"/>
                <w:szCs w:val="22"/>
                <w:highlight w:val="none"/>
                <w:u w:val="none"/>
              </w:rPr>
            </w:pPr>
          </w:p>
        </w:tc>
      </w:tr>
      <w:tr w14:paraId="18888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330" w:type="dxa"/>
            <w:gridSpan w:val="6"/>
            <w:tcBorders>
              <w:top w:val="nil"/>
              <w:left w:val="nil"/>
              <w:bottom w:val="nil"/>
              <w:right w:val="nil"/>
            </w:tcBorders>
            <w:noWrap/>
            <w:vAlign w:val="center"/>
          </w:tcPr>
          <w:p w14:paraId="15A000DB">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专项资金-和地财建[2024]26号：2024年第三批自治区预算内投资-和田地区洛浦县综合发展和环境改善工程项目综合得分表</w:t>
            </w:r>
          </w:p>
        </w:tc>
        <w:tc>
          <w:tcPr>
            <w:tcW w:w="1022" w:type="dxa"/>
            <w:tcBorders>
              <w:top w:val="nil"/>
              <w:left w:val="nil"/>
              <w:bottom w:val="nil"/>
              <w:right w:val="nil"/>
            </w:tcBorders>
            <w:noWrap/>
            <w:vAlign w:val="center"/>
          </w:tcPr>
          <w:p w14:paraId="556CC686">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highlight w:val="none"/>
                <w:u w:val="none"/>
                <w:lang w:val="en-US" w:eastAsia="zh-CN"/>
              </w:rPr>
            </w:pPr>
          </w:p>
        </w:tc>
      </w:tr>
      <w:tr w14:paraId="2EEB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022" w:type="dxa"/>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487C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C075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8470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42BB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90DF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项目效益</w:t>
            </w:r>
          </w:p>
        </w:tc>
        <w:tc>
          <w:tcPr>
            <w:tcW w:w="164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2127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合计</w:t>
            </w:r>
          </w:p>
        </w:tc>
      </w:tr>
      <w:tr w14:paraId="198C4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022" w:type="dxa"/>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BEB6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B33AE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367AD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4B7E7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242D2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25</w:t>
            </w: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26976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100</w:t>
            </w:r>
          </w:p>
        </w:tc>
      </w:tr>
      <w:tr w14:paraId="3DB8A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022" w:type="dxa"/>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E33C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0F85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87A7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11.93</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5450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39.67</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4037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25</w:t>
            </w: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111F1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99.6</w:t>
            </w:r>
          </w:p>
        </w:tc>
      </w:tr>
      <w:tr w14:paraId="2AC7A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022" w:type="dxa"/>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B280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0979A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F733C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99%</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BEDBF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99.18%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B35FE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u w:val="none"/>
                <w:lang w:val="en-US" w:eastAsia="zh-CN"/>
              </w:rPr>
              <w:t>100%</w:t>
            </w:r>
          </w:p>
        </w:tc>
        <w:tc>
          <w:tcPr>
            <w:tcW w:w="1640" w:type="dxa"/>
            <w:tcBorders>
              <w:top w:val="single" w:color="auto" w:sz="4" w:space="0"/>
              <w:left w:val="single" w:color="auto" w:sz="4" w:space="0"/>
              <w:bottom w:val="single" w:color="auto" w:sz="4" w:space="0"/>
              <w:right w:val="single" w:color="auto" w:sz="4" w:space="0"/>
            </w:tcBorders>
            <w:noWrap w:val="0"/>
            <w:vAlign w:val="center"/>
          </w:tcPr>
          <w:p w14:paraId="753FEB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000000"/>
                <w:kern w:val="0"/>
                <w:sz w:val="24"/>
                <w:szCs w:val="24"/>
                <w:u w:val="none"/>
                <w:lang w:val="en-US" w:eastAsia="zh-CN"/>
              </w:rPr>
              <w:t>99.6%</w:t>
            </w:r>
          </w:p>
        </w:tc>
      </w:tr>
    </w:tbl>
    <w:p w14:paraId="79997DF7">
      <w:pPr>
        <w:pStyle w:val="10"/>
        <w:ind w:left="0" w:leftChars="0" w:firstLine="0" w:firstLineChars="0"/>
        <w:jc w:val="both"/>
        <w:rPr>
          <w:rFonts w:hint="default" w:ascii="宋体" w:hAnsi="宋体" w:eastAsia="宋体" w:cs="宋体"/>
          <w:color w:val="auto"/>
          <w:sz w:val="24"/>
          <w:szCs w:val="24"/>
          <w:highlight w:val="none"/>
          <w:lang w:val="en-US" w:eastAsia="zh-CN"/>
        </w:rPr>
      </w:pPr>
    </w:p>
    <w:p w14:paraId="4E61796D">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46EB6FB5">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25E37FEA">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专项资金-和地财建[2024]26号：2024年第三批自治区预算内投资-和田地区洛浦县综合发展和环境改善工程项目满意度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4A580B33">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6F964985">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28</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0F20C01D">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2D857BA6">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left"/>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和田地区洛浦县综合发展和环境改善工程的收益群众</w:t>
      </w:r>
      <w:r>
        <w:rPr>
          <w:rFonts w:hint="eastAsia" w:ascii="宋体" w:hAnsi="宋体" w:eastAsia="宋体" w:cs="宋体"/>
          <w:color w:val="auto"/>
          <w:sz w:val="24"/>
          <w:szCs w:val="24"/>
          <w:highlight w:val="none"/>
        </w:rPr>
        <w:t>。</w:t>
      </w:r>
    </w:p>
    <w:p w14:paraId="26DCD878">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6ADB1832">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①您对和田地区洛浦县综合发展和环境改善工程项目的实施内容是否满意?</w:t>
      </w:r>
    </w:p>
    <w:p w14:paraId="24ACD505">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非常满意          满意        一般        不满意</w:t>
      </w:r>
    </w:p>
    <w:p w14:paraId="3BEA0E19">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②您对和田地区洛浦县综合发展和环境改善工程项目的实施过程是否满意？</w:t>
      </w:r>
    </w:p>
    <w:p w14:paraId="2F20EF82">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非常满意          满意        一般        不满意</w:t>
      </w:r>
    </w:p>
    <w:p w14:paraId="5C9EA841">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③总的来说，您对目前和田地区洛浦县综合发展和环境改善工程项目实施后的整体满意程度如何？</w:t>
      </w:r>
    </w:p>
    <w:p w14:paraId="75B70B7D">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非常满意          满意        一般        不满意</w:t>
      </w:r>
    </w:p>
    <w:p w14:paraId="4A541D39">
      <w:pPr>
        <w:pStyle w:val="10"/>
        <w:keepNext w:val="0"/>
        <w:keepLines w:val="0"/>
        <w:pageBreakBefore w:val="0"/>
        <w:widowControl w:val="0"/>
        <w:kinsoku/>
        <w:wordWrap/>
        <w:overflowPunct/>
        <w:topLinePunct w:val="0"/>
        <w:autoSpaceDE/>
        <w:autoSpaceDN/>
        <w:bidi w:val="0"/>
        <w:adjustRightInd/>
        <w:snapToGrid/>
        <w:spacing w:before="0" w:after="0" w:line="348"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564450AE">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66BF7953">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5C03C8C6">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0C9AE498">
      <w:pPr>
        <w:keepNext w:val="0"/>
        <w:keepLines w:val="0"/>
        <w:pageBreakBefore w:val="0"/>
        <w:widowControl w:val="0"/>
        <w:kinsoku/>
        <w:wordWrap/>
        <w:overflowPunct/>
        <w:topLinePunct w:val="0"/>
        <w:autoSpaceDE/>
        <w:autoSpaceDN/>
        <w:bidi w:val="0"/>
        <w:adjustRightInd/>
        <w:snapToGrid/>
        <w:spacing w:line="348"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6BA9A1AE">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705EE0A">
      <w:pPr>
        <w:pStyle w:val="10"/>
        <w:keepNext w:val="0"/>
        <w:keepLines w:val="0"/>
        <w:pageBreakBefore w:val="0"/>
        <w:widowControl w:val="0"/>
        <w:kinsoku/>
        <w:wordWrap/>
        <w:overflowPunct/>
        <w:topLinePunct w:val="0"/>
        <w:autoSpaceDE/>
        <w:autoSpaceDN/>
        <w:bidi w:val="0"/>
        <w:adjustRightInd/>
        <w:snapToGrid/>
        <w:spacing w:before="0" w:after="0" w:line="348"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57691A07">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1714572B">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2A658E90">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209B1ED0">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1B9B2D69">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34491526">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和田地区洛浦县综合发展和环境改善工程项目针对受益人员发放30份调查问卷，最终统计受益人群满意度为100%。</w:t>
      </w:r>
    </w:p>
    <w:p w14:paraId="3A264B7A">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洛浦县多鲁镇人民政府</w:t>
      </w:r>
    </w:p>
    <w:p w14:paraId="478CECE5">
      <w:pPr>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2025年3月1日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46FC2E-FEF4-494A-B541-4D6D33D23C7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2" w:fontKey="{EE789112-AEFF-4266-A72E-87C56D05FAF9}"/>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1BAFFC4A-06D5-4921-9BA2-C51E6A57A0B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32EB2">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A8956">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6"/>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248C179"/>
    <w:multiLevelType w:val="singleLevel"/>
    <w:tmpl w:val="0248C179"/>
    <w:lvl w:ilvl="0" w:tentative="0">
      <w:start w:val="7"/>
      <w:numFmt w:val="chineseCounting"/>
      <w:suff w:val="nothing"/>
      <w:lvlText w:val="%1、"/>
      <w:lvlJc w:val="left"/>
      <w:rPr>
        <w:rFonts w:hint="eastAsia"/>
      </w:rPr>
    </w:lvl>
  </w:abstractNum>
  <w:abstractNum w:abstractNumId="5">
    <w:nsid w:val="03D62ECE"/>
    <w:multiLevelType w:val="singleLevel"/>
    <w:tmpl w:val="03D62ECE"/>
    <w:lvl w:ilvl="0" w:tentative="0">
      <w:start w:val="1"/>
      <w:numFmt w:val="decimal"/>
      <w:suff w:val="nothing"/>
      <w:lvlText w:val="（%1）"/>
      <w:lvlJc w:val="left"/>
    </w:lvl>
  </w:abstractNum>
  <w:abstractNum w:abstractNumId="6">
    <w:nsid w:val="25B654F3"/>
    <w:multiLevelType w:val="singleLevel"/>
    <w:tmpl w:val="25B654F3"/>
    <w:lvl w:ilvl="0" w:tentative="0">
      <w:start w:val="2"/>
      <w:numFmt w:val="chineseCounting"/>
      <w:suff w:val="nothing"/>
      <w:lvlText w:val="（%1）"/>
      <w:lvlJc w:val="left"/>
      <w:rPr>
        <w:rFonts w:hint="eastAsia"/>
      </w:rPr>
    </w:lvl>
  </w:abstractNum>
  <w:abstractNum w:abstractNumId="7">
    <w:nsid w:val="59ADCABA"/>
    <w:multiLevelType w:val="singleLevel"/>
    <w:tmpl w:val="59ADCABA"/>
    <w:lvl w:ilvl="0" w:tentative="0">
      <w:start w:val="1"/>
      <w:numFmt w:val="decimal"/>
      <w:suff w:val="nothing"/>
      <w:lvlText w:val="%1）"/>
      <w:lvlJc w:val="left"/>
    </w:lvl>
  </w:abstractNum>
  <w:abstractNum w:abstractNumId="8">
    <w:nsid w:val="72183CF9"/>
    <w:multiLevelType w:val="singleLevel"/>
    <w:tmpl w:val="72183CF9"/>
    <w:lvl w:ilvl="0" w:tentative="0">
      <w:start w:val="1"/>
      <w:numFmt w:val="decimal"/>
      <w:lvlText w:val="%1."/>
      <w:lvlJc w:val="left"/>
      <w:pPr>
        <w:tabs>
          <w:tab w:val="left" w:pos="312"/>
        </w:tabs>
      </w:p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A2F405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0"/>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2"/>
    <w:unhideWhenUsed/>
    <w:qFormat/>
    <w:uiPriority w:val="0"/>
    <w:pPr>
      <w:ind w:firstLine="420"/>
    </w:pPr>
  </w:style>
  <w:style w:type="paragraph" w:styleId="4">
    <w:name w:val="Body Text Indent"/>
    <w:basedOn w:val="1"/>
    <w:link w:val="31"/>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标题 1 Char"/>
    <w:link w:val="2"/>
    <w:qFormat/>
    <w:uiPriority w:val="9"/>
    <w:rPr>
      <w:rFonts w:ascii="Times New Roman" w:hAnsi="Times New Roman" w:eastAsia="仿宋_GB2312" w:cs="Times New Roman"/>
      <w:b/>
      <w:bCs/>
      <w:kern w:val="44"/>
      <w:sz w:val="32"/>
      <w:szCs w:val="44"/>
    </w:rPr>
  </w:style>
  <w:style w:type="character" w:customStyle="1" w:styleId="31">
    <w:name w:val="正文文本缩进 Char"/>
    <w:link w:val="4"/>
    <w:semiHidden/>
    <w:qFormat/>
    <w:uiPriority w:val="99"/>
    <w:rPr>
      <w:rFonts w:ascii="Calibri" w:hAnsi="Calibri" w:eastAsia="仿宋_GB2312" w:cs="黑体"/>
      <w:sz w:val="28"/>
    </w:rPr>
  </w:style>
  <w:style w:type="character" w:customStyle="1" w:styleId="32">
    <w:name w:val="正文首行缩进 2 Char"/>
    <w:link w:val="3"/>
    <w:qFormat/>
    <w:uiPriority w:val="0"/>
    <w:rPr>
      <w:rFonts w:ascii="Calibri" w:hAnsi="Calibri" w:eastAsia="仿宋_GB2312" w:cs="黑体"/>
      <w:sz w:val="28"/>
    </w:rPr>
  </w:style>
  <w:style w:type="character" w:customStyle="1" w:styleId="33">
    <w:name w:val="标题 2 Char"/>
    <w:link w:val="5"/>
    <w:qFormat/>
    <w:uiPriority w:val="0"/>
    <w:rPr>
      <w:rFonts w:ascii="Cambria" w:hAnsi="Cambria" w:eastAsia="仿宋_GB2312" w:cs="Times New Roman"/>
      <w:b/>
      <w:bCs/>
      <w:kern w:val="0"/>
      <w:sz w:val="30"/>
      <w:szCs w:val="32"/>
    </w:rPr>
  </w:style>
  <w:style w:type="character" w:customStyle="1" w:styleId="34">
    <w:name w:val="标题 3 Char"/>
    <w:link w:val="6"/>
    <w:qFormat/>
    <w:uiPriority w:val="9"/>
    <w:rPr>
      <w:rFonts w:ascii="Calibri" w:hAnsi="Calibri" w:eastAsia="仿宋_GB2312" w:cs="黑体"/>
      <w:bCs/>
      <w:sz w:val="28"/>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闻政-正文一级标题 Char"/>
    <w:link w:val="44"/>
    <w:qFormat/>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qFormat/>
    <w:uiPriority w:val="3"/>
    <w:rPr>
      <w:rFonts w:ascii="Times New Roman" w:hAnsi="Times New Roman" w:eastAsia="仿宋_GB2312"/>
      <w:sz w:val="28"/>
      <w:szCs w:val="28"/>
    </w:rPr>
  </w:style>
  <w:style w:type="character" w:customStyle="1" w:styleId="47">
    <w:name w:val="闻政-正文二级标题 Char"/>
    <w:link w:val="48"/>
    <w:qFormat/>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qFormat/>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qFormat/>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qFormat/>
    <w:uiPriority w:val="0"/>
    <w:rPr>
      <w:rFonts w:hint="default" w:ascii="Times New Roman" w:hAnsi="Times New Roman" w:cs="Times New Roman"/>
      <w:color w:val="000000"/>
      <w:sz w:val="24"/>
      <w:szCs w:val="24"/>
      <w:u w:val="none"/>
    </w:rPr>
  </w:style>
  <w:style w:type="character" w:customStyle="1" w:styleId="54">
    <w:name w:val="无间隔 Char"/>
    <w:link w:val="55"/>
    <w:qFormat/>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620C1E87501842868513436A3B48A91C_13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20795889-612b-4405-8616-a0cdccfb45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14307</Words>
  <Characters>16669</Characters>
  <Lines>44</Lines>
  <Paragraphs>12</Paragraphs>
  <TotalTime>31</TotalTime>
  <ScaleCrop>false</ScaleCrop>
  <LinksUpToDate>false</LinksUpToDate>
  <CharactersWithSpaces>16913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2025-10-10T05:45:18Z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620C1E87501842868513436A3B48A91C_13</vt:lpwstr>
  </property>
  <property fmtid="{D5CDD505-2E9C-101B-9397-08002B2CF9AE}" pid="4" name="KSOTemplateDocerSaveRecord">
    <vt:lpwstr>eyJoZGlkIjoiZDE5MGZhMTJhZDM2OTQwYzkzYWVjM2FhZDUxN2Q0M2IiLCJ1c2VySWQiOiI2NTE5NDIwMjYifQ_x003D__x003D_</vt:lpwstr>
  </property>
</Properties>
</file>