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DEB2D">
      <w:bookmarkStart w:id="22" w:name="_GoBack"/>
      <w:bookmarkEnd w:id="22"/>
    </w:p>
    <w:p w14:paraId="3F153BCA">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7BAAB74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和田地区洛浦县2024年村级运转经费（县配套）</w:t>
      </w:r>
    </w:p>
    <w:p w14:paraId="5E7898C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rPr>
        <w:t>项目支出绩效评价报告</w:t>
      </w:r>
    </w:p>
    <w:p w14:paraId="3C626F57">
      <w:pPr>
        <w:pStyle w:val="6"/>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2024年度</w:t>
      </w:r>
      <w:r>
        <w:rPr>
          <w:rFonts w:hint="eastAsia" w:ascii="宋体" w:hAnsi="宋体" w:eastAsia="宋体" w:cs="宋体"/>
          <w:color w:val="auto"/>
          <w:sz w:val="28"/>
          <w:szCs w:val="28"/>
          <w:lang w:eastAsia="zh-CN"/>
        </w:rPr>
        <w:t>）</w:t>
      </w:r>
    </w:p>
    <w:p w14:paraId="4BFB1E7C">
      <w:pPr>
        <w:rPr>
          <w:rFonts w:hint="eastAsia"/>
          <w:color w:val="auto"/>
          <w:lang w:eastAsia="zh-CN"/>
        </w:rPr>
      </w:pPr>
    </w:p>
    <w:p w14:paraId="4BFA740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ascii="宋体" w:hAnsi="宋体" w:eastAsia="宋体" w:cs="宋体"/>
          <w:b/>
          <w:color w:val="auto"/>
          <w:kern w:val="0"/>
          <w:sz w:val="28"/>
          <w:szCs w:val="28"/>
          <w:lang w:bidi="en-US"/>
        </w:rPr>
      </w:pPr>
    </w:p>
    <w:p w14:paraId="4DBB1E4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ascii="宋体" w:hAnsi="宋体" w:eastAsia="宋体" w:cs="宋体"/>
          <w:b/>
          <w:color w:val="auto"/>
          <w:kern w:val="0"/>
          <w:sz w:val="28"/>
          <w:szCs w:val="28"/>
          <w:lang w:bidi="en-US"/>
        </w:rPr>
      </w:pPr>
    </w:p>
    <w:p w14:paraId="0ED7472E">
      <w:pPr>
        <w:pStyle w:val="6"/>
        <w:rPr>
          <w:rFonts w:hint="eastAsia" w:ascii="宋体" w:hAnsi="宋体" w:eastAsia="宋体" w:cs="宋体"/>
          <w:b/>
          <w:color w:val="auto"/>
          <w:kern w:val="0"/>
          <w:sz w:val="28"/>
          <w:szCs w:val="28"/>
          <w:lang w:bidi="en-US"/>
        </w:rPr>
      </w:pPr>
    </w:p>
    <w:p w14:paraId="4845BA5A">
      <w:pPr>
        <w:pStyle w:val="6"/>
        <w:ind w:left="0" w:leftChars="0" w:firstLine="0" w:firstLineChars="0"/>
        <w:rPr>
          <w:rFonts w:hint="eastAsia" w:ascii="宋体" w:hAnsi="宋体" w:eastAsia="宋体" w:cs="宋体"/>
          <w:color w:val="auto"/>
          <w:sz w:val="28"/>
          <w:szCs w:val="28"/>
        </w:rPr>
      </w:pPr>
    </w:p>
    <w:p w14:paraId="1205188D">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ascii="宋体" w:hAnsi="宋体" w:eastAsia="宋体" w:cs="宋体"/>
          <w:b/>
          <w:color w:val="auto"/>
          <w:sz w:val="28"/>
          <w:szCs w:val="28"/>
          <w:lang w:bidi="en-US"/>
        </w:rPr>
      </w:pPr>
    </w:p>
    <w:p w14:paraId="4CC674E0">
      <w:pPr>
        <w:pageBreakBefore w:val="0"/>
        <w:widowControl w:val="0"/>
        <w:kinsoku/>
        <w:wordWrap/>
        <w:topLinePunct w:val="0"/>
        <w:autoSpaceDE/>
        <w:autoSpaceDN/>
        <w:bidi w:val="0"/>
        <w:spacing w:line="560" w:lineRule="exact"/>
        <w:ind w:left="0" w:leftChars="0" w:firstLine="560"/>
        <w:textAlignment w:val="auto"/>
        <w:rPr>
          <w:rFonts w:hint="eastAsia" w:ascii="宋体" w:hAnsi="宋体" w:eastAsia="宋体" w:cs="宋体"/>
          <w:color w:val="auto"/>
          <w:sz w:val="28"/>
          <w:szCs w:val="28"/>
        </w:rPr>
      </w:pPr>
    </w:p>
    <w:p w14:paraId="37B039CB">
      <w:pPr>
        <w:pageBreakBefore w:val="0"/>
        <w:widowControl w:val="0"/>
        <w:kinsoku/>
        <w:wordWrap/>
        <w:topLinePunct w:val="0"/>
        <w:autoSpaceDE/>
        <w:autoSpaceDN/>
        <w:bidi w:val="0"/>
        <w:spacing w:line="560" w:lineRule="exact"/>
        <w:ind w:left="0" w:leftChars="0" w:firstLine="0" w:firstLineChars="0"/>
        <w:textAlignment w:val="auto"/>
        <w:rPr>
          <w:rFonts w:hint="eastAsia" w:ascii="宋体" w:hAnsi="宋体" w:eastAsia="宋体" w:cs="宋体"/>
          <w:color w:val="auto"/>
          <w:kern w:val="0"/>
          <w:sz w:val="28"/>
          <w:szCs w:val="28"/>
          <w:lang w:bidi="en-US"/>
        </w:rPr>
      </w:pPr>
    </w:p>
    <w:p w14:paraId="5661753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项目名称：2024年村级运转经费（县配套）项目</w:t>
      </w:r>
    </w:p>
    <w:p w14:paraId="400892B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项目单位：</w:t>
      </w:r>
      <w:r>
        <w:rPr>
          <w:rFonts w:hint="eastAsia" w:ascii="宋体" w:hAnsi="宋体" w:eastAsia="宋体" w:cs="宋体"/>
          <w:color w:val="auto"/>
          <w:kern w:val="0"/>
          <w:sz w:val="28"/>
          <w:szCs w:val="28"/>
          <w:lang w:val="en-US" w:eastAsia="zh-CN" w:bidi="en-US"/>
        </w:rPr>
        <w:t>洛浦县杭桂镇人民政府</w:t>
      </w:r>
    </w:p>
    <w:p w14:paraId="6C3C77E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主管部门：</w:t>
      </w:r>
      <w:r>
        <w:rPr>
          <w:rFonts w:hint="eastAsia" w:ascii="宋体" w:hAnsi="宋体" w:eastAsia="宋体" w:cs="宋体"/>
          <w:color w:val="auto"/>
          <w:kern w:val="0"/>
          <w:sz w:val="28"/>
          <w:szCs w:val="28"/>
          <w:lang w:val="en-US" w:eastAsia="zh-CN" w:bidi="en-US"/>
        </w:rPr>
        <w:t>洛浦县财政</w:t>
      </w:r>
      <w:r>
        <w:rPr>
          <w:rFonts w:hint="eastAsia" w:ascii="宋体" w:hAnsi="宋体" w:eastAsia="宋体" w:cs="宋体"/>
          <w:color w:val="auto"/>
          <w:kern w:val="0"/>
          <w:sz w:val="28"/>
          <w:szCs w:val="28"/>
          <w:lang w:bidi="en-US"/>
        </w:rPr>
        <w:t>局（本级）</w:t>
      </w:r>
    </w:p>
    <w:p w14:paraId="1EE56E6B">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项目负责人：</w:t>
      </w:r>
      <w:r>
        <w:rPr>
          <w:rFonts w:hint="eastAsia" w:ascii="宋体" w:hAnsi="宋体" w:eastAsia="宋体" w:cs="宋体"/>
          <w:color w:val="auto"/>
          <w:kern w:val="0"/>
          <w:sz w:val="28"/>
          <w:szCs w:val="28"/>
          <w:lang w:val="en-US" w:eastAsia="zh-CN" w:bidi="en-US"/>
        </w:rPr>
        <w:t>麦麦提阿卜杜拉·麦提库尔班</w:t>
      </w:r>
    </w:p>
    <w:p w14:paraId="6188D85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填报时间：</w:t>
      </w:r>
      <w:r>
        <w:rPr>
          <w:rFonts w:hint="eastAsia" w:ascii="宋体" w:hAnsi="宋体" w:eastAsia="宋体" w:cs="宋体"/>
          <w:color w:val="auto"/>
          <w:kern w:val="0"/>
          <w:sz w:val="28"/>
          <w:szCs w:val="28"/>
          <w:lang w:val="en-US" w:eastAsia="zh-CN" w:bidi="en-US"/>
        </w:rPr>
        <w:t>2025</w:t>
      </w:r>
      <w:r>
        <w:rPr>
          <w:rFonts w:hint="eastAsia" w:ascii="宋体" w:hAnsi="宋体" w:eastAsia="宋体" w:cs="宋体"/>
          <w:color w:val="auto"/>
          <w:kern w:val="0"/>
          <w:sz w:val="28"/>
          <w:szCs w:val="28"/>
          <w:lang w:bidi="en-US"/>
        </w:rPr>
        <w:t>年</w:t>
      </w:r>
      <w:r>
        <w:rPr>
          <w:rFonts w:hint="eastAsia" w:ascii="宋体" w:hAnsi="宋体" w:eastAsia="宋体" w:cs="宋体"/>
          <w:color w:val="auto"/>
          <w:kern w:val="0"/>
          <w:sz w:val="28"/>
          <w:szCs w:val="28"/>
          <w:lang w:val="en-US" w:eastAsia="zh-CN" w:bidi="en-US"/>
        </w:rPr>
        <w:t>3</w:t>
      </w:r>
      <w:r>
        <w:rPr>
          <w:rFonts w:hint="eastAsia" w:ascii="宋体" w:hAnsi="宋体" w:eastAsia="宋体" w:cs="宋体"/>
          <w:color w:val="auto"/>
          <w:kern w:val="0"/>
          <w:sz w:val="28"/>
          <w:szCs w:val="28"/>
          <w:lang w:bidi="en-US"/>
        </w:rPr>
        <w:t>月</w:t>
      </w:r>
      <w:r>
        <w:rPr>
          <w:rFonts w:hint="eastAsia" w:ascii="宋体" w:hAnsi="宋体" w:eastAsia="宋体" w:cs="宋体"/>
          <w:color w:val="auto"/>
          <w:kern w:val="0"/>
          <w:sz w:val="28"/>
          <w:szCs w:val="28"/>
          <w:lang w:val="en-US" w:eastAsia="zh-CN" w:bidi="en-US"/>
        </w:rPr>
        <w:t>30</w:t>
      </w:r>
      <w:r>
        <w:rPr>
          <w:rFonts w:hint="eastAsia" w:ascii="宋体" w:hAnsi="宋体" w:eastAsia="宋体" w:cs="宋体"/>
          <w:color w:val="auto"/>
          <w:kern w:val="0"/>
          <w:sz w:val="28"/>
          <w:szCs w:val="28"/>
          <w:lang w:bidi="en-US"/>
        </w:rPr>
        <w:t>日</w:t>
      </w:r>
    </w:p>
    <w:p w14:paraId="62FEC700">
      <w:pPr>
        <w:pageBreakBefore w:val="0"/>
        <w:widowControl w:val="0"/>
        <w:kinsoku/>
        <w:wordWrap/>
        <w:topLinePunct w:val="0"/>
        <w:autoSpaceDE/>
        <w:autoSpaceDN/>
        <w:bidi w:val="0"/>
        <w:spacing w:line="560" w:lineRule="exact"/>
        <w:ind w:left="0" w:leftChars="0" w:firstLine="0" w:firstLineChars="0"/>
        <w:textAlignment w:val="auto"/>
        <w:rPr>
          <w:rFonts w:hint="eastAsia" w:ascii="宋体" w:hAnsi="宋体" w:eastAsia="宋体" w:cs="宋体"/>
          <w:b/>
          <w:color w:val="auto"/>
          <w:kern w:val="0"/>
          <w:sz w:val="28"/>
          <w:szCs w:val="28"/>
          <w:lang w:bidi="en-US"/>
        </w:rPr>
      </w:pPr>
    </w:p>
    <w:p w14:paraId="3A78A69E">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lang w:val="en-US" w:eastAsia="zh-CN"/>
        </w:rPr>
        <w:sectPr>
          <w:headerReference r:id="rId5" w:type="default"/>
          <w:footerReference r:id="rId6" w:type="default"/>
          <w:pgSz w:w="11906" w:h="16838"/>
          <w:pgMar w:top="1843" w:right="1531" w:bottom="1843" w:left="1531" w:header="851" w:footer="992" w:gutter="0"/>
          <w:pgNumType w:start="1"/>
          <w:cols w:space="720" w:num="1"/>
          <w:docGrid w:type="linesAndChars" w:linePitch="386" w:charSpace="0"/>
        </w:sectPr>
      </w:pPr>
      <w:bookmarkStart w:id="0" w:name="_Toc68364657"/>
    </w:p>
    <w:p w14:paraId="45054BFF">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25ECFC11">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5334A1F8">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项目背景</w:t>
      </w:r>
    </w:p>
    <w:p w14:paraId="3615D416">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保障辖区内</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个行政村的办公经费、维修费、取暖费等各项运转经费，确保</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522425D0">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主要内容及实施情况</w:t>
      </w:r>
    </w:p>
    <w:p w14:paraId="6875FC30">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7595025A">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保障辖区内</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个行政村的办公经费、维修费、取暖费等各项运转经费，确保</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7ADA3309">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10238719">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329B97B0">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本项目主管部门为洛浦县财政局，实施单位为洛浦县杭桂镇人民政府。</w:t>
      </w:r>
    </w:p>
    <w:p w14:paraId="7E75F582">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2C1784E5">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3F063B1E">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本项目于2023年12月30日前全部完工。</w:t>
      </w:r>
    </w:p>
    <w:p w14:paraId="11B232BE">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截止到自评节点，我单位已完成辖区内42个行政村的办公经费、维修费、取暖费等各项运转经费按时支付，项目资金已使用252万元，通过项目实施，不断加强党对农村工作的全面领导，保障村级各项工作运转高效、规范有序，进一步夯实了乡村振兴组织基础、提升了农村基层治理效能，改善村级人员办公环境，提高工作积极性和工作效率。</w:t>
      </w:r>
    </w:p>
    <w:p w14:paraId="5163C1E7">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4C6B872E">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13BA4905">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8"/>
          <w:szCs w:val="28"/>
          <w:lang w:val="en-US" w:eastAsia="zh-CN"/>
        </w:rPr>
        <w:t>252</w:t>
      </w:r>
      <w:r>
        <w:rPr>
          <w:rFonts w:hint="eastAsia" w:ascii="宋体" w:hAnsi="宋体" w:eastAsia="宋体" w:cs="宋体"/>
          <w:color w:val="auto"/>
          <w:sz w:val="24"/>
          <w:szCs w:val="24"/>
        </w:rPr>
        <w:t>万元，资金来源为</w:t>
      </w:r>
      <w:r>
        <w:rPr>
          <w:rFonts w:hint="eastAsia" w:ascii="宋体" w:hAnsi="宋体" w:eastAsia="宋体" w:cs="宋体"/>
          <w:color w:val="auto"/>
          <w:sz w:val="24"/>
          <w:szCs w:val="24"/>
          <w:lang w:val="en-US" w:eastAsia="zh-CN"/>
        </w:rPr>
        <w:t>本级财政收入，</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val="en-US" w:eastAsia="zh-CN"/>
        </w:rPr>
        <w:t>252</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252</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 xml:space="preserve"> %。</w:t>
      </w:r>
    </w:p>
    <w:p w14:paraId="19283EAC">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35F2226A">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97</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val="en-US" w:eastAsia="zh-CN"/>
        </w:rPr>
        <w:t>村集体各项工作</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w:t>
      </w:r>
    </w:p>
    <w:p w14:paraId="58AEF40A">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267D17BC">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54192D14">
      <w:pPr>
        <w:pStyle w:val="14"/>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b/>
          <w:bCs/>
          <w:color w:val="auto"/>
          <w:sz w:val="24"/>
          <w:szCs w:val="24"/>
        </w:rPr>
        <w:t>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1F6FBEE9">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保障辖区内</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lang w:eastAsia="zh-CN"/>
        </w:rPr>
        <w:t>个行政村的办公经费、维修费、取暖费等各项运转经费，确保</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lang w:eastAsia="zh-CN"/>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1DD35E7A">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阶段性目标</w:t>
      </w:r>
    </w:p>
    <w:p w14:paraId="4BA56078">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w:t>
      </w:r>
      <w:r>
        <w:rPr>
          <w:rFonts w:hint="eastAsia" w:ascii="宋体" w:hAnsi="宋体" w:eastAsia="宋体" w:cs="宋体"/>
          <w:color w:val="auto"/>
          <w:sz w:val="24"/>
          <w:szCs w:val="24"/>
          <w:lang w:eastAsia="zh-CN"/>
        </w:rPr>
        <w:t>252</w:t>
      </w:r>
      <w:r>
        <w:rPr>
          <w:rFonts w:hint="eastAsia" w:ascii="宋体" w:hAnsi="宋体" w:eastAsia="宋体" w:cs="宋体"/>
          <w:color w:val="auto"/>
          <w:sz w:val="24"/>
          <w:szCs w:val="24"/>
        </w:rPr>
        <w:t>号）以及自治区财政厅《关于印发〈自治区项目支出绩效目标设置指引〉的通知》（新财预〔2022〕42号）的规定，结合项目相关信息，设置了年度绩效目标如下：</w:t>
      </w:r>
    </w:p>
    <w:p w14:paraId="2997B64B">
      <w:pPr>
        <w:pStyle w:val="14"/>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6EDD3A58">
      <w:pPr>
        <w:pStyle w:val="14"/>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6443214">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指标1：涉及行政村个数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w:t>
      </w:r>
    </w:p>
    <w:p w14:paraId="004B1D39">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45E2763F">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w:t>
      </w:r>
      <w:r>
        <w:rPr>
          <w:rFonts w:hint="eastAsia" w:ascii="宋体" w:hAnsi="宋体" w:eastAsia="宋体" w:cs="宋体"/>
          <w:color w:val="auto"/>
          <w:sz w:val="24"/>
          <w:szCs w:val="24"/>
          <w:lang w:eastAsia="zh-CN"/>
        </w:rPr>
        <w:t>发放合格</w:t>
      </w:r>
      <w:r>
        <w:rPr>
          <w:rFonts w:hint="eastAsia" w:ascii="宋体" w:hAnsi="宋体" w:eastAsia="宋体" w:cs="宋体"/>
          <w:color w:val="auto"/>
          <w:sz w:val="24"/>
          <w:szCs w:val="24"/>
        </w:rPr>
        <w:t>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7C44403B">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6500F983">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项目完成</w:t>
      </w:r>
      <w:r>
        <w:rPr>
          <w:rFonts w:hint="eastAsia" w:ascii="宋体" w:hAnsi="宋体" w:eastAsia="宋体" w:cs="宋体"/>
          <w:color w:val="auto"/>
          <w:sz w:val="24"/>
          <w:szCs w:val="24"/>
        </w:rPr>
        <w:t>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13C9D00E">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338E0003">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79B8BB36">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56A00F8E">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指标1：每个村运转成本</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万元；</w:t>
      </w:r>
    </w:p>
    <w:p w14:paraId="340B4DE5">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37058185">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）社会效益指标：</w:t>
      </w:r>
    </w:p>
    <w:p w14:paraId="557FED2B">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指标1：保障村级各项工作运转高效</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有效</w:t>
      </w:r>
      <w:r>
        <w:rPr>
          <w:rFonts w:hint="eastAsia" w:ascii="宋体" w:hAnsi="宋体" w:eastAsia="宋体" w:cs="宋体"/>
          <w:color w:val="auto"/>
          <w:sz w:val="24"/>
          <w:szCs w:val="24"/>
        </w:rPr>
        <w:t>保障；</w:t>
      </w:r>
    </w:p>
    <w:p w14:paraId="7D40F1E3">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）服务对象满意度指标：</w:t>
      </w:r>
    </w:p>
    <w:p w14:paraId="2788F7B4">
      <w:pPr>
        <w:pStyle w:val="14"/>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95%；</w:t>
      </w:r>
    </w:p>
    <w:p w14:paraId="224A3D79">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050591C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61F637F6">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49B553E2">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600DD9A1">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w:t>
      </w:r>
      <w:r>
        <w:rPr>
          <w:rFonts w:hint="eastAsia" w:ascii="宋体" w:hAnsi="宋体" w:eastAsia="宋体" w:cs="宋体"/>
          <w:color w:val="auto"/>
          <w:sz w:val="24"/>
          <w:szCs w:val="24"/>
          <w:lang w:eastAsia="zh-CN"/>
        </w:rPr>
        <w:t>252</w:t>
      </w:r>
      <w:r>
        <w:rPr>
          <w:rFonts w:hint="eastAsia" w:ascii="宋体" w:hAnsi="宋体" w:eastAsia="宋体" w:cs="宋体"/>
          <w:color w:val="auto"/>
          <w:sz w:val="24"/>
          <w:szCs w:val="24"/>
        </w:rPr>
        <w:t>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04号：2024年村级运转经费（县配套）项目开展本次部门项目支出绩效评价工作。全面了解</w:t>
      </w:r>
      <w:r>
        <w:rPr>
          <w:rFonts w:hint="eastAsia" w:ascii="宋体" w:hAnsi="宋体" w:eastAsia="宋体" w:cs="宋体"/>
          <w:color w:val="auto"/>
          <w:sz w:val="24"/>
          <w:szCs w:val="24"/>
          <w:lang w:val="en-US" w:eastAsia="zh-CN"/>
        </w:rPr>
        <w:t>洛财预〔2024〕04号：2024年村级运转经费（县配套）</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532CA670">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3F72B8B">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79A89497">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4104115A">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56818293">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w:t>
      </w:r>
      <w:r>
        <w:rPr>
          <w:rFonts w:hint="eastAsia" w:ascii="宋体" w:hAnsi="宋体" w:eastAsia="宋体" w:cs="宋体"/>
          <w:color w:val="auto"/>
          <w:sz w:val="24"/>
          <w:szCs w:val="24"/>
          <w:highlight w:val="none"/>
          <w:lang w:eastAsia="zh-CN"/>
        </w:rPr>
        <w:t>252</w:t>
      </w:r>
      <w:r>
        <w:rPr>
          <w:rFonts w:hint="eastAsia" w:ascii="宋体" w:hAnsi="宋体" w:eastAsia="宋体" w:cs="宋体"/>
          <w:color w:val="auto"/>
          <w:sz w:val="24"/>
          <w:szCs w:val="24"/>
          <w:highlight w:val="none"/>
        </w:rPr>
        <w:t>号）等政策文件规定，以</w:t>
      </w:r>
      <w:r>
        <w:rPr>
          <w:rFonts w:hint="eastAsia" w:ascii="宋体" w:hAnsi="宋体" w:eastAsia="宋体" w:cs="宋体"/>
          <w:color w:val="auto"/>
          <w:sz w:val="24"/>
          <w:szCs w:val="24"/>
          <w:highlight w:val="none"/>
          <w:lang w:val="en-US" w:eastAsia="zh-CN"/>
        </w:rPr>
        <w:t>洛财预〔2024〕04号：2024年村级运转经费（县配套）</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21E7D23E">
      <w:pPr>
        <w:pStyle w:val="14"/>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419CEB79">
      <w:pPr>
        <w:pStyle w:val="14"/>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7BDEEDDA">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5B557A42">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1. 绩效评价原则</w:t>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r>
        <w:rPr>
          <w:rFonts w:hint="eastAsia" w:ascii="宋体" w:hAnsi="宋体" w:eastAsia="宋体" w:cs="宋体"/>
          <w:b/>
          <w:bCs/>
          <w:color w:val="auto"/>
          <w:sz w:val="24"/>
          <w:szCs w:val="24"/>
          <w:lang w:val="en-US" w:eastAsia="zh-CN"/>
        </w:rPr>
        <w:tab/>
      </w:r>
    </w:p>
    <w:p w14:paraId="776747B3">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w:t>
      </w:r>
      <w:r>
        <w:rPr>
          <w:rFonts w:hint="eastAsia" w:ascii="宋体" w:hAnsi="宋体" w:eastAsia="宋体" w:cs="宋体"/>
          <w:color w:val="auto"/>
          <w:sz w:val="24"/>
          <w:szCs w:val="24"/>
          <w:lang w:eastAsia="zh-CN"/>
        </w:rPr>
        <w:t>252</w:t>
      </w:r>
      <w:r>
        <w:rPr>
          <w:rFonts w:hint="eastAsia" w:ascii="宋体" w:hAnsi="宋体" w:eastAsia="宋体" w:cs="宋体"/>
          <w:color w:val="auto"/>
          <w:sz w:val="24"/>
          <w:szCs w:val="24"/>
        </w:rPr>
        <w:t>号）、《关于印发&lt;自治区项目支出绩效目标设置指引&gt;的通知》（新财预〔2022〕42号）等要求，绩效评价应遵循如下原则：</w:t>
      </w:r>
    </w:p>
    <w:p w14:paraId="65542CCE">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0BCA51D5">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EAFFB0C">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1EF2E337">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0AA16B8C">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根据以上原则，绩效评价应遵循如下要求:</w:t>
      </w:r>
    </w:p>
    <w:p w14:paraId="5BFE79E3">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6907BB58">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3AA290E0">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6084F2F9">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4208363D">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77E8B93E">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690C3177">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8945036">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35128A80">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19F7C4D1">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0B257D18">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6F6A3C6C">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2DBBC1C4">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313498B4">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233E76E1">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2408B6BC">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51ECEAA9">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4092F692">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277B0C98">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798388A6">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D5661C6">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48230DCD">
      <w:pPr>
        <w:pStyle w:val="14"/>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7C5A0EF1">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绩效评价标准通常包括计划标准、行业标准、历史标准等，用于对绩效指标完成情况进行比较、分析、评价。本次评价主要采用了计划标准。</w:t>
      </w:r>
    </w:p>
    <w:p w14:paraId="06CF2A76">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193CFD50">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9" w:name="_Toc5633"/>
      <w:bookmarkStart w:id="10" w:name="_Toc2318"/>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9"/>
      <w:bookmarkEnd w:id="10"/>
    </w:p>
    <w:p w14:paraId="5788163D">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11" w:name="_Toc430"/>
      <w:bookmarkStart w:id="12" w:name="_Toc16028"/>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11"/>
      <w:bookmarkEnd w:id="12"/>
    </w:p>
    <w:p w14:paraId="5F78FB5D">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481EAC8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4"/>
      <w:r>
        <w:rPr>
          <w:rFonts w:hint="eastAsia" w:ascii="宋体" w:hAnsi="宋体" w:eastAsia="宋体" w:cs="宋体"/>
          <w:color w:val="auto"/>
          <w:sz w:val="24"/>
          <w:szCs w:val="24"/>
        </w:rPr>
        <w:t>1.前期准备</w:t>
      </w:r>
    </w:p>
    <w:p w14:paraId="19BC4A9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2BD591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麦麦提阿卜杜拉·麦提库尔班</w:t>
      </w:r>
      <w:r>
        <w:rPr>
          <w:rFonts w:hint="eastAsia" w:ascii="宋体" w:hAnsi="宋体" w:eastAsia="宋体" w:cs="宋体"/>
          <w:color w:val="auto"/>
          <w:sz w:val="24"/>
          <w:szCs w:val="24"/>
        </w:rPr>
        <w:t>（评价小组组长）：主要负责主要负责</w:t>
      </w:r>
      <w:r>
        <w:rPr>
          <w:rFonts w:hint="eastAsia" w:ascii="宋体" w:hAnsi="宋体" w:eastAsia="宋体" w:cs="宋体"/>
          <w:color w:val="auto"/>
          <w:sz w:val="24"/>
          <w:szCs w:val="24"/>
          <w:lang w:val="en-US" w:eastAsia="zh-CN"/>
        </w:rPr>
        <w:t>全面负责评价小组的运作，制定评价计划和方案，把控整体进度和方向，与项目相关方沟通协调。对评价结果负责</w:t>
      </w:r>
      <w:r>
        <w:rPr>
          <w:rFonts w:hint="eastAsia" w:ascii="宋体" w:hAnsi="宋体" w:eastAsia="宋体" w:cs="宋体"/>
          <w:color w:val="auto"/>
          <w:sz w:val="24"/>
          <w:szCs w:val="24"/>
        </w:rPr>
        <w:t>;</w:t>
      </w:r>
    </w:p>
    <w:p w14:paraId="5BAF738B">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张文 霞</w:t>
      </w:r>
      <w:r>
        <w:rPr>
          <w:rFonts w:hint="eastAsia" w:ascii="宋体" w:hAnsi="宋体" w:eastAsia="宋体" w:cs="宋体"/>
          <w:color w:val="auto"/>
          <w:sz w:val="24"/>
          <w:szCs w:val="24"/>
        </w:rPr>
        <w:t>（评价小组组员）：主要负责主要负责</w:t>
      </w:r>
      <w:r>
        <w:rPr>
          <w:rFonts w:hint="eastAsia" w:ascii="宋体" w:hAnsi="宋体" w:eastAsia="宋体" w:cs="宋体"/>
          <w:color w:val="auto"/>
          <w:sz w:val="24"/>
          <w:szCs w:val="24"/>
          <w:lang w:val="en-US" w:eastAsia="zh-CN"/>
        </w:rPr>
        <w:t>对项目的业务流程进行梳理和评估，分析业务流程的合理性、效率和效果。识别业务流程中存在的问题和改进点，提高优化业务流程的建议</w:t>
      </w:r>
      <w:r>
        <w:rPr>
          <w:rFonts w:hint="eastAsia" w:ascii="宋体" w:hAnsi="宋体" w:eastAsia="宋体" w:cs="宋体"/>
          <w:color w:val="auto"/>
          <w:sz w:val="24"/>
          <w:szCs w:val="24"/>
        </w:rPr>
        <w:t>;</w:t>
      </w:r>
    </w:p>
    <w:p w14:paraId="32C66AB4">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沃热古丽·图萨麦提</w:t>
      </w:r>
      <w:r>
        <w:rPr>
          <w:rFonts w:hint="eastAsia" w:ascii="宋体" w:hAnsi="宋体" w:eastAsia="宋体" w:cs="宋体"/>
          <w:color w:val="auto"/>
          <w:sz w:val="24"/>
          <w:szCs w:val="24"/>
        </w:rPr>
        <w:t>（评价小组组员）：主要负责主要负责</w:t>
      </w:r>
      <w:r>
        <w:rPr>
          <w:rFonts w:hint="eastAsia" w:ascii="宋体" w:hAnsi="宋体" w:eastAsia="宋体" w:cs="宋体"/>
          <w:color w:val="auto"/>
          <w:sz w:val="24"/>
          <w:szCs w:val="24"/>
          <w:lang w:eastAsia="zh-CN"/>
        </w:rPr>
        <w:t>负责项目的预算执行情况，提供财务方面的评价意见和建议，根据评价小组的工作成果，撰写项目绩效评价报告。</w:t>
      </w:r>
    </w:p>
    <w:p w14:paraId="03466828">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2.组织实施</w:t>
      </w:r>
    </w:p>
    <w:p w14:paraId="3122581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6035998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3287D0F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77D8072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323D6FA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1AA9E2C1">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0B00974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039F62D">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6.档案整理</w:t>
      </w:r>
    </w:p>
    <w:p w14:paraId="21736F8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03EE850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15CA69DF">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3"/>
    </w:p>
    <w:p w14:paraId="74CBC82E">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4" w:name="_Toc68364665"/>
      <w:r>
        <w:rPr>
          <w:rFonts w:hint="eastAsia" w:ascii="宋体" w:hAnsi="宋体" w:eastAsia="宋体" w:cs="宋体"/>
          <w:color w:val="auto"/>
          <w:sz w:val="24"/>
          <w:szCs w:val="24"/>
        </w:rPr>
        <w:t>（一）综合评价情况</w:t>
      </w:r>
      <w:bookmarkEnd w:id="14"/>
    </w:p>
    <w:p w14:paraId="07280F9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6"/>
      <w:r>
        <w:rPr>
          <w:rFonts w:hint="eastAsia" w:ascii="宋体" w:hAnsi="宋体" w:eastAsia="宋体" w:cs="宋体"/>
          <w:color w:val="auto"/>
          <w:sz w:val="24"/>
          <w:szCs w:val="24"/>
        </w:rPr>
        <w:t>通过实施洛财预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04号：2024年村级运转经费（县配套）项目保障辖区内</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个行政村的办公经费、维修费、取暖费等各项运转经费，确保</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项目实施主要通过项目决策、项目过程、项目产出以及项目效益等方面进行评价，其中：</w:t>
      </w:r>
    </w:p>
    <w:p w14:paraId="59BE3288">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04号文件立项，项目实施符合洛财预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w:t>
      </w:r>
      <w:r>
        <w:rPr>
          <w:rFonts w:hint="eastAsia" w:ascii="宋体" w:hAnsi="宋体" w:eastAsia="宋体" w:cs="宋体"/>
          <w:color w:val="auto"/>
          <w:sz w:val="24"/>
          <w:szCs w:val="24"/>
          <w:lang w:val="en-US" w:eastAsia="zh-CN"/>
        </w:rPr>
        <w:t>文件</w:t>
      </w:r>
      <w:r>
        <w:rPr>
          <w:rFonts w:hint="eastAsia" w:ascii="宋体" w:hAnsi="宋体" w:eastAsia="宋体" w:cs="宋体"/>
          <w:color w:val="auto"/>
          <w:sz w:val="24"/>
          <w:szCs w:val="24"/>
        </w:rPr>
        <w:t xml:space="preserve">要求，项目立项依据充分，立项程序规范。 </w:t>
      </w:r>
    </w:p>
    <w:p w14:paraId="219456E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04号：2024年村级运转经费（县配套）项目预算安排</w:t>
      </w:r>
      <w:r>
        <w:rPr>
          <w:rFonts w:hint="eastAsia" w:ascii="宋体" w:hAnsi="宋体" w:eastAsia="宋体" w:cs="宋体"/>
          <w:color w:val="auto"/>
          <w:sz w:val="24"/>
          <w:szCs w:val="24"/>
          <w:lang w:val="en-US" w:eastAsia="zh-CN"/>
        </w:rPr>
        <w:t>252</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97</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1D7CC30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项目产出：截止到自评节点，我单位已完成辖区内</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个行政村的办公经费、维修费、取暖费等各项运转经费按时支付，项目资金已使用</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336C988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rPr>
        <w:t>项目效益：通过项目实施，不断加强党对农村工作的全面领导，保障村级各项工作运转高效、规范有序，进一步夯实了乡村振兴组织基础、提升了农村基层治理效能，改善村级人员办公环境，提高工作积</w:t>
      </w:r>
      <w:r>
        <w:rPr>
          <w:rFonts w:hint="eastAsia" w:ascii="宋体" w:hAnsi="宋体" w:eastAsia="宋体" w:cs="宋体"/>
          <w:color w:val="auto"/>
          <w:sz w:val="24"/>
          <w:szCs w:val="24"/>
          <w:highlight w:val="none"/>
        </w:rPr>
        <w:t>极性和工作效率。</w:t>
      </w:r>
    </w:p>
    <w:p w14:paraId="1F32163D">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3575351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04号：2024年村级运转经费（县配套）项目进行客观评价，最终评分结果：评价总分</w:t>
      </w:r>
      <w:r>
        <w:rPr>
          <w:rFonts w:hint="eastAsia" w:ascii="宋体" w:hAnsi="宋体" w:eastAsia="宋体" w:cs="宋体"/>
          <w:color w:val="auto"/>
          <w:sz w:val="24"/>
          <w:szCs w:val="24"/>
          <w:highlight w:val="none"/>
          <w:lang w:val="en-US" w:eastAsia="zh-CN"/>
        </w:rPr>
        <w:t>97</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bookmarkEnd w:id="15"/>
    </w:p>
    <w:p w14:paraId="7672863A">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bookmarkStart w:id="16" w:name="_Toc68364667"/>
    </w:p>
    <w:p w14:paraId="34E5E2D1">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6"/>
    </w:p>
    <w:p w14:paraId="00E5A240">
      <w:pPr>
        <w:pStyle w:val="1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7" w:name="_Toc68364668"/>
      <w:r>
        <w:rPr>
          <w:rFonts w:hint="eastAsia" w:ascii="宋体" w:hAnsi="宋体" w:eastAsia="宋体" w:cs="宋体"/>
          <w:color w:val="auto"/>
          <w:sz w:val="24"/>
          <w:szCs w:val="24"/>
        </w:rPr>
        <w:t>（一）项目决策情况</w:t>
      </w:r>
    </w:p>
    <w:p w14:paraId="7EA2FDE7">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AC6FEEE">
      <w:pPr>
        <w:keepNext w:val="0"/>
        <w:keepLines w:val="0"/>
        <w:pageBreakBefore w:val="0"/>
        <w:widowControl w:val="0"/>
        <w:numPr>
          <w:ilvl w:val="0"/>
          <w:numId w:val="5"/>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立项依据充分性：</w:t>
      </w:r>
    </w:p>
    <w:p w14:paraId="06BCE935">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本项目立项符合《洛财预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04号：2024年村级运转经费（县配套）》中：“</w:t>
      </w:r>
      <w:r>
        <w:rPr>
          <w:rFonts w:hint="eastAsia" w:ascii="宋体" w:hAnsi="宋体" w:eastAsia="宋体" w:cs="宋体"/>
          <w:color w:val="auto"/>
          <w:sz w:val="24"/>
          <w:szCs w:val="24"/>
          <w:lang w:val="en-US" w:eastAsia="zh-CN"/>
        </w:rPr>
        <w:t>资金使用范围</w:t>
      </w:r>
      <w:r>
        <w:rPr>
          <w:rFonts w:hint="eastAsia" w:ascii="宋体" w:hAnsi="宋体" w:eastAsia="宋体" w:cs="宋体"/>
          <w:color w:val="auto"/>
          <w:sz w:val="24"/>
          <w:szCs w:val="24"/>
        </w:rPr>
        <w:t>”内容，符合行业发展规划和政策要求；根据《财政资金直接支付申请书》，本项目资金性质为“公共财政预算”功能分类为“[2013299]其他组织事务支出”经济分类为“[50201]办公经费”属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6EB21467">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50D692A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3E6E7D5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252</w:t>
      </w:r>
      <w:r>
        <w:rPr>
          <w:rFonts w:hint="eastAsia" w:ascii="宋体" w:hAnsi="宋体" w:eastAsia="宋体" w:cs="宋体"/>
          <w:color w:val="auto"/>
          <w:sz w:val="24"/>
          <w:szCs w:val="24"/>
          <w:highlight w:val="none"/>
        </w:rPr>
        <w:t>万元，不涉及事前绩效评估和风险评估</w:t>
      </w:r>
      <w:r>
        <w:rPr>
          <w:rFonts w:hint="eastAsia" w:ascii="宋体" w:hAnsi="宋体" w:eastAsia="宋体" w:cs="宋体"/>
          <w:color w:val="auto"/>
          <w:sz w:val="24"/>
          <w:szCs w:val="24"/>
          <w:highlight w:val="none"/>
          <w:lang w:eastAsia="zh-CN"/>
        </w:rPr>
        <w:t>。</w:t>
      </w:r>
    </w:p>
    <w:p w14:paraId="46CF01D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rPr>
        <w:t>（3）绩效目标合理性</w:t>
      </w:r>
      <w:r>
        <w:rPr>
          <w:rFonts w:hint="eastAsia" w:ascii="宋体" w:hAnsi="宋体" w:eastAsia="宋体" w:cs="宋体"/>
          <w:color w:val="auto"/>
          <w:sz w:val="24"/>
          <w:szCs w:val="24"/>
        </w:rPr>
        <w:t>：</w:t>
      </w:r>
    </w:p>
    <w:p w14:paraId="4B09ACA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①该项目已设置年度绩效目标，具体内容为保障辖区内</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个行政村的办公经费、维修费、取暖费等各项运转经费，确保</w:t>
      </w: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71A2616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②该项目实际工作内容为：保障辖区内</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个行政村的办公经费、维修费、取暖费等各项运转经费，确保</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绩效目标与实际工作内容一致，两者具有相关性。</w:t>
      </w:r>
    </w:p>
    <w:p w14:paraId="5969A83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效益，预期产出效益和效果是否符合正常的业绩水平。</w:t>
      </w:r>
    </w:p>
    <w:p w14:paraId="07050BD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252</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252</w:t>
      </w:r>
      <w:r>
        <w:rPr>
          <w:rFonts w:hint="eastAsia" w:ascii="宋体" w:hAnsi="宋体" w:eastAsia="宋体" w:cs="宋体"/>
          <w:color w:val="auto"/>
          <w:sz w:val="24"/>
          <w:szCs w:val="24"/>
          <w:highlight w:val="none"/>
        </w:rPr>
        <w:t>万元，预算确定的项目资金与预算确定的项目投资额相匹配。</w:t>
      </w:r>
    </w:p>
    <w:p w14:paraId="1D4BD5D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184E828">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71.43</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35610FA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该《项目绩效目标申报表》中，数量指标指标值为涉及行政村个数，三级指标的年度指标值与年度绩效目标中任务数一致，已设置时效指标“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资金支付及时率、项目完成时间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16425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04号：2024年村级运转经费（县配套），即预算编制较科学且经过论证；</w:t>
      </w:r>
    </w:p>
    <w:p w14:paraId="5C0D263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为</w:t>
      </w:r>
      <w:r>
        <w:rPr>
          <w:rFonts w:hint="eastAsia" w:ascii="宋体" w:hAnsi="宋体" w:eastAsia="宋体" w:cs="宋体"/>
          <w:color w:val="auto"/>
          <w:sz w:val="24"/>
          <w:szCs w:val="24"/>
          <w:highlight w:val="none"/>
        </w:rPr>
        <w:t>保障辖区内</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个行政村的办公经费、维修费、取暖费等各项运转经费，确保</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个村能够顺利开展工作，</w:t>
      </w:r>
      <w:r>
        <w:rPr>
          <w:rFonts w:hint="eastAsia" w:ascii="宋体" w:hAnsi="宋体" w:eastAsia="宋体" w:cs="宋体"/>
          <w:color w:val="auto"/>
          <w:sz w:val="24"/>
          <w:szCs w:val="24"/>
          <w:highlight w:val="none"/>
          <w:lang w:val="en-US" w:eastAsia="zh-CN"/>
        </w:rPr>
        <w:t>申请此项目资金252万元。</w:t>
      </w:r>
      <w:r>
        <w:rPr>
          <w:rFonts w:hint="eastAsia" w:ascii="宋体" w:hAnsi="宋体" w:eastAsia="宋体" w:cs="宋体"/>
          <w:color w:val="auto"/>
          <w:sz w:val="24"/>
          <w:szCs w:val="24"/>
          <w:highlight w:val="none"/>
        </w:rPr>
        <w:t>项目实际内容为我单位已完成辖区内</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个行政村的办公经费、维修费、取暖费等各项运转经费按时支付，项目资金已使用</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highlight w:val="none"/>
        </w:rPr>
        <w:t>万元，通过项目实施，不断加强党对农村工作的全面领导，保障村级各项工作运转高效、规范有序，进一步夯实了乡村振兴组织基础、提升了农村基层治理效能，改善村级人员办公环境，提高工作积极性和工作效率。，预算申请与《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04号：2024年村级运转经费（县配套）项目实施方案》中涉及的项目内容匹配；</w:t>
      </w:r>
    </w:p>
    <w:p w14:paraId="2B4117EA">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252</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val="en-US" w:eastAsia="zh-CN"/>
        </w:rPr>
        <w:t>村集体各项工作</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55383AD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A5CEBF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04号：2024年村级运转经费（县配套）项目资金的请示》和《洛财预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04号：2024年村级运转经费（县配套）项目实施方案》为依据进行资金分配，预算资金分配依据充分。根据《2024年村级运转经费（县配套）项目文件》（洛财预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04号），本项目实际到位资金</w:t>
      </w:r>
      <w:r>
        <w:rPr>
          <w:rFonts w:hint="eastAsia" w:ascii="宋体" w:hAnsi="宋体" w:eastAsia="宋体" w:cs="宋体"/>
          <w:color w:val="auto"/>
          <w:sz w:val="24"/>
          <w:szCs w:val="24"/>
          <w:highlight w:val="none"/>
          <w:lang w:val="en-US" w:eastAsia="zh-CN"/>
        </w:rPr>
        <w:t>252</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089F387">
      <w:pPr>
        <w:pStyle w:val="1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3E751C8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11.94</w:t>
      </w:r>
      <w:r>
        <w:rPr>
          <w:rFonts w:hint="eastAsia" w:ascii="宋体" w:hAnsi="宋体" w:eastAsia="宋体" w:cs="宋体"/>
          <w:color w:val="auto"/>
          <w:sz w:val="24"/>
          <w:szCs w:val="24"/>
          <w:highlight w:val="none"/>
        </w:rPr>
        <w:t>%。</w:t>
      </w:r>
    </w:p>
    <w:p w14:paraId="1C28FE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252</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155</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252</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610CC8E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lang w:val="en-US" w:eastAsia="zh-CN"/>
        </w:rPr>
        <w:t>97%</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预算编制较为详细，项目资金支出总体能够按照预算执行，根据评分标准，该指标扣</w:t>
      </w:r>
      <w:r>
        <w:rPr>
          <w:rFonts w:hint="eastAsia" w:ascii="宋体" w:hAnsi="宋体" w:eastAsia="宋体" w:cs="宋体"/>
          <w:color w:val="auto"/>
          <w:sz w:val="24"/>
          <w:szCs w:val="24"/>
          <w:highlight w:val="none"/>
          <w:lang w:val="en-US" w:eastAsia="zh-CN"/>
        </w:rPr>
        <w:t>0.06</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1.94</w:t>
      </w:r>
      <w:r>
        <w:rPr>
          <w:rFonts w:hint="eastAsia" w:ascii="宋体" w:hAnsi="宋体" w:eastAsia="宋体" w:cs="宋体"/>
          <w:color w:val="auto"/>
          <w:sz w:val="24"/>
          <w:szCs w:val="24"/>
          <w:highlight w:val="none"/>
        </w:rPr>
        <w:t>分。</w:t>
      </w:r>
    </w:p>
    <w:p w14:paraId="25AEDE8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94CD51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67FF511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7754902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06636A4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0323D03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eastAsia="宋体"/>
          <w:color w:val="auto"/>
          <w:lang w:val="en-US" w:eastAsia="zh-CN"/>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val="en-US" w:eastAsia="zh-CN"/>
        </w:rPr>
        <w:t>.</w:t>
      </w:r>
    </w:p>
    <w:p w14:paraId="2A692ACA">
      <w:pPr>
        <w:pStyle w:val="1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2C09027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39.71</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97</w:t>
      </w:r>
      <w:r>
        <w:rPr>
          <w:rFonts w:hint="eastAsia" w:ascii="宋体" w:hAnsi="宋体" w:eastAsia="宋体" w:cs="宋体"/>
          <w:color w:val="auto"/>
          <w:sz w:val="24"/>
          <w:szCs w:val="24"/>
          <w:highlight w:val="none"/>
        </w:rPr>
        <w:t>%。</w:t>
      </w:r>
    </w:p>
    <w:p w14:paraId="55CB3154">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3D66635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预期指标</w:t>
      </w:r>
      <w:r>
        <w:rPr>
          <w:rFonts w:hint="eastAsia" w:ascii="宋体" w:hAnsi="宋体" w:eastAsia="宋体" w:cs="宋体"/>
          <w:color w:val="auto"/>
          <w:sz w:val="24"/>
          <w:szCs w:val="24"/>
          <w:highlight w:val="none"/>
        </w:rPr>
        <w:t>涉及行政村个数，预期指标值为=</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个，实际完成值为=</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个，指标完成率为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4483756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7CB4EE21">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464C13A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预期指标</w:t>
      </w:r>
      <w:r>
        <w:rPr>
          <w:rFonts w:hint="eastAsia" w:ascii="宋体" w:hAnsi="宋体" w:eastAsia="宋体" w:cs="宋体"/>
          <w:color w:val="auto"/>
          <w:sz w:val="24"/>
          <w:szCs w:val="24"/>
          <w:highlight w:val="none"/>
        </w:rPr>
        <w:t>资金</w:t>
      </w:r>
      <w:r>
        <w:rPr>
          <w:rFonts w:hint="eastAsia" w:ascii="宋体" w:hAnsi="宋体" w:eastAsia="宋体" w:cs="宋体"/>
          <w:color w:val="auto"/>
          <w:sz w:val="24"/>
          <w:szCs w:val="24"/>
          <w:highlight w:val="none"/>
          <w:lang w:eastAsia="zh-CN"/>
        </w:rPr>
        <w:t>发放合格</w:t>
      </w:r>
      <w:r>
        <w:rPr>
          <w:rFonts w:hint="eastAsia" w:ascii="宋体" w:hAnsi="宋体" w:eastAsia="宋体" w:cs="宋体"/>
          <w:color w:val="auto"/>
          <w:sz w:val="24"/>
          <w:szCs w:val="24"/>
          <w:highlight w:val="none"/>
        </w:rPr>
        <w:t>率，预期指标值为=100%，实际完成值为=100%，指标完成率为100%，与预期目标一致，根据评分标准，该指标不扣分，得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C3FBA8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0B162DE8">
      <w:pPr>
        <w:pStyle w:val="7"/>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59327BB8">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auto"/>
          <w:sz w:val="24"/>
          <w:szCs w:val="24"/>
          <w:highlight w:val="none"/>
          <w:lang w:val="en-US" w:eastAsia="zh-CN"/>
        </w:rPr>
        <w:t>预期指标</w:t>
      </w:r>
      <w:r>
        <w:rPr>
          <w:rFonts w:hint="eastAsia" w:ascii="宋体" w:hAnsi="宋体" w:eastAsia="宋体" w:cs="宋体"/>
          <w:b w:val="0"/>
          <w:color w:val="auto"/>
          <w:sz w:val="24"/>
          <w:szCs w:val="24"/>
          <w:highlight w:val="none"/>
          <w:lang w:eastAsia="zh-CN"/>
        </w:rPr>
        <w:t>项目完成</w:t>
      </w:r>
      <w:r>
        <w:rPr>
          <w:rFonts w:hint="eastAsia" w:ascii="宋体" w:hAnsi="宋体" w:eastAsia="宋体" w:cs="宋体"/>
          <w:b w:val="0"/>
          <w:color w:val="auto"/>
          <w:sz w:val="24"/>
          <w:szCs w:val="24"/>
          <w:highlight w:val="none"/>
        </w:rPr>
        <w:t>及时率，预期指标值为=100%，实际完成值为=100%，指标完成率为100%，与预期目标一致，根据评分标准，该指标不扣分，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06B89561">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auto"/>
          <w:sz w:val="24"/>
          <w:szCs w:val="24"/>
          <w:highlight w:val="none"/>
          <w:lang w:val="en-US" w:eastAsia="zh-CN"/>
        </w:rPr>
        <w:t>预期指标</w:t>
      </w:r>
      <w:r>
        <w:rPr>
          <w:rFonts w:hint="eastAsia" w:ascii="宋体" w:hAnsi="宋体" w:eastAsia="宋体" w:cs="宋体"/>
          <w:b w:val="0"/>
          <w:bCs/>
          <w:color w:val="auto"/>
          <w:sz w:val="24"/>
          <w:szCs w:val="24"/>
          <w:highlight w:val="none"/>
        </w:rPr>
        <w:t>项目完成时间，预期指标值为2024年12月，实际完成值为2024年12月，指标完成率</w:t>
      </w:r>
      <w:r>
        <w:rPr>
          <w:rFonts w:hint="eastAsia" w:ascii="宋体" w:hAnsi="宋体" w:eastAsia="宋体" w:cs="宋体"/>
          <w:b w:val="0"/>
          <w:color w:val="auto"/>
          <w:sz w:val="24"/>
          <w:szCs w:val="24"/>
          <w:highlight w:val="none"/>
        </w:rPr>
        <w:t>为100%，与预期目标一致，根据评分标准，该指标不扣分，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63FD223E">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2942B1D5">
      <w:pPr>
        <w:pStyle w:val="14"/>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3E1687B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预期</w:t>
      </w:r>
      <w:r>
        <w:rPr>
          <w:rFonts w:hint="eastAsia" w:ascii="宋体" w:hAnsi="宋体" w:eastAsia="宋体" w:cs="宋体"/>
          <w:color w:val="auto"/>
          <w:sz w:val="24"/>
          <w:szCs w:val="24"/>
          <w:highlight w:val="none"/>
        </w:rPr>
        <w:t>指标每个村运转成本，预期指标值为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万元，实际完成值为</w:t>
      </w:r>
      <w:r>
        <w:rPr>
          <w:rFonts w:hint="eastAsia" w:ascii="宋体" w:hAnsi="宋体" w:eastAsia="宋体" w:cs="宋体"/>
          <w:color w:val="auto"/>
          <w:sz w:val="24"/>
          <w:szCs w:val="24"/>
          <w:highlight w:val="none"/>
          <w:lang w:val="en-US" w:eastAsia="zh-CN"/>
        </w:rPr>
        <w:t>5.82</w:t>
      </w:r>
      <w:r>
        <w:rPr>
          <w:rFonts w:hint="eastAsia" w:ascii="宋体" w:hAnsi="宋体" w:eastAsia="宋体" w:cs="宋体"/>
          <w:color w:val="auto"/>
          <w:sz w:val="24"/>
          <w:szCs w:val="24"/>
          <w:highlight w:val="none"/>
        </w:rPr>
        <w:t>万元，指标完成率为</w:t>
      </w:r>
      <w:r>
        <w:rPr>
          <w:rFonts w:hint="eastAsia" w:ascii="宋体" w:hAnsi="宋体" w:eastAsia="宋体" w:cs="宋体"/>
          <w:color w:val="auto"/>
          <w:sz w:val="24"/>
          <w:szCs w:val="24"/>
          <w:highlight w:val="none"/>
          <w:lang w:val="en-US" w:eastAsia="zh-CN"/>
        </w:rPr>
        <w:t>97%，</w:t>
      </w:r>
      <w:r>
        <w:rPr>
          <w:rFonts w:hint="eastAsia" w:ascii="宋体" w:hAnsi="宋体" w:eastAsia="宋体" w:cs="宋体"/>
          <w:color w:val="auto"/>
          <w:sz w:val="24"/>
          <w:szCs w:val="24"/>
          <w:highlight w:val="none"/>
        </w:rPr>
        <w:t>根据评分标准，该指标扣</w:t>
      </w:r>
      <w:r>
        <w:rPr>
          <w:rFonts w:hint="eastAsia" w:ascii="宋体" w:hAnsi="宋体" w:eastAsia="宋体" w:cs="宋体"/>
          <w:color w:val="auto"/>
          <w:sz w:val="24"/>
          <w:szCs w:val="24"/>
          <w:highlight w:val="none"/>
          <w:lang w:val="en-US" w:eastAsia="zh-CN"/>
        </w:rPr>
        <w:t>0.3</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9.7</w:t>
      </w:r>
      <w:r>
        <w:rPr>
          <w:rFonts w:hint="eastAsia" w:ascii="宋体" w:hAnsi="宋体" w:eastAsia="宋体" w:cs="宋体"/>
          <w:color w:val="auto"/>
          <w:sz w:val="24"/>
          <w:szCs w:val="24"/>
          <w:highlight w:val="none"/>
        </w:rPr>
        <w:t>分。</w:t>
      </w:r>
    </w:p>
    <w:p w14:paraId="27FB3363">
      <w:pPr>
        <w:pStyle w:val="1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57FB578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个三级指标构成，权重分为20分，实际得分20分，得分率为100%。</w:t>
      </w:r>
    </w:p>
    <w:p w14:paraId="18F72D3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6833350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保障村级各项工作运转高效指标，该指标预期指标值为</w:t>
      </w:r>
      <w:r>
        <w:rPr>
          <w:rFonts w:hint="eastAsia" w:ascii="宋体" w:hAnsi="宋体" w:eastAsia="宋体" w:cs="宋体"/>
          <w:color w:val="auto"/>
          <w:sz w:val="24"/>
          <w:szCs w:val="24"/>
          <w:lang w:val="en-US" w:eastAsia="zh-CN"/>
        </w:rPr>
        <w:t>持续保障</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持续保障</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037653BA">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27031BF9">
      <w:pPr>
        <w:pStyle w:val="14"/>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村干部满意度</w:t>
      </w:r>
      <w:r>
        <w:rPr>
          <w:rFonts w:hint="eastAsia" w:ascii="宋体" w:hAnsi="宋体" w:eastAsia="宋体" w:cs="宋体"/>
          <w:color w:val="auto"/>
          <w:sz w:val="24"/>
          <w:szCs w:val="24"/>
        </w:rPr>
        <w:t>，该指标预期指标值为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7"/>
    </w:p>
    <w:p w14:paraId="76B13EBE">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7E219CA2">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77DF3BCD">
      <w:pPr>
        <w:pStyle w:val="14"/>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252</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252</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244.31</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97</w:t>
      </w:r>
      <w:r>
        <w:rPr>
          <w:rFonts w:hint="eastAsia" w:ascii="宋体" w:hAnsi="宋体" w:eastAsia="宋体" w:cs="宋体"/>
          <w:color w:val="auto"/>
          <w:sz w:val="24"/>
          <w:szCs w:val="24"/>
        </w:rPr>
        <w:t>%。</w:t>
      </w:r>
    </w:p>
    <w:p w14:paraId="323CAFA9">
      <w:pPr>
        <w:pStyle w:val="14"/>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1F34B03A">
      <w:pPr>
        <w:pStyle w:val="14"/>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p>
    <w:p w14:paraId="46CBE19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bookmarkStart w:id="18" w:name="_Toc68364673"/>
    </w:p>
    <w:p w14:paraId="2D4889E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11B29E53">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（一）主要经验及做法</w:t>
      </w:r>
      <w:bookmarkEnd w:id="18"/>
    </w:p>
    <w:p w14:paraId="3C02F1DE">
      <w:pPr>
        <w:pStyle w:val="14"/>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bookmarkStart w:id="19" w:name="_Toc68364674"/>
      <w:r>
        <w:rPr>
          <w:rFonts w:hint="eastAsia" w:ascii="宋体" w:hAnsi="宋体" w:eastAsia="宋体" w:cs="宋体"/>
          <w:color w:val="auto"/>
          <w:sz w:val="24"/>
          <w:szCs w:val="24"/>
          <w:lang w:val="en-US" w:eastAsia="zh-CN"/>
        </w:rPr>
        <w:t>一、本项目能够严格按照《项目实施方案》执行，项目执行情况较好。</w:t>
      </w:r>
    </w:p>
    <w:p w14:paraId="49391DC2">
      <w:pPr>
        <w:pStyle w:val="14"/>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二、加强组织领导，本项目绩效评价工作，有主要领导亲自负责，分管领导具体负责，从项目到资金，均能够很好的执行。</w:t>
      </w:r>
    </w:p>
    <w:p w14:paraId="62DA8F05">
      <w:pPr>
        <w:pStyle w:val="1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（二）存在问题及原因分析</w:t>
      </w:r>
      <w:bookmarkEnd w:id="19"/>
    </w:p>
    <w:p w14:paraId="1BDCC053">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bookmarkStart w:id="20" w:name="_Toc68364675"/>
      <w:r>
        <w:rPr>
          <w:rFonts w:hint="eastAsia" w:ascii="宋体" w:hAnsi="宋体" w:eastAsia="宋体" w:cs="宋体"/>
          <w:color w:val="auto"/>
          <w:sz w:val="24"/>
          <w:szCs w:val="24"/>
          <w:lang w:val="en-US" w:eastAsia="zh-CN"/>
        </w:rPr>
        <w:t>1.项目资金管理环节：</w:t>
      </w:r>
    </w:p>
    <w:p w14:paraId="4CDBCFBF">
      <w:pPr>
        <w:pStyle w:val="14"/>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缺乏有效的资金监控机制，无法实时掌握资金流向和使用情况。</w:t>
      </w:r>
    </w:p>
    <w:p w14:paraId="7E298436">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2.项目管理环节：</w:t>
      </w:r>
    </w:p>
    <w:p w14:paraId="0491249C">
      <w:pPr>
        <w:pStyle w:val="14"/>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3C4BA274">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3.项目绩效管理环节</w:t>
      </w:r>
    </w:p>
    <w:p w14:paraId="3D6CA541">
      <w:pPr>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成本控制情况：严格按照相关的专项资金管理办法，实行多重审批控制专项经费的支出。</w:t>
      </w:r>
    </w:p>
    <w:p w14:paraId="2ED6A5AE">
      <w:pPr>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val="0"/>
          <w:color w:val="auto"/>
          <w:kern w:val="2"/>
          <w:sz w:val="24"/>
          <w:szCs w:val="24"/>
          <w:highlight w:val="none"/>
          <w:lang w:val="en-US" w:eastAsia="zh-CN" w:bidi="ar-SA"/>
        </w:rPr>
        <w:t>成本节约情况：项目根据实际情况做出合理预算，支出严格控制在预算范围内，本着节约成本，防止资源浪费的原则将项目成效最大化。</w:t>
      </w:r>
    </w:p>
    <w:p w14:paraId="46655598">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4.各级监督检查（项目管理、资金管理、绩效管理）发现问题及原因分析</w:t>
      </w:r>
    </w:p>
    <w:p w14:paraId="2B79208D">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一、对各项指标和指标值要进一步优化、完善，主要在细化、量化上改进；</w:t>
      </w:r>
    </w:p>
    <w:p w14:paraId="4A73D52B">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二、部门评价工作还存在自我审定的局限性，会影响评价质量，容易造成问题的疏漏，在客观性和公正性上说服力不强；</w:t>
      </w:r>
    </w:p>
    <w:p w14:paraId="5564ED2D">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三、缺少带着问题去评价的意识；</w:t>
      </w:r>
    </w:p>
    <w:p w14:paraId="072544E4">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四、现场评价的工作量少，后续效益评价具体措施和方法较少。</w:t>
      </w:r>
    </w:p>
    <w:p w14:paraId="5F14D36B">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195191A8">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auto"/>
          <w:sz w:val="24"/>
          <w:szCs w:val="24"/>
        </w:rPr>
      </w:pPr>
      <w:r>
        <w:rPr>
          <w:rFonts w:hint="eastAsia" w:ascii="黑体" w:hAnsi="黑体" w:eastAsia="黑体" w:cs="黑体"/>
          <w:color w:val="auto"/>
          <w:sz w:val="24"/>
          <w:szCs w:val="24"/>
        </w:rPr>
        <w:t>七、有关建议</w:t>
      </w:r>
      <w:bookmarkEnd w:id="20"/>
    </w:p>
    <w:p w14:paraId="47144D97">
      <w:pPr>
        <w:pStyle w:val="15"/>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138E693B">
      <w:pPr>
        <w:pStyle w:val="16"/>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开展进度的跟踪，确保项目绩效目标的完成。规范程序，严格把关。进一步完善项目申报、审核、公示、审批等程序，严格审核切实做好项目信息公开，公开内容要及时、完整、真实，确保项目公平、公开、公正。</w:t>
      </w:r>
    </w:p>
    <w:p w14:paraId="2C98C72A">
      <w:pPr>
        <w:pStyle w:val="15"/>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kern w:val="2"/>
          <w:sz w:val="24"/>
          <w:szCs w:val="24"/>
          <w:lang w:val="en-US" w:eastAsia="zh-CN" w:bidi="ar-SA"/>
        </w:rPr>
        <w:t>健全制度，加强督促。针对项目实施中存在的问题，进一步完善相关制度，加强督促检查，确保质量安全和建设进度；同时及时完善资料。</w:t>
      </w:r>
      <w:bookmarkStart w:id="21" w:name="_Toc68364676"/>
    </w:p>
    <w:p w14:paraId="029B250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746646B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21"/>
    </w:p>
    <w:p w14:paraId="59184382">
      <w:pPr>
        <w:pStyle w:val="14"/>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538F6CFB">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附件1：洛财预〔2024〕04号：2024年村级运转经费（县配套）项目绩效评价指标体系</w:t>
      </w:r>
    </w:p>
    <w:p w14:paraId="58FB13DC">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附件2：洛财预〔2024〕04号：2024年村级运转经费（县配套）项目综合得分表</w:t>
      </w:r>
    </w:p>
    <w:p w14:paraId="1EB28D1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附件3：满意度调查问分析情况</w:t>
      </w:r>
    </w:p>
    <w:p w14:paraId="4916221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0EA21A7B">
      <w:pPr>
        <w:pStyle w:val="7"/>
        <w:ind w:left="0" w:leftChars="0" w:firstLine="0" w:firstLineChars="0"/>
        <w:jc w:val="both"/>
        <w:rPr>
          <w:rFonts w:hint="eastAsia" w:ascii="宋体" w:hAnsi="宋体" w:eastAsia="宋体" w:cs="宋体"/>
          <w:color w:val="auto"/>
          <w:sz w:val="24"/>
          <w:szCs w:val="24"/>
        </w:rPr>
      </w:pPr>
    </w:p>
    <w:p w14:paraId="11D8E285">
      <w:pPr>
        <w:pStyle w:val="7"/>
        <w:ind w:left="0" w:leftChars="0" w:firstLine="0" w:firstLineChars="0"/>
        <w:jc w:val="both"/>
        <w:rPr>
          <w:rFonts w:hint="eastAsia" w:ascii="宋体" w:hAnsi="宋体" w:eastAsia="宋体" w:cs="宋体"/>
          <w:color w:val="auto"/>
          <w:sz w:val="24"/>
          <w:szCs w:val="24"/>
        </w:rPr>
        <w:sectPr>
          <w:footerReference r:id="rId7" w:type="default"/>
          <w:pgSz w:w="11906" w:h="16838"/>
          <w:pgMar w:top="1843" w:right="1531" w:bottom="1843" w:left="1531" w:header="851" w:footer="992" w:gutter="0"/>
          <w:pgNumType w:fmt="decimal" w:start="1"/>
          <w:cols w:space="720" w:num="1"/>
          <w:docGrid w:type="linesAndChars" w:linePitch="386" w:charSpace="0"/>
        </w:sect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5"/>
        <w:gridCol w:w="553"/>
        <w:gridCol w:w="829"/>
        <w:gridCol w:w="567"/>
        <w:gridCol w:w="1142"/>
        <w:gridCol w:w="647"/>
        <w:gridCol w:w="1759"/>
        <w:gridCol w:w="711"/>
        <w:gridCol w:w="4607"/>
        <w:gridCol w:w="853"/>
        <w:gridCol w:w="885"/>
      </w:tblGrid>
      <w:tr w14:paraId="7DD40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05F798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附件1：</w:t>
            </w:r>
          </w:p>
        </w:tc>
      </w:tr>
      <w:tr w14:paraId="7DB11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11"/>
            <w:tcBorders>
              <w:top w:val="nil"/>
              <w:left w:val="nil"/>
              <w:bottom w:val="nil"/>
              <w:right w:val="nil"/>
            </w:tcBorders>
            <w:noWrap w:val="0"/>
            <w:vAlign w:val="center"/>
          </w:tcPr>
          <w:p w14:paraId="651106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洛财预〔2024〕04号：2024年村级运转经费（县配套）项目</w:t>
            </w:r>
            <w:r>
              <w:rPr>
                <w:rStyle w:val="17"/>
                <w:rFonts w:hint="eastAsia" w:ascii="宋体" w:hAnsi="宋体" w:eastAsia="宋体" w:cs="宋体"/>
                <w:color w:val="auto"/>
                <w:sz w:val="21"/>
                <w:szCs w:val="21"/>
                <w:lang w:val="en-US" w:eastAsia="zh-CN"/>
              </w:rPr>
              <w:t>绩效评价指标体系综合评分表</w:t>
            </w:r>
          </w:p>
        </w:tc>
      </w:tr>
      <w:tr w14:paraId="0FEEA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5" w:type="pct"/>
            <w:tcBorders>
              <w:top w:val="single" w:color="auto" w:sz="8" w:space="0"/>
              <w:left w:val="single" w:color="auto" w:sz="8" w:space="0"/>
              <w:bottom w:val="single" w:color="auto" w:sz="8" w:space="0"/>
              <w:right w:val="single" w:color="auto" w:sz="8" w:space="0"/>
            </w:tcBorders>
            <w:noWrap w:val="0"/>
            <w:vAlign w:val="center"/>
          </w:tcPr>
          <w:p w14:paraId="32BB53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一级指标</w:t>
            </w:r>
          </w:p>
        </w:tc>
        <w:tc>
          <w:tcPr>
            <w:tcW w:w="207" w:type="pct"/>
            <w:tcBorders>
              <w:top w:val="single" w:color="auto" w:sz="8" w:space="0"/>
              <w:left w:val="nil"/>
              <w:bottom w:val="single" w:color="auto" w:sz="8" w:space="0"/>
              <w:right w:val="single" w:color="auto" w:sz="8" w:space="0"/>
            </w:tcBorders>
            <w:noWrap w:val="0"/>
            <w:vAlign w:val="center"/>
          </w:tcPr>
          <w:p w14:paraId="63C0C5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310" w:type="pct"/>
            <w:tcBorders>
              <w:top w:val="single" w:color="auto" w:sz="8" w:space="0"/>
              <w:left w:val="nil"/>
              <w:bottom w:val="single" w:color="auto" w:sz="8" w:space="0"/>
              <w:right w:val="single" w:color="auto" w:sz="8" w:space="0"/>
            </w:tcBorders>
            <w:noWrap w:val="0"/>
            <w:vAlign w:val="center"/>
          </w:tcPr>
          <w:p w14:paraId="6DB559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二级指标</w:t>
            </w:r>
          </w:p>
        </w:tc>
        <w:tc>
          <w:tcPr>
            <w:tcW w:w="212" w:type="pct"/>
            <w:tcBorders>
              <w:top w:val="single" w:color="auto" w:sz="8" w:space="0"/>
              <w:left w:val="nil"/>
              <w:bottom w:val="single" w:color="auto" w:sz="8" w:space="0"/>
              <w:right w:val="single" w:color="auto" w:sz="8" w:space="0"/>
            </w:tcBorders>
            <w:noWrap w:val="0"/>
            <w:vAlign w:val="center"/>
          </w:tcPr>
          <w:p w14:paraId="41E2B7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427" w:type="pct"/>
            <w:tcBorders>
              <w:top w:val="single" w:color="auto" w:sz="8" w:space="0"/>
              <w:left w:val="nil"/>
              <w:bottom w:val="single" w:color="auto" w:sz="8" w:space="0"/>
              <w:right w:val="single" w:color="auto" w:sz="8" w:space="0"/>
            </w:tcBorders>
            <w:noWrap w:val="0"/>
            <w:vAlign w:val="center"/>
          </w:tcPr>
          <w:p w14:paraId="2E13AF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三级指标</w:t>
            </w:r>
          </w:p>
        </w:tc>
        <w:tc>
          <w:tcPr>
            <w:tcW w:w="242" w:type="pct"/>
            <w:tcBorders>
              <w:top w:val="single" w:color="auto" w:sz="8" w:space="0"/>
              <w:left w:val="nil"/>
              <w:bottom w:val="single" w:color="auto" w:sz="8" w:space="0"/>
              <w:right w:val="single" w:color="auto" w:sz="8" w:space="0"/>
            </w:tcBorders>
            <w:noWrap w:val="0"/>
            <w:vAlign w:val="center"/>
          </w:tcPr>
          <w:p w14:paraId="7AF2F3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658" w:type="pct"/>
            <w:tcBorders>
              <w:top w:val="single" w:color="auto" w:sz="8" w:space="0"/>
              <w:left w:val="nil"/>
              <w:bottom w:val="single" w:color="auto" w:sz="8" w:space="0"/>
              <w:right w:val="single" w:color="auto" w:sz="8" w:space="0"/>
            </w:tcBorders>
            <w:noWrap w:val="0"/>
            <w:vAlign w:val="center"/>
          </w:tcPr>
          <w:p w14:paraId="16A3B5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指标解释</w:t>
            </w:r>
          </w:p>
        </w:tc>
        <w:tc>
          <w:tcPr>
            <w:tcW w:w="266" w:type="pct"/>
            <w:tcBorders>
              <w:top w:val="single" w:color="auto" w:sz="8" w:space="0"/>
              <w:left w:val="nil"/>
              <w:bottom w:val="single" w:color="auto" w:sz="8" w:space="0"/>
              <w:right w:val="single" w:color="auto" w:sz="8" w:space="0"/>
            </w:tcBorders>
            <w:noWrap w:val="0"/>
            <w:vAlign w:val="center"/>
          </w:tcPr>
          <w:p w14:paraId="351497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标杆值</w:t>
            </w:r>
          </w:p>
        </w:tc>
        <w:tc>
          <w:tcPr>
            <w:tcW w:w="1723" w:type="pct"/>
            <w:tcBorders>
              <w:top w:val="single" w:color="auto" w:sz="8" w:space="0"/>
              <w:left w:val="nil"/>
              <w:bottom w:val="single" w:color="auto" w:sz="8" w:space="0"/>
              <w:right w:val="single" w:color="auto" w:sz="8" w:space="0"/>
            </w:tcBorders>
            <w:noWrap w:val="0"/>
            <w:vAlign w:val="center"/>
          </w:tcPr>
          <w:p w14:paraId="6C4F97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评分标准</w:t>
            </w:r>
          </w:p>
        </w:tc>
        <w:tc>
          <w:tcPr>
            <w:tcW w:w="319" w:type="pct"/>
            <w:tcBorders>
              <w:top w:val="single" w:color="auto" w:sz="8" w:space="0"/>
              <w:left w:val="nil"/>
              <w:bottom w:val="single" w:color="auto" w:sz="8" w:space="0"/>
              <w:right w:val="single" w:color="auto" w:sz="8" w:space="0"/>
            </w:tcBorders>
            <w:noWrap w:val="0"/>
            <w:vAlign w:val="center"/>
          </w:tcPr>
          <w:p w14:paraId="6F3304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完成值</w:t>
            </w:r>
          </w:p>
        </w:tc>
        <w:tc>
          <w:tcPr>
            <w:tcW w:w="326" w:type="pct"/>
            <w:tcBorders>
              <w:top w:val="single" w:color="auto" w:sz="8" w:space="0"/>
              <w:left w:val="nil"/>
              <w:bottom w:val="single" w:color="auto" w:sz="8" w:space="0"/>
              <w:right w:val="single" w:color="auto" w:sz="8" w:space="0"/>
            </w:tcBorders>
            <w:noWrap w:val="0"/>
            <w:vAlign w:val="center"/>
          </w:tcPr>
          <w:p w14:paraId="2E80B8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得分</w:t>
            </w:r>
          </w:p>
        </w:tc>
      </w:tr>
      <w:tr w14:paraId="1ECCA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4"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33CC4D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项目决策</w:t>
            </w:r>
          </w:p>
        </w:tc>
        <w:tc>
          <w:tcPr>
            <w:tcW w:w="207" w:type="pct"/>
            <w:vMerge w:val="restart"/>
            <w:tcBorders>
              <w:top w:val="nil"/>
              <w:left w:val="nil"/>
              <w:bottom w:val="single" w:color="auto" w:sz="8" w:space="0"/>
              <w:right w:val="single" w:color="auto" w:sz="8" w:space="0"/>
            </w:tcBorders>
            <w:noWrap w:val="0"/>
            <w:vAlign w:val="center"/>
          </w:tcPr>
          <w:p w14:paraId="051037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23</w:t>
            </w:r>
          </w:p>
        </w:tc>
        <w:tc>
          <w:tcPr>
            <w:tcW w:w="310" w:type="pct"/>
            <w:vMerge w:val="restart"/>
            <w:tcBorders>
              <w:top w:val="nil"/>
              <w:left w:val="nil"/>
              <w:bottom w:val="single" w:color="auto" w:sz="8" w:space="0"/>
              <w:right w:val="single" w:color="auto" w:sz="8" w:space="0"/>
            </w:tcBorders>
            <w:noWrap w:val="0"/>
            <w:vAlign w:val="center"/>
          </w:tcPr>
          <w:p w14:paraId="4C8835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项目立项</w:t>
            </w:r>
          </w:p>
        </w:tc>
        <w:tc>
          <w:tcPr>
            <w:tcW w:w="212" w:type="pct"/>
            <w:vMerge w:val="restart"/>
            <w:tcBorders>
              <w:top w:val="nil"/>
              <w:left w:val="nil"/>
              <w:bottom w:val="single" w:color="auto" w:sz="8" w:space="0"/>
              <w:right w:val="single" w:color="auto" w:sz="8" w:space="0"/>
            </w:tcBorders>
            <w:noWrap w:val="0"/>
            <w:vAlign w:val="center"/>
          </w:tcPr>
          <w:p w14:paraId="57EFD6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427" w:type="pct"/>
            <w:tcBorders>
              <w:top w:val="nil"/>
              <w:left w:val="nil"/>
              <w:bottom w:val="single" w:color="auto" w:sz="8" w:space="0"/>
              <w:right w:val="single" w:color="auto" w:sz="8" w:space="0"/>
            </w:tcBorders>
            <w:noWrap w:val="0"/>
            <w:vAlign w:val="center"/>
          </w:tcPr>
          <w:p w14:paraId="5807B2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立项依据充分性</w:t>
            </w:r>
          </w:p>
        </w:tc>
        <w:tc>
          <w:tcPr>
            <w:tcW w:w="242" w:type="pct"/>
            <w:tcBorders>
              <w:top w:val="nil"/>
              <w:left w:val="nil"/>
              <w:bottom w:val="single" w:color="auto" w:sz="8" w:space="0"/>
              <w:right w:val="single" w:color="auto" w:sz="8" w:space="0"/>
            </w:tcBorders>
            <w:noWrap w:val="0"/>
            <w:vAlign w:val="center"/>
          </w:tcPr>
          <w:p w14:paraId="18D89B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c>
          <w:tcPr>
            <w:tcW w:w="658" w:type="pct"/>
            <w:tcBorders>
              <w:top w:val="nil"/>
              <w:left w:val="nil"/>
              <w:bottom w:val="single" w:color="auto" w:sz="8" w:space="0"/>
              <w:right w:val="single" w:color="auto" w:sz="8" w:space="0"/>
            </w:tcBorders>
            <w:noWrap w:val="0"/>
            <w:vAlign w:val="center"/>
          </w:tcPr>
          <w:p w14:paraId="77C8BE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项目立项是否符合法律法规、相关政策、发展规划以及部门职责，用以反映和考核项目立项依据情况。</w:t>
            </w:r>
          </w:p>
        </w:tc>
        <w:tc>
          <w:tcPr>
            <w:tcW w:w="266" w:type="pct"/>
            <w:tcBorders>
              <w:top w:val="nil"/>
              <w:left w:val="nil"/>
              <w:bottom w:val="single" w:color="auto" w:sz="8" w:space="0"/>
              <w:right w:val="single" w:color="auto" w:sz="8" w:space="0"/>
            </w:tcBorders>
            <w:noWrap w:val="0"/>
            <w:vAlign w:val="center"/>
          </w:tcPr>
          <w:p w14:paraId="187AF9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充分</w:t>
            </w:r>
          </w:p>
        </w:tc>
        <w:tc>
          <w:tcPr>
            <w:tcW w:w="1723" w:type="pct"/>
            <w:tcBorders>
              <w:top w:val="nil"/>
              <w:left w:val="nil"/>
              <w:bottom w:val="single" w:color="auto" w:sz="8" w:space="0"/>
              <w:right w:val="single" w:color="auto" w:sz="8" w:space="0"/>
            </w:tcBorders>
            <w:noWrap w:val="0"/>
            <w:vAlign w:val="center"/>
          </w:tcPr>
          <w:p w14:paraId="4FCE37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①项目立项是否符合国家法律法规、国民经济发展规划和相关政策；</w:t>
            </w:r>
          </w:p>
          <w:p w14:paraId="4BCCAF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②项目立项是否符合行业发展规划和政策要求；</w:t>
            </w:r>
          </w:p>
          <w:p w14:paraId="2EB4E2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③项目立项是否与部门职责范围相符，属于部门履职所需；</w:t>
            </w:r>
          </w:p>
          <w:p w14:paraId="7548C2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④项目是否属于公共财政支持范围，是否符合中央、地方事权支出责任划分原则；</w:t>
            </w:r>
          </w:p>
          <w:p w14:paraId="184D28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⑤项目是否与相关部门同类项目或部门内部相关项目重复。</w:t>
            </w:r>
          </w:p>
          <w:p w14:paraId="5B3E43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以上每条要素占权重分的20%，每有一条不符合，扣除对应权重分，扣完为止。</w:t>
            </w:r>
          </w:p>
        </w:tc>
        <w:tc>
          <w:tcPr>
            <w:tcW w:w="319" w:type="pct"/>
            <w:tcBorders>
              <w:top w:val="nil"/>
              <w:left w:val="nil"/>
              <w:bottom w:val="single" w:color="auto" w:sz="8" w:space="0"/>
              <w:right w:val="single" w:color="auto" w:sz="8" w:space="0"/>
            </w:tcBorders>
            <w:noWrap w:val="0"/>
            <w:vAlign w:val="center"/>
          </w:tcPr>
          <w:p w14:paraId="08927A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充分</w:t>
            </w:r>
          </w:p>
        </w:tc>
        <w:tc>
          <w:tcPr>
            <w:tcW w:w="326" w:type="pct"/>
            <w:tcBorders>
              <w:top w:val="nil"/>
              <w:left w:val="nil"/>
              <w:bottom w:val="single" w:color="auto" w:sz="8" w:space="0"/>
              <w:right w:val="single" w:color="auto" w:sz="8" w:space="0"/>
            </w:tcBorders>
            <w:noWrap w:val="0"/>
            <w:vAlign w:val="center"/>
          </w:tcPr>
          <w:p w14:paraId="4FF16A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r>
      <w:tr w14:paraId="25E55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47CEF1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7C41AE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1C8E9C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0C1EF1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3F2F66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立项程序规范性</w:t>
            </w:r>
          </w:p>
        </w:tc>
        <w:tc>
          <w:tcPr>
            <w:tcW w:w="242" w:type="pct"/>
            <w:tcBorders>
              <w:top w:val="nil"/>
              <w:left w:val="nil"/>
              <w:bottom w:val="single" w:color="auto" w:sz="8" w:space="0"/>
              <w:right w:val="single" w:color="auto" w:sz="8" w:space="0"/>
            </w:tcBorders>
            <w:noWrap w:val="0"/>
            <w:vAlign w:val="center"/>
          </w:tcPr>
          <w:p w14:paraId="1FB62B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nil"/>
              <w:left w:val="nil"/>
              <w:bottom w:val="single" w:color="auto" w:sz="8" w:space="0"/>
              <w:right w:val="single" w:color="auto" w:sz="8" w:space="0"/>
            </w:tcBorders>
            <w:noWrap w:val="0"/>
            <w:vAlign w:val="center"/>
          </w:tcPr>
          <w:p w14:paraId="6441BD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项目申请、设立过程是否符合相关要求，用以反映和考核项目立项的规范情况。</w:t>
            </w:r>
          </w:p>
        </w:tc>
        <w:tc>
          <w:tcPr>
            <w:tcW w:w="266" w:type="pct"/>
            <w:tcBorders>
              <w:top w:val="nil"/>
              <w:left w:val="nil"/>
              <w:bottom w:val="single" w:color="auto" w:sz="8" w:space="0"/>
              <w:right w:val="single" w:color="auto" w:sz="8" w:space="0"/>
            </w:tcBorders>
            <w:noWrap w:val="0"/>
            <w:vAlign w:val="center"/>
          </w:tcPr>
          <w:p w14:paraId="3524C7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规范</w:t>
            </w:r>
          </w:p>
        </w:tc>
        <w:tc>
          <w:tcPr>
            <w:tcW w:w="1723" w:type="pct"/>
            <w:tcBorders>
              <w:top w:val="nil"/>
              <w:left w:val="nil"/>
              <w:bottom w:val="single" w:color="auto" w:sz="8" w:space="0"/>
              <w:right w:val="single" w:color="auto" w:sz="8" w:space="0"/>
            </w:tcBorders>
            <w:noWrap w:val="0"/>
            <w:vAlign w:val="center"/>
          </w:tcPr>
          <w:p w14:paraId="2C113D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①项目是否按照规定的程序申请设立；</w:t>
            </w:r>
          </w:p>
          <w:p w14:paraId="2DEB7D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②审批文件、材料是否符合相关要求；</w:t>
            </w:r>
          </w:p>
          <w:p w14:paraId="54D088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③事前是否已经过必要的可行性研究、专家论证、风险评估、绩效评估、集体决策。</w:t>
            </w:r>
          </w:p>
          <w:p w14:paraId="7B9CC5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①②③齐全得权重分的100%，缺①扣权重分的40%，缺②扣权重分的30%，缺③扣权重分的30%。</w:t>
            </w:r>
          </w:p>
        </w:tc>
        <w:tc>
          <w:tcPr>
            <w:tcW w:w="319" w:type="pct"/>
            <w:tcBorders>
              <w:top w:val="nil"/>
              <w:left w:val="nil"/>
              <w:bottom w:val="single" w:color="auto" w:sz="8" w:space="0"/>
              <w:right w:val="single" w:color="auto" w:sz="8" w:space="0"/>
            </w:tcBorders>
            <w:noWrap w:val="0"/>
            <w:vAlign w:val="center"/>
          </w:tcPr>
          <w:p w14:paraId="17CE45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规范</w:t>
            </w:r>
          </w:p>
        </w:tc>
        <w:tc>
          <w:tcPr>
            <w:tcW w:w="326" w:type="pct"/>
            <w:tcBorders>
              <w:top w:val="nil"/>
              <w:left w:val="nil"/>
              <w:bottom w:val="single" w:color="auto" w:sz="8" w:space="0"/>
              <w:right w:val="single" w:color="auto" w:sz="8" w:space="0"/>
            </w:tcBorders>
            <w:noWrap w:val="0"/>
            <w:vAlign w:val="center"/>
          </w:tcPr>
          <w:p w14:paraId="68F9E2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3EFA0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29ADFE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4" w:space="0"/>
              <w:right w:val="single" w:color="auto" w:sz="8" w:space="0"/>
            </w:tcBorders>
            <w:noWrap w:val="0"/>
            <w:vAlign w:val="center"/>
          </w:tcPr>
          <w:p w14:paraId="00EABF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nil"/>
              <w:left w:val="nil"/>
              <w:bottom w:val="single" w:color="auto" w:sz="4" w:space="0"/>
              <w:right w:val="single" w:color="auto" w:sz="8" w:space="0"/>
            </w:tcBorders>
            <w:noWrap w:val="0"/>
            <w:vAlign w:val="center"/>
          </w:tcPr>
          <w:p w14:paraId="7BB47B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绩效目标</w:t>
            </w:r>
          </w:p>
        </w:tc>
        <w:tc>
          <w:tcPr>
            <w:tcW w:w="212" w:type="pct"/>
            <w:vMerge w:val="restart"/>
            <w:tcBorders>
              <w:top w:val="nil"/>
              <w:left w:val="nil"/>
              <w:bottom w:val="single" w:color="auto" w:sz="4" w:space="0"/>
              <w:right w:val="single" w:color="auto" w:sz="8" w:space="0"/>
            </w:tcBorders>
            <w:noWrap w:val="0"/>
            <w:vAlign w:val="center"/>
          </w:tcPr>
          <w:p w14:paraId="3EB159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nil"/>
              <w:left w:val="nil"/>
              <w:bottom w:val="single" w:color="auto" w:sz="4" w:space="0"/>
              <w:right w:val="single" w:color="auto" w:sz="8" w:space="0"/>
            </w:tcBorders>
            <w:noWrap w:val="0"/>
            <w:vAlign w:val="center"/>
          </w:tcPr>
          <w:p w14:paraId="348557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绩效目标合理性</w:t>
            </w:r>
          </w:p>
        </w:tc>
        <w:tc>
          <w:tcPr>
            <w:tcW w:w="242" w:type="pct"/>
            <w:tcBorders>
              <w:top w:val="nil"/>
              <w:left w:val="nil"/>
              <w:bottom w:val="single" w:color="auto" w:sz="4" w:space="0"/>
              <w:right w:val="single" w:color="auto" w:sz="8" w:space="0"/>
            </w:tcBorders>
            <w:noWrap w:val="0"/>
            <w:vAlign w:val="center"/>
          </w:tcPr>
          <w:p w14:paraId="2971B6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658" w:type="pct"/>
            <w:tcBorders>
              <w:top w:val="nil"/>
              <w:left w:val="nil"/>
              <w:bottom w:val="single" w:color="auto" w:sz="4" w:space="0"/>
              <w:right w:val="single" w:color="auto" w:sz="8" w:space="0"/>
            </w:tcBorders>
            <w:noWrap w:val="0"/>
            <w:vAlign w:val="center"/>
          </w:tcPr>
          <w:p w14:paraId="2B320C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项目所设定的绩效目标是否依据充分，是否符合客观实际，用以反映和考核项目绩效目标与项目实施的相符情况。</w:t>
            </w:r>
          </w:p>
        </w:tc>
        <w:tc>
          <w:tcPr>
            <w:tcW w:w="266" w:type="pct"/>
            <w:tcBorders>
              <w:top w:val="nil"/>
              <w:left w:val="nil"/>
              <w:bottom w:val="single" w:color="auto" w:sz="4" w:space="0"/>
              <w:right w:val="single" w:color="auto" w:sz="8" w:space="0"/>
            </w:tcBorders>
            <w:noWrap w:val="0"/>
            <w:vAlign w:val="center"/>
          </w:tcPr>
          <w:p w14:paraId="3FB9A2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1723" w:type="pct"/>
            <w:tcBorders>
              <w:top w:val="nil"/>
              <w:left w:val="nil"/>
              <w:bottom w:val="single" w:color="auto" w:sz="4" w:space="0"/>
              <w:right w:val="single" w:color="auto" w:sz="8" w:space="0"/>
            </w:tcBorders>
            <w:noWrap w:val="0"/>
            <w:vAlign w:val="center"/>
          </w:tcPr>
          <w:p w14:paraId="06A33C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①项目是否有绩效目标；</w:t>
            </w:r>
          </w:p>
          <w:p w14:paraId="6CF822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②项目绩效目标与实际工作内容是否具有相关性；</w:t>
            </w:r>
          </w:p>
          <w:p w14:paraId="3E3291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③项目预期产出效益和效果是否符合正常的业绩水平；</w:t>
            </w:r>
          </w:p>
          <w:p w14:paraId="7DE42B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④是否与预算确定的项目投资额或资金量相匹配。</w:t>
            </w:r>
          </w:p>
          <w:p w14:paraId="2BC6B8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以上每条要素各占权重的25%，每有一条不符合，扣除对应的权重分，扣完为止。</w:t>
            </w:r>
          </w:p>
        </w:tc>
        <w:tc>
          <w:tcPr>
            <w:tcW w:w="319" w:type="pct"/>
            <w:tcBorders>
              <w:top w:val="nil"/>
              <w:left w:val="nil"/>
              <w:bottom w:val="single" w:color="auto" w:sz="4" w:space="0"/>
              <w:right w:val="single" w:color="auto" w:sz="8" w:space="0"/>
            </w:tcBorders>
            <w:noWrap w:val="0"/>
            <w:vAlign w:val="center"/>
          </w:tcPr>
          <w:p w14:paraId="069598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326" w:type="pct"/>
            <w:tcBorders>
              <w:top w:val="nil"/>
              <w:left w:val="nil"/>
              <w:bottom w:val="single" w:color="auto" w:sz="4" w:space="0"/>
              <w:right w:val="single" w:color="auto" w:sz="8" w:space="0"/>
            </w:tcBorders>
            <w:noWrap w:val="0"/>
            <w:vAlign w:val="center"/>
          </w:tcPr>
          <w:p w14:paraId="707DCA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r>
      <w:tr w14:paraId="0B6D7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9" w:hRule="atLeast"/>
        </w:trPr>
        <w:tc>
          <w:tcPr>
            <w:tcW w:w="305" w:type="pct"/>
            <w:vMerge w:val="continue"/>
            <w:tcBorders>
              <w:top w:val="single" w:color="auto" w:sz="4" w:space="0"/>
              <w:left w:val="single" w:color="auto" w:sz="4" w:space="0"/>
              <w:bottom w:val="single" w:color="auto" w:sz="4" w:space="0"/>
              <w:right w:val="single" w:color="auto" w:sz="8" w:space="0"/>
            </w:tcBorders>
            <w:noWrap w:val="0"/>
            <w:vAlign w:val="center"/>
          </w:tcPr>
          <w:p w14:paraId="22CA18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4" w:space="0"/>
              <w:right w:val="single" w:color="auto" w:sz="8" w:space="0"/>
            </w:tcBorders>
            <w:noWrap w:val="0"/>
            <w:vAlign w:val="center"/>
          </w:tcPr>
          <w:p w14:paraId="2C107D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single" w:color="auto" w:sz="4" w:space="0"/>
              <w:left w:val="nil"/>
              <w:bottom w:val="single" w:color="auto" w:sz="4" w:space="0"/>
              <w:right w:val="single" w:color="auto" w:sz="8" w:space="0"/>
            </w:tcBorders>
            <w:noWrap w:val="0"/>
            <w:vAlign w:val="center"/>
          </w:tcPr>
          <w:p w14:paraId="70F103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single" w:color="auto" w:sz="4" w:space="0"/>
              <w:left w:val="nil"/>
              <w:bottom w:val="single" w:color="auto" w:sz="4" w:space="0"/>
              <w:right w:val="single" w:color="auto" w:sz="8" w:space="0"/>
            </w:tcBorders>
            <w:noWrap w:val="0"/>
            <w:vAlign w:val="center"/>
          </w:tcPr>
          <w:p w14:paraId="09BC3D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single" w:color="auto" w:sz="4" w:space="0"/>
              <w:left w:val="nil"/>
              <w:bottom w:val="single" w:color="auto" w:sz="4" w:space="0"/>
              <w:right w:val="single" w:color="auto" w:sz="8" w:space="0"/>
            </w:tcBorders>
            <w:noWrap w:val="0"/>
            <w:vAlign w:val="center"/>
          </w:tcPr>
          <w:p w14:paraId="7FB7CB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绩效指标明确性</w:t>
            </w:r>
          </w:p>
        </w:tc>
        <w:tc>
          <w:tcPr>
            <w:tcW w:w="242" w:type="pct"/>
            <w:tcBorders>
              <w:top w:val="single" w:color="auto" w:sz="4" w:space="0"/>
              <w:left w:val="nil"/>
              <w:bottom w:val="single" w:color="auto" w:sz="4" w:space="0"/>
              <w:right w:val="single" w:color="auto" w:sz="8" w:space="0"/>
            </w:tcBorders>
            <w:noWrap w:val="0"/>
            <w:vAlign w:val="center"/>
          </w:tcPr>
          <w:p w14:paraId="760F03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658" w:type="pct"/>
            <w:tcBorders>
              <w:top w:val="single" w:color="auto" w:sz="4" w:space="0"/>
              <w:left w:val="nil"/>
              <w:bottom w:val="single" w:color="auto" w:sz="4" w:space="0"/>
              <w:right w:val="single" w:color="auto" w:sz="8" w:space="0"/>
            </w:tcBorders>
            <w:noWrap w:val="0"/>
            <w:vAlign w:val="center"/>
          </w:tcPr>
          <w:p w14:paraId="336325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依据绩效目标设定的绩效指标是否清晰、细化、可衡量等，用以反映和考核项目绩效目标的明细化情况。</w:t>
            </w:r>
          </w:p>
        </w:tc>
        <w:tc>
          <w:tcPr>
            <w:tcW w:w="266" w:type="pct"/>
            <w:tcBorders>
              <w:top w:val="single" w:color="auto" w:sz="4" w:space="0"/>
              <w:left w:val="nil"/>
              <w:bottom w:val="single" w:color="auto" w:sz="4" w:space="0"/>
              <w:right w:val="single" w:color="auto" w:sz="8" w:space="0"/>
            </w:tcBorders>
            <w:noWrap w:val="0"/>
            <w:vAlign w:val="center"/>
          </w:tcPr>
          <w:p w14:paraId="19BE14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明确</w:t>
            </w:r>
          </w:p>
        </w:tc>
        <w:tc>
          <w:tcPr>
            <w:tcW w:w="1723" w:type="pct"/>
            <w:tcBorders>
              <w:top w:val="single" w:color="auto" w:sz="4" w:space="0"/>
              <w:left w:val="nil"/>
              <w:bottom w:val="single" w:color="auto" w:sz="4" w:space="0"/>
              <w:right w:val="single" w:color="auto" w:sz="8" w:space="0"/>
            </w:tcBorders>
            <w:noWrap w:val="0"/>
            <w:vAlign w:val="center"/>
          </w:tcPr>
          <w:p w14:paraId="4C57B3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①是否将项目绩效目标细化分解为具体的绩效指标；</w:t>
            </w:r>
          </w:p>
          <w:p w14:paraId="6448A6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②是否通过清晰、可衡量的指标值予以体现；</w:t>
            </w:r>
          </w:p>
          <w:p w14:paraId="3FD242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③是否与项目目标任务数或计划数相对应。</w:t>
            </w:r>
          </w:p>
          <w:p w14:paraId="10AF3F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①②③齐全得权重分的100%，缺①扣权重分的20%，缺②扣权重分的50%，缺③扣权重分的30%。</w:t>
            </w:r>
          </w:p>
        </w:tc>
        <w:tc>
          <w:tcPr>
            <w:tcW w:w="319" w:type="pct"/>
            <w:tcBorders>
              <w:top w:val="single" w:color="auto" w:sz="4" w:space="0"/>
              <w:left w:val="nil"/>
              <w:bottom w:val="single" w:color="auto" w:sz="4" w:space="0"/>
              <w:right w:val="single" w:color="auto" w:sz="8" w:space="0"/>
            </w:tcBorders>
            <w:noWrap w:val="0"/>
            <w:vAlign w:val="center"/>
          </w:tcPr>
          <w:p w14:paraId="566063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明确</w:t>
            </w:r>
          </w:p>
        </w:tc>
        <w:tc>
          <w:tcPr>
            <w:tcW w:w="326" w:type="pct"/>
            <w:tcBorders>
              <w:top w:val="single" w:color="auto" w:sz="4" w:space="0"/>
              <w:left w:val="nil"/>
              <w:bottom w:val="single" w:color="auto" w:sz="4" w:space="0"/>
              <w:right w:val="single" w:color="auto" w:sz="4" w:space="0"/>
            </w:tcBorders>
            <w:noWrap w:val="0"/>
            <w:vAlign w:val="center"/>
          </w:tcPr>
          <w:p w14:paraId="1F4310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r>
      <w:tr w14:paraId="55179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6"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75068E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71009E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single" w:color="auto" w:sz="4" w:space="0"/>
              <w:left w:val="nil"/>
              <w:bottom w:val="single" w:color="auto" w:sz="8" w:space="0"/>
              <w:right w:val="single" w:color="auto" w:sz="8" w:space="0"/>
            </w:tcBorders>
            <w:noWrap w:val="0"/>
            <w:vAlign w:val="center"/>
          </w:tcPr>
          <w:p w14:paraId="2B1116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资金投入</w:t>
            </w:r>
          </w:p>
        </w:tc>
        <w:tc>
          <w:tcPr>
            <w:tcW w:w="212" w:type="pct"/>
            <w:vMerge w:val="restart"/>
            <w:tcBorders>
              <w:top w:val="single" w:color="auto" w:sz="4" w:space="0"/>
              <w:left w:val="nil"/>
              <w:bottom w:val="single" w:color="auto" w:sz="8" w:space="0"/>
              <w:right w:val="single" w:color="auto" w:sz="8" w:space="0"/>
            </w:tcBorders>
            <w:noWrap w:val="0"/>
            <w:vAlign w:val="center"/>
          </w:tcPr>
          <w:p w14:paraId="72F7CF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8</w:t>
            </w:r>
          </w:p>
        </w:tc>
        <w:tc>
          <w:tcPr>
            <w:tcW w:w="427" w:type="pct"/>
            <w:tcBorders>
              <w:top w:val="single" w:color="auto" w:sz="4" w:space="0"/>
              <w:left w:val="nil"/>
              <w:bottom w:val="single" w:color="auto" w:sz="8" w:space="0"/>
              <w:right w:val="single" w:color="auto" w:sz="8" w:space="0"/>
            </w:tcBorders>
            <w:noWrap w:val="0"/>
            <w:vAlign w:val="center"/>
          </w:tcPr>
          <w:p w14:paraId="129292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预算编制科学性</w:t>
            </w:r>
          </w:p>
        </w:tc>
        <w:tc>
          <w:tcPr>
            <w:tcW w:w="242" w:type="pct"/>
            <w:tcBorders>
              <w:top w:val="single" w:color="auto" w:sz="4" w:space="0"/>
              <w:left w:val="nil"/>
              <w:bottom w:val="single" w:color="auto" w:sz="8" w:space="0"/>
              <w:right w:val="single" w:color="auto" w:sz="8" w:space="0"/>
            </w:tcBorders>
            <w:noWrap w:val="0"/>
            <w:vAlign w:val="center"/>
          </w:tcPr>
          <w:p w14:paraId="6C4F63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c>
          <w:tcPr>
            <w:tcW w:w="658" w:type="pct"/>
            <w:tcBorders>
              <w:top w:val="single" w:color="auto" w:sz="4" w:space="0"/>
              <w:left w:val="nil"/>
              <w:bottom w:val="single" w:color="auto" w:sz="8" w:space="0"/>
              <w:right w:val="single" w:color="auto" w:sz="8" w:space="0"/>
            </w:tcBorders>
            <w:noWrap w:val="0"/>
            <w:vAlign w:val="center"/>
          </w:tcPr>
          <w:p w14:paraId="0E0024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266" w:type="pct"/>
            <w:tcBorders>
              <w:top w:val="single" w:color="auto" w:sz="4" w:space="0"/>
              <w:left w:val="nil"/>
              <w:bottom w:val="single" w:color="auto" w:sz="8" w:space="0"/>
              <w:right w:val="single" w:color="auto" w:sz="8" w:space="0"/>
            </w:tcBorders>
            <w:noWrap w:val="0"/>
            <w:vAlign w:val="center"/>
          </w:tcPr>
          <w:p w14:paraId="3FB75C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科学</w:t>
            </w:r>
          </w:p>
        </w:tc>
        <w:tc>
          <w:tcPr>
            <w:tcW w:w="1723" w:type="pct"/>
            <w:tcBorders>
              <w:top w:val="single" w:color="auto" w:sz="4" w:space="0"/>
              <w:left w:val="nil"/>
              <w:bottom w:val="single" w:color="auto" w:sz="8" w:space="0"/>
              <w:right w:val="single" w:color="auto" w:sz="8" w:space="0"/>
            </w:tcBorders>
            <w:noWrap w:val="0"/>
            <w:vAlign w:val="center"/>
          </w:tcPr>
          <w:p w14:paraId="4632E3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①预算编制是否经过科学论证；</w:t>
            </w:r>
          </w:p>
          <w:p w14:paraId="467BC8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②预算内容与项目内容是否匹配；</w:t>
            </w:r>
          </w:p>
          <w:p w14:paraId="6A5CC2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③预算额度测算依据是否充分，是否按照标准编制；</w:t>
            </w:r>
          </w:p>
          <w:p w14:paraId="633BE9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④预算确定的项目投资额或资金量是否与工作任务相匹配。</w:t>
            </w:r>
          </w:p>
          <w:p w14:paraId="51C078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以上每条要素各占权重的25%，每有一条不符合，扣除对应的权重分，扣完为止。</w:t>
            </w:r>
          </w:p>
        </w:tc>
        <w:tc>
          <w:tcPr>
            <w:tcW w:w="319" w:type="pct"/>
            <w:tcBorders>
              <w:top w:val="single" w:color="auto" w:sz="4" w:space="0"/>
              <w:left w:val="nil"/>
              <w:bottom w:val="single" w:color="auto" w:sz="8" w:space="0"/>
              <w:right w:val="single" w:color="auto" w:sz="8" w:space="0"/>
            </w:tcBorders>
            <w:noWrap w:val="0"/>
            <w:vAlign w:val="center"/>
          </w:tcPr>
          <w:p w14:paraId="7DA0EF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科学</w:t>
            </w:r>
          </w:p>
        </w:tc>
        <w:tc>
          <w:tcPr>
            <w:tcW w:w="326" w:type="pct"/>
            <w:tcBorders>
              <w:top w:val="single" w:color="auto" w:sz="4" w:space="0"/>
              <w:left w:val="nil"/>
              <w:bottom w:val="single" w:color="auto" w:sz="8" w:space="0"/>
              <w:right w:val="single" w:color="auto" w:sz="8" w:space="0"/>
            </w:tcBorders>
            <w:noWrap w:val="0"/>
            <w:vAlign w:val="center"/>
          </w:tcPr>
          <w:p w14:paraId="4FCAAF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r>
      <w:tr w14:paraId="48BA6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0"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629786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5B31F0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202C8A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16C935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1CB99D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资金分配合理性</w:t>
            </w:r>
          </w:p>
        </w:tc>
        <w:tc>
          <w:tcPr>
            <w:tcW w:w="242" w:type="pct"/>
            <w:tcBorders>
              <w:top w:val="nil"/>
              <w:left w:val="nil"/>
              <w:bottom w:val="single" w:color="auto" w:sz="8" w:space="0"/>
              <w:right w:val="single" w:color="auto" w:sz="8" w:space="0"/>
            </w:tcBorders>
            <w:noWrap w:val="0"/>
            <w:vAlign w:val="center"/>
          </w:tcPr>
          <w:p w14:paraId="5718BE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c>
          <w:tcPr>
            <w:tcW w:w="658" w:type="pct"/>
            <w:tcBorders>
              <w:top w:val="nil"/>
              <w:left w:val="nil"/>
              <w:bottom w:val="single" w:color="auto" w:sz="8" w:space="0"/>
              <w:right w:val="single" w:color="auto" w:sz="8" w:space="0"/>
            </w:tcBorders>
            <w:noWrap w:val="0"/>
            <w:vAlign w:val="center"/>
          </w:tcPr>
          <w:p w14:paraId="50F862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项目预算资金分配是否有测算依据，与补助单位或地方实际是否相适应，用以反映和考核项目预算资金分配的科学性、合理性情况。</w:t>
            </w:r>
          </w:p>
        </w:tc>
        <w:tc>
          <w:tcPr>
            <w:tcW w:w="266" w:type="pct"/>
            <w:tcBorders>
              <w:top w:val="nil"/>
              <w:left w:val="nil"/>
              <w:bottom w:val="single" w:color="auto" w:sz="8" w:space="0"/>
              <w:right w:val="single" w:color="auto" w:sz="8" w:space="0"/>
            </w:tcBorders>
            <w:noWrap w:val="0"/>
            <w:vAlign w:val="center"/>
          </w:tcPr>
          <w:p w14:paraId="1A3C8D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1723" w:type="pct"/>
            <w:tcBorders>
              <w:top w:val="nil"/>
              <w:left w:val="nil"/>
              <w:bottom w:val="single" w:color="auto" w:sz="8" w:space="0"/>
              <w:right w:val="single" w:color="auto" w:sz="8" w:space="0"/>
            </w:tcBorders>
            <w:noWrap w:val="0"/>
            <w:vAlign w:val="center"/>
          </w:tcPr>
          <w:p w14:paraId="56F5E6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①预算资金分配依据是否充分；</w:t>
            </w:r>
          </w:p>
          <w:p w14:paraId="206EF7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②资金分配额度是否合理，与项目单位或地方实际是否相适应。</w:t>
            </w:r>
          </w:p>
          <w:p w14:paraId="6EA32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以上每条要素各占权重的50%，每有一条不符合，扣除对应的权重分，扣完为止。</w:t>
            </w:r>
          </w:p>
        </w:tc>
        <w:tc>
          <w:tcPr>
            <w:tcW w:w="319" w:type="pct"/>
            <w:tcBorders>
              <w:top w:val="nil"/>
              <w:left w:val="nil"/>
              <w:bottom w:val="single" w:color="auto" w:sz="8" w:space="0"/>
              <w:right w:val="single" w:color="auto" w:sz="8" w:space="0"/>
            </w:tcBorders>
            <w:noWrap w:val="0"/>
            <w:vAlign w:val="center"/>
          </w:tcPr>
          <w:p w14:paraId="279FA1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326" w:type="pct"/>
            <w:tcBorders>
              <w:top w:val="nil"/>
              <w:left w:val="nil"/>
              <w:bottom w:val="single" w:color="auto" w:sz="8" w:space="0"/>
              <w:right w:val="single" w:color="auto" w:sz="8" w:space="0"/>
            </w:tcBorders>
            <w:noWrap w:val="0"/>
            <w:vAlign w:val="center"/>
          </w:tcPr>
          <w:p w14:paraId="1B2E42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r>
      <w:tr w14:paraId="55551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598D7E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项目过程</w:t>
            </w:r>
          </w:p>
        </w:tc>
        <w:tc>
          <w:tcPr>
            <w:tcW w:w="207" w:type="pct"/>
            <w:vMerge w:val="restart"/>
            <w:tcBorders>
              <w:top w:val="nil"/>
              <w:left w:val="nil"/>
              <w:bottom w:val="single" w:color="auto" w:sz="8" w:space="0"/>
              <w:right w:val="single" w:color="auto" w:sz="8" w:space="0"/>
            </w:tcBorders>
            <w:noWrap w:val="0"/>
            <w:vAlign w:val="center"/>
          </w:tcPr>
          <w:p w14:paraId="033EE5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12</w:t>
            </w:r>
          </w:p>
        </w:tc>
        <w:tc>
          <w:tcPr>
            <w:tcW w:w="310" w:type="pct"/>
            <w:vMerge w:val="restart"/>
            <w:tcBorders>
              <w:top w:val="nil"/>
              <w:left w:val="nil"/>
              <w:bottom w:val="single" w:color="auto" w:sz="8" w:space="0"/>
              <w:right w:val="single" w:color="auto" w:sz="8" w:space="0"/>
            </w:tcBorders>
            <w:noWrap w:val="0"/>
            <w:vAlign w:val="center"/>
          </w:tcPr>
          <w:p w14:paraId="27198A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资金管理</w:t>
            </w:r>
          </w:p>
        </w:tc>
        <w:tc>
          <w:tcPr>
            <w:tcW w:w="212" w:type="pct"/>
            <w:vMerge w:val="restart"/>
            <w:tcBorders>
              <w:top w:val="nil"/>
              <w:left w:val="nil"/>
              <w:bottom w:val="single" w:color="auto" w:sz="8" w:space="0"/>
              <w:right w:val="single" w:color="auto" w:sz="8" w:space="0"/>
            </w:tcBorders>
            <w:noWrap w:val="0"/>
            <w:vAlign w:val="center"/>
          </w:tcPr>
          <w:p w14:paraId="6F76E5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427" w:type="pct"/>
            <w:tcBorders>
              <w:top w:val="nil"/>
              <w:left w:val="nil"/>
              <w:bottom w:val="single" w:color="auto" w:sz="8" w:space="0"/>
              <w:right w:val="single" w:color="auto" w:sz="8" w:space="0"/>
            </w:tcBorders>
            <w:noWrap w:val="0"/>
            <w:vAlign w:val="center"/>
          </w:tcPr>
          <w:p w14:paraId="35A49F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资金到位率</w:t>
            </w:r>
          </w:p>
        </w:tc>
        <w:tc>
          <w:tcPr>
            <w:tcW w:w="242" w:type="pct"/>
            <w:tcBorders>
              <w:top w:val="nil"/>
              <w:left w:val="nil"/>
              <w:bottom w:val="single" w:color="auto" w:sz="8" w:space="0"/>
              <w:right w:val="single" w:color="auto" w:sz="8" w:space="0"/>
            </w:tcBorders>
            <w:noWrap w:val="0"/>
            <w:vAlign w:val="center"/>
          </w:tcPr>
          <w:p w14:paraId="58C91D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658" w:type="pct"/>
            <w:tcBorders>
              <w:top w:val="nil"/>
              <w:left w:val="nil"/>
              <w:bottom w:val="single" w:color="auto" w:sz="8" w:space="0"/>
              <w:right w:val="single" w:color="auto" w:sz="8" w:space="0"/>
            </w:tcBorders>
            <w:noWrap w:val="0"/>
            <w:vAlign w:val="center"/>
          </w:tcPr>
          <w:p w14:paraId="11BD91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实际到位资金与预算资金的比率，用以反映和考核资金落实情况对项目实施的总体保障程度。</w:t>
            </w:r>
          </w:p>
        </w:tc>
        <w:tc>
          <w:tcPr>
            <w:tcW w:w="266" w:type="pct"/>
            <w:tcBorders>
              <w:top w:val="nil"/>
              <w:left w:val="nil"/>
              <w:bottom w:val="single" w:color="auto" w:sz="8" w:space="0"/>
              <w:right w:val="single" w:color="auto" w:sz="8" w:space="0"/>
            </w:tcBorders>
            <w:noWrap w:val="0"/>
            <w:vAlign w:val="center"/>
          </w:tcPr>
          <w:p w14:paraId="46EA5F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tcBorders>
              <w:top w:val="nil"/>
              <w:left w:val="nil"/>
              <w:bottom w:val="single" w:color="auto" w:sz="8" w:space="0"/>
              <w:right w:val="single" w:color="auto" w:sz="8" w:space="0"/>
            </w:tcBorders>
            <w:noWrap w:val="0"/>
            <w:vAlign w:val="center"/>
          </w:tcPr>
          <w:p w14:paraId="16C514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资金到位率=（实际到位资金/预算资金）×100%。</w:t>
            </w:r>
          </w:p>
          <w:p w14:paraId="038EF1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资金到位率=100%，得权重分满分，每降低1%，扣除5%权重分，扣完为止。</w:t>
            </w:r>
          </w:p>
        </w:tc>
        <w:tc>
          <w:tcPr>
            <w:tcW w:w="319" w:type="pct"/>
            <w:tcBorders>
              <w:top w:val="nil"/>
              <w:left w:val="nil"/>
              <w:bottom w:val="single" w:color="auto" w:sz="8" w:space="0"/>
              <w:right w:val="single" w:color="auto" w:sz="8" w:space="0"/>
            </w:tcBorders>
            <w:noWrap w:val="0"/>
            <w:vAlign w:val="center"/>
          </w:tcPr>
          <w:p w14:paraId="3DAACA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26" w:type="pct"/>
            <w:tcBorders>
              <w:top w:val="nil"/>
              <w:left w:val="nil"/>
              <w:bottom w:val="single" w:color="auto" w:sz="8" w:space="0"/>
              <w:right w:val="single" w:color="auto" w:sz="8" w:space="0"/>
            </w:tcBorders>
            <w:noWrap w:val="0"/>
            <w:vAlign w:val="center"/>
          </w:tcPr>
          <w:p w14:paraId="314950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r>
      <w:tr w14:paraId="50A67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703654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4" w:space="0"/>
              <w:right w:val="single" w:color="auto" w:sz="8" w:space="0"/>
            </w:tcBorders>
            <w:noWrap w:val="0"/>
            <w:vAlign w:val="center"/>
          </w:tcPr>
          <w:p w14:paraId="5B390B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4" w:space="0"/>
              <w:right w:val="single" w:color="auto" w:sz="8" w:space="0"/>
            </w:tcBorders>
            <w:noWrap w:val="0"/>
            <w:vAlign w:val="center"/>
          </w:tcPr>
          <w:p w14:paraId="6BB0CE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4" w:space="0"/>
              <w:right w:val="single" w:color="auto" w:sz="8" w:space="0"/>
            </w:tcBorders>
            <w:noWrap w:val="0"/>
            <w:vAlign w:val="center"/>
          </w:tcPr>
          <w:p w14:paraId="7460B6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4" w:space="0"/>
              <w:right w:val="single" w:color="auto" w:sz="8" w:space="0"/>
            </w:tcBorders>
            <w:noWrap w:val="0"/>
            <w:vAlign w:val="center"/>
          </w:tcPr>
          <w:p w14:paraId="3F8095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预算执行率</w:t>
            </w:r>
          </w:p>
        </w:tc>
        <w:tc>
          <w:tcPr>
            <w:tcW w:w="242" w:type="pct"/>
            <w:tcBorders>
              <w:top w:val="nil"/>
              <w:left w:val="nil"/>
              <w:bottom w:val="single" w:color="auto" w:sz="4" w:space="0"/>
              <w:right w:val="single" w:color="auto" w:sz="8" w:space="0"/>
            </w:tcBorders>
            <w:noWrap w:val="0"/>
            <w:vAlign w:val="center"/>
          </w:tcPr>
          <w:p w14:paraId="0F151C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c>
          <w:tcPr>
            <w:tcW w:w="658" w:type="pct"/>
            <w:tcBorders>
              <w:top w:val="nil"/>
              <w:left w:val="nil"/>
              <w:bottom w:val="single" w:color="auto" w:sz="4" w:space="0"/>
              <w:right w:val="single" w:color="auto" w:sz="8" w:space="0"/>
            </w:tcBorders>
            <w:noWrap w:val="0"/>
            <w:vAlign w:val="center"/>
          </w:tcPr>
          <w:p w14:paraId="3BD82A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项目预算资金是否按照计划执行，用以反映或考核项目预算执行情况。</w:t>
            </w:r>
          </w:p>
        </w:tc>
        <w:tc>
          <w:tcPr>
            <w:tcW w:w="266" w:type="pct"/>
            <w:tcBorders>
              <w:top w:val="nil"/>
              <w:left w:val="nil"/>
              <w:bottom w:val="single" w:color="auto" w:sz="4" w:space="0"/>
              <w:right w:val="single" w:color="auto" w:sz="8" w:space="0"/>
            </w:tcBorders>
            <w:noWrap w:val="0"/>
            <w:vAlign w:val="center"/>
          </w:tcPr>
          <w:p w14:paraId="2001EE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tcBorders>
              <w:top w:val="nil"/>
              <w:left w:val="nil"/>
              <w:bottom w:val="single" w:color="auto" w:sz="4" w:space="0"/>
              <w:right w:val="single" w:color="auto" w:sz="8" w:space="0"/>
            </w:tcBorders>
            <w:noWrap w:val="0"/>
            <w:vAlign w:val="center"/>
          </w:tcPr>
          <w:p w14:paraId="2F6ED9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预算执行率=（实际支出资金/实际到位资金）×100%。</w:t>
            </w:r>
          </w:p>
          <w:p w14:paraId="41A69B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预算执行率=100%，得权重分满分；若预算执行率＜100%，得分=预算执行率*分值；若执行率≤60%，则不得分。</w:t>
            </w:r>
          </w:p>
        </w:tc>
        <w:tc>
          <w:tcPr>
            <w:tcW w:w="319" w:type="pct"/>
            <w:tcBorders>
              <w:top w:val="nil"/>
              <w:left w:val="nil"/>
              <w:bottom w:val="single" w:color="auto" w:sz="4" w:space="0"/>
              <w:right w:val="single" w:color="auto" w:sz="8" w:space="0"/>
            </w:tcBorders>
            <w:noWrap w:val="0"/>
            <w:vAlign w:val="center"/>
          </w:tcPr>
          <w:p w14:paraId="35EA76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color w:val="auto"/>
                <w:sz w:val="24"/>
                <w:szCs w:val="24"/>
                <w:lang w:val="en-US" w:eastAsia="zh-CN"/>
              </w:rPr>
              <w:t>97%</w:t>
            </w:r>
          </w:p>
        </w:tc>
        <w:tc>
          <w:tcPr>
            <w:tcW w:w="326" w:type="pct"/>
            <w:tcBorders>
              <w:top w:val="nil"/>
              <w:left w:val="nil"/>
              <w:bottom w:val="single" w:color="auto" w:sz="4" w:space="0"/>
              <w:right w:val="single" w:color="auto" w:sz="8" w:space="0"/>
            </w:tcBorders>
            <w:noWrap w:val="0"/>
            <w:vAlign w:val="center"/>
          </w:tcPr>
          <w:p w14:paraId="2483CC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1.94</w:t>
            </w:r>
          </w:p>
        </w:tc>
      </w:tr>
      <w:tr w14:paraId="2A353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305" w:type="pct"/>
            <w:vMerge w:val="continue"/>
            <w:tcBorders>
              <w:top w:val="single" w:color="auto" w:sz="4" w:space="0"/>
              <w:left w:val="single" w:color="auto" w:sz="4" w:space="0"/>
              <w:bottom w:val="single" w:color="auto" w:sz="4" w:space="0"/>
              <w:right w:val="single" w:color="auto" w:sz="8" w:space="0"/>
            </w:tcBorders>
            <w:noWrap w:val="0"/>
            <w:vAlign w:val="center"/>
          </w:tcPr>
          <w:p w14:paraId="19BC14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4" w:space="0"/>
              <w:right w:val="single" w:color="auto" w:sz="8" w:space="0"/>
            </w:tcBorders>
            <w:noWrap w:val="0"/>
            <w:vAlign w:val="center"/>
          </w:tcPr>
          <w:p w14:paraId="11A36D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single" w:color="auto" w:sz="4" w:space="0"/>
              <w:left w:val="nil"/>
              <w:bottom w:val="single" w:color="auto" w:sz="4" w:space="0"/>
              <w:right w:val="single" w:color="auto" w:sz="8" w:space="0"/>
            </w:tcBorders>
            <w:noWrap w:val="0"/>
            <w:vAlign w:val="center"/>
          </w:tcPr>
          <w:p w14:paraId="4FE94D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single" w:color="auto" w:sz="4" w:space="0"/>
              <w:left w:val="nil"/>
              <w:bottom w:val="single" w:color="auto" w:sz="4" w:space="0"/>
              <w:right w:val="single" w:color="auto" w:sz="8" w:space="0"/>
            </w:tcBorders>
            <w:noWrap w:val="0"/>
            <w:vAlign w:val="center"/>
          </w:tcPr>
          <w:p w14:paraId="0594C4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single" w:color="auto" w:sz="4" w:space="0"/>
              <w:left w:val="nil"/>
              <w:bottom w:val="single" w:color="auto" w:sz="4" w:space="0"/>
              <w:right w:val="single" w:color="auto" w:sz="8" w:space="0"/>
            </w:tcBorders>
            <w:noWrap w:val="0"/>
            <w:vAlign w:val="center"/>
          </w:tcPr>
          <w:p w14:paraId="6BA7C0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资金使用合规性</w:t>
            </w:r>
          </w:p>
        </w:tc>
        <w:tc>
          <w:tcPr>
            <w:tcW w:w="242" w:type="pct"/>
            <w:tcBorders>
              <w:top w:val="single" w:color="auto" w:sz="4" w:space="0"/>
              <w:left w:val="nil"/>
              <w:bottom w:val="single" w:color="auto" w:sz="4" w:space="0"/>
              <w:right w:val="single" w:color="auto" w:sz="8" w:space="0"/>
            </w:tcBorders>
            <w:noWrap w:val="0"/>
            <w:vAlign w:val="center"/>
          </w:tcPr>
          <w:p w14:paraId="4C0F98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single" w:color="auto" w:sz="4" w:space="0"/>
              <w:left w:val="nil"/>
              <w:bottom w:val="single" w:color="auto" w:sz="4" w:space="0"/>
              <w:right w:val="single" w:color="auto" w:sz="8" w:space="0"/>
            </w:tcBorders>
            <w:noWrap w:val="0"/>
            <w:vAlign w:val="center"/>
          </w:tcPr>
          <w:p w14:paraId="7B5EE3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项目资金使用是否符合相关的财务管理制度规定，用以反映和考核项目资金的规范运行情况。</w:t>
            </w:r>
          </w:p>
        </w:tc>
        <w:tc>
          <w:tcPr>
            <w:tcW w:w="266" w:type="pct"/>
            <w:tcBorders>
              <w:top w:val="single" w:color="auto" w:sz="4" w:space="0"/>
              <w:left w:val="nil"/>
              <w:bottom w:val="single" w:color="auto" w:sz="4" w:space="0"/>
              <w:right w:val="single" w:color="auto" w:sz="8" w:space="0"/>
            </w:tcBorders>
            <w:noWrap w:val="0"/>
            <w:vAlign w:val="center"/>
          </w:tcPr>
          <w:p w14:paraId="32FE96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合规</w:t>
            </w:r>
          </w:p>
        </w:tc>
        <w:tc>
          <w:tcPr>
            <w:tcW w:w="1723" w:type="pct"/>
            <w:tcBorders>
              <w:top w:val="single" w:color="auto" w:sz="4" w:space="0"/>
              <w:left w:val="nil"/>
              <w:bottom w:val="single" w:color="auto" w:sz="4" w:space="0"/>
              <w:right w:val="single" w:color="auto" w:sz="8" w:space="0"/>
            </w:tcBorders>
            <w:noWrap w:val="0"/>
            <w:vAlign w:val="center"/>
          </w:tcPr>
          <w:p w14:paraId="273B89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①否符合国家财经法规和财务管理制度以及有关专项资金管理办法的规定；</w:t>
            </w:r>
          </w:p>
          <w:p w14:paraId="1CACE0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②资金的拨付是否有完整的审批程序和手续；</w:t>
            </w:r>
          </w:p>
          <w:p w14:paraId="52B493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③是否符合项目预算批复或合同规定的用途；</w:t>
            </w:r>
          </w:p>
          <w:p w14:paraId="0D8BEC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④是否存在截留、挤占、挪用、虚列支出等情况。</w:t>
            </w:r>
          </w:p>
          <w:p w14:paraId="42AAAC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以上每条指标各占权重分的25%，要素①②不符合，扣除对应权重分；要素③④不符合属于重大违纪，该指标不得分。</w:t>
            </w:r>
          </w:p>
        </w:tc>
        <w:tc>
          <w:tcPr>
            <w:tcW w:w="319" w:type="pct"/>
            <w:tcBorders>
              <w:top w:val="single" w:color="auto" w:sz="4" w:space="0"/>
              <w:left w:val="nil"/>
              <w:bottom w:val="single" w:color="auto" w:sz="4" w:space="0"/>
              <w:right w:val="single" w:color="auto" w:sz="8" w:space="0"/>
            </w:tcBorders>
            <w:noWrap w:val="0"/>
            <w:vAlign w:val="center"/>
          </w:tcPr>
          <w:p w14:paraId="47A53B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合规</w:t>
            </w:r>
          </w:p>
        </w:tc>
        <w:tc>
          <w:tcPr>
            <w:tcW w:w="326" w:type="pct"/>
            <w:tcBorders>
              <w:top w:val="single" w:color="auto" w:sz="4" w:space="0"/>
              <w:left w:val="nil"/>
              <w:bottom w:val="single" w:color="auto" w:sz="4" w:space="0"/>
              <w:right w:val="single" w:color="auto" w:sz="4" w:space="0"/>
            </w:tcBorders>
            <w:noWrap w:val="0"/>
            <w:vAlign w:val="center"/>
          </w:tcPr>
          <w:p w14:paraId="044297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5F9A8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4DBFFC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7B5C67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single" w:color="auto" w:sz="4" w:space="0"/>
              <w:left w:val="nil"/>
              <w:bottom w:val="single" w:color="auto" w:sz="8" w:space="0"/>
              <w:right w:val="single" w:color="auto" w:sz="8" w:space="0"/>
            </w:tcBorders>
            <w:noWrap w:val="0"/>
            <w:vAlign w:val="center"/>
          </w:tcPr>
          <w:p w14:paraId="1FB01B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组织实施</w:t>
            </w:r>
          </w:p>
        </w:tc>
        <w:tc>
          <w:tcPr>
            <w:tcW w:w="212" w:type="pct"/>
            <w:vMerge w:val="restart"/>
            <w:tcBorders>
              <w:top w:val="single" w:color="auto" w:sz="4" w:space="0"/>
              <w:left w:val="nil"/>
              <w:bottom w:val="single" w:color="auto" w:sz="8" w:space="0"/>
              <w:right w:val="single" w:color="auto" w:sz="8" w:space="0"/>
            </w:tcBorders>
            <w:noWrap w:val="0"/>
            <w:vAlign w:val="center"/>
          </w:tcPr>
          <w:p w14:paraId="00A7BD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427" w:type="pct"/>
            <w:tcBorders>
              <w:top w:val="single" w:color="auto" w:sz="4" w:space="0"/>
              <w:left w:val="nil"/>
              <w:bottom w:val="single" w:color="auto" w:sz="8" w:space="0"/>
              <w:right w:val="single" w:color="auto" w:sz="8" w:space="0"/>
            </w:tcBorders>
            <w:noWrap w:val="0"/>
            <w:vAlign w:val="center"/>
          </w:tcPr>
          <w:p w14:paraId="541278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管理制度健全性</w:t>
            </w:r>
          </w:p>
        </w:tc>
        <w:tc>
          <w:tcPr>
            <w:tcW w:w="242" w:type="pct"/>
            <w:tcBorders>
              <w:top w:val="single" w:color="auto" w:sz="4" w:space="0"/>
              <w:left w:val="nil"/>
              <w:bottom w:val="single" w:color="auto" w:sz="8" w:space="0"/>
              <w:right w:val="single" w:color="auto" w:sz="8" w:space="0"/>
            </w:tcBorders>
            <w:noWrap w:val="0"/>
            <w:vAlign w:val="center"/>
          </w:tcPr>
          <w:p w14:paraId="1FE28C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single" w:color="auto" w:sz="4" w:space="0"/>
              <w:left w:val="nil"/>
              <w:bottom w:val="single" w:color="auto" w:sz="8" w:space="0"/>
              <w:right w:val="single" w:color="auto" w:sz="8" w:space="0"/>
            </w:tcBorders>
            <w:noWrap w:val="0"/>
            <w:vAlign w:val="center"/>
          </w:tcPr>
          <w:p w14:paraId="33AE86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项目实施单位的财务和业务管理制度是否健全，用以反映和考核财务和业务管理制度对项目顺利实施的保障情况。</w:t>
            </w:r>
          </w:p>
        </w:tc>
        <w:tc>
          <w:tcPr>
            <w:tcW w:w="266" w:type="pct"/>
            <w:tcBorders>
              <w:top w:val="single" w:color="auto" w:sz="4" w:space="0"/>
              <w:left w:val="nil"/>
              <w:bottom w:val="single" w:color="auto" w:sz="8" w:space="0"/>
              <w:right w:val="single" w:color="auto" w:sz="8" w:space="0"/>
            </w:tcBorders>
            <w:noWrap w:val="0"/>
            <w:vAlign w:val="center"/>
          </w:tcPr>
          <w:p w14:paraId="1E8FD7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1723" w:type="pct"/>
            <w:tcBorders>
              <w:top w:val="single" w:color="auto" w:sz="4" w:space="0"/>
              <w:left w:val="nil"/>
              <w:bottom w:val="single" w:color="auto" w:sz="4" w:space="0"/>
              <w:right w:val="single" w:color="auto" w:sz="8" w:space="0"/>
            </w:tcBorders>
            <w:noWrap w:val="0"/>
            <w:vAlign w:val="center"/>
          </w:tcPr>
          <w:p w14:paraId="24C50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①是否已制定或具有相应的财务和业务管理制度；</w:t>
            </w:r>
          </w:p>
          <w:p w14:paraId="7F84E9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②财务和业务管理制度是否合法、合规、完整。</w:t>
            </w:r>
          </w:p>
          <w:p w14:paraId="692095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以上每条要素各占权重的50%，每有一条不符合，扣除对应的权重分，扣完为止。</w:t>
            </w:r>
          </w:p>
        </w:tc>
        <w:tc>
          <w:tcPr>
            <w:tcW w:w="319" w:type="pct"/>
            <w:tcBorders>
              <w:top w:val="single" w:color="auto" w:sz="4" w:space="0"/>
              <w:left w:val="nil"/>
              <w:bottom w:val="single" w:color="auto" w:sz="8" w:space="0"/>
              <w:right w:val="single" w:color="auto" w:sz="8" w:space="0"/>
            </w:tcBorders>
            <w:noWrap w:val="0"/>
            <w:vAlign w:val="center"/>
          </w:tcPr>
          <w:p w14:paraId="4D6775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326" w:type="pct"/>
            <w:tcBorders>
              <w:top w:val="single" w:color="auto" w:sz="4" w:space="0"/>
              <w:left w:val="nil"/>
              <w:bottom w:val="single" w:color="auto" w:sz="8" w:space="0"/>
              <w:right w:val="single" w:color="auto" w:sz="8" w:space="0"/>
            </w:tcBorders>
            <w:noWrap w:val="0"/>
            <w:vAlign w:val="center"/>
          </w:tcPr>
          <w:p w14:paraId="01EC4A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56797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1AB688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132695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2FAE75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512DD4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134DC8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制度执行有效性</w:t>
            </w:r>
          </w:p>
        </w:tc>
        <w:tc>
          <w:tcPr>
            <w:tcW w:w="242" w:type="pct"/>
            <w:tcBorders>
              <w:top w:val="nil"/>
              <w:left w:val="nil"/>
              <w:bottom w:val="single" w:color="auto" w:sz="8" w:space="0"/>
              <w:right w:val="single" w:color="auto" w:sz="8" w:space="0"/>
            </w:tcBorders>
            <w:noWrap w:val="0"/>
            <w:vAlign w:val="center"/>
          </w:tcPr>
          <w:p w14:paraId="2620AA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nil"/>
              <w:left w:val="nil"/>
              <w:bottom w:val="single" w:color="auto" w:sz="8" w:space="0"/>
              <w:right w:val="single" w:color="auto" w:sz="8" w:space="0"/>
            </w:tcBorders>
            <w:noWrap w:val="0"/>
            <w:vAlign w:val="center"/>
          </w:tcPr>
          <w:p w14:paraId="056705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项目实施是否符合相关管理规定，用以反映和考核相关管理制度的有效执行情况。</w:t>
            </w:r>
          </w:p>
        </w:tc>
        <w:tc>
          <w:tcPr>
            <w:tcW w:w="266" w:type="pct"/>
            <w:tcBorders>
              <w:top w:val="nil"/>
              <w:left w:val="nil"/>
              <w:bottom w:val="single" w:color="auto" w:sz="8" w:space="0"/>
              <w:right w:val="single" w:color="auto" w:sz="4" w:space="0"/>
            </w:tcBorders>
            <w:noWrap w:val="0"/>
            <w:vAlign w:val="center"/>
          </w:tcPr>
          <w:p w14:paraId="24DC7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1723" w:type="pct"/>
            <w:tcBorders>
              <w:top w:val="single" w:color="auto" w:sz="4" w:space="0"/>
              <w:left w:val="single" w:color="auto" w:sz="4" w:space="0"/>
              <w:bottom w:val="single" w:color="auto" w:sz="4" w:space="0"/>
              <w:right w:val="single" w:color="auto" w:sz="4" w:space="0"/>
            </w:tcBorders>
            <w:noWrap w:val="0"/>
            <w:vAlign w:val="center"/>
          </w:tcPr>
          <w:p w14:paraId="02FC16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①否遵守相关法律法规和相关管理规定；</w:t>
            </w:r>
          </w:p>
          <w:p w14:paraId="354BC8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②项目调整及支出调整手续是否完备；</w:t>
            </w:r>
          </w:p>
          <w:p w14:paraId="5C6401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③项目资料是否齐全并及时归档。</w:t>
            </w:r>
          </w:p>
          <w:p w14:paraId="3AC795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①②③齐全得权重分的100%，缺①扣权重分的30%，缺②扣权重分的40%，缺③扣权重分的30%。</w:t>
            </w:r>
          </w:p>
        </w:tc>
        <w:tc>
          <w:tcPr>
            <w:tcW w:w="319" w:type="pct"/>
            <w:tcBorders>
              <w:top w:val="nil"/>
              <w:left w:val="single" w:color="auto" w:sz="4" w:space="0"/>
              <w:bottom w:val="single" w:color="auto" w:sz="8" w:space="0"/>
              <w:right w:val="single" w:color="auto" w:sz="8" w:space="0"/>
            </w:tcBorders>
            <w:noWrap w:val="0"/>
            <w:vAlign w:val="center"/>
          </w:tcPr>
          <w:p w14:paraId="1D4BFB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326" w:type="pct"/>
            <w:tcBorders>
              <w:top w:val="nil"/>
              <w:left w:val="nil"/>
              <w:bottom w:val="single" w:color="auto" w:sz="8" w:space="0"/>
              <w:right w:val="single" w:color="auto" w:sz="8" w:space="0"/>
            </w:tcBorders>
            <w:noWrap w:val="0"/>
            <w:vAlign w:val="center"/>
          </w:tcPr>
          <w:p w14:paraId="3313DD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55903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4ACE6D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项目产出</w:t>
            </w:r>
          </w:p>
        </w:tc>
        <w:tc>
          <w:tcPr>
            <w:tcW w:w="207" w:type="pct"/>
            <w:vMerge w:val="restart"/>
            <w:tcBorders>
              <w:top w:val="nil"/>
              <w:left w:val="nil"/>
              <w:bottom w:val="single" w:color="auto" w:sz="8" w:space="0"/>
              <w:right w:val="single" w:color="auto" w:sz="8" w:space="0"/>
            </w:tcBorders>
            <w:noWrap w:val="0"/>
            <w:vAlign w:val="center"/>
          </w:tcPr>
          <w:p w14:paraId="2E2182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40</w:t>
            </w:r>
          </w:p>
        </w:tc>
        <w:tc>
          <w:tcPr>
            <w:tcW w:w="310" w:type="pct"/>
            <w:tcBorders>
              <w:top w:val="nil"/>
              <w:left w:val="nil"/>
              <w:bottom w:val="single" w:color="auto" w:sz="8" w:space="0"/>
              <w:right w:val="single" w:color="auto" w:sz="8" w:space="0"/>
            </w:tcBorders>
            <w:noWrap w:val="0"/>
            <w:vAlign w:val="center"/>
          </w:tcPr>
          <w:p w14:paraId="62FBDE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产出数量</w:t>
            </w:r>
          </w:p>
        </w:tc>
        <w:tc>
          <w:tcPr>
            <w:tcW w:w="212" w:type="pct"/>
            <w:tcBorders>
              <w:top w:val="nil"/>
              <w:left w:val="nil"/>
              <w:bottom w:val="single" w:color="auto" w:sz="8" w:space="0"/>
              <w:right w:val="single" w:color="auto" w:sz="8" w:space="0"/>
            </w:tcBorders>
            <w:noWrap w:val="0"/>
            <w:vAlign w:val="center"/>
          </w:tcPr>
          <w:p w14:paraId="169D9C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nil"/>
              <w:left w:val="nil"/>
              <w:bottom w:val="single" w:color="auto" w:sz="8" w:space="0"/>
              <w:right w:val="single" w:color="auto" w:sz="8" w:space="0"/>
            </w:tcBorders>
            <w:noWrap w:val="0"/>
            <w:vAlign w:val="center"/>
          </w:tcPr>
          <w:p w14:paraId="6FF5A9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w:t>
            </w:r>
          </w:p>
        </w:tc>
        <w:tc>
          <w:tcPr>
            <w:tcW w:w="242" w:type="pct"/>
            <w:tcBorders>
              <w:top w:val="nil"/>
              <w:left w:val="nil"/>
              <w:bottom w:val="single" w:color="auto" w:sz="8" w:space="0"/>
              <w:right w:val="single" w:color="auto" w:sz="8" w:space="0"/>
            </w:tcBorders>
            <w:noWrap w:val="0"/>
            <w:vAlign w:val="center"/>
          </w:tcPr>
          <w:p w14:paraId="2C9FA7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658" w:type="pct"/>
            <w:tcBorders>
              <w:top w:val="nil"/>
              <w:left w:val="nil"/>
              <w:bottom w:val="single" w:color="auto" w:sz="8" w:space="0"/>
              <w:right w:val="single" w:color="auto" w:sz="8" w:space="0"/>
            </w:tcBorders>
            <w:noWrap w:val="0"/>
            <w:vAlign w:val="center"/>
          </w:tcPr>
          <w:p w14:paraId="6547E8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涉及行政村个数</w:t>
            </w:r>
          </w:p>
        </w:tc>
        <w:tc>
          <w:tcPr>
            <w:tcW w:w="266" w:type="pct"/>
            <w:tcBorders>
              <w:top w:val="nil"/>
              <w:left w:val="nil"/>
              <w:bottom w:val="single" w:color="auto" w:sz="8" w:space="0"/>
              <w:right w:val="single" w:color="auto" w:sz="4" w:space="0"/>
            </w:tcBorders>
            <w:noWrap w:val="0"/>
            <w:vAlign w:val="center"/>
          </w:tcPr>
          <w:p w14:paraId="7F2C5B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=42个</w:t>
            </w:r>
          </w:p>
        </w:tc>
        <w:tc>
          <w:tcPr>
            <w:tcW w:w="1723" w:type="pct"/>
            <w:tcBorders>
              <w:top w:val="single" w:color="auto" w:sz="4" w:space="0"/>
              <w:left w:val="single" w:color="auto" w:sz="4" w:space="0"/>
              <w:bottom w:val="single" w:color="auto" w:sz="4" w:space="0"/>
              <w:right w:val="single" w:color="auto" w:sz="4" w:space="0"/>
            </w:tcBorders>
            <w:noWrap w:val="0"/>
            <w:vAlign w:val="center"/>
          </w:tcPr>
          <w:p w14:paraId="65C031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实际完成率=（实际完成/预期完成）×100%。</w:t>
            </w:r>
          </w:p>
          <w:p w14:paraId="7AAA79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①实际完成率≥100%，且偏离程度＜20%，得满分；</w:t>
            </w:r>
          </w:p>
          <w:p w14:paraId="102813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②实际完成率≥100%，偏离程度≥20%，得0分；</w:t>
            </w:r>
          </w:p>
          <w:p w14:paraId="791F83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③实际完成率×100%＜100%，得分=实际完成率×指标分值。</w:t>
            </w:r>
          </w:p>
        </w:tc>
        <w:tc>
          <w:tcPr>
            <w:tcW w:w="319" w:type="pct"/>
            <w:tcBorders>
              <w:top w:val="nil"/>
              <w:left w:val="single" w:color="auto" w:sz="4" w:space="0"/>
              <w:bottom w:val="single" w:color="auto" w:sz="8" w:space="0"/>
              <w:right w:val="single" w:color="auto" w:sz="8" w:space="0"/>
            </w:tcBorders>
            <w:noWrap w:val="0"/>
            <w:vAlign w:val="center"/>
          </w:tcPr>
          <w:p w14:paraId="6B55C5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=42个</w:t>
            </w:r>
          </w:p>
        </w:tc>
        <w:tc>
          <w:tcPr>
            <w:tcW w:w="326" w:type="pct"/>
            <w:tcBorders>
              <w:top w:val="nil"/>
              <w:left w:val="nil"/>
              <w:bottom w:val="single" w:color="auto" w:sz="8" w:space="0"/>
              <w:right w:val="single" w:color="auto" w:sz="8" w:space="0"/>
            </w:tcBorders>
            <w:noWrap w:val="0"/>
            <w:vAlign w:val="center"/>
          </w:tcPr>
          <w:p w14:paraId="5A4AD7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095D5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4A0194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4" w:space="0"/>
              <w:right w:val="single" w:color="auto" w:sz="8" w:space="0"/>
            </w:tcBorders>
            <w:noWrap w:val="0"/>
            <w:vAlign w:val="center"/>
          </w:tcPr>
          <w:p w14:paraId="4F693C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tcBorders>
              <w:top w:val="nil"/>
              <w:left w:val="nil"/>
              <w:bottom w:val="single" w:color="auto" w:sz="4" w:space="0"/>
              <w:right w:val="single" w:color="auto" w:sz="8" w:space="0"/>
            </w:tcBorders>
            <w:noWrap w:val="0"/>
            <w:vAlign w:val="center"/>
          </w:tcPr>
          <w:p w14:paraId="45B7D0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产出质量</w:t>
            </w:r>
          </w:p>
        </w:tc>
        <w:tc>
          <w:tcPr>
            <w:tcW w:w="212" w:type="pct"/>
            <w:tcBorders>
              <w:top w:val="nil"/>
              <w:left w:val="nil"/>
              <w:bottom w:val="single" w:color="auto" w:sz="4" w:space="0"/>
              <w:right w:val="single" w:color="auto" w:sz="8" w:space="0"/>
            </w:tcBorders>
            <w:noWrap w:val="0"/>
            <w:vAlign w:val="center"/>
          </w:tcPr>
          <w:p w14:paraId="3D5811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nil"/>
              <w:left w:val="nil"/>
              <w:bottom w:val="single" w:color="auto" w:sz="4" w:space="0"/>
              <w:right w:val="single" w:color="auto" w:sz="8" w:space="0"/>
            </w:tcBorders>
            <w:noWrap w:val="0"/>
            <w:vAlign w:val="center"/>
          </w:tcPr>
          <w:p w14:paraId="303A31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质量达标率</w:t>
            </w:r>
          </w:p>
        </w:tc>
        <w:tc>
          <w:tcPr>
            <w:tcW w:w="242" w:type="pct"/>
            <w:tcBorders>
              <w:top w:val="nil"/>
              <w:left w:val="nil"/>
              <w:bottom w:val="single" w:color="auto" w:sz="4" w:space="0"/>
              <w:right w:val="single" w:color="auto" w:sz="8" w:space="0"/>
            </w:tcBorders>
            <w:noWrap w:val="0"/>
            <w:vAlign w:val="center"/>
          </w:tcPr>
          <w:p w14:paraId="25A5FC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658" w:type="pct"/>
            <w:tcBorders>
              <w:top w:val="nil"/>
              <w:left w:val="nil"/>
              <w:bottom w:val="single" w:color="auto" w:sz="4" w:space="0"/>
              <w:right w:val="single" w:color="auto" w:sz="8" w:space="0"/>
            </w:tcBorders>
            <w:noWrap w:val="0"/>
            <w:vAlign w:val="center"/>
          </w:tcPr>
          <w:p w14:paraId="24B29C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资金发放合格率</w:t>
            </w:r>
          </w:p>
        </w:tc>
        <w:tc>
          <w:tcPr>
            <w:tcW w:w="266" w:type="pct"/>
            <w:tcBorders>
              <w:top w:val="nil"/>
              <w:left w:val="nil"/>
              <w:bottom w:val="single" w:color="auto" w:sz="4" w:space="0"/>
              <w:right w:val="single" w:color="auto" w:sz="4" w:space="0"/>
            </w:tcBorders>
            <w:noWrap w:val="0"/>
            <w:vAlign w:val="center"/>
          </w:tcPr>
          <w:p w14:paraId="5661E3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vMerge w:val="restart"/>
            <w:tcBorders>
              <w:top w:val="single" w:color="auto" w:sz="4" w:space="0"/>
              <w:left w:val="single" w:color="auto" w:sz="4" w:space="0"/>
              <w:bottom w:val="single" w:color="auto" w:sz="4" w:space="0"/>
              <w:right w:val="single" w:color="auto" w:sz="4" w:space="0"/>
            </w:tcBorders>
            <w:noWrap w:val="0"/>
            <w:vAlign w:val="center"/>
          </w:tcPr>
          <w:p w14:paraId="033649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若指标达到标杆值，则得100%权重分；否则，得分=（实际完成/预期完成）×100%×指标分值。</w:t>
            </w:r>
          </w:p>
          <w:p w14:paraId="22703E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若指标完成值达到标杆值，则得100%权重分；否则，不得分。</w:t>
            </w:r>
          </w:p>
          <w:p w14:paraId="72DE4F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若指标完成值达到标杆值，则得100%权重分；否则，得分=（实际完成/预期完成）×100%×指标分值。</w:t>
            </w:r>
          </w:p>
        </w:tc>
        <w:tc>
          <w:tcPr>
            <w:tcW w:w="319" w:type="pct"/>
            <w:tcBorders>
              <w:top w:val="nil"/>
              <w:left w:val="single" w:color="auto" w:sz="4" w:space="0"/>
              <w:bottom w:val="single" w:color="auto" w:sz="4" w:space="0"/>
              <w:right w:val="single" w:color="auto" w:sz="8" w:space="0"/>
            </w:tcBorders>
            <w:noWrap w:val="0"/>
            <w:vAlign w:val="center"/>
          </w:tcPr>
          <w:p w14:paraId="12048A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26" w:type="pct"/>
            <w:tcBorders>
              <w:top w:val="nil"/>
              <w:left w:val="nil"/>
              <w:bottom w:val="single" w:color="auto" w:sz="4" w:space="0"/>
              <w:right w:val="single" w:color="auto" w:sz="8" w:space="0"/>
            </w:tcBorders>
            <w:noWrap w:val="0"/>
            <w:vAlign w:val="center"/>
          </w:tcPr>
          <w:p w14:paraId="7B7DBE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3A4EC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single" w:color="auto" w:sz="4" w:space="0"/>
              <w:left w:val="single" w:color="auto" w:sz="4" w:space="0"/>
              <w:bottom w:val="single" w:color="auto" w:sz="4" w:space="0"/>
              <w:right w:val="single" w:color="auto" w:sz="4" w:space="0"/>
            </w:tcBorders>
            <w:noWrap w:val="0"/>
            <w:vAlign w:val="center"/>
          </w:tcPr>
          <w:p w14:paraId="078A86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single" w:color="auto" w:sz="4" w:space="0"/>
              <w:bottom w:val="single" w:color="auto" w:sz="4" w:space="0"/>
              <w:right w:val="single" w:color="auto" w:sz="4" w:space="0"/>
            </w:tcBorders>
            <w:noWrap w:val="0"/>
            <w:vAlign w:val="center"/>
          </w:tcPr>
          <w:p w14:paraId="4163FF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single" w:color="auto" w:sz="4" w:space="0"/>
              <w:left w:val="single" w:color="auto" w:sz="4" w:space="0"/>
              <w:bottom w:val="single" w:color="auto" w:sz="4" w:space="0"/>
              <w:right w:val="single" w:color="auto" w:sz="4" w:space="0"/>
            </w:tcBorders>
            <w:noWrap w:val="0"/>
            <w:vAlign w:val="center"/>
          </w:tcPr>
          <w:p w14:paraId="782BD9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产出时效</w:t>
            </w:r>
          </w:p>
        </w:tc>
        <w:tc>
          <w:tcPr>
            <w:tcW w:w="212" w:type="pct"/>
            <w:vMerge w:val="restart"/>
            <w:tcBorders>
              <w:top w:val="single" w:color="auto" w:sz="4" w:space="0"/>
              <w:left w:val="single" w:color="auto" w:sz="4" w:space="0"/>
              <w:bottom w:val="single" w:color="auto" w:sz="4" w:space="0"/>
              <w:right w:val="single" w:color="auto" w:sz="4" w:space="0"/>
            </w:tcBorders>
            <w:noWrap w:val="0"/>
            <w:vAlign w:val="center"/>
          </w:tcPr>
          <w:p w14:paraId="7BA199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vMerge w:val="restart"/>
            <w:tcBorders>
              <w:top w:val="single" w:color="auto" w:sz="4" w:space="0"/>
              <w:left w:val="single" w:color="auto" w:sz="4" w:space="0"/>
              <w:bottom w:val="single" w:color="auto" w:sz="4" w:space="0"/>
              <w:right w:val="single" w:color="auto" w:sz="4" w:space="0"/>
            </w:tcBorders>
            <w:noWrap w:val="0"/>
            <w:vAlign w:val="center"/>
          </w:tcPr>
          <w:p w14:paraId="377F56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完成及时率</w:t>
            </w:r>
          </w:p>
        </w:tc>
        <w:tc>
          <w:tcPr>
            <w:tcW w:w="242" w:type="pct"/>
            <w:vMerge w:val="restart"/>
            <w:tcBorders>
              <w:top w:val="single" w:color="auto" w:sz="4" w:space="0"/>
              <w:left w:val="single" w:color="auto" w:sz="4" w:space="0"/>
              <w:bottom w:val="single" w:color="auto" w:sz="4" w:space="0"/>
              <w:right w:val="single" w:color="auto" w:sz="4" w:space="0"/>
            </w:tcBorders>
            <w:noWrap w:val="0"/>
            <w:vAlign w:val="center"/>
          </w:tcPr>
          <w:p w14:paraId="586951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24FC1B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项目完成及时率</w:t>
            </w:r>
          </w:p>
        </w:tc>
        <w:tc>
          <w:tcPr>
            <w:tcW w:w="266" w:type="pct"/>
            <w:tcBorders>
              <w:top w:val="single" w:color="auto" w:sz="4" w:space="0"/>
              <w:left w:val="single" w:color="auto" w:sz="4" w:space="0"/>
              <w:bottom w:val="single" w:color="auto" w:sz="4" w:space="0"/>
              <w:right w:val="single" w:color="auto" w:sz="4" w:space="0"/>
            </w:tcBorders>
            <w:noWrap w:val="0"/>
            <w:vAlign w:val="center"/>
          </w:tcPr>
          <w:p w14:paraId="6EA37B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vMerge w:val="continue"/>
            <w:tcBorders>
              <w:top w:val="single" w:color="auto" w:sz="4" w:space="0"/>
              <w:left w:val="single" w:color="auto" w:sz="4" w:space="0"/>
              <w:bottom w:val="single" w:color="auto" w:sz="4" w:space="0"/>
              <w:right w:val="single" w:color="auto" w:sz="4" w:space="0"/>
            </w:tcBorders>
            <w:noWrap w:val="0"/>
            <w:vAlign w:val="center"/>
          </w:tcPr>
          <w:p w14:paraId="70FF1F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p>
        </w:tc>
        <w:tc>
          <w:tcPr>
            <w:tcW w:w="319" w:type="pct"/>
            <w:tcBorders>
              <w:top w:val="single" w:color="auto" w:sz="4" w:space="0"/>
              <w:left w:val="single" w:color="auto" w:sz="4" w:space="0"/>
              <w:bottom w:val="single" w:color="auto" w:sz="4" w:space="0"/>
              <w:right w:val="single" w:color="auto" w:sz="4" w:space="0"/>
            </w:tcBorders>
            <w:noWrap w:val="0"/>
            <w:vAlign w:val="center"/>
          </w:tcPr>
          <w:p w14:paraId="0543A8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26" w:type="pct"/>
            <w:vMerge w:val="restart"/>
            <w:tcBorders>
              <w:top w:val="single" w:color="auto" w:sz="4" w:space="0"/>
              <w:left w:val="single" w:color="auto" w:sz="4" w:space="0"/>
              <w:bottom w:val="single" w:color="auto" w:sz="4" w:space="0"/>
              <w:right w:val="single" w:color="auto" w:sz="4" w:space="0"/>
            </w:tcBorders>
            <w:noWrap w:val="0"/>
            <w:vAlign w:val="center"/>
          </w:tcPr>
          <w:p w14:paraId="6392A1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71D64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05" w:type="pct"/>
            <w:vMerge w:val="continue"/>
            <w:tcBorders>
              <w:top w:val="single" w:color="auto" w:sz="4" w:space="0"/>
              <w:left w:val="single" w:color="auto" w:sz="4" w:space="0"/>
              <w:bottom w:val="single" w:color="auto" w:sz="4" w:space="0"/>
              <w:right w:val="single" w:color="auto" w:sz="4" w:space="0"/>
            </w:tcBorders>
            <w:noWrap w:val="0"/>
            <w:vAlign w:val="center"/>
          </w:tcPr>
          <w:p w14:paraId="53E12E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single" w:color="auto" w:sz="4" w:space="0"/>
              <w:bottom w:val="single" w:color="auto" w:sz="4" w:space="0"/>
              <w:right w:val="single" w:color="auto" w:sz="4" w:space="0"/>
            </w:tcBorders>
            <w:noWrap w:val="0"/>
            <w:vAlign w:val="center"/>
          </w:tcPr>
          <w:p w14:paraId="7DD316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single" w:color="auto" w:sz="4" w:space="0"/>
              <w:left w:val="single" w:color="auto" w:sz="4" w:space="0"/>
              <w:bottom w:val="single" w:color="auto" w:sz="4" w:space="0"/>
              <w:right w:val="single" w:color="auto" w:sz="4" w:space="0"/>
            </w:tcBorders>
            <w:noWrap w:val="0"/>
            <w:vAlign w:val="center"/>
          </w:tcPr>
          <w:p w14:paraId="597F41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single" w:color="auto" w:sz="4" w:space="0"/>
              <w:left w:val="single" w:color="auto" w:sz="4" w:space="0"/>
              <w:bottom w:val="single" w:color="auto" w:sz="4" w:space="0"/>
              <w:right w:val="single" w:color="auto" w:sz="4" w:space="0"/>
            </w:tcBorders>
            <w:noWrap w:val="0"/>
            <w:vAlign w:val="center"/>
          </w:tcPr>
          <w:p w14:paraId="60162A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vMerge w:val="continue"/>
            <w:tcBorders>
              <w:top w:val="single" w:color="auto" w:sz="4" w:space="0"/>
              <w:left w:val="single" w:color="auto" w:sz="4" w:space="0"/>
              <w:bottom w:val="single" w:color="auto" w:sz="4" w:space="0"/>
              <w:right w:val="single" w:color="auto" w:sz="4" w:space="0"/>
            </w:tcBorders>
            <w:noWrap w:val="0"/>
            <w:vAlign w:val="center"/>
          </w:tcPr>
          <w:p w14:paraId="0B81FD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2" w:type="pct"/>
            <w:vMerge w:val="continue"/>
            <w:tcBorders>
              <w:top w:val="single" w:color="auto" w:sz="4" w:space="0"/>
              <w:left w:val="single" w:color="auto" w:sz="4" w:space="0"/>
              <w:bottom w:val="single" w:color="auto" w:sz="4" w:space="0"/>
              <w:right w:val="single" w:color="auto" w:sz="4" w:space="0"/>
            </w:tcBorders>
            <w:noWrap w:val="0"/>
            <w:vAlign w:val="center"/>
          </w:tcPr>
          <w:p w14:paraId="088BAB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A4F1D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项目完成时间</w:t>
            </w:r>
          </w:p>
        </w:tc>
        <w:tc>
          <w:tcPr>
            <w:tcW w:w="266" w:type="pct"/>
            <w:tcBorders>
              <w:top w:val="single" w:color="auto" w:sz="4" w:space="0"/>
              <w:left w:val="single" w:color="auto" w:sz="4" w:space="0"/>
              <w:bottom w:val="single" w:color="auto" w:sz="4" w:space="0"/>
              <w:right w:val="single" w:color="auto" w:sz="4" w:space="0"/>
            </w:tcBorders>
            <w:noWrap w:val="0"/>
            <w:vAlign w:val="center"/>
          </w:tcPr>
          <w:p w14:paraId="6FD4AC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2024年12月</w:t>
            </w:r>
          </w:p>
        </w:tc>
        <w:tc>
          <w:tcPr>
            <w:tcW w:w="1723" w:type="pct"/>
            <w:tcBorders>
              <w:top w:val="single" w:color="auto" w:sz="4" w:space="0"/>
              <w:left w:val="single" w:color="auto" w:sz="4" w:space="0"/>
              <w:bottom w:val="single" w:color="auto" w:sz="4" w:space="0"/>
              <w:right w:val="single" w:color="auto" w:sz="4" w:space="0"/>
            </w:tcBorders>
            <w:noWrap w:val="0"/>
            <w:vAlign w:val="center"/>
          </w:tcPr>
          <w:p w14:paraId="02A523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若在规定时间内完成，得100%权重分；若未在规定的时间内完成，得分=（1-未在规定时间内完成工作数/实际完成工作总数）×分值。</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2DCBB3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2024年12月</w:t>
            </w:r>
          </w:p>
        </w:tc>
        <w:tc>
          <w:tcPr>
            <w:tcW w:w="326" w:type="pct"/>
            <w:vMerge w:val="continue"/>
            <w:tcBorders>
              <w:top w:val="single" w:color="auto" w:sz="4" w:space="0"/>
              <w:left w:val="single" w:color="auto" w:sz="4" w:space="0"/>
              <w:bottom w:val="single" w:color="auto" w:sz="4" w:space="0"/>
              <w:right w:val="single" w:color="auto" w:sz="4" w:space="0"/>
            </w:tcBorders>
            <w:noWrap w:val="0"/>
            <w:vAlign w:val="center"/>
          </w:tcPr>
          <w:p w14:paraId="073A2A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r>
      <w:tr w14:paraId="29810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0"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436DDB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640F62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tcBorders>
              <w:top w:val="single" w:color="auto" w:sz="4" w:space="0"/>
              <w:left w:val="nil"/>
              <w:bottom w:val="single" w:color="auto" w:sz="8" w:space="0"/>
              <w:right w:val="single" w:color="auto" w:sz="8" w:space="0"/>
            </w:tcBorders>
            <w:noWrap w:val="0"/>
            <w:vAlign w:val="center"/>
          </w:tcPr>
          <w:p w14:paraId="7DE31D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产出成本</w:t>
            </w:r>
          </w:p>
        </w:tc>
        <w:tc>
          <w:tcPr>
            <w:tcW w:w="212" w:type="pct"/>
            <w:tcBorders>
              <w:top w:val="single" w:color="auto" w:sz="4" w:space="0"/>
              <w:left w:val="nil"/>
              <w:bottom w:val="single" w:color="auto" w:sz="8" w:space="0"/>
              <w:right w:val="single" w:color="auto" w:sz="8" w:space="0"/>
            </w:tcBorders>
            <w:noWrap w:val="0"/>
            <w:vAlign w:val="center"/>
          </w:tcPr>
          <w:p w14:paraId="3B36E8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single" w:color="auto" w:sz="4" w:space="0"/>
              <w:left w:val="nil"/>
              <w:bottom w:val="single" w:color="auto" w:sz="8" w:space="0"/>
              <w:right w:val="single" w:color="auto" w:sz="8" w:space="0"/>
            </w:tcBorders>
            <w:noWrap w:val="0"/>
            <w:vAlign w:val="center"/>
          </w:tcPr>
          <w:p w14:paraId="50481F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成本节约率</w:t>
            </w:r>
          </w:p>
        </w:tc>
        <w:tc>
          <w:tcPr>
            <w:tcW w:w="242" w:type="pct"/>
            <w:tcBorders>
              <w:top w:val="single" w:color="auto" w:sz="4" w:space="0"/>
              <w:left w:val="nil"/>
              <w:bottom w:val="single" w:color="auto" w:sz="8" w:space="0"/>
              <w:right w:val="single" w:color="auto" w:sz="8" w:space="0"/>
            </w:tcBorders>
            <w:noWrap w:val="0"/>
            <w:vAlign w:val="center"/>
          </w:tcPr>
          <w:p w14:paraId="6ACAE3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658" w:type="pct"/>
            <w:tcBorders>
              <w:top w:val="single" w:color="auto" w:sz="4" w:space="0"/>
              <w:left w:val="nil"/>
              <w:bottom w:val="single" w:color="auto" w:sz="8" w:space="0"/>
              <w:right w:val="single" w:color="auto" w:sz="8" w:space="0"/>
            </w:tcBorders>
            <w:noWrap w:val="0"/>
            <w:vAlign w:val="center"/>
          </w:tcPr>
          <w:p w14:paraId="5F91A5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每个村运转成本</w:t>
            </w:r>
          </w:p>
        </w:tc>
        <w:tc>
          <w:tcPr>
            <w:tcW w:w="266" w:type="pct"/>
            <w:tcBorders>
              <w:top w:val="single" w:color="auto" w:sz="4" w:space="0"/>
              <w:left w:val="nil"/>
              <w:bottom w:val="single" w:color="auto" w:sz="8" w:space="0"/>
              <w:right w:val="single" w:color="auto" w:sz="8" w:space="0"/>
            </w:tcBorders>
            <w:noWrap w:val="0"/>
            <w:vAlign w:val="center"/>
          </w:tcPr>
          <w:p w14:paraId="5ABD80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≤6万元</w:t>
            </w:r>
          </w:p>
        </w:tc>
        <w:tc>
          <w:tcPr>
            <w:tcW w:w="1723" w:type="pct"/>
            <w:tcBorders>
              <w:top w:val="single" w:color="auto" w:sz="4" w:space="0"/>
              <w:left w:val="nil"/>
              <w:bottom w:val="single" w:color="auto" w:sz="8" w:space="0"/>
              <w:right w:val="single" w:color="auto" w:sz="8" w:space="0"/>
            </w:tcBorders>
            <w:noWrap w:val="0"/>
            <w:vAlign w:val="center"/>
          </w:tcPr>
          <w:p w14:paraId="2A2146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实际完成率=（实际支付资金数/计划应支付资金数）×100%。</w:t>
            </w:r>
          </w:p>
          <w:p w14:paraId="0A583F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①实际完成率＞年度指标值，得0得分；</w:t>
            </w:r>
          </w:p>
          <w:p w14:paraId="7E555D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②实际完成率≤年度指标值，且偏离程度＜20%，得满分；</w:t>
            </w:r>
          </w:p>
          <w:p w14:paraId="54805E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③实际完成率＜年度指标值，且偏离程度≥20%，得分=实际完成率×分值。</w:t>
            </w:r>
          </w:p>
        </w:tc>
        <w:tc>
          <w:tcPr>
            <w:tcW w:w="319" w:type="pct"/>
            <w:tcBorders>
              <w:top w:val="single" w:color="auto" w:sz="4" w:space="0"/>
              <w:left w:val="nil"/>
              <w:bottom w:val="single" w:color="auto" w:sz="8" w:space="0"/>
              <w:right w:val="single" w:color="auto" w:sz="8" w:space="0"/>
            </w:tcBorders>
            <w:noWrap w:val="0"/>
            <w:vAlign w:val="center"/>
          </w:tcPr>
          <w:p w14:paraId="657B85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=5.82万元</w:t>
            </w:r>
          </w:p>
        </w:tc>
        <w:tc>
          <w:tcPr>
            <w:tcW w:w="326" w:type="pct"/>
            <w:tcBorders>
              <w:top w:val="single" w:color="auto" w:sz="4" w:space="0"/>
              <w:left w:val="nil"/>
              <w:bottom w:val="single" w:color="auto" w:sz="8" w:space="0"/>
              <w:right w:val="single" w:color="auto" w:sz="8" w:space="0"/>
            </w:tcBorders>
            <w:noWrap w:val="0"/>
            <w:vAlign w:val="center"/>
          </w:tcPr>
          <w:p w14:paraId="0A1330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9.7</w:t>
            </w:r>
          </w:p>
        </w:tc>
      </w:tr>
      <w:tr w14:paraId="0A469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05" w:type="pct"/>
            <w:vMerge w:val="restart"/>
            <w:tcBorders>
              <w:top w:val="nil"/>
              <w:left w:val="single" w:color="auto" w:sz="8" w:space="0"/>
              <w:bottom w:val="single" w:color="auto" w:sz="8" w:space="0"/>
              <w:right w:val="single" w:color="auto" w:sz="8" w:space="0"/>
            </w:tcBorders>
            <w:noWrap w:val="0"/>
            <w:vAlign w:val="center"/>
          </w:tcPr>
          <w:p w14:paraId="788B23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项目效益</w:t>
            </w:r>
          </w:p>
        </w:tc>
        <w:tc>
          <w:tcPr>
            <w:tcW w:w="207" w:type="pct"/>
            <w:vMerge w:val="restart"/>
            <w:tcBorders>
              <w:top w:val="nil"/>
              <w:left w:val="nil"/>
              <w:bottom w:val="single" w:color="auto" w:sz="8" w:space="0"/>
              <w:right w:val="single" w:color="auto" w:sz="8" w:space="0"/>
            </w:tcBorders>
            <w:noWrap w:val="0"/>
            <w:vAlign w:val="center"/>
          </w:tcPr>
          <w:p w14:paraId="6DBEBF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25</w:t>
            </w:r>
          </w:p>
        </w:tc>
        <w:tc>
          <w:tcPr>
            <w:tcW w:w="310" w:type="pct"/>
            <w:vMerge w:val="restart"/>
            <w:tcBorders>
              <w:top w:val="nil"/>
              <w:left w:val="nil"/>
              <w:bottom w:val="single" w:color="auto" w:sz="8" w:space="0"/>
              <w:right w:val="single" w:color="auto" w:sz="8" w:space="0"/>
            </w:tcBorders>
            <w:noWrap w:val="0"/>
            <w:vAlign w:val="center"/>
          </w:tcPr>
          <w:p w14:paraId="3CAF09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项目效益</w:t>
            </w:r>
          </w:p>
        </w:tc>
        <w:tc>
          <w:tcPr>
            <w:tcW w:w="212" w:type="pct"/>
            <w:vMerge w:val="restart"/>
            <w:tcBorders>
              <w:top w:val="nil"/>
              <w:left w:val="nil"/>
              <w:bottom w:val="single" w:color="auto" w:sz="8" w:space="0"/>
              <w:right w:val="single" w:color="auto" w:sz="8" w:space="0"/>
            </w:tcBorders>
            <w:noWrap w:val="0"/>
            <w:vAlign w:val="center"/>
          </w:tcPr>
          <w:p w14:paraId="60D41B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25</w:t>
            </w:r>
          </w:p>
        </w:tc>
        <w:tc>
          <w:tcPr>
            <w:tcW w:w="427" w:type="pct"/>
            <w:tcBorders>
              <w:top w:val="nil"/>
              <w:left w:val="nil"/>
              <w:bottom w:val="single" w:color="auto" w:sz="8" w:space="0"/>
              <w:right w:val="single" w:color="auto" w:sz="8" w:space="0"/>
            </w:tcBorders>
            <w:noWrap w:val="0"/>
            <w:vAlign w:val="center"/>
          </w:tcPr>
          <w:p w14:paraId="7C816D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社会效益</w:t>
            </w:r>
          </w:p>
        </w:tc>
        <w:tc>
          <w:tcPr>
            <w:tcW w:w="242" w:type="pct"/>
            <w:tcBorders>
              <w:top w:val="nil"/>
              <w:left w:val="nil"/>
              <w:bottom w:val="single" w:color="auto" w:sz="8" w:space="0"/>
              <w:right w:val="single" w:color="auto" w:sz="8" w:space="0"/>
            </w:tcBorders>
            <w:noWrap w:val="0"/>
            <w:vAlign w:val="center"/>
          </w:tcPr>
          <w:p w14:paraId="214C53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c>
          <w:tcPr>
            <w:tcW w:w="658" w:type="pct"/>
            <w:tcBorders>
              <w:top w:val="nil"/>
              <w:left w:val="nil"/>
              <w:bottom w:val="single" w:color="auto" w:sz="8" w:space="0"/>
              <w:right w:val="single" w:color="auto" w:sz="8" w:space="0"/>
            </w:tcBorders>
            <w:noWrap w:val="0"/>
            <w:vAlign w:val="center"/>
          </w:tcPr>
          <w:p w14:paraId="0E2FC2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保障村级各项工作运转高效</w:t>
            </w:r>
          </w:p>
        </w:tc>
        <w:tc>
          <w:tcPr>
            <w:tcW w:w="266" w:type="pct"/>
            <w:tcBorders>
              <w:top w:val="nil"/>
              <w:left w:val="nil"/>
              <w:bottom w:val="single" w:color="auto" w:sz="8" w:space="0"/>
              <w:right w:val="single" w:color="auto" w:sz="8" w:space="0"/>
            </w:tcBorders>
            <w:noWrap w:val="0"/>
            <w:vAlign w:val="center"/>
          </w:tcPr>
          <w:p w14:paraId="4F341B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持续保障</w:t>
            </w:r>
          </w:p>
        </w:tc>
        <w:tc>
          <w:tcPr>
            <w:tcW w:w="1723" w:type="pct"/>
            <w:tcBorders>
              <w:top w:val="nil"/>
              <w:left w:val="nil"/>
              <w:bottom w:val="single" w:color="auto" w:sz="8" w:space="0"/>
              <w:right w:val="single" w:color="auto" w:sz="8" w:space="0"/>
            </w:tcBorders>
            <w:noWrap w:val="0"/>
            <w:vAlign w:val="center"/>
          </w:tcPr>
          <w:p w14:paraId="04361B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19" w:type="pct"/>
            <w:tcBorders>
              <w:top w:val="nil"/>
              <w:left w:val="nil"/>
              <w:bottom w:val="single" w:color="auto" w:sz="8" w:space="0"/>
              <w:right w:val="single" w:color="auto" w:sz="8" w:space="0"/>
            </w:tcBorders>
            <w:noWrap w:val="0"/>
            <w:vAlign w:val="center"/>
          </w:tcPr>
          <w:p w14:paraId="5B14DF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持续保障</w:t>
            </w:r>
          </w:p>
        </w:tc>
        <w:tc>
          <w:tcPr>
            <w:tcW w:w="326" w:type="pct"/>
            <w:tcBorders>
              <w:top w:val="nil"/>
              <w:left w:val="nil"/>
              <w:bottom w:val="single" w:color="auto" w:sz="8" w:space="0"/>
              <w:right w:val="single" w:color="auto" w:sz="8" w:space="0"/>
            </w:tcBorders>
            <w:noWrap w:val="0"/>
            <w:vAlign w:val="center"/>
          </w:tcPr>
          <w:p w14:paraId="1F9F7C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r>
      <w:tr w14:paraId="2A8AD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nil"/>
              <w:left w:val="single" w:color="auto" w:sz="8" w:space="0"/>
              <w:bottom w:val="single" w:color="auto" w:sz="8" w:space="0"/>
              <w:right w:val="single" w:color="auto" w:sz="8" w:space="0"/>
            </w:tcBorders>
            <w:noWrap w:val="0"/>
            <w:vAlign w:val="center"/>
          </w:tcPr>
          <w:p w14:paraId="1C4365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325270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652475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1164F0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7A35B0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服务对象满意度</w:t>
            </w:r>
          </w:p>
        </w:tc>
        <w:tc>
          <w:tcPr>
            <w:tcW w:w="242" w:type="pct"/>
            <w:tcBorders>
              <w:top w:val="nil"/>
              <w:left w:val="nil"/>
              <w:bottom w:val="single" w:color="auto" w:sz="8" w:space="0"/>
              <w:right w:val="single" w:color="auto" w:sz="8" w:space="0"/>
            </w:tcBorders>
            <w:noWrap w:val="0"/>
            <w:vAlign w:val="center"/>
          </w:tcPr>
          <w:p w14:paraId="0DC1BD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658" w:type="pct"/>
            <w:tcBorders>
              <w:top w:val="nil"/>
              <w:left w:val="nil"/>
              <w:bottom w:val="single" w:color="auto" w:sz="8" w:space="0"/>
              <w:right w:val="single" w:color="auto" w:sz="8" w:space="0"/>
            </w:tcBorders>
            <w:noWrap w:val="0"/>
            <w:vAlign w:val="center"/>
          </w:tcPr>
          <w:p w14:paraId="0D0AF7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村干部满意度</w:t>
            </w:r>
          </w:p>
        </w:tc>
        <w:tc>
          <w:tcPr>
            <w:tcW w:w="266" w:type="pct"/>
            <w:tcBorders>
              <w:top w:val="nil"/>
              <w:left w:val="nil"/>
              <w:bottom w:val="single" w:color="auto" w:sz="8" w:space="0"/>
              <w:right w:val="single" w:color="auto" w:sz="8" w:space="0"/>
            </w:tcBorders>
            <w:noWrap w:val="0"/>
            <w:vAlign w:val="center"/>
          </w:tcPr>
          <w:p w14:paraId="552756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≥95%</w:t>
            </w:r>
          </w:p>
        </w:tc>
        <w:tc>
          <w:tcPr>
            <w:tcW w:w="1723" w:type="pct"/>
            <w:tcBorders>
              <w:top w:val="nil"/>
              <w:left w:val="nil"/>
              <w:bottom w:val="single" w:color="auto" w:sz="8" w:space="0"/>
              <w:right w:val="single" w:color="auto" w:sz="8" w:space="0"/>
            </w:tcBorders>
            <w:noWrap w:val="0"/>
            <w:vAlign w:val="center"/>
          </w:tcPr>
          <w:p w14:paraId="4B9E2A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根据问卷调查，满意度达到标杆值，得权重分的100%；否则低于95%，得分=实际满意度*指标分值。</w:t>
            </w:r>
          </w:p>
        </w:tc>
        <w:tc>
          <w:tcPr>
            <w:tcW w:w="319" w:type="pct"/>
            <w:tcBorders>
              <w:top w:val="nil"/>
              <w:left w:val="nil"/>
              <w:bottom w:val="single" w:color="auto" w:sz="8" w:space="0"/>
              <w:right w:val="single" w:color="auto" w:sz="8" w:space="0"/>
            </w:tcBorders>
            <w:noWrap w:val="0"/>
            <w:vAlign w:val="center"/>
          </w:tcPr>
          <w:p w14:paraId="610DD9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≥95%</w:t>
            </w:r>
          </w:p>
        </w:tc>
        <w:tc>
          <w:tcPr>
            <w:tcW w:w="326" w:type="pct"/>
            <w:tcBorders>
              <w:top w:val="nil"/>
              <w:left w:val="nil"/>
              <w:bottom w:val="single" w:color="auto" w:sz="8" w:space="0"/>
              <w:right w:val="single" w:color="auto" w:sz="8" w:space="0"/>
            </w:tcBorders>
            <w:noWrap w:val="0"/>
            <w:vAlign w:val="center"/>
          </w:tcPr>
          <w:p w14:paraId="2E79CE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04E1E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5" w:type="pct"/>
            <w:tcBorders>
              <w:top w:val="nil"/>
              <w:left w:val="single" w:color="auto" w:sz="8" w:space="0"/>
              <w:bottom w:val="single" w:color="auto" w:sz="8" w:space="0"/>
              <w:right w:val="single" w:color="auto" w:sz="8" w:space="0"/>
            </w:tcBorders>
            <w:noWrap w:val="0"/>
            <w:vAlign w:val="center"/>
          </w:tcPr>
          <w:p w14:paraId="24071E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总分</w:t>
            </w:r>
          </w:p>
        </w:tc>
        <w:tc>
          <w:tcPr>
            <w:tcW w:w="207" w:type="pct"/>
            <w:tcBorders>
              <w:top w:val="nil"/>
              <w:left w:val="nil"/>
              <w:bottom w:val="single" w:color="auto" w:sz="8" w:space="0"/>
              <w:right w:val="single" w:color="auto" w:sz="8" w:space="0"/>
            </w:tcBorders>
            <w:noWrap w:val="0"/>
            <w:vAlign w:val="center"/>
          </w:tcPr>
          <w:p w14:paraId="560B23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10" w:type="pct"/>
            <w:tcBorders>
              <w:top w:val="nil"/>
              <w:left w:val="nil"/>
              <w:bottom w:val="single" w:color="auto" w:sz="8" w:space="0"/>
              <w:right w:val="single" w:color="auto" w:sz="8" w:space="0"/>
            </w:tcBorders>
            <w:noWrap w:val="0"/>
            <w:vAlign w:val="center"/>
          </w:tcPr>
          <w:p w14:paraId="0E537A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tcBorders>
              <w:top w:val="nil"/>
              <w:left w:val="nil"/>
              <w:bottom w:val="single" w:color="auto" w:sz="8" w:space="0"/>
              <w:right w:val="single" w:color="auto" w:sz="8" w:space="0"/>
            </w:tcBorders>
            <w:noWrap w:val="0"/>
            <w:vAlign w:val="center"/>
          </w:tcPr>
          <w:p w14:paraId="153CD5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427" w:type="pct"/>
            <w:tcBorders>
              <w:top w:val="nil"/>
              <w:left w:val="nil"/>
              <w:bottom w:val="single" w:color="auto" w:sz="8" w:space="0"/>
              <w:right w:val="single" w:color="auto" w:sz="8" w:space="0"/>
            </w:tcBorders>
            <w:noWrap w:val="0"/>
            <w:vAlign w:val="center"/>
          </w:tcPr>
          <w:p w14:paraId="6244EA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2" w:type="pct"/>
            <w:tcBorders>
              <w:top w:val="nil"/>
              <w:left w:val="nil"/>
              <w:bottom w:val="single" w:color="auto" w:sz="8" w:space="0"/>
              <w:right w:val="single" w:color="auto" w:sz="8" w:space="0"/>
            </w:tcBorders>
            <w:noWrap w:val="0"/>
            <w:vAlign w:val="center"/>
          </w:tcPr>
          <w:p w14:paraId="4E3B10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658" w:type="pct"/>
            <w:tcBorders>
              <w:top w:val="nil"/>
              <w:left w:val="nil"/>
              <w:bottom w:val="single" w:color="auto" w:sz="8" w:space="0"/>
              <w:right w:val="single" w:color="auto" w:sz="8" w:space="0"/>
            </w:tcBorders>
            <w:noWrap w:val="0"/>
            <w:vAlign w:val="center"/>
          </w:tcPr>
          <w:p w14:paraId="2F4A60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66" w:type="pct"/>
            <w:tcBorders>
              <w:top w:val="nil"/>
              <w:left w:val="nil"/>
              <w:bottom w:val="single" w:color="auto" w:sz="8" w:space="0"/>
              <w:right w:val="single" w:color="auto" w:sz="8" w:space="0"/>
            </w:tcBorders>
            <w:noWrap w:val="0"/>
            <w:vAlign w:val="center"/>
          </w:tcPr>
          <w:p w14:paraId="6F0E8A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w:t>
            </w:r>
          </w:p>
        </w:tc>
        <w:tc>
          <w:tcPr>
            <w:tcW w:w="1723" w:type="pct"/>
            <w:tcBorders>
              <w:top w:val="nil"/>
              <w:left w:val="nil"/>
              <w:bottom w:val="single" w:color="auto" w:sz="8" w:space="0"/>
              <w:right w:val="single" w:color="auto" w:sz="8" w:space="0"/>
            </w:tcBorders>
            <w:noWrap w:val="0"/>
            <w:vAlign w:val="center"/>
          </w:tcPr>
          <w:p w14:paraId="03B361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9" w:type="pct"/>
            <w:tcBorders>
              <w:top w:val="nil"/>
              <w:left w:val="nil"/>
              <w:bottom w:val="single" w:color="auto" w:sz="8" w:space="0"/>
              <w:right w:val="single" w:color="auto" w:sz="8" w:space="0"/>
            </w:tcBorders>
            <w:noWrap w:val="0"/>
            <w:vAlign w:val="center"/>
          </w:tcPr>
          <w:p w14:paraId="03D7D5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6" w:type="pct"/>
            <w:tcBorders>
              <w:top w:val="nil"/>
              <w:left w:val="nil"/>
              <w:bottom w:val="single" w:color="auto" w:sz="8" w:space="0"/>
              <w:right w:val="single" w:color="auto" w:sz="8" w:space="0"/>
            </w:tcBorders>
            <w:noWrap w:val="0"/>
            <w:vAlign w:val="center"/>
          </w:tcPr>
          <w:p w14:paraId="72ADB5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99.64</w:t>
            </w:r>
          </w:p>
        </w:tc>
      </w:tr>
    </w:tbl>
    <w:p w14:paraId="4AB7CE0D">
      <w:pPr>
        <w:pStyle w:val="7"/>
        <w:jc w:val="center"/>
        <w:rPr>
          <w:rFonts w:hint="eastAsia" w:ascii="宋体" w:hAnsi="宋体" w:eastAsia="宋体" w:cs="宋体"/>
          <w:color w:val="auto"/>
          <w:sz w:val="24"/>
          <w:szCs w:val="24"/>
          <w:lang w:eastAsia="zh-CN"/>
        </w:rPr>
      </w:pPr>
    </w:p>
    <w:p w14:paraId="396B1066">
      <w:pPr>
        <w:pStyle w:val="7"/>
        <w:jc w:val="center"/>
        <w:rPr>
          <w:rFonts w:hint="eastAsia" w:ascii="宋体" w:hAnsi="宋体" w:eastAsia="宋体" w:cs="宋体"/>
          <w:color w:val="auto"/>
          <w:sz w:val="24"/>
          <w:szCs w:val="24"/>
          <w:lang w:eastAsia="zh-CN"/>
        </w:rPr>
      </w:pPr>
    </w:p>
    <w:p w14:paraId="2348D03E">
      <w:pPr>
        <w:pStyle w:val="7"/>
        <w:ind w:left="0" w:leftChars="0" w:firstLine="0" w:firstLineChars="0"/>
        <w:jc w:val="both"/>
        <w:rPr>
          <w:rFonts w:hint="eastAsia" w:ascii="宋体" w:hAnsi="宋体" w:eastAsia="宋体" w:cs="宋体"/>
          <w:color w:val="auto"/>
          <w:sz w:val="24"/>
          <w:szCs w:val="24"/>
          <w:lang w:eastAsia="zh-CN"/>
        </w:rPr>
      </w:pPr>
    </w:p>
    <w:p w14:paraId="5586BCEA">
      <w:pPr>
        <w:pStyle w:val="7"/>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10"/>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694"/>
        <w:gridCol w:w="2086"/>
      </w:tblGrid>
      <w:tr w14:paraId="4E666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595FE979">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p>
        </w:tc>
        <w:tc>
          <w:tcPr>
            <w:tcW w:w="1778" w:type="dxa"/>
            <w:tcBorders>
              <w:top w:val="nil"/>
              <w:left w:val="nil"/>
              <w:bottom w:val="nil"/>
              <w:right w:val="nil"/>
            </w:tcBorders>
            <w:noWrap/>
            <w:vAlign w:val="center"/>
          </w:tcPr>
          <w:p w14:paraId="621F6720">
            <w:pPr>
              <w:rPr>
                <w:rFonts w:hint="eastAsia" w:ascii="宋体" w:hAnsi="宋体" w:eastAsia="宋体" w:cs="宋体"/>
                <w:i w:val="0"/>
                <w:iCs w:val="0"/>
                <w:color w:val="auto"/>
                <w:sz w:val="22"/>
                <w:szCs w:val="22"/>
                <w:u w:val="none"/>
              </w:rPr>
            </w:pPr>
          </w:p>
        </w:tc>
        <w:tc>
          <w:tcPr>
            <w:tcW w:w="2786" w:type="dxa"/>
            <w:tcBorders>
              <w:top w:val="nil"/>
              <w:left w:val="nil"/>
              <w:bottom w:val="nil"/>
              <w:right w:val="nil"/>
            </w:tcBorders>
            <w:noWrap/>
            <w:vAlign w:val="center"/>
          </w:tcPr>
          <w:p w14:paraId="51AF6693">
            <w:pPr>
              <w:rPr>
                <w:rFonts w:hint="eastAsia" w:ascii="宋体" w:hAnsi="宋体" w:eastAsia="宋体" w:cs="宋体"/>
                <w:i w:val="0"/>
                <w:iCs w:val="0"/>
                <w:color w:val="auto"/>
                <w:sz w:val="22"/>
                <w:szCs w:val="22"/>
                <w:u w:val="none"/>
              </w:rPr>
            </w:pPr>
          </w:p>
        </w:tc>
        <w:tc>
          <w:tcPr>
            <w:tcW w:w="2314" w:type="dxa"/>
            <w:tcBorders>
              <w:top w:val="nil"/>
              <w:left w:val="nil"/>
              <w:bottom w:val="nil"/>
              <w:right w:val="nil"/>
            </w:tcBorders>
            <w:noWrap/>
            <w:vAlign w:val="center"/>
          </w:tcPr>
          <w:p w14:paraId="49355236">
            <w:pPr>
              <w:rPr>
                <w:rFonts w:hint="eastAsia" w:ascii="宋体" w:hAnsi="宋体" w:eastAsia="宋体" w:cs="宋体"/>
                <w:i w:val="0"/>
                <w:iCs w:val="0"/>
                <w:color w:val="auto"/>
                <w:sz w:val="22"/>
                <w:szCs w:val="22"/>
                <w:u w:val="none"/>
              </w:rPr>
            </w:pPr>
          </w:p>
        </w:tc>
        <w:tc>
          <w:tcPr>
            <w:tcW w:w="2694" w:type="dxa"/>
            <w:tcBorders>
              <w:top w:val="nil"/>
              <w:left w:val="nil"/>
              <w:bottom w:val="nil"/>
              <w:right w:val="nil"/>
            </w:tcBorders>
            <w:noWrap/>
            <w:vAlign w:val="center"/>
          </w:tcPr>
          <w:p w14:paraId="0E1D00D9">
            <w:pPr>
              <w:rPr>
                <w:rFonts w:hint="eastAsia" w:ascii="宋体" w:hAnsi="宋体" w:eastAsia="宋体" w:cs="宋体"/>
                <w:i w:val="0"/>
                <w:iCs w:val="0"/>
                <w:color w:val="auto"/>
                <w:sz w:val="22"/>
                <w:szCs w:val="22"/>
                <w:u w:val="none"/>
              </w:rPr>
            </w:pPr>
          </w:p>
        </w:tc>
        <w:tc>
          <w:tcPr>
            <w:tcW w:w="2086" w:type="dxa"/>
            <w:tcBorders>
              <w:top w:val="nil"/>
              <w:left w:val="nil"/>
              <w:bottom w:val="nil"/>
              <w:right w:val="nil"/>
            </w:tcBorders>
            <w:noWrap/>
            <w:vAlign w:val="center"/>
          </w:tcPr>
          <w:p w14:paraId="12482ECA">
            <w:pPr>
              <w:rPr>
                <w:rFonts w:hint="eastAsia" w:ascii="宋体" w:hAnsi="宋体" w:eastAsia="宋体" w:cs="宋体"/>
                <w:i w:val="0"/>
                <w:iCs w:val="0"/>
                <w:color w:val="auto"/>
                <w:sz w:val="22"/>
                <w:szCs w:val="22"/>
                <w:u w:val="none"/>
              </w:rPr>
            </w:pPr>
          </w:p>
        </w:tc>
      </w:tr>
      <w:tr w14:paraId="1874A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CC3991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洛财预〔2024〕04号：2024年村级运转经费（县配套）项目综合得分表</w:t>
            </w:r>
          </w:p>
        </w:tc>
      </w:tr>
      <w:tr w14:paraId="03E36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A3900F">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48A3ED">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684E95">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A85304">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26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B888C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20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143554">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687BB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B6AA6C">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887E81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1F41B9B">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CCF90A3">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2694" w:type="dxa"/>
            <w:tcBorders>
              <w:top w:val="single" w:color="auto" w:sz="4" w:space="0"/>
              <w:left w:val="single" w:color="auto" w:sz="4" w:space="0"/>
              <w:bottom w:val="single" w:color="auto" w:sz="4" w:space="0"/>
              <w:right w:val="single" w:color="auto" w:sz="4" w:space="0"/>
            </w:tcBorders>
            <w:noWrap w:val="0"/>
            <w:vAlign w:val="center"/>
          </w:tcPr>
          <w:p w14:paraId="0A20B328">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168E7F3A">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420E9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6A4BC0">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3A3B68">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762FC8">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11.94</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F3E0A2">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39.7</w:t>
            </w:r>
          </w:p>
        </w:tc>
        <w:tc>
          <w:tcPr>
            <w:tcW w:w="26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B1DDF9">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3BAE8922">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99.64</w:t>
            </w:r>
          </w:p>
        </w:tc>
      </w:tr>
      <w:tr w14:paraId="682C9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63AE1D">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EEEF404">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FAC9302">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0E04CDA">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99.25%</w:t>
            </w:r>
          </w:p>
        </w:tc>
        <w:tc>
          <w:tcPr>
            <w:tcW w:w="2694" w:type="dxa"/>
            <w:tcBorders>
              <w:top w:val="single" w:color="auto" w:sz="4" w:space="0"/>
              <w:left w:val="single" w:color="auto" w:sz="4" w:space="0"/>
              <w:bottom w:val="single" w:color="auto" w:sz="4" w:space="0"/>
              <w:right w:val="single" w:color="auto" w:sz="4" w:space="0"/>
            </w:tcBorders>
            <w:noWrap w:val="0"/>
            <w:vAlign w:val="center"/>
          </w:tcPr>
          <w:p w14:paraId="13C3278E">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098B4D3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99.7%</w:t>
            </w:r>
          </w:p>
        </w:tc>
      </w:tr>
    </w:tbl>
    <w:p w14:paraId="262DC269">
      <w:pPr>
        <w:pStyle w:val="7"/>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0E82EA1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default" w:ascii="宋体" w:hAnsi="宋体" w:eastAsia="宋体" w:cs="宋体"/>
          <w:b/>
          <w:bCs/>
          <w:color w:val="auto"/>
          <w:sz w:val="36"/>
          <w:szCs w:val="36"/>
          <w:highlight w:val="none"/>
          <w:lang w:val="en-US" w:eastAsia="zh-CN"/>
        </w:rPr>
      </w:pPr>
    </w:p>
    <w:p w14:paraId="692034E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附件3：</w:t>
      </w:r>
    </w:p>
    <w:p w14:paraId="64467EF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2024年村级运转经费（县配套）项目</w:t>
      </w:r>
    </w:p>
    <w:p w14:paraId="3972BEA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宋体" w:hAnsi="宋体" w:eastAsia="宋体" w:cs="宋体"/>
          <w:color w:val="auto"/>
          <w:sz w:val="36"/>
          <w:szCs w:val="36"/>
          <w:highlight w:val="none"/>
        </w:rPr>
      </w:pPr>
      <w:r>
        <w:rPr>
          <w:rFonts w:hint="eastAsia" w:ascii="宋体" w:hAnsi="宋体" w:eastAsia="宋体" w:cs="宋体"/>
          <w:b/>
          <w:bCs/>
          <w:color w:val="auto"/>
          <w:sz w:val="36"/>
          <w:szCs w:val="36"/>
          <w:highlight w:val="none"/>
          <w:lang w:val="en-US" w:eastAsia="zh-CN"/>
        </w:rPr>
        <w:t>满意度</w:t>
      </w:r>
      <w:r>
        <w:rPr>
          <w:rFonts w:hint="eastAsia" w:ascii="宋体" w:hAnsi="宋体" w:eastAsia="宋体" w:cs="宋体"/>
          <w:b/>
          <w:bCs/>
          <w:color w:val="auto"/>
          <w:sz w:val="36"/>
          <w:szCs w:val="36"/>
          <w:highlight w:val="none"/>
        </w:rPr>
        <w:t>调查问卷</w:t>
      </w:r>
      <w:r>
        <w:rPr>
          <w:rFonts w:hint="eastAsia" w:ascii="宋体" w:hAnsi="宋体" w:eastAsia="宋体" w:cs="宋体"/>
          <w:b/>
          <w:bCs/>
          <w:color w:val="auto"/>
          <w:sz w:val="36"/>
          <w:szCs w:val="36"/>
          <w:highlight w:val="none"/>
          <w:lang w:val="en-US" w:eastAsia="zh-CN"/>
        </w:rPr>
        <w:t>分析报告</w:t>
      </w:r>
    </w:p>
    <w:p w14:paraId="20323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2" w:firstLineChars="200"/>
        <w:jc w:val="both"/>
        <w:textAlignment w:val="auto"/>
        <w:rPr>
          <w:rFonts w:hint="eastAsia" w:ascii="宋体" w:hAnsi="宋体" w:eastAsia="宋体" w:cs="宋体"/>
          <w:b/>
          <w:bCs/>
          <w:color w:val="auto"/>
          <w:sz w:val="28"/>
          <w:szCs w:val="28"/>
          <w:highlight w:val="none"/>
        </w:rPr>
      </w:pPr>
    </w:p>
    <w:p w14:paraId="57D6C14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788388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31</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17814B99">
      <w:pPr>
        <w:keepNext w:val="0"/>
        <w:keepLines w:val="0"/>
        <w:pageBreakBefore w:val="0"/>
        <w:widowControl w:val="0"/>
        <w:kinsoku/>
        <w:wordWrap/>
        <w:overflowPunct/>
        <w:topLinePunct w:val="0"/>
        <w:autoSpaceDE w:val="0"/>
        <w:autoSpaceDN w:val="0"/>
        <w:bidi w:val="0"/>
        <w:snapToGrid w:val="0"/>
        <w:spacing w:line="360" w:lineRule="auto"/>
        <w:ind w:firstLine="482" w:firstLineChars="200"/>
        <w:jc w:val="left"/>
        <w:textAlignment w:val="auto"/>
        <w:rPr>
          <w:rFonts w:hint="eastAsia" w:ascii="宋体" w:hAnsi="宋体" w:eastAsia="宋体" w:cs="宋体"/>
          <w:b/>
          <w:bCs/>
          <w:color w:val="auto"/>
          <w:kern w:val="0"/>
          <w:sz w:val="24"/>
          <w:szCs w:val="24"/>
          <w:highlight w:val="none"/>
          <w:lang w:val="zh-CN" w:eastAsia="zh-CN" w:bidi="zh-CN"/>
        </w:rPr>
      </w:pPr>
      <w:r>
        <w:rPr>
          <w:rFonts w:hint="eastAsia" w:ascii="宋体" w:hAnsi="宋体" w:eastAsia="宋体" w:cs="宋体"/>
          <w:b/>
          <w:bCs/>
          <w:color w:val="auto"/>
          <w:kern w:val="0"/>
          <w:sz w:val="24"/>
          <w:szCs w:val="24"/>
          <w:highlight w:val="none"/>
          <w:lang w:val="zh-CN" w:eastAsia="zh-CN" w:bidi="zh-CN"/>
        </w:rPr>
        <w:t>1.调查对象</w:t>
      </w:r>
    </w:p>
    <w:p w14:paraId="1B91DCB7">
      <w:pPr>
        <w:keepNext w:val="0"/>
        <w:keepLines w:val="0"/>
        <w:pageBreakBefore w:val="0"/>
        <w:widowControl w:val="0"/>
        <w:kinsoku/>
        <w:wordWrap/>
        <w:overflowPunct/>
        <w:topLinePunct w:val="0"/>
        <w:autoSpaceDE w:val="0"/>
        <w:autoSpaceDN w:val="0"/>
        <w:bidi w:val="0"/>
        <w:snapToGrid w:val="0"/>
        <w:spacing w:line="360" w:lineRule="auto"/>
        <w:ind w:firstLine="480" w:firstLineChars="200"/>
        <w:jc w:val="left"/>
        <w:textAlignment w:val="auto"/>
        <w:rPr>
          <w:rFonts w:hint="eastAsia" w:ascii="宋体" w:hAnsi="宋体" w:eastAsia="宋体" w:cs="宋体"/>
          <w:b/>
          <w:bCs/>
          <w:i w:val="0"/>
          <w:iCs w:val="0"/>
          <w:color w:val="auto"/>
          <w:kern w:val="0"/>
          <w:sz w:val="24"/>
          <w:szCs w:val="24"/>
          <w:highlight w:val="none"/>
          <w:lang w:val="zh-CN" w:eastAsia="zh-CN" w:bidi="zh-CN"/>
        </w:rPr>
      </w:pPr>
      <w:r>
        <w:rPr>
          <w:rFonts w:hint="eastAsia" w:ascii="宋体" w:hAnsi="宋体" w:eastAsia="宋体" w:cs="宋体"/>
          <w:color w:val="auto"/>
          <w:kern w:val="0"/>
          <w:sz w:val="24"/>
          <w:szCs w:val="24"/>
          <w:highlight w:val="none"/>
          <w:lang w:val="zh-CN" w:eastAsia="zh-CN" w:bidi="zh-CN"/>
        </w:rPr>
        <w:t>本次调查的受益对象为</w:t>
      </w:r>
      <w:r>
        <w:rPr>
          <w:rFonts w:hint="eastAsia" w:ascii="宋体" w:hAnsi="宋体" w:eastAsia="宋体" w:cs="宋体"/>
          <w:color w:val="auto"/>
          <w:kern w:val="0"/>
          <w:sz w:val="24"/>
          <w:szCs w:val="24"/>
          <w:highlight w:val="none"/>
          <w:lang w:val="en-US" w:eastAsia="zh-CN" w:bidi="zh-CN"/>
        </w:rPr>
        <w:t>杭桂镇42个村</w:t>
      </w:r>
      <w:r>
        <w:rPr>
          <w:rFonts w:hint="eastAsia" w:ascii="宋体" w:hAnsi="宋体" w:eastAsia="宋体" w:cs="宋体"/>
          <w:color w:val="auto"/>
          <w:kern w:val="0"/>
          <w:sz w:val="24"/>
          <w:szCs w:val="24"/>
          <w:highlight w:val="none"/>
          <w:lang w:val="zh-CN" w:eastAsia="zh-CN" w:bidi="zh-CN"/>
        </w:rPr>
        <w:t>。</w:t>
      </w:r>
    </w:p>
    <w:p w14:paraId="7611B27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0C1AB99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①您对2024年村级运转经费（县配套）项目的投资情况、项目建设规模及内容是否满意?</w:t>
      </w:r>
    </w:p>
    <w:p w14:paraId="643CAC4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②您对2024年村级运转经费（县配套）项目的完成情况和综合效益是否满意？</w:t>
      </w:r>
    </w:p>
    <w:p w14:paraId="515819B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③总的来说，您对目前2024年村级运转经费（县配套）实施后的整体满意程度如何？</w:t>
      </w:r>
    </w:p>
    <w:p w14:paraId="4C44022E">
      <w:pPr>
        <w:keepNext w:val="0"/>
        <w:keepLines w:val="0"/>
        <w:pageBreakBefore w:val="0"/>
        <w:widowControl w:val="0"/>
        <w:kinsoku/>
        <w:wordWrap/>
        <w:overflowPunct/>
        <w:topLinePunct w:val="0"/>
        <w:autoSpaceDE w:val="0"/>
        <w:autoSpaceDN w:val="0"/>
        <w:bidi w:val="0"/>
        <w:snapToGrid w:val="0"/>
        <w:spacing w:line="360" w:lineRule="auto"/>
        <w:ind w:firstLine="482" w:firstLineChars="200"/>
        <w:jc w:val="left"/>
        <w:textAlignment w:val="auto"/>
        <w:rPr>
          <w:rFonts w:hint="eastAsia" w:ascii="宋体" w:hAnsi="宋体" w:eastAsia="宋体" w:cs="宋体"/>
          <w:b/>
          <w:bCs/>
          <w:color w:val="auto"/>
          <w:kern w:val="0"/>
          <w:sz w:val="24"/>
          <w:szCs w:val="24"/>
          <w:highlight w:val="none"/>
          <w:lang w:val="zh-CN" w:eastAsia="zh-CN" w:bidi="zh-CN"/>
        </w:rPr>
      </w:pPr>
      <w:r>
        <w:rPr>
          <w:rFonts w:hint="eastAsia" w:ascii="宋体" w:hAnsi="宋体" w:eastAsia="宋体" w:cs="宋体"/>
          <w:b/>
          <w:bCs/>
          <w:color w:val="auto"/>
          <w:kern w:val="0"/>
          <w:sz w:val="24"/>
          <w:szCs w:val="24"/>
          <w:highlight w:val="none"/>
          <w:lang w:val="en-US" w:eastAsia="zh-CN" w:bidi="zh-CN"/>
        </w:rPr>
        <w:t>3.</w:t>
      </w:r>
      <w:r>
        <w:rPr>
          <w:rFonts w:hint="eastAsia" w:ascii="宋体" w:hAnsi="宋体" w:eastAsia="宋体" w:cs="宋体"/>
          <w:b/>
          <w:bCs/>
          <w:color w:val="auto"/>
          <w:kern w:val="0"/>
          <w:sz w:val="24"/>
          <w:szCs w:val="24"/>
          <w:highlight w:val="none"/>
          <w:lang w:val="zh-CN" w:eastAsia="zh-CN" w:bidi="zh-CN"/>
        </w:rPr>
        <w:t>调查方法</w:t>
      </w:r>
    </w:p>
    <w:p w14:paraId="3B8C69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565D3C5E">
      <w:pPr>
        <w:keepNext w:val="0"/>
        <w:keepLines w:val="0"/>
        <w:pageBreakBefore w:val="0"/>
        <w:widowControl w:val="0"/>
        <w:kinsoku/>
        <w:wordWrap/>
        <w:overflowPunct/>
        <w:topLinePunct w:val="0"/>
        <w:autoSpaceDE w:val="0"/>
        <w:autoSpaceDN w:val="0"/>
        <w:bidi w:val="0"/>
        <w:snapToGrid w:val="0"/>
        <w:spacing w:line="360" w:lineRule="auto"/>
        <w:ind w:firstLine="482" w:firstLineChars="200"/>
        <w:jc w:val="left"/>
        <w:textAlignment w:val="auto"/>
        <w:rPr>
          <w:rFonts w:hint="eastAsia" w:ascii="宋体" w:hAnsi="宋体" w:eastAsia="宋体" w:cs="宋体"/>
          <w:b/>
          <w:bCs/>
          <w:color w:val="auto"/>
          <w:kern w:val="0"/>
          <w:sz w:val="24"/>
          <w:szCs w:val="24"/>
          <w:highlight w:val="none"/>
          <w:lang w:val="zh-CN" w:eastAsia="zh-CN" w:bidi="zh-CN"/>
        </w:rPr>
      </w:pPr>
      <w:r>
        <w:rPr>
          <w:rFonts w:hint="eastAsia" w:ascii="宋体" w:hAnsi="宋体" w:eastAsia="宋体" w:cs="宋体"/>
          <w:b/>
          <w:bCs/>
          <w:color w:val="auto"/>
          <w:kern w:val="0"/>
          <w:sz w:val="24"/>
          <w:szCs w:val="24"/>
          <w:highlight w:val="none"/>
          <w:lang w:val="en-US" w:eastAsia="zh-CN" w:bidi="zh-CN"/>
        </w:rPr>
        <w:t>4.</w:t>
      </w:r>
      <w:r>
        <w:rPr>
          <w:rFonts w:hint="eastAsia" w:ascii="宋体" w:hAnsi="宋体" w:eastAsia="宋体" w:cs="宋体"/>
          <w:b/>
          <w:bCs/>
          <w:color w:val="auto"/>
          <w:kern w:val="0"/>
          <w:sz w:val="24"/>
          <w:szCs w:val="24"/>
          <w:highlight w:val="none"/>
          <w:lang w:val="zh-CN" w:eastAsia="zh-CN" w:bidi="zh-CN"/>
        </w:rPr>
        <w:t>抽样方式</w:t>
      </w:r>
    </w:p>
    <w:p w14:paraId="4A8A46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3ED36A4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4DB489F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为了给调查对象营造良好的作答环境，保证调查的科学性和严谨性，由我单位工作人员在线下发放问卷，邀请相应的调查对象填写问卷。到目前为止共回收问卷42份，其中有效问卷42份，有效问卷回收率为100%。</w:t>
      </w:r>
    </w:p>
    <w:p w14:paraId="1E1CA787">
      <w:pPr>
        <w:keepNext w:val="0"/>
        <w:keepLines w:val="0"/>
        <w:pageBreakBefore w:val="0"/>
        <w:widowControl w:val="0"/>
        <w:kinsoku/>
        <w:wordWrap/>
        <w:overflowPunct/>
        <w:topLinePunct w:val="0"/>
        <w:autoSpaceDE w:val="0"/>
        <w:autoSpaceDN w:val="0"/>
        <w:bidi w:val="0"/>
        <w:snapToGrid w:val="0"/>
        <w:spacing w:line="360" w:lineRule="auto"/>
        <w:ind w:firstLine="482" w:firstLineChars="200"/>
        <w:jc w:val="left"/>
        <w:textAlignment w:val="auto"/>
        <w:rPr>
          <w:rFonts w:hint="eastAsia" w:ascii="宋体" w:hAnsi="宋体" w:eastAsia="宋体" w:cs="宋体"/>
          <w:b/>
          <w:bCs/>
          <w:color w:val="auto"/>
          <w:kern w:val="0"/>
          <w:sz w:val="24"/>
          <w:szCs w:val="24"/>
          <w:highlight w:val="none"/>
          <w:lang w:val="en-US" w:eastAsia="zh-CN" w:bidi="zh-CN"/>
        </w:rPr>
      </w:pPr>
      <w:r>
        <w:rPr>
          <w:rFonts w:hint="eastAsia" w:ascii="宋体" w:hAnsi="宋体" w:eastAsia="宋体" w:cs="宋体"/>
          <w:b/>
          <w:bCs/>
          <w:color w:val="auto"/>
          <w:kern w:val="0"/>
          <w:sz w:val="24"/>
          <w:szCs w:val="24"/>
          <w:highlight w:val="none"/>
          <w:lang w:val="en-US" w:eastAsia="zh-CN" w:bidi="zh-CN"/>
        </w:rPr>
        <w:t>6.问卷调查分析结果</w:t>
      </w:r>
    </w:p>
    <w:p w14:paraId="49CA6F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本次调查过程中，评价小组实际发放问卷42份，回收问卷42份，问卷回收率为100.00%，有效问卷42份，有效回收率100.00%，本次调查的整体情况如下：</w:t>
      </w:r>
    </w:p>
    <w:p w14:paraId="48F6B8E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第一个问题：该项统计有效问卷数量42份，选择非常满意的人数为42人。选择比较满意的人数为0人，选择一般的人数0人，选择不满意的人数0人，选择非常不满意的人数0人。</w:t>
      </w:r>
    </w:p>
    <w:p w14:paraId="264C7D5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第二个问题：该项统计有效问卷数量42份，选择非常满意的人数为42人。选择比较满意的人数为0人，选择一般的人数0人，选择不满意的人数0人，选择非常不满意的人数0人。</w:t>
      </w:r>
    </w:p>
    <w:p w14:paraId="23AEF77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第三个问题：该项统计有效问卷数量42份，选择非常满意的人数为42人。选择比较满意的人数为0人，选择一般的人数0人，选择不满意的人数0人，选择非常不满意的人数0人。</w:t>
      </w:r>
    </w:p>
    <w:p w14:paraId="11E93E3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7A0BD9F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2024年村级运转经费（县配套）项目针对受益人员发放42份调查问卷，最终统计受益人群满意度为100%。</w:t>
      </w:r>
    </w:p>
    <w:p w14:paraId="4BC03C3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59AA0CAB">
      <w:pPr>
        <w:widowControl w:val="0"/>
        <w:snapToGrid w:val="0"/>
        <w:spacing w:after="120" w:afterLines="0" w:afterAutospacing="0" w:line="360" w:lineRule="auto"/>
        <w:ind w:left="560" w:leftChars="200" w:firstLine="480" w:firstLineChars="200"/>
        <w:jc w:val="both"/>
        <w:rPr>
          <w:rFonts w:hint="eastAsia" w:ascii="宋体" w:hAnsi="宋体" w:eastAsia="宋体" w:cs="宋体"/>
          <w:color w:val="auto"/>
          <w:kern w:val="2"/>
          <w:sz w:val="24"/>
          <w:szCs w:val="24"/>
          <w:highlight w:val="none"/>
          <w:lang w:val="en-US" w:eastAsia="zh-CN" w:bidi="ar-SA"/>
        </w:rPr>
      </w:pPr>
    </w:p>
    <w:p w14:paraId="7530A6C3">
      <w:pPr>
        <w:widowControl w:val="0"/>
        <w:snapToGrid w:val="0"/>
        <w:spacing w:after="120" w:afterLines="0" w:afterAutospacing="0" w:line="360" w:lineRule="auto"/>
        <w:jc w:val="both"/>
        <w:rPr>
          <w:rFonts w:hint="eastAsia" w:ascii="宋体" w:hAnsi="宋体" w:eastAsia="宋体" w:cs="宋体"/>
          <w:color w:val="auto"/>
          <w:kern w:val="2"/>
          <w:sz w:val="24"/>
          <w:szCs w:val="24"/>
          <w:highlight w:val="none"/>
          <w:lang w:val="en-US" w:eastAsia="zh-CN" w:bidi="ar-SA"/>
        </w:rPr>
      </w:pPr>
    </w:p>
    <w:p w14:paraId="4DC04099">
      <w:pPr>
        <w:widowControl w:val="0"/>
        <w:snapToGrid w:val="0"/>
        <w:spacing w:after="120" w:afterLines="0" w:afterAutospacing="0" w:line="360" w:lineRule="auto"/>
        <w:ind w:left="560" w:leftChars="200" w:firstLine="480" w:firstLineChars="200"/>
        <w:jc w:val="both"/>
        <w:rPr>
          <w:rFonts w:hint="eastAsia" w:ascii="宋体" w:hAnsi="宋体" w:eastAsia="宋体" w:cs="宋体"/>
          <w:color w:val="auto"/>
          <w:kern w:val="2"/>
          <w:sz w:val="24"/>
          <w:szCs w:val="24"/>
          <w:highlight w:val="none"/>
          <w:lang w:val="en-US" w:eastAsia="zh-CN" w:bidi="ar-SA"/>
        </w:rPr>
      </w:pPr>
    </w:p>
    <w:p w14:paraId="580BBFE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洛浦县杭桂镇人民政府</w:t>
      </w:r>
    </w:p>
    <w:p w14:paraId="66C1A14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2025年3月15日</w:t>
      </w:r>
    </w:p>
    <w:p w14:paraId="5F0711FA">
      <w:pPr>
        <w:snapToGrid w:val="0"/>
        <w:spacing w:line="360" w:lineRule="auto"/>
        <w:ind w:left="0" w:leftChars="0" w:firstLine="0" w:firstLineChars="0"/>
        <w:rPr>
          <w:rFonts w:ascii="宋体" w:hAnsi="宋体" w:eastAsia="宋体" w:cs="宋体"/>
          <w:color w:val="auto"/>
          <w:szCs w:val="28"/>
          <w:highlight w:val="none"/>
        </w:rPr>
      </w:pPr>
    </w:p>
    <w:p w14:paraId="4411182A">
      <w:pPr>
        <w:ind w:left="0" w:leftChars="0" w:firstLine="0" w:firstLineChars="0"/>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27211">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0ECCE">
    <w:pPr>
      <w:pStyle w:val="8"/>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D398FF">
                          <w:pPr>
                            <w:pStyle w:val="8"/>
                            <w:rPr>
                              <w:rFonts w:hint="eastAsia" w:ascii="黑体" w:hAnsi="黑体" w:eastAsia="黑体" w:cs="黑体"/>
                              <w:b w:val="0"/>
                              <w:bCs w:val="0"/>
                            </w:rPr>
                          </w:pPr>
                          <w:r>
                            <w:rPr>
                              <w:rFonts w:hint="eastAsia" w:ascii="黑体" w:hAnsi="黑体" w:eastAsia="黑体" w:cs="黑体"/>
                              <w:b w:val="0"/>
                              <w:bCs w:val="0"/>
                            </w:rPr>
                            <w:t xml:space="preserve">第 </w:t>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  \* MERGEFORMAT </w:instrText>
                          </w:r>
                          <w:r>
                            <w:rPr>
                              <w:rFonts w:hint="eastAsia" w:ascii="黑体" w:hAnsi="黑体" w:eastAsia="黑体" w:cs="黑体"/>
                              <w:b w:val="0"/>
                              <w:bCs w:val="0"/>
                            </w:rPr>
                            <w:fldChar w:fldCharType="separate"/>
                          </w:r>
                          <w:r>
                            <w:rPr>
                              <w:rFonts w:hint="eastAsia" w:ascii="黑体" w:hAnsi="黑体" w:eastAsia="黑体" w:cs="黑体"/>
                              <w:b w:val="0"/>
                              <w:bCs w:val="0"/>
                            </w:rPr>
                            <w:t>1</w:t>
                          </w:r>
                          <w:r>
                            <w:rPr>
                              <w:rFonts w:hint="eastAsia" w:ascii="黑体" w:hAnsi="黑体" w:eastAsia="黑体" w:cs="黑体"/>
                              <w:b w:val="0"/>
                              <w:bCs w:val="0"/>
                            </w:rPr>
                            <w:fldChar w:fldCharType="end"/>
                          </w:r>
                          <w:r>
                            <w:rPr>
                              <w:rFonts w:hint="eastAsia" w:ascii="黑体" w:hAnsi="黑体" w:eastAsia="黑体" w:cs="黑体"/>
                              <w:b w:val="0"/>
                              <w:bCs w:val="0"/>
                            </w:rPr>
                            <w:t xml:space="preserve"> 页 共 </w:t>
                          </w:r>
                          <w:r>
                            <w:rPr>
                              <w:rFonts w:hint="eastAsia" w:ascii="黑体" w:hAnsi="黑体" w:eastAsia="黑体" w:cs="黑体"/>
                              <w:b w:val="0"/>
                              <w:bCs w:val="0"/>
                              <w:lang w:val="en-US" w:eastAsia="zh-CN"/>
                            </w:rPr>
                            <w:t>27</w:t>
                          </w:r>
                          <w:r>
                            <w:rPr>
                              <w:rFonts w:hint="eastAsia" w:ascii="黑体" w:hAnsi="黑体" w:eastAsia="黑体" w:cs="黑体"/>
                              <w:b w:val="0"/>
                              <w:bCs w:val="0"/>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FD398FF">
                    <w:pPr>
                      <w:pStyle w:val="8"/>
                      <w:rPr>
                        <w:rFonts w:hint="eastAsia" w:ascii="黑体" w:hAnsi="黑体" w:eastAsia="黑体" w:cs="黑体"/>
                        <w:b w:val="0"/>
                        <w:bCs w:val="0"/>
                      </w:rPr>
                    </w:pPr>
                    <w:r>
                      <w:rPr>
                        <w:rFonts w:hint="eastAsia" w:ascii="黑体" w:hAnsi="黑体" w:eastAsia="黑体" w:cs="黑体"/>
                        <w:b w:val="0"/>
                        <w:bCs w:val="0"/>
                      </w:rPr>
                      <w:t xml:space="preserve">第 </w:t>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  \* MERGEFORMAT </w:instrText>
                    </w:r>
                    <w:r>
                      <w:rPr>
                        <w:rFonts w:hint="eastAsia" w:ascii="黑体" w:hAnsi="黑体" w:eastAsia="黑体" w:cs="黑体"/>
                        <w:b w:val="0"/>
                        <w:bCs w:val="0"/>
                      </w:rPr>
                      <w:fldChar w:fldCharType="separate"/>
                    </w:r>
                    <w:r>
                      <w:rPr>
                        <w:rFonts w:hint="eastAsia" w:ascii="黑体" w:hAnsi="黑体" w:eastAsia="黑体" w:cs="黑体"/>
                        <w:b w:val="0"/>
                        <w:bCs w:val="0"/>
                      </w:rPr>
                      <w:t>1</w:t>
                    </w:r>
                    <w:r>
                      <w:rPr>
                        <w:rFonts w:hint="eastAsia" w:ascii="黑体" w:hAnsi="黑体" w:eastAsia="黑体" w:cs="黑体"/>
                        <w:b w:val="0"/>
                        <w:bCs w:val="0"/>
                      </w:rPr>
                      <w:fldChar w:fldCharType="end"/>
                    </w:r>
                    <w:r>
                      <w:rPr>
                        <w:rFonts w:hint="eastAsia" w:ascii="黑体" w:hAnsi="黑体" w:eastAsia="黑体" w:cs="黑体"/>
                        <w:b w:val="0"/>
                        <w:bCs w:val="0"/>
                      </w:rPr>
                      <w:t xml:space="preserve"> 页 共 </w:t>
                    </w:r>
                    <w:r>
                      <w:rPr>
                        <w:rFonts w:hint="eastAsia" w:ascii="黑体" w:hAnsi="黑体" w:eastAsia="黑体" w:cs="黑体"/>
                        <w:b w:val="0"/>
                        <w:bCs w:val="0"/>
                        <w:lang w:val="en-US" w:eastAsia="zh-CN"/>
                      </w:rPr>
                      <w:t>27</w:t>
                    </w:r>
                    <w:r>
                      <w:rPr>
                        <w:rFonts w:hint="eastAsia" w:ascii="黑体" w:hAnsi="黑体" w:eastAsia="黑体" w:cs="黑体"/>
                        <w:b w:val="0"/>
                        <w:bCs w:val="0"/>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1EA36">
    <w:pPr>
      <w:pStyle w:val="9"/>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lvlText w:val="%1."/>
      <w:lvlJc w:val="left"/>
      <w:pPr>
        <w:tabs>
          <w:tab w:val="left" w:pos="312"/>
        </w:tabs>
      </w:pPr>
    </w:lvl>
  </w:abstractNum>
  <w:abstractNum w:abstractNumId="3">
    <w:nsid w:val="0053208E"/>
    <w:multiLevelType w:val="multilevel"/>
    <w:tmpl w:val="0053208E"/>
    <w:lvl w:ilvl="0" w:tentative="0">
      <w:start w:val="1"/>
      <w:numFmt w:val="chineseCountingThousand"/>
      <w:pStyle w:val="15"/>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42EC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rPr>
      <w:rFonts w:cs="Times New Roman"/>
      <w:kern w:val="0"/>
      <w:szCs w:val="20"/>
    </w:rPr>
  </w:style>
  <w:style w:type="paragraph" w:styleId="7">
    <w:name w:val="Body Text"/>
    <w:basedOn w:val="1"/>
    <w:qFormat/>
    <w:uiPriority w:val="0"/>
    <w:pPr>
      <w:spacing w:before="240" w:after="240" w:line="360" w:lineRule="auto"/>
      <w:jc w:val="center"/>
    </w:pPr>
    <w:rPr>
      <w:b/>
      <w:sz w:val="44"/>
    </w:rPr>
  </w:style>
  <w:style w:type="paragraph" w:styleId="8">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table" w:styleId="11">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3">
    <w:name w:val="闻政-正文二级标题"/>
    <w:basedOn w:val="5"/>
    <w:next w:val="14"/>
    <w:qFormat/>
    <w:uiPriority w:val="3"/>
    <w:pPr>
      <w:spacing w:before="120" w:after="60" w:line="500" w:lineRule="exact"/>
      <w:ind w:left="200" w:leftChars="200" w:firstLine="0" w:firstLineChars="0"/>
    </w:pPr>
    <w:rPr>
      <w:rFonts w:ascii="Times New Roman" w:hAnsi="Times New Roman"/>
      <w:sz w:val="28"/>
    </w:rPr>
  </w:style>
  <w:style w:type="paragraph" w:customStyle="1" w:styleId="14">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5">
    <w:name w:val="标题2"/>
    <w:basedOn w:val="5"/>
    <w:qFormat/>
    <w:uiPriority w:val="0"/>
    <w:pPr>
      <w:numPr>
        <w:ilvl w:val="0"/>
        <w:numId w:val="1"/>
      </w:numPr>
      <w:spacing w:before="120" w:after="120" w:line="500" w:lineRule="exact"/>
    </w:pPr>
    <w:rPr>
      <w:rFonts w:ascii="仿宋_GB2312" w:eastAsia="仿宋_GB2312" w:cs="Times New Roman"/>
    </w:rPr>
  </w:style>
  <w:style w:type="paragraph" w:customStyle="1" w:styleId="16">
    <w:name w:val="Char"/>
    <w:basedOn w:val="1"/>
    <w:qFormat/>
    <w:uiPriority w:val="0"/>
    <w:rPr>
      <w:rFonts w:ascii="仿宋_GB2312" w:eastAsia="仿宋_GB2312" w:cs="黑体"/>
      <w:b/>
      <w:sz w:val="32"/>
      <w:szCs w:val="32"/>
    </w:rPr>
  </w:style>
  <w:style w:type="character" w:customStyle="1" w:styleId="17">
    <w:name w:val="font61"/>
    <w:basedOn w:val="12"/>
    <w:qFormat/>
    <w:uiPriority w:val="0"/>
    <w:rPr>
      <w:rFonts w:hint="eastAsia" w:ascii="微软雅黑" w:hAnsi="微软雅黑" w:eastAsia="微软雅黑" w:cs="微软雅黑"/>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eyJoZGlkIjoiMGUyMzU3NWNkYjRiOTBiNzJkYzk5ZDFiYWEwOTUyYjAiLCJ1c2VySWQiOiIxNjI3OTgxNDE0In0=</vt:lpwstr>
  </property>
  <property fmtid="{D5CDD505-2E9C-101B-9397-08002B2CF9AE}" pid="4" name="ICV">
    <vt:lpwstr>BDF013F933C0481E9E7F128E55E31D61_12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5fa6b-e326-43c1-b005-62f53495fe80}">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10877</Words>
  <Characters>11455</Characters>
  <Lines>0</Lines>
  <Paragraphs>0</Paragraphs>
  <TotalTime>42</TotalTime>
  <ScaleCrop>false</ScaleCrop>
  <LinksUpToDate>false</LinksUpToDate>
  <CharactersWithSpaces>11487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2025-10-10T08:39:45Z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eyJoZGlkIjoiMGUyMzU3NWNkYjRiOTBiNzJkYzk5ZDFiYWEwOTUyYjAiLCJ1c2VySWQiOiIxNjI3OTgxNDE0In0_x003D_</vt:lpwstr>
  </property>
  <property fmtid="{D5CDD505-2E9C-101B-9397-08002B2CF9AE}" pid="4" name="ICV">
    <vt:lpwstr>BDF013F933C0481E9E7F128E55E31D61_12</vt:lpwstr>
  </property>
</Properties>
</file>