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F1214">
      <w:bookmarkStart w:id="22" w:name="_GoBack"/>
      <w:bookmarkEnd w:id="22"/>
    </w:p>
    <w:p w14:paraId="41C4C14C">
      <w:pPr>
        <w:pageBreakBefore w:val="0"/>
        <w:widowControl w:val="0"/>
        <w:shd w:val="clear" w:color="auto" w:fill="auto"/>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highlight w:val="none"/>
          <w:lang w:val="en-US" w:eastAsia="zh-CN" w:bidi="en-US"/>
        </w:rPr>
      </w:pPr>
    </w:p>
    <w:p w14:paraId="00138979">
      <w:pPr>
        <w:keepNext w:val="0"/>
        <w:keepLines w:val="0"/>
        <w:pageBreakBefore w:val="0"/>
        <w:widowControl w:val="0"/>
        <w:shd w:val="clear" w:color="auto" w:fill="auto"/>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highlight w:val="none"/>
          <w:lang w:val="en-US" w:eastAsia="zh-CN"/>
        </w:rPr>
      </w:pPr>
      <w:r>
        <w:rPr>
          <w:rFonts w:hint="eastAsia" w:ascii="黑体" w:hAnsi="黑体" w:eastAsia="黑体" w:cs="黑体"/>
          <w:b/>
          <w:sz w:val="36"/>
          <w:szCs w:val="36"/>
          <w:highlight w:val="none"/>
          <w:lang w:val="en-US" w:eastAsia="zh-CN"/>
        </w:rPr>
        <w:t>和田地区洛浦县专项资金-和地财农【2023】68号：</w:t>
      </w:r>
    </w:p>
    <w:p w14:paraId="19B478EC">
      <w:pPr>
        <w:keepNext w:val="0"/>
        <w:keepLines w:val="0"/>
        <w:pageBreakBefore w:val="0"/>
        <w:widowControl w:val="0"/>
        <w:shd w:val="clear" w:color="auto" w:fill="auto"/>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highlight w:val="none"/>
          <w:lang w:val="en-US" w:eastAsia="zh-CN"/>
        </w:rPr>
      </w:pPr>
      <w:r>
        <w:rPr>
          <w:rFonts w:hint="eastAsia" w:ascii="黑体" w:hAnsi="黑体" w:eastAsia="黑体" w:cs="黑体"/>
          <w:b/>
          <w:sz w:val="36"/>
          <w:szCs w:val="36"/>
          <w:highlight w:val="none"/>
          <w:lang w:val="en-US" w:eastAsia="zh-CN"/>
        </w:rPr>
        <w:t>2024年自治区农村综合改革转移支付预算</w:t>
      </w:r>
    </w:p>
    <w:p w14:paraId="19825F58">
      <w:pPr>
        <w:keepNext w:val="0"/>
        <w:keepLines w:val="0"/>
        <w:pageBreakBefore w:val="0"/>
        <w:widowControl w:val="0"/>
        <w:shd w:val="clear" w:color="auto" w:fill="auto"/>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sz w:val="36"/>
          <w:szCs w:val="36"/>
          <w:highlight w:val="none"/>
        </w:rPr>
      </w:pPr>
      <w:r>
        <w:rPr>
          <w:rFonts w:hint="eastAsia" w:ascii="黑体" w:hAnsi="黑体" w:eastAsia="黑体" w:cs="黑体"/>
          <w:b/>
          <w:sz w:val="36"/>
          <w:szCs w:val="36"/>
          <w:highlight w:val="none"/>
          <w:lang w:val="en-US" w:eastAsia="zh-CN"/>
        </w:rPr>
        <w:t>-农村公益事业财政奖补</w:t>
      </w:r>
      <w:r>
        <w:rPr>
          <w:rFonts w:hint="eastAsia" w:ascii="黑体" w:hAnsi="黑体" w:eastAsia="黑体" w:cs="黑体"/>
          <w:b/>
          <w:sz w:val="36"/>
          <w:szCs w:val="36"/>
          <w:highlight w:val="none"/>
        </w:rPr>
        <w:t>项目支出绩效评价报告</w:t>
      </w:r>
    </w:p>
    <w:p w14:paraId="28CBB454">
      <w:pPr>
        <w:pStyle w:val="6"/>
        <w:shd w:val="clear" w:color="auto" w:fill="auto"/>
        <w:jc w:val="center"/>
        <w:rPr>
          <w:rFonts w:hint="eastAsia" w:ascii="黑体" w:hAnsi="黑体" w:eastAsia="黑体" w:cs="黑体"/>
          <w:b/>
          <w:bCs w:val="0"/>
          <w:sz w:val="36"/>
          <w:szCs w:val="36"/>
          <w:highlight w:val="none"/>
          <w:lang w:eastAsia="zh-CN"/>
        </w:rPr>
      </w:pPr>
      <w:r>
        <w:rPr>
          <w:rFonts w:hint="eastAsia" w:ascii="黑体" w:hAnsi="黑体" w:eastAsia="黑体" w:cs="黑体"/>
          <w:b/>
          <w:bCs w:val="0"/>
          <w:sz w:val="36"/>
          <w:szCs w:val="36"/>
          <w:highlight w:val="none"/>
          <w:lang w:eastAsia="zh-CN"/>
        </w:rPr>
        <w:t>（</w:t>
      </w:r>
      <w:r>
        <w:rPr>
          <w:rFonts w:hint="eastAsia" w:ascii="黑体" w:hAnsi="黑体" w:eastAsia="黑体" w:cs="黑体"/>
          <w:b/>
          <w:bCs w:val="0"/>
          <w:sz w:val="36"/>
          <w:szCs w:val="36"/>
          <w:highlight w:val="none"/>
          <w:lang w:val="en-US" w:eastAsia="zh-CN"/>
        </w:rPr>
        <w:t>2024年度</w:t>
      </w:r>
      <w:r>
        <w:rPr>
          <w:rFonts w:hint="eastAsia" w:ascii="黑体" w:hAnsi="黑体" w:eastAsia="黑体" w:cs="黑体"/>
          <w:b/>
          <w:bCs w:val="0"/>
          <w:sz w:val="36"/>
          <w:szCs w:val="36"/>
          <w:highlight w:val="none"/>
          <w:lang w:eastAsia="zh-CN"/>
        </w:rPr>
        <w:t>）</w:t>
      </w:r>
    </w:p>
    <w:p w14:paraId="303F2F70">
      <w:pPr>
        <w:pageBreakBefore w:val="0"/>
        <w:widowControl w:val="0"/>
        <w:shd w:val="clear" w:color="auto" w:fill="auto"/>
        <w:kinsoku/>
        <w:wordWrap/>
        <w:topLinePunct w:val="0"/>
        <w:autoSpaceDE/>
        <w:autoSpaceDN/>
        <w:bidi w:val="0"/>
        <w:spacing w:line="560" w:lineRule="exact"/>
        <w:ind w:left="0" w:leftChars="0" w:firstLine="0" w:firstLineChars="0"/>
        <w:jc w:val="center"/>
        <w:textAlignment w:val="auto"/>
        <w:rPr>
          <w:rFonts w:hint="eastAsia" w:ascii="黑体" w:hAnsi="黑体" w:eastAsia="黑体" w:cs="黑体"/>
          <w:b/>
          <w:kern w:val="0"/>
          <w:sz w:val="44"/>
          <w:szCs w:val="44"/>
          <w:highlight w:val="none"/>
          <w:lang w:bidi="en-US"/>
        </w:rPr>
      </w:pPr>
    </w:p>
    <w:p w14:paraId="60C6ED76">
      <w:pPr>
        <w:pageBreakBefore w:val="0"/>
        <w:widowControl w:val="0"/>
        <w:shd w:val="clear" w:color="auto" w:fill="auto"/>
        <w:kinsoku/>
        <w:wordWrap/>
        <w:topLinePunct w:val="0"/>
        <w:autoSpaceDE/>
        <w:autoSpaceDN/>
        <w:bidi w:val="0"/>
        <w:spacing w:line="560" w:lineRule="exact"/>
        <w:ind w:left="0" w:leftChars="0" w:firstLine="0" w:firstLineChars="0"/>
        <w:jc w:val="center"/>
        <w:textAlignment w:val="auto"/>
        <w:rPr>
          <w:rFonts w:hint="eastAsia" w:ascii="黑体" w:hAnsi="黑体" w:eastAsia="黑体" w:cs="黑体"/>
          <w:b/>
          <w:kern w:val="0"/>
          <w:sz w:val="44"/>
          <w:szCs w:val="44"/>
          <w:highlight w:val="none"/>
          <w:lang w:bidi="en-US"/>
        </w:rPr>
      </w:pPr>
    </w:p>
    <w:p w14:paraId="7D7297A3">
      <w:pPr>
        <w:pStyle w:val="6"/>
        <w:shd w:val="clear" w:color="auto" w:fill="auto"/>
        <w:rPr>
          <w:rFonts w:hint="eastAsia" w:ascii="黑体" w:hAnsi="黑体" w:eastAsia="黑体" w:cs="黑体"/>
          <w:b/>
          <w:kern w:val="0"/>
          <w:sz w:val="44"/>
          <w:szCs w:val="44"/>
          <w:highlight w:val="none"/>
          <w:lang w:bidi="en-US"/>
        </w:rPr>
      </w:pPr>
    </w:p>
    <w:p w14:paraId="2CD98D00">
      <w:pPr>
        <w:pStyle w:val="6"/>
        <w:shd w:val="clear" w:color="auto" w:fill="auto"/>
        <w:ind w:left="0" w:leftChars="0" w:firstLine="0" w:firstLineChars="0"/>
        <w:rPr>
          <w:rFonts w:hint="eastAsia" w:ascii="黑体" w:hAnsi="黑体" w:eastAsia="黑体" w:cs="黑体"/>
          <w:color w:val="auto"/>
          <w:sz w:val="44"/>
          <w:szCs w:val="44"/>
          <w:highlight w:val="none"/>
        </w:rPr>
      </w:pPr>
    </w:p>
    <w:p w14:paraId="27B9D58D">
      <w:pPr>
        <w:pStyle w:val="6"/>
        <w:pageBreakBefore w:val="0"/>
        <w:widowControl w:val="0"/>
        <w:shd w:val="clear" w:color="auto" w:fill="auto"/>
        <w:kinsoku/>
        <w:wordWrap/>
        <w:topLinePunct w:val="0"/>
        <w:autoSpaceDE/>
        <w:autoSpaceDN/>
        <w:bidi w:val="0"/>
        <w:spacing w:before="0" w:after="0" w:line="560" w:lineRule="exact"/>
        <w:ind w:left="0" w:leftChars="0" w:firstLine="643"/>
        <w:textAlignment w:val="auto"/>
        <w:rPr>
          <w:rFonts w:hint="eastAsia" w:ascii="黑体" w:hAnsi="黑体" w:eastAsia="黑体" w:cs="黑体"/>
          <w:b/>
          <w:color w:val="auto"/>
          <w:sz w:val="44"/>
          <w:szCs w:val="44"/>
          <w:highlight w:val="none"/>
          <w:lang w:bidi="en-US"/>
        </w:rPr>
      </w:pPr>
    </w:p>
    <w:p w14:paraId="2B4C3B9D">
      <w:pPr>
        <w:pageBreakBefore w:val="0"/>
        <w:widowControl w:val="0"/>
        <w:shd w:val="clear" w:color="auto" w:fill="auto"/>
        <w:kinsoku/>
        <w:wordWrap/>
        <w:topLinePunct w:val="0"/>
        <w:autoSpaceDE/>
        <w:autoSpaceDN/>
        <w:bidi w:val="0"/>
        <w:spacing w:line="560" w:lineRule="exact"/>
        <w:ind w:left="0" w:leftChars="0" w:firstLine="0" w:firstLineChars="0"/>
        <w:textAlignment w:val="auto"/>
        <w:rPr>
          <w:rFonts w:hint="eastAsia" w:ascii="宋体" w:hAnsi="宋体" w:eastAsia="宋体" w:cs="宋体"/>
          <w:color w:val="auto"/>
          <w:kern w:val="0"/>
          <w:sz w:val="28"/>
          <w:szCs w:val="28"/>
          <w:highlight w:val="none"/>
          <w:lang w:bidi="en-US"/>
        </w:rPr>
      </w:pPr>
    </w:p>
    <w:p w14:paraId="2C7A975B">
      <w:pPr>
        <w:pageBreakBefore w:val="0"/>
        <w:widowControl w:val="0"/>
        <w:shd w:val="clear" w:color="auto" w:fill="auto"/>
        <w:kinsoku/>
        <w:wordWrap/>
        <w:topLinePunct w:val="0"/>
        <w:autoSpaceDE/>
        <w:autoSpaceDN/>
        <w:bidi w:val="0"/>
        <w:spacing w:line="560" w:lineRule="exact"/>
        <w:ind w:left="1960" w:leftChars="200" w:hanging="1400" w:hangingChars="5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项目名称：专项资金-和地财农【2023】68号：2024年自治区农村综合改革转移支付预算-农村公益事业财政奖补项目</w:t>
      </w:r>
    </w:p>
    <w:p w14:paraId="05F0F3BF">
      <w:pPr>
        <w:pageBreakBefore w:val="0"/>
        <w:widowControl w:val="0"/>
        <w:shd w:val="clear" w:color="auto" w:fill="auto"/>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项目单位：</w:t>
      </w:r>
      <w:r>
        <w:rPr>
          <w:rFonts w:hint="eastAsia" w:ascii="宋体" w:hAnsi="宋体" w:eastAsia="宋体" w:cs="宋体"/>
          <w:color w:val="auto"/>
          <w:kern w:val="0"/>
          <w:sz w:val="28"/>
          <w:szCs w:val="28"/>
          <w:highlight w:val="none"/>
          <w:lang w:val="en-US" w:eastAsia="zh-CN" w:bidi="en-US"/>
        </w:rPr>
        <w:t>洛浦县布亚乡人民政府</w:t>
      </w:r>
    </w:p>
    <w:p w14:paraId="51D8A09F">
      <w:pPr>
        <w:pageBreakBefore w:val="0"/>
        <w:widowControl w:val="0"/>
        <w:shd w:val="clear" w:color="auto" w:fill="auto"/>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主管部门：</w:t>
      </w:r>
      <w:r>
        <w:rPr>
          <w:rFonts w:hint="eastAsia" w:ascii="宋体" w:hAnsi="宋体" w:eastAsia="宋体" w:cs="宋体"/>
          <w:color w:val="auto"/>
          <w:kern w:val="0"/>
          <w:sz w:val="28"/>
          <w:szCs w:val="28"/>
          <w:highlight w:val="none"/>
          <w:lang w:val="en-US" w:eastAsia="zh-CN" w:bidi="en-US"/>
        </w:rPr>
        <w:t>洛浦县财政</w:t>
      </w:r>
      <w:r>
        <w:rPr>
          <w:rFonts w:hint="eastAsia" w:ascii="宋体" w:hAnsi="宋体" w:eastAsia="宋体" w:cs="宋体"/>
          <w:color w:val="auto"/>
          <w:kern w:val="0"/>
          <w:sz w:val="28"/>
          <w:szCs w:val="28"/>
          <w:highlight w:val="none"/>
          <w:lang w:bidi="en-US"/>
        </w:rPr>
        <w:t>局（本级）</w:t>
      </w:r>
    </w:p>
    <w:p w14:paraId="76C7EF36">
      <w:pPr>
        <w:pageBreakBefore w:val="0"/>
        <w:widowControl w:val="0"/>
        <w:shd w:val="clear" w:color="auto" w:fill="auto"/>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val="en-US" w:eastAsia="zh-CN" w:bidi="en-US"/>
        </w:rPr>
        <w:t>宜延鑫</w:t>
      </w:r>
    </w:p>
    <w:p w14:paraId="6B0B9CCB">
      <w:pPr>
        <w:pageBreakBefore w:val="0"/>
        <w:widowControl w:val="0"/>
        <w:shd w:val="clear" w:color="auto" w:fill="auto"/>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填报时间：</w:t>
      </w:r>
      <w:r>
        <w:rPr>
          <w:rFonts w:hint="eastAsia" w:ascii="宋体" w:hAnsi="宋体" w:eastAsia="宋体" w:cs="宋体"/>
          <w:color w:val="auto"/>
          <w:kern w:val="0"/>
          <w:sz w:val="28"/>
          <w:szCs w:val="28"/>
          <w:highlight w:val="none"/>
          <w:lang w:val="en-US" w:eastAsia="zh-CN" w:bidi="en-US"/>
        </w:rPr>
        <w:t>2025</w:t>
      </w:r>
      <w:r>
        <w:rPr>
          <w:rFonts w:hint="eastAsia" w:ascii="宋体" w:hAnsi="宋体" w:eastAsia="宋体" w:cs="宋体"/>
          <w:color w:val="auto"/>
          <w:kern w:val="0"/>
          <w:sz w:val="28"/>
          <w:szCs w:val="28"/>
          <w:highlight w:val="none"/>
          <w:lang w:bidi="en-US"/>
        </w:rPr>
        <w:t>年</w:t>
      </w:r>
      <w:r>
        <w:rPr>
          <w:rFonts w:hint="eastAsia" w:ascii="宋体" w:hAnsi="宋体" w:eastAsia="宋体" w:cs="宋体"/>
          <w:color w:val="auto"/>
          <w:kern w:val="0"/>
          <w:sz w:val="28"/>
          <w:szCs w:val="28"/>
          <w:highlight w:val="none"/>
          <w:lang w:val="en-US" w:eastAsia="zh-CN" w:bidi="en-US"/>
        </w:rPr>
        <w:t>3</w:t>
      </w:r>
      <w:r>
        <w:rPr>
          <w:rFonts w:hint="eastAsia" w:ascii="宋体" w:hAnsi="宋体" w:eastAsia="宋体" w:cs="宋体"/>
          <w:color w:val="auto"/>
          <w:kern w:val="0"/>
          <w:sz w:val="28"/>
          <w:szCs w:val="28"/>
          <w:highlight w:val="none"/>
          <w:lang w:bidi="en-US"/>
        </w:rPr>
        <w:t>月</w:t>
      </w:r>
      <w:r>
        <w:rPr>
          <w:rFonts w:hint="eastAsia" w:ascii="宋体" w:hAnsi="宋体" w:eastAsia="宋体" w:cs="宋体"/>
          <w:color w:val="auto"/>
          <w:kern w:val="0"/>
          <w:sz w:val="28"/>
          <w:szCs w:val="28"/>
          <w:highlight w:val="none"/>
          <w:lang w:val="en-US" w:eastAsia="zh-CN" w:bidi="en-US"/>
        </w:rPr>
        <w:t>31</w:t>
      </w:r>
      <w:r>
        <w:rPr>
          <w:rFonts w:hint="eastAsia" w:ascii="宋体" w:hAnsi="宋体" w:eastAsia="宋体" w:cs="宋体"/>
          <w:color w:val="auto"/>
          <w:kern w:val="0"/>
          <w:sz w:val="28"/>
          <w:szCs w:val="28"/>
          <w:highlight w:val="none"/>
          <w:lang w:bidi="en-US"/>
        </w:rPr>
        <w:t>日</w:t>
      </w:r>
    </w:p>
    <w:p w14:paraId="7042C98C">
      <w:pPr>
        <w:pageBreakBefore w:val="0"/>
        <w:widowControl w:val="0"/>
        <w:shd w:val="clear" w:color="auto" w:fill="auto"/>
        <w:kinsoku/>
        <w:wordWrap/>
        <w:topLinePunct w:val="0"/>
        <w:autoSpaceDE/>
        <w:autoSpaceDN/>
        <w:bidi w:val="0"/>
        <w:spacing w:line="560" w:lineRule="exact"/>
        <w:ind w:left="0" w:leftChars="0" w:firstLine="0" w:firstLineChars="0"/>
        <w:textAlignment w:val="auto"/>
        <w:rPr>
          <w:rFonts w:hint="eastAsia" w:ascii="黑体" w:hAnsi="黑体" w:eastAsia="黑体" w:cs="黑体"/>
          <w:b/>
          <w:kern w:val="0"/>
          <w:sz w:val="44"/>
          <w:szCs w:val="44"/>
          <w:highlight w:val="none"/>
          <w:lang w:bidi="en-US"/>
        </w:rPr>
      </w:pPr>
    </w:p>
    <w:p w14:paraId="728E5716">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highlight w:val="none"/>
          <w:lang w:val="en-US" w:eastAsia="zh-CN"/>
        </w:rPr>
        <w:sectPr>
          <w:headerReference r:id="rId5" w:type="default"/>
          <w:footerReference r:id="rId6" w:type="default"/>
          <w:pgSz w:w="11906" w:h="16838"/>
          <w:pgMar w:top="1843" w:right="1531" w:bottom="1843" w:left="1531" w:header="851" w:footer="992" w:gutter="0"/>
          <w:pgNumType w:start="1"/>
          <w:cols w:space="720" w:num="1"/>
          <w:docGrid w:type="linesAndChars" w:linePitch="386" w:charSpace="0"/>
        </w:sectPr>
      </w:pPr>
      <w:bookmarkStart w:id="0" w:name="_Toc68364657"/>
    </w:p>
    <w:p w14:paraId="2C88565A">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lang w:val="en-US" w:eastAsia="zh-CN"/>
        </w:rPr>
        <w:t>一、</w:t>
      </w:r>
      <w:r>
        <w:rPr>
          <w:rFonts w:hint="eastAsia" w:ascii="黑体" w:hAnsi="黑体" w:eastAsia="黑体" w:cs="黑体"/>
          <w:sz w:val="24"/>
          <w:szCs w:val="24"/>
          <w:highlight w:val="none"/>
        </w:rPr>
        <w:t>基本情况</w:t>
      </w:r>
      <w:bookmarkEnd w:id="0"/>
    </w:p>
    <w:p w14:paraId="7CCDD357">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 w:name="_Toc68364658"/>
      <w:r>
        <w:rPr>
          <w:rFonts w:hint="eastAsia" w:ascii="宋体" w:hAnsi="宋体" w:eastAsia="宋体" w:cs="宋体"/>
          <w:sz w:val="24"/>
          <w:szCs w:val="24"/>
          <w:highlight w:val="none"/>
          <w:lang w:eastAsia="zh-CN"/>
        </w:rPr>
        <w:t>（一）</w:t>
      </w:r>
      <w:r>
        <w:rPr>
          <w:rFonts w:hint="eastAsia" w:ascii="宋体" w:hAnsi="宋体" w:eastAsia="宋体" w:cs="宋体"/>
          <w:sz w:val="24"/>
          <w:szCs w:val="24"/>
          <w:highlight w:val="none"/>
        </w:rPr>
        <w:t>项目概况</w:t>
      </w:r>
      <w:bookmarkEnd w:id="1"/>
    </w:p>
    <w:p w14:paraId="3B484B88">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 项目背景</w:t>
      </w:r>
    </w:p>
    <w:p w14:paraId="7E4AB9A1">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highlight w:val="none"/>
          <w:lang w:val="en-US" w:eastAsia="zh-CN"/>
        </w:rPr>
      </w:pPr>
      <w:r>
        <w:rPr>
          <w:rFonts w:hint="eastAsia" w:ascii="宋体" w:hAnsi="宋体" w:eastAsia="宋体" w:cs="宋体"/>
          <w:i w:val="0"/>
          <w:iCs w:val="0"/>
          <w:caps w:val="0"/>
          <w:color w:val="333333"/>
          <w:spacing w:val="0"/>
          <w:sz w:val="24"/>
          <w:szCs w:val="24"/>
          <w:highlight w:val="none"/>
          <w:shd w:val="clear" w:color="auto" w:fill="FFFFFF"/>
        </w:rPr>
        <w:t>用于扶持布亚乡布亚阿日希村、塔木其拉村、拜合提勒克巴扎村人居环境整治工作，确保人居环境整治水平再提一个档次，村容村貌得到有效提升，村庄规划管理工作，切实提升农村环境面貌，使困难群体基础条件得以改善，减轻其负担，更好的致力于乡村振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 </w:t>
      </w:r>
    </w:p>
    <w:p w14:paraId="309778D6">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b/>
          <w:bCs/>
          <w:sz w:val="24"/>
          <w:szCs w:val="24"/>
          <w:highlight w:val="none"/>
        </w:rPr>
        <w:t>主要内容及实施情况</w:t>
      </w:r>
    </w:p>
    <w:p w14:paraId="2D407529">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6718619B">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2024年农村综合改革（农村公益事业财政奖补）资金要求，我乡计划投资150万元，用于扶持布亚乡布亚阿日希村、塔木其拉村、拜合提勒克巴扎村人居环境整治工作，确保人居环境整治水平再提一个档次，村容村貌得到有效提升，村庄规划管理工作，切实提升农村环境面貌，使困难群体基础条件得以改善，减轻其负担，更好的致力于乡村振兴。</w:t>
      </w:r>
    </w:p>
    <w:p w14:paraId="2A054999">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2.实施情况</w:t>
      </w:r>
    </w:p>
    <w:p w14:paraId="049CF50E">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1）项目实施主体</w:t>
      </w:r>
    </w:p>
    <w:p w14:paraId="661D6C63">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本项目主管部门为洛浦县财政局，实施单位为洛浦县布亚乡人民政府。</w:t>
      </w:r>
    </w:p>
    <w:p w14:paraId="392E0FA3">
      <w:pPr>
        <w:pStyle w:val="45"/>
        <w:pageBreakBefore w:val="0"/>
        <w:widowControl w:val="0"/>
        <w:shd w:val="clear" w:color="auto" w:fill="auto"/>
        <w:kinsoku/>
        <w:wordWrap/>
        <w:overflowPunct/>
        <w:topLinePunct w:val="0"/>
        <w:autoSpaceDE/>
        <w:autoSpaceDN/>
        <w:bidi w:val="0"/>
        <w:adjustRightInd/>
        <w:snapToGrid/>
        <w:spacing w:line="360" w:lineRule="auto"/>
        <w:ind w:left="0" w:leftChars="0" w:right="0" w:firstLine="480" w:firstLineChars="200"/>
        <w:jc w:val="both"/>
        <w:textAlignment w:val="auto"/>
        <w:outlineLvl w:val="2"/>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（2）项目实施时间：</w:t>
      </w:r>
      <w:r>
        <w:rPr>
          <w:rFonts w:hint="eastAsia" w:ascii="宋体" w:hAnsi="宋体" w:eastAsia="宋体" w:cs="宋体"/>
          <w:b w:val="0"/>
          <w:bCs w:val="0"/>
          <w:sz w:val="24"/>
          <w:szCs w:val="24"/>
          <w:highlight w:val="none"/>
          <w:lang w:val="en-US" w:eastAsia="zh-CN"/>
        </w:rPr>
        <w:t>2024年1月-2024年12月</w:t>
      </w:r>
    </w:p>
    <w:p w14:paraId="41EF6185">
      <w:pPr>
        <w:pStyle w:val="45"/>
        <w:pageBreakBefore w:val="0"/>
        <w:widowControl w:val="0"/>
        <w:shd w:val="clear" w:color="auto" w:fill="auto"/>
        <w:kinsoku/>
        <w:wordWrap/>
        <w:overflowPunct/>
        <w:topLinePunct w:val="0"/>
        <w:autoSpaceDE/>
        <w:autoSpaceDN/>
        <w:bidi w:val="0"/>
        <w:adjustRightInd/>
        <w:snapToGrid/>
        <w:spacing w:line="360" w:lineRule="auto"/>
        <w:ind w:left="476" w:leftChars="170" w:firstLine="0" w:firstLineChars="0"/>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bCs/>
          <w:sz w:val="24"/>
          <w:szCs w:val="24"/>
          <w:highlight w:val="none"/>
          <w:lang w:val="en-US" w:eastAsia="zh-CN"/>
        </w:rPr>
        <w:t>（3）项目实施情况</w:t>
      </w:r>
      <w:r>
        <w:rPr>
          <w:rFonts w:ascii="宋体" w:hAnsi="宋体" w:eastAsia="宋体" w:cs="宋体"/>
          <w:sz w:val="24"/>
          <w:szCs w:val="24"/>
          <w:highlight w:val="none"/>
        </w:rPr>
        <w:br w:type="textWrapping"/>
      </w:r>
      <w:r>
        <w:rPr>
          <w:rFonts w:hint="default" w:ascii="宋体" w:hAnsi="宋体" w:eastAsia="宋体" w:cs="宋体"/>
          <w:b w:val="0"/>
          <w:bCs w:val="0"/>
          <w:color w:val="auto"/>
          <w:sz w:val="24"/>
          <w:szCs w:val="24"/>
          <w:highlight w:val="none"/>
          <w:lang w:val="en-US" w:eastAsia="zh-CN"/>
        </w:rPr>
        <w:t>本</w:t>
      </w:r>
      <w:r>
        <w:rPr>
          <w:rFonts w:hint="eastAsia" w:ascii="宋体" w:hAnsi="宋体" w:eastAsia="宋体" w:cs="宋体"/>
          <w:b w:val="0"/>
          <w:bCs w:val="0"/>
          <w:color w:val="auto"/>
          <w:sz w:val="24"/>
          <w:szCs w:val="24"/>
          <w:highlight w:val="none"/>
          <w:lang w:val="en-US" w:eastAsia="zh-CN"/>
        </w:rPr>
        <w:t>项目</w:t>
      </w:r>
      <w:r>
        <w:rPr>
          <w:rFonts w:hint="default" w:ascii="宋体" w:hAnsi="宋体" w:eastAsia="宋体" w:cs="宋体"/>
          <w:b w:val="0"/>
          <w:bCs w:val="0"/>
          <w:color w:val="auto"/>
          <w:sz w:val="24"/>
          <w:szCs w:val="24"/>
          <w:highlight w:val="none"/>
          <w:lang w:val="en-US" w:eastAsia="zh-CN"/>
        </w:rPr>
        <w:t>于202</w:t>
      </w:r>
      <w:r>
        <w:rPr>
          <w:rFonts w:hint="eastAsia" w:ascii="宋体" w:hAnsi="宋体" w:eastAsia="宋体" w:cs="宋体"/>
          <w:b w:val="0"/>
          <w:bCs w:val="0"/>
          <w:color w:val="auto"/>
          <w:sz w:val="24"/>
          <w:szCs w:val="24"/>
          <w:highlight w:val="none"/>
          <w:lang w:val="en-US" w:eastAsia="zh-CN"/>
        </w:rPr>
        <w:t>4</w:t>
      </w:r>
      <w:r>
        <w:rPr>
          <w:rFonts w:hint="default" w:ascii="宋体" w:hAnsi="宋体" w:eastAsia="宋体" w:cs="宋体"/>
          <w:b w:val="0"/>
          <w:bCs w:val="0"/>
          <w:color w:val="auto"/>
          <w:sz w:val="24"/>
          <w:szCs w:val="24"/>
          <w:highlight w:val="none"/>
          <w:lang w:val="en-US" w:eastAsia="zh-CN"/>
        </w:rPr>
        <w:t>年12月</w:t>
      </w:r>
      <w:r>
        <w:rPr>
          <w:rFonts w:hint="eastAsia" w:ascii="宋体" w:hAnsi="宋体" w:eastAsia="宋体" w:cs="宋体"/>
          <w:b w:val="0"/>
          <w:bCs w:val="0"/>
          <w:color w:val="auto"/>
          <w:sz w:val="24"/>
          <w:szCs w:val="24"/>
          <w:highlight w:val="none"/>
          <w:lang w:val="en-US" w:eastAsia="zh-CN"/>
        </w:rPr>
        <w:t>25</w:t>
      </w:r>
      <w:r>
        <w:rPr>
          <w:rFonts w:hint="default" w:ascii="宋体" w:hAnsi="宋体" w:eastAsia="宋体" w:cs="宋体"/>
          <w:b w:val="0"/>
          <w:bCs w:val="0"/>
          <w:color w:val="auto"/>
          <w:sz w:val="24"/>
          <w:szCs w:val="24"/>
          <w:highlight w:val="none"/>
          <w:lang w:val="en-US" w:eastAsia="zh-CN"/>
        </w:rPr>
        <w:t>日前全部完工。</w:t>
      </w:r>
    </w:p>
    <w:p w14:paraId="3C2394D6">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FF0000"/>
          <w:sz w:val="24"/>
          <w:szCs w:val="24"/>
          <w:highlight w:val="none"/>
          <w:lang w:val="en-US" w:eastAsia="zh-CN"/>
        </w:rPr>
      </w:pPr>
      <w:r>
        <w:rPr>
          <w:rFonts w:hint="eastAsia" w:ascii="宋体" w:hAnsi="宋体" w:eastAsia="宋体" w:cs="宋体"/>
          <w:i w:val="0"/>
          <w:iCs w:val="0"/>
          <w:caps w:val="0"/>
          <w:color w:val="333333"/>
          <w:spacing w:val="0"/>
          <w:sz w:val="24"/>
          <w:szCs w:val="24"/>
          <w:highlight w:val="none"/>
          <w:shd w:val="clear" w:color="auto" w:fill="FFFFFF"/>
        </w:rPr>
        <w:t>截止到自评节点，我单位已完成2024年农村综合改革（农村公益事业财政奖补）资金支付，项目资金已使用150万元，用于扶持布亚乡布亚阿日希村、塔木其拉村、拜合提勒克巴扎村人居环境整治工作，确保人居环境整治水平再提一个档次，通过项目实施，村容村貌得到有效提升，村庄规划管理工作，切实提升农村环境面貌，使困难群体基础条件得以改善，减轻其负担，更好的致力于乡村振兴。</w:t>
      </w:r>
    </w:p>
    <w:p w14:paraId="368FE6E3">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资金投入和使用情况</w:t>
      </w:r>
    </w:p>
    <w:p w14:paraId="581D9A30">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6C208AB2">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万元，资金来源为自治区专项资金，其中：财政资金</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780E3CA">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59178E19">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本项目实际支付资金140.7万元，预算执行率</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三个</w:t>
      </w:r>
      <w:bookmarkStart w:id="2" w:name="_Toc68364659"/>
      <w:r>
        <w:rPr>
          <w:rFonts w:hint="eastAsia" w:ascii="宋体" w:hAnsi="宋体" w:eastAsia="宋体" w:cs="宋体"/>
          <w:color w:val="auto"/>
          <w:sz w:val="24"/>
          <w:szCs w:val="24"/>
          <w:highlight w:val="none"/>
          <w:lang w:val="en-US" w:eastAsia="zh-CN"/>
        </w:rPr>
        <w:t>村安装路灯费用140.7万元。</w:t>
      </w:r>
    </w:p>
    <w:p w14:paraId="6C95BC14">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（二）项目绩效目标</w:t>
      </w:r>
      <w:bookmarkEnd w:id="2"/>
    </w:p>
    <w:p w14:paraId="4D44DC55">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项目绩效目标包括项目总</w:t>
      </w:r>
      <w:r>
        <w:rPr>
          <w:rFonts w:hint="eastAsia" w:ascii="宋体" w:hAnsi="宋体" w:eastAsia="宋体" w:cs="宋体"/>
          <w:sz w:val="24"/>
          <w:szCs w:val="24"/>
          <w:highlight w:val="none"/>
          <w:lang w:val="en-US" w:eastAsia="zh-CN"/>
        </w:rPr>
        <w:t>体</w:t>
      </w:r>
      <w:r>
        <w:rPr>
          <w:rFonts w:hint="eastAsia" w:ascii="宋体" w:hAnsi="宋体" w:eastAsia="宋体" w:cs="宋体"/>
          <w:sz w:val="24"/>
          <w:szCs w:val="24"/>
          <w:highlight w:val="none"/>
        </w:rPr>
        <w:t>目标和阶段性目标。</w:t>
      </w:r>
    </w:p>
    <w:p w14:paraId="03DB53D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1.总</w:t>
      </w:r>
      <w:r>
        <w:rPr>
          <w:rFonts w:hint="eastAsia" w:ascii="宋体" w:hAnsi="宋体" w:eastAsia="宋体" w:cs="宋体"/>
          <w:b/>
          <w:bCs/>
          <w:sz w:val="24"/>
          <w:szCs w:val="24"/>
          <w:highlight w:val="none"/>
          <w:lang w:val="en-US" w:eastAsia="zh-CN"/>
        </w:rPr>
        <w:t>体</w:t>
      </w:r>
      <w:r>
        <w:rPr>
          <w:rFonts w:hint="eastAsia" w:ascii="宋体" w:hAnsi="宋体" w:eastAsia="宋体" w:cs="宋体"/>
          <w:b/>
          <w:bCs/>
          <w:sz w:val="24"/>
          <w:szCs w:val="24"/>
          <w:highlight w:val="none"/>
        </w:rPr>
        <w:t>目标</w:t>
      </w:r>
    </w:p>
    <w:p w14:paraId="72461574">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2024年农村综合改革（农村公益事业财政奖补）资金要求，我乡计划投资150万元，用于扶持布亚乡布亚阿日希村、塔木其拉村、拜合提勒克巴扎村人居环境整治工作，确保人居环境整治水平再提一个档次，村容村貌得到有效提升，村庄规划管理工作，切实提升农村环境面貌，使困难群体基础条件得以改善，减轻其负担，更好的致力于乡村振兴。</w:t>
      </w:r>
    </w:p>
    <w:p w14:paraId="3C554A47">
      <w:pPr>
        <w:pStyle w:val="45"/>
        <w:pageBreakBefore w:val="0"/>
        <w:widowControl w:val="0"/>
        <w:numPr>
          <w:ilvl w:val="0"/>
          <w:numId w:val="2"/>
        </w:numPr>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阶段性目标</w:t>
      </w:r>
    </w:p>
    <w:p w14:paraId="1F31CD3A">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bookmarkStart w:id="3"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5840DAF7">
      <w:pPr>
        <w:pStyle w:val="45"/>
        <w:pageBreakBefore w:val="0"/>
        <w:widowControl w:val="0"/>
        <w:numPr>
          <w:ilvl w:val="0"/>
          <w:numId w:val="3"/>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6601DD0E">
      <w:pPr>
        <w:pStyle w:val="45"/>
        <w:pageBreakBefore w:val="0"/>
        <w:widowControl w:val="0"/>
        <w:numPr>
          <w:ilvl w:val="0"/>
          <w:numId w:val="4"/>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5191C26A">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指标1：采购太阳能路灯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720盏；</w:t>
      </w:r>
    </w:p>
    <w:p w14:paraId="5E4FC44E">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406079BA">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指标1：验收合格率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预期指标值为=100%；</w:t>
      </w:r>
    </w:p>
    <w:p w14:paraId="2082A5DD">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2F5E02D6">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指标1：项目完成时间</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预期指标值为2024年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w:t>
      </w:r>
    </w:p>
    <w:p w14:paraId="33876C80">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指标2：资金支付及时率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预期指标值为=100%；</w:t>
      </w:r>
    </w:p>
    <w:p w14:paraId="42EBD065">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260DE0E8">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79BCD5DF">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指标1：布亚阿日希村投资额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50万元；</w:t>
      </w:r>
    </w:p>
    <w:p w14:paraId="297CAD46">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：塔木其拉村投资额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50万元；</w:t>
      </w:r>
    </w:p>
    <w:p w14:paraId="3C50F398">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：拜合提勒克巴扎村投资额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50万元；</w:t>
      </w:r>
    </w:p>
    <w:p w14:paraId="4908223B">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070E7628">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指标1：提升村容村貌，村庄规划管理工作</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预期指标值为有效提升；</w:t>
      </w:r>
    </w:p>
    <w:p w14:paraId="17B08ECC">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）服务对象满意度指标：</w:t>
      </w:r>
    </w:p>
    <w:p w14:paraId="1461D8CC">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指标1：受益群众满意度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95%；</w:t>
      </w:r>
    </w:p>
    <w:p w14:paraId="4B70E12F">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黑体" w:hAnsi="黑体" w:eastAsia="黑体" w:cs="黑体"/>
          <w:b/>
          <w:bCs/>
          <w:sz w:val="24"/>
          <w:szCs w:val="24"/>
          <w:highlight w:val="none"/>
        </w:rPr>
      </w:pPr>
    </w:p>
    <w:p w14:paraId="598A240D">
      <w:pPr>
        <w:pStyle w:val="45"/>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二、绩效评价工作开展情况</w:t>
      </w:r>
      <w:bookmarkEnd w:id="3"/>
    </w:p>
    <w:p w14:paraId="790A28CB">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4" w:name="_Toc68364661"/>
      <w:r>
        <w:rPr>
          <w:rFonts w:hint="eastAsia" w:ascii="宋体" w:hAnsi="宋体" w:eastAsia="宋体" w:cs="宋体"/>
          <w:sz w:val="24"/>
          <w:szCs w:val="24"/>
          <w:highlight w:val="none"/>
        </w:rPr>
        <w:t>（一）绩效评价目的、对象和范围</w:t>
      </w:r>
      <w:bookmarkEnd w:id="4"/>
    </w:p>
    <w:p w14:paraId="1DDD6E3B">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 绩效评价目的</w:t>
      </w:r>
    </w:p>
    <w:p w14:paraId="5DCEA43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本次绩效评价遵循财政部《项目支出绩效评价管理办法》（财预〔2020〕10号）《自</w:t>
      </w:r>
      <w:r>
        <w:rPr>
          <w:rFonts w:hint="eastAsia" w:ascii="宋体" w:hAnsi="宋体" w:eastAsia="宋体" w:cs="宋体"/>
          <w:color w:val="auto"/>
          <w:sz w:val="24"/>
          <w:szCs w:val="24"/>
          <w:highlight w:val="none"/>
        </w:rPr>
        <w:t>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专项资金-和地财农【2023】68号：2024年自治区农村综合改革转移支付预算-农村公益事业财政奖补项目开展本次部门项目支出绩效评价工作。全面了解</w:t>
      </w:r>
      <w:r>
        <w:rPr>
          <w:rFonts w:hint="eastAsia" w:ascii="宋体" w:hAnsi="宋体" w:eastAsia="宋体" w:cs="宋体"/>
          <w:color w:val="auto"/>
          <w:sz w:val="24"/>
          <w:szCs w:val="24"/>
          <w:highlight w:val="none"/>
          <w:lang w:val="en-US" w:eastAsia="zh-CN"/>
        </w:rPr>
        <w:t>专项资金-和地财农【2023】68号：2024年自治区农村综合改革转移支付预算-农村公益事业财政奖补</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4EBD4CE3">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44AA3709">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1324D702">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sz w:val="24"/>
          <w:szCs w:val="24"/>
          <w:highlight w:val="none"/>
        </w:rPr>
        <w:t>财政预算资金使用的效率及效益。</w:t>
      </w:r>
    </w:p>
    <w:p w14:paraId="6109C9C6">
      <w:pPr>
        <w:pStyle w:val="45"/>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32B1AC6">
      <w:pPr>
        <w:pStyle w:val="45"/>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专项资金-和地财农【2023】68号：2024年自治区农村综合改革转移支付预算-农村公益事业财政奖补</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7961F9ED">
      <w:pPr>
        <w:pStyle w:val="45"/>
        <w:pageBreakBefore w:val="0"/>
        <w:widowControl w:val="0"/>
        <w:shd w:val="clear" w:color="auto" w:fill="auto"/>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54C5418B">
      <w:pPr>
        <w:pStyle w:val="45"/>
        <w:pageBreakBefore w:val="0"/>
        <w:widowControl w:val="0"/>
        <w:shd w:val="clear" w:color="auto" w:fill="auto"/>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专项资金-和地财农【2023】68号：2024年自治区农村综合改革转移支付预算-农村公益事业财政奖补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63A33A24">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（二）绩效评价原则、评价指标体系、评价方法评价标准</w:t>
      </w:r>
      <w:bookmarkEnd w:id="5"/>
    </w:p>
    <w:p w14:paraId="21C98426">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 绩效评价原则</w:t>
      </w:r>
    </w:p>
    <w:p w14:paraId="0C2B25B1">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FB6818F">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（1）科学公正。绩效评价应当运用科学合理的方法，按照规范的程序，对项目绩效进行客观、公正的反映。</w:t>
      </w:r>
    </w:p>
    <w:p w14:paraId="705F753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F91C04D">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（3）激励约束。绩效评价结果应与预算安排、政策调整、改进管理实质性挂钩，体现奖优罚劣和激励相容导向，有效要安排、低效要压减、无效要问责。</w:t>
      </w:r>
    </w:p>
    <w:p w14:paraId="606DF349">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（4）公开透明。绩效评价结果应依法依规公开，并自觉接受社会监督。</w:t>
      </w:r>
    </w:p>
    <w:p w14:paraId="3F4C56A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根据以上原则，绩效评价应遵循如下要求:</w:t>
      </w:r>
    </w:p>
    <w:p w14:paraId="2D9B91A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（1）在数据采集时，采取客观数据，主管部门审查、社会中介组织复查，与问卷调查相结合的形式，以保证各项指标的真实性。</w:t>
      </w:r>
    </w:p>
    <w:p w14:paraId="1B0B8D40">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（2）保证评价结果的真实性、公正性，提高评价报告的公信力。</w:t>
      </w:r>
    </w:p>
    <w:p w14:paraId="5C725628">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（3）绩</w:t>
      </w:r>
      <w:r>
        <w:rPr>
          <w:rFonts w:hint="eastAsia" w:ascii="宋体" w:hAnsi="宋体" w:eastAsia="宋体" w:cs="宋体"/>
          <w:sz w:val="24"/>
          <w:szCs w:val="24"/>
          <w:highlight w:val="none"/>
          <w:lang w:val="en-US" w:eastAsia="zh-CN"/>
        </w:rPr>
        <w:t>效</w:t>
      </w:r>
      <w:r>
        <w:rPr>
          <w:rFonts w:hint="eastAsia" w:ascii="宋体" w:hAnsi="宋体" w:eastAsia="宋体" w:cs="宋体"/>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B7FE240">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 绩效评价指标体系</w:t>
      </w:r>
    </w:p>
    <w:p w14:paraId="1FF94DD8">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个二级指标。项目绩效评价体系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详细指标体系见“附件1：项目支出绩效评价体系”。</w:t>
      </w:r>
    </w:p>
    <w:p w14:paraId="2A609268">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 绩效评价方法</w:t>
      </w:r>
    </w:p>
    <w:p w14:paraId="02431A4C">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313F0ED">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具体</w:t>
      </w:r>
      <w:r>
        <w:rPr>
          <w:rFonts w:hint="eastAsia" w:ascii="宋体" w:hAnsi="宋体" w:eastAsia="宋体" w:cs="宋体"/>
          <w:b w:val="0"/>
          <w:bCs/>
          <w:sz w:val="24"/>
          <w:szCs w:val="24"/>
          <w:highlight w:val="none"/>
        </w:rPr>
        <w:t>评价方法的应用如下:</w:t>
      </w:r>
    </w:p>
    <w:p w14:paraId="71A4ECF6">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立项依据充分性：比较法、文献法，查找法律法规政策以及规划，对比实际执行内容和政策支持内容是否匹配。</w:t>
      </w:r>
    </w:p>
    <w:p w14:paraId="16CA4B34">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立项程序规范性：比较法、文献法，查找相关项目设立的政策和文件要求，对比分析实际执行程序是否按照政策及文件要求执行，分析立项程序的规范性。</w:t>
      </w:r>
    </w:p>
    <w:p w14:paraId="502CB588">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绩效目标合理性：比较法，对比分析年初编制项目支出绩效目标表与项目内容的相关性、资金的匹配性等。</w:t>
      </w:r>
    </w:p>
    <w:p w14:paraId="4532A5BE">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绩效指标明确性：比较法，比较分析年初编制项目支出绩效目标表是否符合双七原则，是否可衡量。</w:t>
      </w:r>
    </w:p>
    <w:p w14:paraId="473C19DC">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预算编制科学性</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成本效益分析法</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分析在产出一定的情况下，成本取值是否有依据，是否经过询价，是否按照市场最低成本编制。</w:t>
      </w:r>
    </w:p>
    <w:p w14:paraId="35B515D4">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sz w:val="24"/>
          <w:szCs w:val="24"/>
          <w:highlight w:val="none"/>
          <w:lang w:eastAsia="zh-CN"/>
        </w:rPr>
        <w:t>。</w:t>
      </w:r>
    </w:p>
    <w:p w14:paraId="71ADA812">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资金到位率：比较法，资金到位率预期指标值应为100%，通过实际计算，分析实际完成值和预期指标值之间的差距和原因。</w:t>
      </w:r>
    </w:p>
    <w:p w14:paraId="7B8826D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预算执行率：比较法，预算执行率预期指标值应为100%，通过实际计算，分析实际完成值和预期指标值之间的差距和原因。</w:t>
      </w:r>
    </w:p>
    <w:p w14:paraId="35BFA317">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3C71270E">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64E683A1">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制度执行有效性：比较法，结合项目实际实施过程性文件，根据已建设的财务管理制度和项目管理制度综合分析制度执行的有效性。</w:t>
      </w:r>
    </w:p>
    <w:p w14:paraId="4652CEDD">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3836A02">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定性指标：公众评判法，通过问卷及抽样调查等方式评价本项目实施后社会公众对于其实施效果的满意程度。</w:t>
      </w:r>
    </w:p>
    <w:p w14:paraId="3FDCD359">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 绩效评价标准</w:t>
      </w:r>
    </w:p>
    <w:p w14:paraId="0FAAC924">
      <w:pPr>
        <w:pageBreakBefore w:val="0"/>
        <w:widowControl w:val="0"/>
        <w:shd w:val="clear" w:color="auto" w:fill="auto"/>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highlight w:val="none"/>
        </w:rPr>
      </w:pPr>
      <w:bookmarkStart w:id="6" w:name="_Toc68364663"/>
      <w:r>
        <w:rPr>
          <w:rFonts w:hint="eastAsia" w:ascii="宋体" w:hAnsi="宋体" w:eastAsia="宋体" w:cs="宋体"/>
          <w:sz w:val="24"/>
          <w:szCs w:val="24"/>
          <w:highlight w:val="none"/>
        </w:rPr>
        <w:t>绩效评价标准通常包括计划标准、行业标准、历史标准等，用于对绩效指标完成情况进行比较、分析、评</w:t>
      </w:r>
      <w:r>
        <w:rPr>
          <w:rFonts w:hint="eastAsia" w:ascii="宋体" w:hAnsi="宋体" w:eastAsia="宋体" w:cs="宋体"/>
          <w:color w:val="auto"/>
          <w:sz w:val="24"/>
          <w:szCs w:val="24"/>
          <w:highlight w:val="none"/>
        </w:rPr>
        <w:t>价。本次评价主要采用了</w:t>
      </w:r>
      <w:r>
        <w:rPr>
          <w:rFonts w:hint="eastAsia" w:ascii="宋体" w:hAnsi="宋体" w:eastAsia="宋体" w:cs="宋体"/>
          <w:color w:val="auto"/>
          <w:sz w:val="24"/>
          <w:szCs w:val="24"/>
          <w:highlight w:val="none"/>
          <w:lang w:val="en-US" w:eastAsia="zh-CN"/>
        </w:rPr>
        <w:t>计划</w:t>
      </w:r>
      <w:r>
        <w:rPr>
          <w:rFonts w:hint="eastAsia" w:ascii="宋体" w:hAnsi="宋体" w:eastAsia="宋体" w:cs="宋体"/>
          <w:color w:val="auto"/>
          <w:sz w:val="24"/>
          <w:szCs w:val="24"/>
          <w:highlight w:val="none"/>
        </w:rPr>
        <w:t>标准。</w:t>
      </w:r>
    </w:p>
    <w:p w14:paraId="6DB4C28D">
      <w:pPr>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highlight w:val="none"/>
        </w:rPr>
      </w:pPr>
      <w:bookmarkStart w:id="7" w:name="_Toc17882"/>
      <w:bookmarkStart w:id="8" w:name="_Toc31464"/>
      <w:r>
        <w:rPr>
          <w:rFonts w:hint="eastAsia" w:ascii="宋体" w:hAnsi="宋体" w:eastAsia="宋体" w:cs="宋体"/>
          <w:b/>
          <w:bCs/>
          <w:sz w:val="24"/>
          <w:szCs w:val="24"/>
          <w:highlight w:val="none"/>
        </w:rPr>
        <w:t>计划标准：</w:t>
      </w:r>
      <w:r>
        <w:rPr>
          <w:rFonts w:hint="eastAsia" w:ascii="宋体" w:hAnsi="宋体" w:eastAsia="宋体" w:cs="宋体"/>
          <w:sz w:val="24"/>
          <w:szCs w:val="24"/>
          <w:highlight w:val="none"/>
        </w:rPr>
        <w:t>指以预先制定的目标、计划、预算、定额等作为评价标准。</w:t>
      </w:r>
      <w:bookmarkEnd w:id="7"/>
      <w:bookmarkEnd w:id="8"/>
    </w:p>
    <w:p w14:paraId="3C2969FC">
      <w:pPr>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highlight w:val="none"/>
        </w:rPr>
      </w:pPr>
      <w:bookmarkStart w:id="9" w:name="_Toc5633"/>
      <w:bookmarkStart w:id="10" w:name="_Toc2318"/>
      <w:r>
        <w:rPr>
          <w:rFonts w:hint="eastAsia" w:ascii="宋体" w:hAnsi="宋体" w:eastAsia="宋体" w:cs="宋体"/>
          <w:b/>
          <w:bCs/>
          <w:sz w:val="24"/>
          <w:szCs w:val="24"/>
          <w:highlight w:val="none"/>
        </w:rPr>
        <w:t>行业标准：</w:t>
      </w:r>
      <w:r>
        <w:rPr>
          <w:rFonts w:hint="eastAsia" w:ascii="宋体" w:hAnsi="宋体" w:eastAsia="宋体" w:cs="宋体"/>
          <w:sz w:val="24"/>
          <w:szCs w:val="24"/>
          <w:highlight w:val="none"/>
        </w:rPr>
        <w:t>指参照国家公布的行业指标数据制定的评价标准。</w:t>
      </w:r>
      <w:bookmarkEnd w:id="9"/>
      <w:bookmarkEnd w:id="10"/>
    </w:p>
    <w:p w14:paraId="27E58F18">
      <w:pPr>
        <w:pageBreakBefore w:val="0"/>
        <w:widowControl w:val="0"/>
        <w:shd w:val="clear" w:color="auto" w:fill="auto"/>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highlight w:val="none"/>
        </w:rPr>
      </w:pPr>
      <w:bookmarkStart w:id="11" w:name="_Toc16028"/>
      <w:bookmarkStart w:id="12" w:name="_Toc430"/>
      <w:r>
        <w:rPr>
          <w:rFonts w:hint="eastAsia" w:ascii="宋体" w:hAnsi="宋体" w:eastAsia="宋体" w:cs="宋体"/>
          <w:b/>
          <w:bCs/>
          <w:sz w:val="24"/>
          <w:szCs w:val="24"/>
          <w:highlight w:val="none"/>
        </w:rPr>
        <w:t>历史标准：</w:t>
      </w:r>
      <w:r>
        <w:rPr>
          <w:rFonts w:hint="eastAsia" w:ascii="宋体" w:hAnsi="宋体" w:eastAsia="宋体" w:cs="宋体"/>
          <w:sz w:val="24"/>
          <w:szCs w:val="24"/>
          <w:highlight w:val="none"/>
        </w:rPr>
        <w:t>指参照历史数据制定的评价标准，为体现绩效改进的原则，在可实现的条件下应当确定相对较高的评价标准。</w:t>
      </w:r>
      <w:bookmarkEnd w:id="11"/>
      <w:bookmarkEnd w:id="12"/>
    </w:p>
    <w:p w14:paraId="0A6E5460">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（三）绩效评价工作过程</w:t>
      </w:r>
      <w:bookmarkEnd w:id="6"/>
    </w:p>
    <w:p w14:paraId="162F3B3C">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highlight w:val="none"/>
        </w:rPr>
      </w:pPr>
      <w:bookmarkStart w:id="13" w:name="_Toc68364664"/>
      <w:r>
        <w:rPr>
          <w:rFonts w:hint="eastAsia" w:ascii="宋体" w:hAnsi="宋体" w:eastAsia="宋体" w:cs="宋体"/>
          <w:sz w:val="24"/>
          <w:szCs w:val="24"/>
          <w:highlight w:val="none"/>
        </w:rPr>
        <w:t>1.前期准备</w:t>
      </w:r>
    </w:p>
    <w:p w14:paraId="02443996">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我</w:t>
      </w:r>
      <w:r>
        <w:rPr>
          <w:rFonts w:hint="eastAsia" w:ascii="宋体" w:hAnsi="宋体" w:eastAsia="宋体" w:cs="宋体"/>
          <w:color w:val="auto"/>
          <w:sz w:val="24"/>
          <w:szCs w:val="24"/>
          <w:highlight w:val="none"/>
        </w:rPr>
        <w:t>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日，确定绩</w:t>
      </w:r>
      <w:r>
        <w:rPr>
          <w:rFonts w:hint="eastAsia" w:ascii="宋体" w:hAnsi="宋体" w:eastAsia="宋体" w:cs="宋体"/>
          <w:sz w:val="24"/>
          <w:szCs w:val="24"/>
          <w:highlight w:val="none"/>
        </w:rPr>
        <w:t>效评价工作小组，正式开始前期准备工作，通过对评价对象前期调研，确定了评价的目的、方法以及评价的原则，根据项目的内容和特征制定了评价指标体系及评价标准。绩效评价工作小组人员名单及分工如</w:t>
      </w:r>
      <w:r>
        <w:rPr>
          <w:rFonts w:hint="eastAsia" w:ascii="宋体" w:hAnsi="宋体" w:eastAsia="宋体" w:cs="宋体"/>
          <w:color w:val="auto"/>
          <w:sz w:val="24"/>
          <w:szCs w:val="24"/>
          <w:highlight w:val="none"/>
        </w:rPr>
        <w:t>下：</w:t>
      </w:r>
    </w:p>
    <w:p w14:paraId="1A5D6FF1">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努尔艾力·米吉提</w:t>
      </w:r>
      <w:r>
        <w:rPr>
          <w:rFonts w:hint="eastAsia" w:ascii="宋体" w:hAnsi="宋体" w:eastAsia="宋体" w:cs="宋体"/>
          <w:color w:val="auto"/>
          <w:sz w:val="24"/>
          <w:szCs w:val="24"/>
          <w:highlight w:val="none"/>
        </w:rPr>
        <w:t>（评价小组组长）：主要负责主要负责</w:t>
      </w:r>
      <w:r>
        <w:rPr>
          <w:rFonts w:hint="eastAsia" w:ascii="宋体" w:hAnsi="宋体" w:eastAsia="宋体" w:cs="宋体"/>
          <w:color w:val="auto"/>
          <w:sz w:val="24"/>
          <w:szCs w:val="24"/>
          <w:highlight w:val="none"/>
          <w:lang w:val="en-US" w:eastAsia="zh-CN"/>
        </w:rPr>
        <w:t>全面负责评价小组的运作，制定评价计划和方案，把控整体进度和方向，与项目相关方沟通协调。对评价结果负责</w:t>
      </w:r>
      <w:r>
        <w:rPr>
          <w:rFonts w:hint="eastAsia" w:ascii="宋体" w:hAnsi="宋体" w:eastAsia="宋体" w:cs="宋体"/>
          <w:color w:val="auto"/>
          <w:sz w:val="24"/>
          <w:szCs w:val="24"/>
          <w:highlight w:val="none"/>
        </w:rPr>
        <w:t>;</w:t>
      </w:r>
    </w:p>
    <w:p w14:paraId="2BE43099">
      <w:pPr>
        <w:pageBreakBefore w:val="0"/>
        <w:widowControl w:val="0"/>
        <w:shd w:val="clear" w:color="auto" w:fill="auto"/>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刘文娟</w:t>
      </w:r>
      <w:r>
        <w:rPr>
          <w:rFonts w:hint="eastAsia" w:ascii="宋体" w:hAnsi="宋体" w:eastAsia="宋体" w:cs="宋体"/>
          <w:color w:val="auto"/>
          <w:sz w:val="24"/>
          <w:szCs w:val="24"/>
          <w:highlight w:val="none"/>
        </w:rPr>
        <w:t>（评价小组组员）：主要负责主要负责</w:t>
      </w:r>
      <w:r>
        <w:rPr>
          <w:rFonts w:hint="eastAsia" w:ascii="宋体" w:hAnsi="宋体" w:eastAsia="宋体" w:cs="宋体"/>
          <w:color w:val="auto"/>
          <w:sz w:val="24"/>
          <w:szCs w:val="24"/>
          <w:highlight w:val="none"/>
          <w:lang w:val="en-US" w:eastAsia="zh-CN"/>
        </w:rPr>
        <w:t>对项目的业务流程进行梳理和评估，分析业务流程的合理性、效率和效果。识别业务流程中存在的问题和改进点，提高优化业务流程的建议</w:t>
      </w:r>
      <w:r>
        <w:rPr>
          <w:rFonts w:hint="eastAsia" w:ascii="宋体" w:hAnsi="宋体" w:eastAsia="宋体" w:cs="宋体"/>
          <w:color w:val="auto"/>
          <w:sz w:val="24"/>
          <w:szCs w:val="24"/>
          <w:highlight w:val="none"/>
        </w:rPr>
        <w:t>;</w:t>
      </w:r>
    </w:p>
    <w:p w14:paraId="4BEE227D">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p>
    <w:p w14:paraId="3C48A788">
      <w:pPr>
        <w:pageBreakBefore w:val="0"/>
        <w:widowControl w:val="0"/>
        <w:shd w:val="clear" w:color="auto" w:fill="auto"/>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夏提拉努尔·吐尔洪</w:t>
      </w:r>
      <w:r>
        <w:rPr>
          <w:rFonts w:hint="eastAsia" w:ascii="宋体" w:hAnsi="宋体" w:eastAsia="宋体" w:cs="宋体"/>
          <w:color w:val="auto"/>
          <w:sz w:val="24"/>
          <w:szCs w:val="24"/>
          <w:highlight w:val="none"/>
        </w:rPr>
        <w:t>（评价小组组员）：主要负责主要负责</w:t>
      </w:r>
      <w:r>
        <w:rPr>
          <w:rFonts w:hint="eastAsia" w:ascii="宋体" w:hAnsi="宋体" w:eastAsia="宋体" w:cs="宋体"/>
          <w:color w:val="auto"/>
          <w:sz w:val="24"/>
          <w:szCs w:val="24"/>
          <w:highlight w:val="none"/>
          <w:lang w:eastAsia="zh-CN"/>
        </w:rPr>
        <w:t>负责项目的预算执行情况，提供财务方面的评价意见和建议，根据评价小组的工作成果，撰写项目绩效评价报告。</w:t>
      </w:r>
    </w:p>
    <w:p w14:paraId="233BC328">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2.组织实施</w:t>
      </w:r>
    </w:p>
    <w:p w14:paraId="7C95415C">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日，评价工作进</w:t>
      </w:r>
      <w:r>
        <w:rPr>
          <w:rFonts w:hint="eastAsia" w:ascii="宋体" w:hAnsi="宋体" w:eastAsia="宋体" w:cs="宋体"/>
          <w:sz w:val="24"/>
          <w:szCs w:val="24"/>
          <w:highlight w:val="none"/>
        </w:rPr>
        <w:t>入实施阶段。在数据采集方面，评价小组整理单位前期提交的资料，与项目实施负责人沟通，了解资金的内容、操作流程、管理机制、资金使用方向等情况并采集信息，了解项目设置背景及资金使用等情况。</w:t>
      </w:r>
    </w:p>
    <w:p w14:paraId="5416B006">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3.分析评价</w:t>
      </w:r>
    </w:p>
    <w:p w14:paraId="6A8DA749">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日，评价小组</w:t>
      </w:r>
      <w:r>
        <w:rPr>
          <w:rFonts w:hint="eastAsia" w:ascii="宋体" w:hAnsi="宋体" w:eastAsia="宋体" w:cs="宋体"/>
          <w:sz w:val="24"/>
          <w:szCs w:val="24"/>
          <w:highlight w:val="none"/>
        </w:rPr>
        <w:t>按照绩效评价的原则和规范，对取得的资料进行审查核实，对采集的数据进行分析，按照绩效评价指标评分表逐项进行打分、分析、汇总各方评价结果。</w:t>
      </w:r>
    </w:p>
    <w:p w14:paraId="281635A2">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4.撰写与提交评价报告</w:t>
      </w:r>
    </w:p>
    <w:p w14:paraId="23AE0773">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5F2D28D">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5.问题整改</w:t>
      </w:r>
    </w:p>
    <w:p w14:paraId="51F0942E">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0F96283">
      <w:pPr>
        <w:pStyle w:val="6"/>
        <w:pageBreakBefore w:val="0"/>
        <w:widowControl w:val="0"/>
        <w:shd w:val="clear" w:color="auto" w:fill="auto"/>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6.档案整理</w:t>
      </w:r>
    </w:p>
    <w:p w14:paraId="176F111A">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建立和落实档案管理制度，将项目相关资料存档，包括但不限于：评价项目基本情况和相关文件、评价实施方案、项目支付资料等相关档案。</w:t>
      </w:r>
    </w:p>
    <w:p w14:paraId="22BBE6BA">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p>
    <w:p w14:paraId="1EEEBD69">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三、综合评价情况及评价结论</w:t>
      </w:r>
      <w:bookmarkEnd w:id="13"/>
    </w:p>
    <w:p w14:paraId="5A102DE2">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4" w:name="_Toc68364665"/>
      <w:r>
        <w:rPr>
          <w:rFonts w:hint="eastAsia" w:ascii="宋体" w:hAnsi="宋体" w:eastAsia="宋体" w:cs="宋体"/>
          <w:sz w:val="24"/>
          <w:szCs w:val="24"/>
          <w:highlight w:val="none"/>
        </w:rPr>
        <w:t>（一）综合评价情况</w:t>
      </w:r>
      <w:bookmarkEnd w:id="14"/>
    </w:p>
    <w:p w14:paraId="1CB1E2F4">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bookmarkStart w:id="15" w:name="_Toc68364666"/>
      <w:r>
        <w:rPr>
          <w:rFonts w:hint="eastAsia" w:ascii="宋体" w:hAnsi="宋体" w:eastAsia="宋体" w:cs="宋体"/>
          <w:color w:val="auto"/>
          <w:sz w:val="24"/>
          <w:szCs w:val="24"/>
          <w:highlight w:val="none"/>
        </w:rPr>
        <w:t>通过实施专项资金-和地财农【2023】68号：2024年自治区农村综合改革转移支付预算-农村公益事业财政奖补项目确保人居环境整治水平再提一个档次，村容村貌得到有效提升，村庄规划管理工作，切实提升农村环境面貌，使困难群体基础条件得以改善，减轻其负担，更好的致力于乡村振兴。项目实施主要通过项目决策、项目过程、项目产出以及项目效益等方面进行评价，其中：</w:t>
      </w:r>
    </w:p>
    <w:p w14:paraId="335D85DA">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i w:val="0"/>
          <w:iCs w:val="0"/>
          <w:caps w:val="0"/>
          <w:color w:val="auto"/>
          <w:spacing w:val="0"/>
          <w:sz w:val="21"/>
          <w:szCs w:val="21"/>
          <w:highlight w:val="none"/>
          <w:shd w:val="clear" w:color="auto" w:fill="FFFFFF"/>
        </w:rPr>
        <w:t>专项资金-和地财农【2023】68号</w:t>
      </w:r>
      <w:r>
        <w:rPr>
          <w:rFonts w:hint="eastAsia" w:ascii="宋体" w:hAnsi="宋体" w:eastAsia="宋体" w:cs="宋体"/>
          <w:color w:val="auto"/>
          <w:sz w:val="24"/>
          <w:szCs w:val="24"/>
          <w:highlight w:val="none"/>
        </w:rPr>
        <w:t>文件立项，项目实施符合</w:t>
      </w:r>
      <w:r>
        <w:rPr>
          <w:rFonts w:hint="eastAsia" w:ascii="宋体" w:hAnsi="宋体" w:eastAsia="宋体" w:cs="宋体"/>
          <w:i w:val="0"/>
          <w:iCs w:val="0"/>
          <w:caps w:val="0"/>
          <w:color w:val="auto"/>
          <w:spacing w:val="0"/>
          <w:sz w:val="21"/>
          <w:szCs w:val="21"/>
          <w:highlight w:val="none"/>
          <w:shd w:val="clear" w:color="auto" w:fill="FFFFFF"/>
        </w:rPr>
        <w:t>专项资金-和地财农【2023】68号</w:t>
      </w:r>
      <w:r>
        <w:rPr>
          <w:rFonts w:hint="eastAsia" w:ascii="宋体" w:hAnsi="宋体" w:eastAsia="宋体" w:cs="宋体"/>
          <w:color w:val="auto"/>
          <w:sz w:val="24"/>
          <w:szCs w:val="24"/>
          <w:highlight w:val="none"/>
        </w:rPr>
        <w:t xml:space="preserve">要求，项目立项依据充分，立项程序规范。 </w:t>
      </w:r>
    </w:p>
    <w:p w14:paraId="089F3A26">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项目过程：专项资金-和地财农【2023】68号：2024年自治区农村综合改革转移支付预算-农村公益事业财政奖补项目预算安排</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140.7</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70AB1457">
      <w:pPr>
        <w:pageBreakBefore w:val="0"/>
        <w:widowControl w:val="0"/>
        <w:shd w:val="clear" w:color="auto" w:fill="auto"/>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项目产出：</w:t>
      </w:r>
      <w:r>
        <w:rPr>
          <w:rFonts w:hint="eastAsia" w:ascii="宋体" w:hAnsi="宋体" w:eastAsia="宋体" w:cs="宋体"/>
          <w:i w:val="0"/>
          <w:iCs w:val="0"/>
          <w:caps w:val="0"/>
          <w:color w:val="auto"/>
          <w:spacing w:val="0"/>
          <w:sz w:val="24"/>
          <w:szCs w:val="24"/>
          <w:highlight w:val="none"/>
          <w:shd w:val="clear" w:color="auto" w:fill="FFFFFF"/>
        </w:rPr>
        <w:t>我单位已完成2024年农村综合改革（农村公益事业财政奖补）资金支付，项目资金已使用</w:t>
      </w:r>
      <w:r>
        <w:rPr>
          <w:rFonts w:hint="eastAsia" w:ascii="宋体" w:hAnsi="宋体" w:eastAsia="宋体" w:cs="宋体"/>
          <w:i w:val="0"/>
          <w:iCs w:val="0"/>
          <w:caps w:val="0"/>
          <w:color w:val="auto"/>
          <w:spacing w:val="0"/>
          <w:sz w:val="24"/>
          <w:szCs w:val="24"/>
          <w:highlight w:val="none"/>
          <w:shd w:val="clear" w:color="auto" w:fill="FFFFFF"/>
          <w:lang w:val="en-US" w:eastAsia="zh-CN"/>
        </w:rPr>
        <w:t>140.7</w:t>
      </w:r>
      <w:r>
        <w:rPr>
          <w:rFonts w:hint="eastAsia" w:ascii="宋体" w:hAnsi="宋体" w:eastAsia="宋体" w:cs="宋体"/>
          <w:i w:val="0"/>
          <w:iCs w:val="0"/>
          <w:caps w:val="0"/>
          <w:color w:val="auto"/>
          <w:spacing w:val="0"/>
          <w:sz w:val="24"/>
          <w:szCs w:val="24"/>
          <w:highlight w:val="none"/>
          <w:shd w:val="clear" w:color="auto" w:fill="FFFFFF"/>
        </w:rPr>
        <w:t>万元，</w:t>
      </w:r>
      <w:r>
        <w:rPr>
          <w:rFonts w:hint="eastAsia" w:ascii="宋体" w:hAnsi="宋体" w:eastAsia="宋体" w:cs="宋体"/>
          <w:i w:val="0"/>
          <w:iCs w:val="0"/>
          <w:caps w:val="0"/>
          <w:color w:val="auto"/>
          <w:spacing w:val="0"/>
          <w:sz w:val="24"/>
          <w:szCs w:val="24"/>
          <w:highlight w:val="none"/>
          <w:shd w:val="clear" w:color="auto" w:fill="FFFFFF"/>
          <w:lang w:val="en-US" w:eastAsia="zh-CN"/>
        </w:rPr>
        <w:t>已安装路灯720盏。</w:t>
      </w:r>
      <w:r>
        <w:rPr>
          <w:rFonts w:hint="eastAsia" w:ascii="宋体" w:hAnsi="宋体" w:eastAsia="宋体" w:cs="宋体"/>
          <w:i w:val="0"/>
          <w:iCs w:val="0"/>
          <w:caps w:val="0"/>
          <w:color w:val="auto"/>
          <w:spacing w:val="0"/>
          <w:sz w:val="24"/>
          <w:szCs w:val="24"/>
          <w:highlight w:val="none"/>
          <w:shd w:val="clear" w:color="auto" w:fill="FFFFFF"/>
        </w:rPr>
        <w:t>用于扶持布亚乡布亚阿日希村、塔木其拉村、拜合提勒克巴扎村人居环境整治工作</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color w:val="auto"/>
          <w:sz w:val="24"/>
          <w:szCs w:val="24"/>
          <w:highlight w:val="none"/>
          <w:lang w:val="en-US" w:eastAsia="zh-CN"/>
        </w:rPr>
        <w:t>通过定期检查和观众反馈，经统计群众满意度达到95%，达到预期质量目标。</w:t>
      </w:r>
    </w:p>
    <w:p w14:paraId="7DF7A1AF">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项目效益：通过项目实施，村容村貌得到有效提升，村庄规划管理工作，切实提升农村环境面貌，使困难群体基础条件得以改善，减轻其负担，更好的致力于乡村振兴。</w:t>
      </w:r>
    </w:p>
    <w:p w14:paraId="0E437A90">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（二）综合评价结论</w:t>
      </w:r>
    </w:p>
    <w:p w14:paraId="295ED3EC">
      <w:pPr>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专项资金-和地财农【2023】68号：2024年自治区农村综合改革转移支付预算-农村公益事业财政奖补项目进行客观评价，最终评分结果：评价总分</w:t>
      </w:r>
      <w:r>
        <w:rPr>
          <w:rFonts w:hint="eastAsia" w:ascii="宋体" w:hAnsi="宋体" w:eastAsia="宋体" w:cs="宋体"/>
          <w:color w:val="auto"/>
          <w:sz w:val="24"/>
          <w:szCs w:val="24"/>
          <w:highlight w:val="none"/>
          <w:lang w:val="en-US" w:eastAsia="zh-CN"/>
        </w:rPr>
        <w:t>94.256</w:t>
      </w:r>
      <w:r>
        <w:rPr>
          <w:rFonts w:hint="eastAsia" w:ascii="宋体" w:hAnsi="宋体" w:eastAsia="宋体" w:cs="宋体"/>
          <w:color w:val="auto"/>
          <w:sz w:val="24"/>
          <w:szCs w:val="24"/>
          <w:highlight w:val="none"/>
        </w:rPr>
        <w:t>分，绩效等级为“优”。</w:t>
      </w:r>
      <w:bookmarkEnd w:id="15"/>
      <w:bookmarkStart w:id="16" w:name="_Toc68364667"/>
    </w:p>
    <w:p w14:paraId="5408DE07">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四、绩效评价指标分析</w:t>
      </w:r>
      <w:bookmarkEnd w:id="16"/>
    </w:p>
    <w:p w14:paraId="540FC59A">
      <w:pPr>
        <w:pStyle w:val="48"/>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7" w:name="_Toc68364668"/>
      <w:r>
        <w:rPr>
          <w:rFonts w:hint="eastAsia" w:ascii="宋体" w:hAnsi="宋体" w:eastAsia="宋体" w:cs="宋体"/>
          <w:sz w:val="24"/>
          <w:szCs w:val="24"/>
          <w:highlight w:val="none"/>
        </w:rPr>
        <w:t>（一）项目决策情况</w:t>
      </w:r>
    </w:p>
    <w:p w14:paraId="71C036BE">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项目决策类指标包括项目立项、绩效目标和资金投入三方面的内容，由6个三级指标构成，权重</w:t>
      </w:r>
      <w:r>
        <w:rPr>
          <w:rFonts w:hint="eastAsia" w:ascii="宋体" w:hAnsi="宋体" w:eastAsia="宋体" w:cs="宋体"/>
          <w:color w:val="auto"/>
          <w:sz w:val="24"/>
          <w:szCs w:val="24"/>
          <w:highlight w:val="none"/>
        </w:rPr>
        <w:t>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EAEA7ED">
      <w:pPr>
        <w:keepNext w:val="0"/>
        <w:keepLines w:val="0"/>
        <w:pageBreakBefore w:val="0"/>
        <w:widowControl w:val="0"/>
        <w:numPr>
          <w:ilvl w:val="0"/>
          <w:numId w:val="5"/>
        </w:numPr>
        <w:shd w:val="clear" w:color="auto" w:fill="auto"/>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立项依据充分性：</w:t>
      </w:r>
    </w:p>
    <w:p w14:paraId="47C721DC">
      <w:pPr>
        <w:keepNext w:val="0"/>
        <w:keepLines w:val="0"/>
        <w:pageBreakBefore w:val="0"/>
        <w:widowControl w:val="0"/>
        <w:numPr>
          <w:ilvl w:val="0"/>
          <w:numId w:val="0"/>
        </w:numPr>
        <w:shd w:val="clear" w:color="auto" w:fill="auto"/>
        <w:kinsoku/>
        <w:wordWrap/>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rPr>
        <w:t>本项目立项符</w:t>
      </w:r>
      <w:r>
        <w:rPr>
          <w:rFonts w:hint="eastAsia" w:ascii="宋体" w:hAnsi="宋体" w:eastAsia="宋体" w:cs="宋体"/>
          <w:color w:val="auto"/>
          <w:sz w:val="24"/>
          <w:szCs w:val="24"/>
          <w:highlight w:val="none"/>
        </w:rPr>
        <w:t>合</w:t>
      </w:r>
      <w:r>
        <w:rPr>
          <w:rFonts w:hint="eastAsia" w:ascii="宋体" w:hAnsi="宋体" w:eastAsia="宋体" w:cs="宋体"/>
          <w:color w:val="auto"/>
          <w:sz w:val="24"/>
          <w:szCs w:val="24"/>
          <w:highlight w:val="none"/>
          <w:lang w:val="en-US" w:eastAsia="zh-CN"/>
        </w:rPr>
        <w:t>财政部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关于提前下达2024年中央农村综合改革转移支付预算的通知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新财农【2023】89号）</w:t>
      </w:r>
      <w:r>
        <w:rPr>
          <w:rFonts w:hint="eastAsia" w:ascii="宋体" w:hAnsi="宋体" w:eastAsia="宋体" w:cs="宋体"/>
          <w:color w:val="auto"/>
          <w:sz w:val="24"/>
          <w:szCs w:val="24"/>
          <w:highlight w:val="none"/>
        </w:rPr>
        <w:t>中：“</w:t>
      </w:r>
      <w:r>
        <w:rPr>
          <w:rFonts w:hint="eastAsia" w:ascii="宋体" w:hAnsi="宋体" w:eastAsia="宋体" w:cs="宋体"/>
          <w:color w:val="auto"/>
          <w:sz w:val="24"/>
          <w:szCs w:val="24"/>
          <w:highlight w:val="none"/>
          <w:lang w:val="en-US" w:eastAsia="zh-CN"/>
        </w:rPr>
        <w:t>资金使用范围</w:t>
      </w: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关于提前下达2024年自治区农村综合改革转移支付预算的通知</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新财农【2023】105号）</w:t>
      </w:r>
      <w:r>
        <w:rPr>
          <w:rFonts w:hint="eastAsia" w:ascii="宋体" w:hAnsi="宋体" w:eastAsia="宋体" w:cs="宋体"/>
          <w:color w:val="auto"/>
          <w:sz w:val="24"/>
          <w:szCs w:val="24"/>
          <w:highlight w:val="none"/>
        </w:rPr>
        <w:t>中：“</w:t>
      </w:r>
      <w:r>
        <w:rPr>
          <w:rFonts w:hint="eastAsia" w:ascii="宋体" w:hAnsi="宋体" w:eastAsia="宋体" w:cs="宋体"/>
          <w:color w:val="auto"/>
          <w:sz w:val="24"/>
          <w:szCs w:val="24"/>
          <w:highlight w:val="none"/>
          <w:lang w:val="en-US" w:eastAsia="zh-CN"/>
        </w:rPr>
        <w:t>资金使用范围</w:t>
      </w:r>
      <w:r>
        <w:rPr>
          <w:rFonts w:hint="eastAsia" w:ascii="宋体" w:hAnsi="宋体" w:eastAsia="宋体" w:cs="宋体"/>
          <w:color w:val="auto"/>
          <w:sz w:val="24"/>
          <w:szCs w:val="24"/>
          <w:highlight w:val="none"/>
        </w:rPr>
        <w:t>”内容，符合行业发展规划和政策要求；根据《财政资金直接支付申请书》，本项目资金性质为“公共财政预算”功能分类为“[2130701]对村级公益事业建设的补助”经济分类为“[30905]基础设施建设”属于公共财政支持范围，符合中央、地方事权支出责任划分原则；经检查我单位财政应用平台指标，本项目不存在重复。</w:t>
      </w:r>
    </w:p>
    <w:p w14:paraId="08617550">
      <w:pPr>
        <w:keepNext w:val="0"/>
        <w:keepLines w:val="0"/>
        <w:pageBreakBefore w:val="0"/>
        <w:widowControl w:val="0"/>
        <w:shd w:val="clear" w:color="auto" w:fill="auto"/>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298B52A4">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71C1B1DC">
      <w:pPr>
        <w:keepNext w:val="0"/>
        <w:keepLines w:val="0"/>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本项目专项资金-和地财农【2023】68号：2024年自治区农村综合改革转移支付预算-农村公益事业财政奖补，项目立项过程中产生的文件均符合相关要求。本项目为</w:t>
      </w:r>
      <w:r>
        <w:rPr>
          <w:rFonts w:hint="eastAsia" w:ascii="宋体" w:hAnsi="宋体" w:eastAsia="宋体" w:cs="宋体"/>
          <w:color w:val="auto"/>
          <w:sz w:val="24"/>
          <w:szCs w:val="24"/>
          <w:highlight w:val="none"/>
          <w:lang w:eastAsia="zh-CN"/>
        </w:rPr>
        <w:t>特定目标</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val="en-US" w:eastAsia="zh-CN"/>
        </w:rPr>
        <w:t>.</w:t>
      </w:r>
    </w:p>
    <w:p w14:paraId="4BAEF69E">
      <w:pPr>
        <w:keepNext w:val="0"/>
        <w:keepLines w:val="0"/>
        <w:pageBreakBefore w:val="0"/>
        <w:widowControl w:val="0"/>
        <w:shd w:val="clear" w:color="auto" w:fill="auto"/>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sz w:val="24"/>
          <w:szCs w:val="24"/>
          <w:highlight w:val="none"/>
        </w:rPr>
        <w:t>（3）绩效目标合理性</w:t>
      </w:r>
      <w:r>
        <w:rPr>
          <w:rFonts w:hint="eastAsia" w:ascii="宋体" w:hAnsi="宋体" w:eastAsia="宋体" w:cs="宋体"/>
          <w:sz w:val="24"/>
          <w:szCs w:val="24"/>
          <w:highlight w:val="none"/>
        </w:rPr>
        <w:t>：</w:t>
      </w:r>
    </w:p>
    <w:p w14:paraId="609A6F62">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本次2024年农村综合改革（农村公益事业财政奖补）资金要求，我乡计划投资150万元，用于扶持布亚乡布亚阿日希村、塔木其拉村、拜合提勒克巴扎村人居环境整治工作，确保人居环境整治水平再提一个档次，村容村貌得到有效提升，村庄规划管理工作，切实提升农村环境面貌，使困难群体基础条件得以改善，减轻其负担，更好的致力于乡村振兴。</w:t>
      </w:r>
    </w:p>
    <w:p w14:paraId="6A588C92">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②该项目实际工作内容为：我单位已完成2024年农村综合改革（农村公益事业财政奖补）资金支付，项目资金已使用</w:t>
      </w:r>
      <w:r>
        <w:rPr>
          <w:rFonts w:hint="eastAsia" w:ascii="宋体" w:hAnsi="宋体" w:eastAsia="宋体" w:cs="宋体"/>
          <w:color w:val="auto"/>
          <w:sz w:val="24"/>
          <w:szCs w:val="24"/>
          <w:highlight w:val="none"/>
          <w:lang w:val="en-US" w:eastAsia="zh-CN"/>
        </w:rPr>
        <w:t>140.7</w:t>
      </w:r>
      <w:r>
        <w:rPr>
          <w:rFonts w:hint="eastAsia" w:ascii="宋体" w:hAnsi="宋体" w:eastAsia="宋体" w:cs="宋体"/>
          <w:color w:val="auto"/>
          <w:sz w:val="24"/>
          <w:szCs w:val="24"/>
          <w:highlight w:val="none"/>
        </w:rPr>
        <w:t>万元，用于扶持布亚乡布亚阿日希村、塔木其拉村、拜合提勒克巴扎村人居环境整治工作，确保人居环境整治水平再提一个档次，通过项目实施，村容村貌得到有效提升，村庄规划管理工作，切实提升农村环境面貌，使困难群体基础条件得以改善，减轻其负担，更好的致力于乡村振兴。绩效目标与实际工作内容一致，两者具有相关性。</w:t>
      </w:r>
    </w:p>
    <w:p w14:paraId="04A56F4C">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效益，预期产出效益和效果是否符合正常的业绩水平。</w:t>
      </w:r>
    </w:p>
    <w:p w14:paraId="234E68C2">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万元，预算确定的项目资金与预算确定的项目投资额相匹配。</w:t>
      </w:r>
    </w:p>
    <w:p w14:paraId="0059BDF3">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3B3DEEA">
      <w:pPr>
        <w:pageBreakBefore w:val="0"/>
        <w:widowControl w:val="0"/>
        <w:numPr>
          <w:ilvl w:val="0"/>
          <w:numId w:val="0"/>
        </w:numPr>
        <w:shd w:val="clear" w:color="auto" w:fill="auto"/>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3A265C08">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该《项目绩效目标申报表》中，数量指标指标值为采购太阳能路灯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720盏，三级指标的年度指标值与年度绩效目标中任务数一致，已设置时效指标“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项目完成时间=2024年10月、资金支付及时率=100%</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A430C09">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本项目专项资金-和地财农【2023】68号：2024年自治区农村综合改革转移支付预算-农村公益事业财政奖补，即预算编制较科学且经过论证；</w:t>
      </w:r>
    </w:p>
    <w:p w14:paraId="4D82FD92">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采购并安装路灯720盏费用150万元</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4A44CBD">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专项资金-和地财农【2023】68号：2024年自治区农村综合改革转移支付预算-农村公益事业财政奖补项目资金的请示》和《专项资金-和地财农【2023】68号：2024年自治区农村综合改革转移支付预算-农村公益事业财政奖补项目实施方案》为依据进行资金分配，预算资金分配依据充分。根据和地财农【2023】68号</w:t>
      </w:r>
      <w:r>
        <w:rPr>
          <w:rFonts w:hint="eastAsia" w:ascii="宋体" w:hAnsi="宋体" w:eastAsia="宋体" w:cs="宋体"/>
          <w:color w:val="auto"/>
          <w:sz w:val="24"/>
          <w:szCs w:val="24"/>
          <w:highlight w:val="none"/>
          <w:lang w:val="en-US" w:eastAsia="zh-CN"/>
        </w:rPr>
        <w:t>文件</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42613F73">
      <w:pPr>
        <w:pStyle w:val="48"/>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38238520">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项目过程类指标包括资金管理和组织实施两方面的内容，由</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11.876</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B43E523">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150</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150</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150</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20221D1C">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140.7</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该指标扣</w:t>
      </w:r>
      <w:r>
        <w:rPr>
          <w:rFonts w:hint="eastAsia" w:ascii="宋体" w:hAnsi="宋体" w:eastAsia="宋体" w:cs="宋体"/>
          <w:color w:val="auto"/>
          <w:sz w:val="24"/>
          <w:szCs w:val="24"/>
          <w:highlight w:val="none"/>
          <w:lang w:val="en-US" w:eastAsia="zh-CN"/>
        </w:rPr>
        <w:t>0.02</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1.88</w:t>
      </w:r>
      <w:r>
        <w:rPr>
          <w:rFonts w:hint="eastAsia" w:ascii="宋体" w:hAnsi="宋体" w:eastAsia="宋体" w:cs="宋体"/>
          <w:color w:val="auto"/>
          <w:sz w:val="24"/>
          <w:szCs w:val="24"/>
          <w:highlight w:val="none"/>
        </w:rPr>
        <w:t>分。</w:t>
      </w:r>
    </w:p>
    <w:p w14:paraId="5166D631">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val="en-US" w:eastAsia="zh-CN"/>
        </w:rPr>
        <w:t>洛浦县财政局</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6FC31C7">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1207EB23">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洛浦县布亚乡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E1E9C06">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180EAB69">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7B136798">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B1D831B">
      <w:pPr>
        <w:pStyle w:val="48"/>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21E282C">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34.38</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85.95</w:t>
      </w:r>
      <w:r>
        <w:rPr>
          <w:rFonts w:hint="eastAsia" w:ascii="宋体" w:hAnsi="宋体" w:eastAsia="宋体" w:cs="宋体"/>
          <w:color w:val="auto"/>
          <w:sz w:val="24"/>
          <w:szCs w:val="24"/>
          <w:highlight w:val="none"/>
        </w:rPr>
        <w:t>%。</w:t>
      </w:r>
    </w:p>
    <w:p w14:paraId="39770F66">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44C51815">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预期指标</w:t>
      </w:r>
      <w:r>
        <w:rPr>
          <w:rFonts w:hint="eastAsia" w:ascii="宋体" w:hAnsi="宋体" w:eastAsia="宋体" w:cs="宋体"/>
          <w:color w:val="auto"/>
          <w:sz w:val="24"/>
          <w:szCs w:val="24"/>
          <w:highlight w:val="none"/>
        </w:rPr>
        <w:t>采购太阳能路灯指标，预期指标值为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720盏，实际完成值为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720盏，指标完成率为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176101DB">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6DBA609E">
      <w:pPr>
        <w:pageBreakBefore w:val="0"/>
        <w:widowControl w:val="0"/>
        <w:numPr>
          <w:ilvl w:val="0"/>
          <w:numId w:val="6"/>
        </w:numPr>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2B598D5C">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预期指标</w:t>
      </w:r>
      <w:r>
        <w:rPr>
          <w:rFonts w:hint="eastAsia" w:ascii="宋体" w:hAnsi="宋体" w:eastAsia="宋体" w:cs="宋体"/>
          <w:color w:val="auto"/>
          <w:sz w:val="24"/>
          <w:szCs w:val="24"/>
          <w:highlight w:val="none"/>
        </w:rPr>
        <w:t>验收合格率指标，预期指标值为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E5FAA7D">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331C733D">
      <w:pPr>
        <w:pStyle w:val="10"/>
        <w:pageBreakBefore w:val="0"/>
        <w:widowControl w:val="0"/>
        <w:numPr>
          <w:ilvl w:val="0"/>
          <w:numId w:val="6"/>
        </w:numPr>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39722240">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bCs/>
          <w:color w:val="auto"/>
          <w:sz w:val="24"/>
          <w:szCs w:val="24"/>
          <w:highlight w:val="none"/>
          <w:lang w:val="en-US" w:eastAsia="zh-CN"/>
        </w:rPr>
        <w:t>预期指标</w:t>
      </w:r>
      <w:r>
        <w:rPr>
          <w:rFonts w:hint="eastAsia" w:ascii="宋体" w:hAnsi="宋体" w:eastAsia="宋体" w:cs="宋体"/>
          <w:b w:val="0"/>
          <w:color w:val="auto"/>
          <w:sz w:val="24"/>
          <w:szCs w:val="24"/>
          <w:highlight w:val="none"/>
        </w:rPr>
        <w:t>项目完成时间指标，预期指标值为</w:t>
      </w:r>
      <w:r>
        <w:rPr>
          <w:rFonts w:hint="eastAsia" w:ascii="宋体" w:hAnsi="宋体" w:eastAsia="宋体" w:cs="宋体"/>
          <w:b w:val="0"/>
          <w:color w:val="auto"/>
          <w:sz w:val="24"/>
          <w:szCs w:val="24"/>
          <w:highlight w:val="none"/>
          <w:lang w:val="en-US" w:eastAsia="zh-CN"/>
        </w:rPr>
        <w:t>2024年10月</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2024年10月</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2024年12月</w:t>
      </w:r>
      <w:r>
        <w:rPr>
          <w:rFonts w:hint="eastAsia" w:ascii="宋体" w:hAnsi="宋体" w:eastAsia="宋体" w:cs="宋体"/>
          <w:b w:val="0"/>
          <w:color w:val="auto"/>
          <w:sz w:val="24"/>
          <w:szCs w:val="24"/>
          <w:highlight w:val="none"/>
        </w:rPr>
        <w:t>，与预期目标</w:t>
      </w:r>
      <w:r>
        <w:rPr>
          <w:rFonts w:hint="eastAsia" w:ascii="宋体" w:hAnsi="宋体" w:eastAsia="宋体" w:cs="宋体"/>
          <w:b w:val="0"/>
          <w:color w:val="auto"/>
          <w:sz w:val="24"/>
          <w:szCs w:val="24"/>
          <w:highlight w:val="none"/>
          <w:lang w:val="en-US" w:eastAsia="zh-CN"/>
        </w:rPr>
        <w:t>不一致</w:t>
      </w:r>
      <w:r>
        <w:rPr>
          <w:rFonts w:hint="eastAsia" w:ascii="宋体" w:hAnsi="宋体" w:eastAsia="宋体" w:cs="宋体"/>
          <w:b w:val="0"/>
          <w:color w:val="auto"/>
          <w:sz w:val="24"/>
          <w:szCs w:val="24"/>
          <w:highlight w:val="none"/>
        </w:rPr>
        <w:t>，根据评分标准，该指标扣分</w:t>
      </w:r>
      <w:r>
        <w:rPr>
          <w:rFonts w:hint="eastAsia" w:ascii="宋体" w:hAnsi="宋体" w:eastAsia="宋体" w:cs="宋体"/>
          <w:b w:val="0"/>
          <w:color w:val="auto"/>
          <w:sz w:val="24"/>
          <w:szCs w:val="24"/>
          <w:highlight w:val="none"/>
          <w:lang w:val="en-US" w:eastAsia="zh-CN"/>
        </w:rPr>
        <w:t>5分</w:t>
      </w:r>
      <w:r>
        <w:rPr>
          <w:rFonts w:hint="eastAsia" w:ascii="宋体" w:hAnsi="宋体" w:eastAsia="宋体" w:cs="宋体"/>
          <w:b w:val="0"/>
          <w:color w:val="auto"/>
          <w:sz w:val="24"/>
          <w:szCs w:val="24"/>
          <w:highlight w:val="none"/>
        </w:rPr>
        <w:t>，</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0</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2314F27D">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lang w:val="en-US" w:eastAsia="zh-CN"/>
        </w:rPr>
        <w:t>预期指标</w:t>
      </w:r>
      <w:r>
        <w:rPr>
          <w:rFonts w:hint="eastAsia" w:ascii="宋体" w:hAnsi="宋体" w:eastAsia="宋体" w:cs="宋体"/>
          <w:b w:val="0"/>
          <w:color w:val="auto"/>
          <w:sz w:val="24"/>
          <w:szCs w:val="24"/>
          <w:highlight w:val="none"/>
        </w:rPr>
        <w:t>资金支付及时率指标，预期指标值为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，实际完成值为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，指标完成率为</w:t>
      </w:r>
      <w:r>
        <w:rPr>
          <w:rFonts w:hint="eastAsia" w:ascii="宋体" w:hAnsi="宋体" w:eastAsia="宋体" w:cs="宋体"/>
          <w:b w:val="0"/>
          <w:color w:val="auto"/>
          <w:sz w:val="24"/>
          <w:szCs w:val="24"/>
          <w:highlight w:val="none"/>
          <w:lang w:val="en-US" w:eastAsia="zh-CN"/>
        </w:rPr>
        <w:t>100%</w:t>
      </w:r>
      <w:r>
        <w:rPr>
          <w:rFonts w:hint="eastAsia" w:ascii="宋体" w:hAnsi="宋体" w:eastAsia="宋体" w:cs="宋体"/>
          <w:b w:val="0"/>
          <w:color w:val="auto"/>
          <w:sz w:val="24"/>
          <w:szCs w:val="24"/>
          <w:highlight w:val="none"/>
        </w:rPr>
        <w:t>，与预期目标一致，根据评分标准，该指标不扣分，</w:t>
      </w:r>
      <w:r>
        <w:rPr>
          <w:rFonts w:hint="eastAsia" w:ascii="宋体" w:hAnsi="宋体" w:eastAsia="宋体" w:cs="宋体"/>
          <w:b w:val="0"/>
          <w:bCs/>
          <w:color w:val="auto"/>
          <w:sz w:val="24"/>
          <w:szCs w:val="24"/>
          <w:highlight w:val="none"/>
        </w:rPr>
        <w:t>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r>
        <w:rPr>
          <w:rFonts w:hint="eastAsia" w:ascii="宋体" w:hAnsi="宋体" w:eastAsia="宋体" w:cs="宋体"/>
          <w:b w:val="0"/>
          <w:color w:val="auto"/>
          <w:sz w:val="24"/>
          <w:szCs w:val="24"/>
          <w:highlight w:val="none"/>
        </w:rPr>
        <w:t>。</w:t>
      </w:r>
    </w:p>
    <w:p w14:paraId="51D69831">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rPr>
        <w:t>分。</w:t>
      </w:r>
    </w:p>
    <w:p w14:paraId="26737110">
      <w:pPr>
        <w:pStyle w:val="45"/>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04D6FB15">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布亚阿日希村投资额指标，预期指标值为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50万元，实际完成值为</w:t>
      </w:r>
      <w:r>
        <w:rPr>
          <w:rFonts w:hint="eastAsia" w:ascii="宋体" w:hAnsi="宋体" w:eastAsia="宋体" w:cs="宋体"/>
          <w:color w:val="auto"/>
          <w:sz w:val="24"/>
          <w:szCs w:val="24"/>
          <w:highlight w:val="none"/>
          <w:lang w:val="en-US" w:eastAsia="zh-CN"/>
        </w:rPr>
        <w:t>=46.9万元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，项目经费都能控制绩效目标范围内，根据评分标准，该指标扣</w:t>
      </w:r>
      <w:r>
        <w:rPr>
          <w:rFonts w:hint="eastAsia" w:ascii="宋体" w:hAnsi="宋体" w:eastAsia="宋体" w:cs="宋体"/>
          <w:color w:val="auto"/>
          <w:sz w:val="24"/>
          <w:szCs w:val="24"/>
          <w:highlight w:val="none"/>
          <w:lang w:val="en-US" w:eastAsia="zh-CN"/>
        </w:rPr>
        <w:t>0.19</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2.81</w:t>
      </w:r>
      <w:r>
        <w:rPr>
          <w:rFonts w:hint="eastAsia" w:ascii="宋体" w:hAnsi="宋体" w:eastAsia="宋体" w:cs="宋体"/>
          <w:color w:val="auto"/>
          <w:sz w:val="24"/>
          <w:szCs w:val="24"/>
          <w:highlight w:val="none"/>
        </w:rPr>
        <w:t>分</w:t>
      </w:r>
      <w:r>
        <w:rPr>
          <w:rFonts w:hint="eastAsia" w:ascii="宋体" w:hAnsi="宋体" w:eastAsia="宋体" w:cs="宋体"/>
          <w:i/>
          <w:iCs/>
          <w:color w:val="auto"/>
          <w:sz w:val="24"/>
          <w:szCs w:val="24"/>
          <w:highlight w:val="none"/>
        </w:rPr>
        <w:t>。</w:t>
      </w:r>
    </w:p>
    <w:p w14:paraId="0B310520">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塔木其拉村投资额指标，预期指标值为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50万元，实际完成值为</w:t>
      </w:r>
      <w:r>
        <w:rPr>
          <w:rFonts w:hint="eastAsia" w:ascii="宋体" w:hAnsi="宋体" w:eastAsia="宋体" w:cs="宋体"/>
          <w:color w:val="auto"/>
          <w:sz w:val="24"/>
          <w:szCs w:val="24"/>
          <w:highlight w:val="none"/>
          <w:lang w:val="en-US" w:eastAsia="zh-CN"/>
        </w:rPr>
        <w:t>=46.9万元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，项目经费都能控制绩效目标范围内，根据评分标准，该指标扣</w:t>
      </w:r>
      <w:r>
        <w:rPr>
          <w:rFonts w:hint="eastAsia" w:ascii="宋体" w:hAnsi="宋体" w:eastAsia="宋体" w:cs="宋体"/>
          <w:color w:val="auto"/>
          <w:sz w:val="24"/>
          <w:szCs w:val="24"/>
          <w:highlight w:val="none"/>
          <w:lang w:val="en-US" w:eastAsia="zh-CN"/>
        </w:rPr>
        <w:t>0.19</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2.81</w:t>
      </w:r>
      <w:r>
        <w:rPr>
          <w:rFonts w:hint="eastAsia" w:ascii="宋体" w:hAnsi="宋体" w:eastAsia="宋体" w:cs="宋体"/>
          <w:color w:val="auto"/>
          <w:sz w:val="24"/>
          <w:szCs w:val="24"/>
          <w:highlight w:val="none"/>
        </w:rPr>
        <w:t>分</w:t>
      </w:r>
      <w:r>
        <w:rPr>
          <w:rFonts w:hint="eastAsia" w:ascii="宋体" w:hAnsi="宋体" w:eastAsia="宋体" w:cs="宋体"/>
          <w:i/>
          <w:iCs/>
          <w:color w:val="auto"/>
          <w:sz w:val="24"/>
          <w:szCs w:val="24"/>
          <w:highlight w:val="none"/>
        </w:rPr>
        <w:t>。</w:t>
      </w:r>
    </w:p>
    <w:p w14:paraId="03FEE1C0">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拜合提勒克巴扎村投资额指标，预期指标值为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50万元，实际完成值为</w:t>
      </w:r>
      <w:r>
        <w:rPr>
          <w:rFonts w:hint="eastAsia" w:ascii="宋体" w:hAnsi="宋体" w:eastAsia="宋体" w:cs="宋体"/>
          <w:color w:val="auto"/>
          <w:sz w:val="24"/>
          <w:szCs w:val="24"/>
          <w:highlight w:val="none"/>
          <w:lang w:val="en-US" w:eastAsia="zh-CN"/>
        </w:rPr>
        <w:t>=46.9万元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，项目经费都能控制绩效目标范围内，根据评分标准，该指标扣</w:t>
      </w:r>
      <w:r>
        <w:rPr>
          <w:rFonts w:hint="eastAsia" w:ascii="宋体" w:hAnsi="宋体" w:eastAsia="宋体" w:cs="宋体"/>
          <w:color w:val="auto"/>
          <w:sz w:val="24"/>
          <w:szCs w:val="24"/>
          <w:highlight w:val="none"/>
          <w:lang w:val="en-US" w:eastAsia="zh-CN"/>
        </w:rPr>
        <w:t>2.48</w:t>
      </w:r>
      <w:r>
        <w:rPr>
          <w:rFonts w:hint="eastAsia" w:ascii="宋体" w:hAnsi="宋体" w:eastAsia="宋体" w:cs="宋体"/>
          <w:color w:val="auto"/>
          <w:sz w:val="24"/>
          <w:szCs w:val="24"/>
          <w:highlight w:val="none"/>
        </w:rPr>
        <w:t>分，得</w:t>
      </w:r>
      <w:r>
        <w:rPr>
          <w:rFonts w:hint="eastAsia" w:ascii="宋体" w:hAnsi="宋体" w:eastAsia="宋体" w:cs="宋体"/>
          <w:color w:val="auto"/>
          <w:sz w:val="24"/>
          <w:szCs w:val="24"/>
          <w:highlight w:val="none"/>
          <w:lang w:val="en-US" w:eastAsia="zh-CN"/>
        </w:rPr>
        <w:t>3.75</w:t>
      </w:r>
      <w:r>
        <w:rPr>
          <w:rFonts w:hint="eastAsia" w:ascii="宋体" w:hAnsi="宋体" w:eastAsia="宋体" w:cs="宋体"/>
          <w:color w:val="auto"/>
          <w:sz w:val="24"/>
          <w:szCs w:val="24"/>
          <w:highlight w:val="none"/>
        </w:rPr>
        <w:t>分</w:t>
      </w:r>
      <w:r>
        <w:rPr>
          <w:rFonts w:hint="eastAsia" w:ascii="宋体" w:hAnsi="宋体" w:eastAsia="宋体" w:cs="宋体"/>
          <w:i/>
          <w:iCs/>
          <w:color w:val="auto"/>
          <w:sz w:val="24"/>
          <w:szCs w:val="24"/>
          <w:highlight w:val="none"/>
        </w:rPr>
        <w:t>。</w:t>
      </w:r>
    </w:p>
    <w:p w14:paraId="732404C0">
      <w:pPr>
        <w:pStyle w:val="6"/>
        <w:pageBreakBefore w:val="0"/>
        <w:widowControl w:val="0"/>
        <w:shd w:val="clear" w:color="auto" w:fill="auto"/>
        <w:kinsoku/>
        <w:wordWrap/>
        <w:overflowPunct/>
        <w:topLinePunct w:val="0"/>
        <w:autoSpaceDE/>
        <w:autoSpaceDN/>
        <w:bidi w:val="0"/>
        <w:adjustRightInd/>
        <w:snapToGrid/>
        <w:spacing w:before="0"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合计得15分。</w:t>
      </w:r>
    </w:p>
    <w:p w14:paraId="3EDCFE45">
      <w:pPr>
        <w:pStyle w:val="48"/>
        <w:pageBreakBefore w:val="0"/>
        <w:widowControl w:val="0"/>
        <w:shd w:val="clear" w:color="auto" w:fill="auto"/>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703F0D7D">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rPr>
        <w:t>分，得分率为100%。</w:t>
      </w:r>
    </w:p>
    <w:p w14:paraId="7DDA94E6">
      <w:pPr>
        <w:pageBreakBefore w:val="0"/>
        <w:widowControl w:val="0"/>
        <w:shd w:val="clear" w:color="auto" w:fill="auto"/>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31C32FE2">
      <w:pPr>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提升村容村貌，村庄规划管理工作指标，该指标预期指标值为</w:t>
      </w:r>
      <w:r>
        <w:rPr>
          <w:rFonts w:hint="eastAsia" w:ascii="宋体" w:hAnsi="宋体" w:eastAsia="宋体" w:cs="宋体"/>
          <w:color w:val="auto"/>
          <w:sz w:val="24"/>
          <w:szCs w:val="24"/>
          <w:highlight w:val="none"/>
          <w:lang w:val="en-US" w:eastAsia="zh-CN"/>
        </w:rPr>
        <w:t>有效提升</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有效提升</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分。</w:t>
      </w:r>
    </w:p>
    <w:p w14:paraId="154FD337">
      <w:pPr>
        <w:pStyle w:val="10"/>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w:t>
      </w: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）满意度指标分析</w:t>
      </w:r>
    </w:p>
    <w:p w14:paraId="657C19A0">
      <w:pPr>
        <w:pStyle w:val="45"/>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highlight w:val="none"/>
        </w:rPr>
      </w:pPr>
      <w:r>
        <w:rPr>
          <w:rFonts w:hint="eastAsia" w:ascii="宋体" w:hAnsi="宋体" w:eastAsia="宋体" w:cs="宋体"/>
          <w:color w:val="auto"/>
          <w:sz w:val="24"/>
          <w:szCs w:val="24"/>
          <w:highlight w:val="none"/>
        </w:rPr>
        <w:t>对于“满意度指标：</w:t>
      </w:r>
      <w:r>
        <w:rPr>
          <w:rFonts w:hint="eastAsia" w:ascii="宋体" w:hAnsi="宋体" w:eastAsia="宋体" w:cs="宋体"/>
          <w:color w:val="auto"/>
          <w:sz w:val="24"/>
          <w:szCs w:val="24"/>
          <w:highlight w:val="none"/>
          <w:lang w:val="en-US" w:eastAsia="zh-CN"/>
        </w:rPr>
        <w:t>受益群众满意度</w:t>
      </w:r>
      <w:r>
        <w:rPr>
          <w:rFonts w:hint="eastAsia" w:ascii="宋体" w:hAnsi="宋体" w:eastAsia="宋体" w:cs="宋体"/>
          <w:color w:val="auto"/>
          <w:sz w:val="24"/>
          <w:szCs w:val="24"/>
          <w:highlight w:val="none"/>
        </w:rPr>
        <w:t>，该指标预期指标值为</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，与预期目标一致，根据评分标准，该指标不扣分,得10分。</w:t>
      </w:r>
      <w:bookmarkEnd w:id="17"/>
    </w:p>
    <w:p w14:paraId="66701E12">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p>
    <w:p w14:paraId="00F4BD4D">
      <w:pPr>
        <w:pStyle w:val="4"/>
        <w:pageBreakBefore w:val="0"/>
        <w:widowControl w:val="0"/>
        <w:shd w:val="clear" w:color="auto" w:fill="auto"/>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五、预算执行进度与绩效指标偏差情况</w:t>
      </w:r>
    </w:p>
    <w:p w14:paraId="33285198">
      <w:pPr>
        <w:pStyle w:val="45"/>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150</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140.7</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93.8</w:t>
      </w:r>
      <w:r>
        <w:rPr>
          <w:rFonts w:hint="eastAsia" w:ascii="宋体" w:hAnsi="宋体" w:eastAsia="宋体" w:cs="宋体"/>
          <w:color w:val="auto"/>
          <w:sz w:val="24"/>
          <w:szCs w:val="24"/>
          <w:highlight w:val="none"/>
        </w:rPr>
        <w:t>%。</w:t>
      </w:r>
    </w:p>
    <w:p w14:paraId="0067D063">
      <w:pPr>
        <w:pStyle w:val="45"/>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98.96</w:t>
      </w:r>
      <w:r>
        <w:rPr>
          <w:rFonts w:hint="eastAsia" w:ascii="宋体" w:hAnsi="宋体" w:eastAsia="宋体" w:cs="宋体"/>
          <w:color w:val="auto"/>
          <w:sz w:val="24"/>
          <w:szCs w:val="24"/>
          <w:highlight w:val="none"/>
        </w:rPr>
        <w:t>%。</w:t>
      </w:r>
    </w:p>
    <w:p w14:paraId="0B144341">
      <w:pPr>
        <w:pStyle w:val="45"/>
        <w:pageBreakBefore w:val="0"/>
        <w:widowControl w:val="0"/>
        <w:shd w:val="clear" w:color="auto" w:fill="auto"/>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2.16</w:t>
      </w:r>
      <w:r>
        <w:rPr>
          <w:rFonts w:hint="eastAsia" w:ascii="宋体" w:hAnsi="宋体" w:eastAsia="宋体" w:cs="宋体"/>
          <w:sz w:val="24"/>
          <w:szCs w:val="24"/>
          <w:highlight w:val="none"/>
        </w:rPr>
        <w:t>%。</w:t>
      </w:r>
    </w:p>
    <w:p w14:paraId="762D3FC2">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bookmarkStart w:id="18" w:name="_Toc68364673"/>
    </w:p>
    <w:p w14:paraId="0CA2C7A6">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六、主要经验及做法、存在的问题及原因分析</w:t>
      </w:r>
    </w:p>
    <w:p w14:paraId="18AB2C9B">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highlight w:val="none"/>
        </w:rPr>
      </w:pPr>
      <w:r>
        <w:rPr>
          <w:rFonts w:hint="eastAsia" w:ascii="宋体" w:hAnsi="宋体" w:eastAsia="宋体" w:cs="宋体"/>
          <w:sz w:val="24"/>
          <w:szCs w:val="24"/>
          <w:highlight w:val="none"/>
        </w:rPr>
        <w:t>（一）主要经验及做法</w:t>
      </w:r>
      <w:bookmarkEnd w:id="18"/>
    </w:p>
    <w:p w14:paraId="14D1E5FA">
      <w:pPr>
        <w:pStyle w:val="45"/>
        <w:pageBreakBefore w:val="0"/>
        <w:widowControl w:val="0"/>
        <w:shd w:val="clear" w:color="auto" w:fill="auto"/>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highlight w:val="none"/>
          <w:lang w:val="en-US" w:eastAsia="zh-CN"/>
        </w:rPr>
      </w:pPr>
      <w:bookmarkStart w:id="19" w:name="_Toc68364674"/>
      <w:r>
        <w:rPr>
          <w:rFonts w:hint="eastAsia" w:ascii="宋体" w:hAnsi="宋体" w:eastAsia="宋体" w:cs="宋体"/>
          <w:sz w:val="24"/>
          <w:szCs w:val="24"/>
          <w:highlight w:val="none"/>
          <w:lang w:val="en-US" w:eastAsia="zh-CN"/>
        </w:rPr>
        <w:t>一、本项目能够严格按照《项目实施方案》执行，项目执行情况较好。</w:t>
      </w:r>
    </w:p>
    <w:p w14:paraId="33D3738C">
      <w:pPr>
        <w:pStyle w:val="45"/>
        <w:pageBreakBefore w:val="0"/>
        <w:widowControl w:val="0"/>
        <w:shd w:val="clear" w:color="auto" w:fill="auto"/>
        <w:kinsoku/>
        <w:wordWrap/>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二、加强组织领导，本项目绩效评价工作，有主要领导亲自负责，分管领导具体负责，从项目到资金，均能够很好的执行。</w:t>
      </w:r>
    </w:p>
    <w:p w14:paraId="3B63CEA2">
      <w:pPr>
        <w:pStyle w:val="48"/>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highlight w:val="none"/>
        </w:rPr>
      </w:pPr>
      <w:r>
        <w:rPr>
          <w:rFonts w:hint="eastAsia" w:ascii="宋体" w:hAnsi="宋体" w:eastAsia="宋体" w:cs="宋体"/>
          <w:sz w:val="24"/>
          <w:szCs w:val="24"/>
          <w:highlight w:val="none"/>
        </w:rPr>
        <w:t>（二）存在问题及原因分析</w:t>
      </w:r>
      <w:bookmarkEnd w:id="19"/>
    </w:p>
    <w:p w14:paraId="325C21DC">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1.项目资金管理环节：</w:t>
      </w:r>
    </w:p>
    <w:p w14:paraId="5AFB4265">
      <w:pPr>
        <w:pStyle w:val="45"/>
        <w:pageBreakBefore w:val="0"/>
        <w:widowControl w:val="0"/>
        <w:numPr>
          <w:ilvl w:val="0"/>
          <w:numId w:val="0"/>
        </w:numPr>
        <w:shd w:val="clear" w:color="auto" w:fill="auto"/>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缺乏有效的资金监控机制，无法实时掌握资金流向和使用情况。</w:t>
      </w:r>
    </w:p>
    <w:p w14:paraId="593FA5F3">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6BD4AF45">
      <w:pPr>
        <w:pStyle w:val="45"/>
        <w:pageBreakBefore w:val="0"/>
        <w:widowControl w:val="0"/>
        <w:numPr>
          <w:ilvl w:val="0"/>
          <w:numId w:val="0"/>
        </w:numPr>
        <w:shd w:val="clear" w:color="auto" w:fill="auto"/>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项目计划缺乏详细分解和时间安排，目标不够清晰；对风险和问题考虑不足，缺乏应急措施，项目实际进度落后于计划，延误支付；对进度偏差不敏感，未及时采取调整措施。根据《项目绩效管理办法》及单位相关项目管理制度的规定，对项目的实施进行监督管理。建立健全项目后续各项监督管理制度，确保项目正常运转，长期发挥效益。</w:t>
      </w:r>
    </w:p>
    <w:p w14:paraId="57751D84">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3.项目绩效管理环节</w:t>
      </w:r>
    </w:p>
    <w:p w14:paraId="5DD01676">
      <w:pPr>
        <w:pageBreakBefore w:val="0"/>
        <w:widowControl w:val="0"/>
        <w:shd w:val="clear" w:color="auto" w:fill="auto"/>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color w:val="000000"/>
          <w:kern w:val="2"/>
          <w:sz w:val="24"/>
          <w:szCs w:val="24"/>
          <w:highlight w:val="none"/>
          <w:lang w:val="en-US" w:eastAsia="zh-CN" w:bidi="ar-SA"/>
        </w:rPr>
      </w:pPr>
      <w:r>
        <w:rPr>
          <w:rFonts w:hint="eastAsia" w:ascii="宋体" w:hAnsi="宋体" w:eastAsia="宋体" w:cs="宋体"/>
          <w:b w:val="0"/>
          <w:color w:val="000000"/>
          <w:kern w:val="2"/>
          <w:sz w:val="24"/>
          <w:szCs w:val="24"/>
          <w:highlight w:val="none"/>
          <w:lang w:val="en-US" w:eastAsia="zh-CN" w:bidi="ar-SA"/>
        </w:rPr>
        <w:t>成本控制情况：严格按照相关的专项资金管理办法，实行多重审批控制专项经费的支出。</w:t>
      </w:r>
    </w:p>
    <w:p w14:paraId="183691C0">
      <w:pPr>
        <w:pageBreakBefore w:val="0"/>
        <w:widowControl w:val="0"/>
        <w:shd w:val="clear" w:color="auto" w:fill="auto"/>
        <w:kinsoku/>
        <w:wordWrap/>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val="0"/>
          <w:color w:val="000000"/>
          <w:kern w:val="2"/>
          <w:sz w:val="24"/>
          <w:szCs w:val="24"/>
          <w:highlight w:val="none"/>
          <w:lang w:val="en-US" w:eastAsia="zh-CN" w:bidi="ar-SA"/>
        </w:rPr>
        <w:t>成本节约情况：项目根据实际情况做出合理预算，支出严格控制在预算范围内，本着节约成本，防止资源浪费的原则将项目成效最大化。</w:t>
      </w:r>
    </w:p>
    <w:p w14:paraId="6E84A9A1">
      <w:pPr>
        <w:pStyle w:val="45"/>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4.各级监督检查（项目管理、资金管理、绩效管理）发现问题及原因分析</w:t>
      </w:r>
    </w:p>
    <w:p w14:paraId="0282A38B">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highlight w:val="none"/>
          <w:lang w:val="en-US" w:eastAsia="zh-CN" w:bidi="ar-SA"/>
        </w:rPr>
      </w:pPr>
      <w:bookmarkStart w:id="20" w:name="_Toc68364675"/>
      <w:r>
        <w:rPr>
          <w:rFonts w:hint="eastAsia" w:ascii="宋体" w:hAnsi="宋体" w:eastAsia="宋体" w:cs="宋体"/>
          <w:b w:val="0"/>
          <w:bCs w:val="0"/>
          <w:color w:val="auto"/>
          <w:kern w:val="0"/>
          <w:sz w:val="24"/>
          <w:szCs w:val="24"/>
          <w:highlight w:val="none"/>
          <w:lang w:val="en-US" w:eastAsia="zh-CN" w:bidi="ar-SA"/>
        </w:rPr>
        <w:t>一、对各项指标和指标值要进一步优化、完善，主要在细化、量化上改进；</w:t>
      </w:r>
    </w:p>
    <w:p w14:paraId="7D96F431">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二、部门评价工作还存在自我审定的局限性，会影响评价质量，容易造成问题的疏漏，在客观性和公正性上说服力不强；</w:t>
      </w:r>
    </w:p>
    <w:p w14:paraId="10D9F100">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三、缺少带着问题去评价的意识；</w:t>
      </w:r>
    </w:p>
    <w:p w14:paraId="5569C520">
      <w:pPr>
        <w:pStyle w:val="4"/>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四、现场评价的工作量少，后续效益评价具体措施和方法较少。</w:t>
      </w:r>
    </w:p>
    <w:p w14:paraId="6B6E5297">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p>
    <w:p w14:paraId="316A549E">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bCs w:val="0"/>
          <w:color w:val="FF0000"/>
          <w:sz w:val="24"/>
          <w:szCs w:val="24"/>
          <w:highlight w:val="none"/>
        </w:rPr>
      </w:pPr>
      <w:r>
        <w:rPr>
          <w:rFonts w:hint="eastAsia" w:ascii="黑体" w:hAnsi="黑体" w:eastAsia="黑体" w:cs="黑体"/>
          <w:sz w:val="24"/>
          <w:szCs w:val="24"/>
          <w:highlight w:val="none"/>
        </w:rPr>
        <w:t>七、有关建议</w:t>
      </w:r>
      <w:bookmarkEnd w:id="20"/>
    </w:p>
    <w:p w14:paraId="3C865302">
      <w:pPr>
        <w:pStyle w:val="5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b w:val="0"/>
          <w:color w:val="000000"/>
          <w:kern w:val="2"/>
          <w:sz w:val="24"/>
          <w:szCs w:val="24"/>
          <w:highlight w:val="none"/>
        </w:rPr>
      </w:pPr>
      <w:r>
        <w:rPr>
          <w:rFonts w:hint="eastAsia" w:ascii="宋体" w:hAnsi="宋体" w:eastAsia="宋体" w:cs="宋体"/>
          <w:b w:val="0"/>
          <w:color w:val="000000"/>
          <w:kern w:val="2"/>
          <w:sz w:val="24"/>
          <w:szCs w:val="24"/>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14:paraId="597D9AAD">
      <w:pPr>
        <w:pStyle w:val="60"/>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val="0"/>
          <w:bCs w:val="0"/>
          <w:color w:val="000000"/>
          <w:kern w:val="2"/>
          <w:sz w:val="24"/>
          <w:szCs w:val="24"/>
          <w:highlight w:val="none"/>
          <w:lang w:val="en-US" w:eastAsia="zh-CN" w:bidi="ar-SA"/>
        </w:rPr>
        <w:t>开展进度的跟踪，确保项目绩效目标的完成。规范程序，严格把关。进一步完善项目申报、审核、公示、审批等程序，严格审核切实做好项目信息公开，公开内容要及时、完整、真实，确保项目公平、公开、公正。</w:t>
      </w:r>
    </w:p>
    <w:p w14:paraId="6F622A03">
      <w:pPr>
        <w:pStyle w:val="5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b w:val="0"/>
          <w:bCs w:val="0"/>
          <w:color w:val="000000"/>
          <w:kern w:val="2"/>
          <w:sz w:val="24"/>
          <w:szCs w:val="24"/>
          <w:highlight w:val="none"/>
          <w:lang w:val="en-US" w:eastAsia="zh-CN" w:bidi="ar-SA"/>
        </w:rPr>
        <w:t>健全制度，加强督促。针对项目实施中存在的问题，进一步完善相关制度，加强督促检查，确保质量安全和建设进度；同时及时完善资料。</w:t>
      </w:r>
      <w:bookmarkStart w:id="21" w:name="_Toc68364676"/>
    </w:p>
    <w:p w14:paraId="1998E7D4">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p>
    <w:p w14:paraId="38DD3E47">
      <w:pPr>
        <w:pStyle w:val="4"/>
        <w:pageBreakBefore w:val="0"/>
        <w:widowControl w:val="0"/>
        <w:shd w:val="clear" w:color="auto" w:fill="auto"/>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八、其他需要说明的问题</w:t>
      </w:r>
      <w:bookmarkEnd w:id="21"/>
    </w:p>
    <w:p w14:paraId="11D42DFF">
      <w:pPr>
        <w:pStyle w:val="45"/>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我单位对上述项目支出绩效评价报告内反映内容的真实性、完整性负责，</w:t>
      </w:r>
      <w:r>
        <w:rPr>
          <w:rFonts w:hint="eastAsia" w:ascii="宋体" w:hAnsi="宋体" w:eastAsia="宋体" w:cs="宋体"/>
          <w:sz w:val="24"/>
          <w:szCs w:val="24"/>
          <w:highlight w:val="none"/>
          <w:lang w:val="en-US" w:eastAsia="zh-CN"/>
        </w:rPr>
        <w:t>愿</w:t>
      </w:r>
      <w:r>
        <w:rPr>
          <w:rFonts w:hint="eastAsia" w:ascii="宋体" w:hAnsi="宋体" w:eastAsia="宋体" w:cs="宋体"/>
          <w:sz w:val="24"/>
          <w:szCs w:val="24"/>
          <w:highlight w:val="none"/>
        </w:rPr>
        <w:t>接受上级部门及社会公众监督。</w:t>
      </w:r>
    </w:p>
    <w:p w14:paraId="13CA5015">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附件1：专项资金-和地财农【2023】68号：2024年自治区农村综合改革转移支付预算-农村公益事业财政奖补项目绩效评价指标体系</w:t>
      </w:r>
    </w:p>
    <w:p w14:paraId="120EF6A9">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附件2：专项资金-和地财农【2023】68号：2024年自治区农村综合改革转移支付预算-农村公益事业财政奖补项目综合得分表</w:t>
      </w:r>
    </w:p>
    <w:p w14:paraId="0CBB2B31">
      <w:pPr>
        <w:keepNext w:val="0"/>
        <w:keepLines w:val="0"/>
        <w:pageBreakBefore w:val="0"/>
        <w:widowControl w:val="0"/>
        <w:shd w:val="clear" w:color="auto" w:fill="auto"/>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附件3：满意度调查问分析情况</w:t>
      </w:r>
    </w:p>
    <w:p w14:paraId="062E4095">
      <w:pPr>
        <w:keepNext w:val="0"/>
        <w:keepLines w:val="0"/>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rPr>
      </w:pPr>
    </w:p>
    <w:p w14:paraId="19824C76">
      <w:pPr>
        <w:pStyle w:val="10"/>
        <w:shd w:val="clear" w:color="auto" w:fill="auto"/>
        <w:ind w:left="0" w:leftChars="0" w:firstLine="0" w:firstLineChars="0"/>
        <w:jc w:val="both"/>
        <w:rPr>
          <w:rFonts w:hint="eastAsia" w:ascii="宋体" w:hAnsi="宋体" w:eastAsia="宋体" w:cs="宋体"/>
          <w:sz w:val="24"/>
          <w:szCs w:val="24"/>
          <w:highlight w:val="none"/>
        </w:rPr>
      </w:pPr>
    </w:p>
    <w:p w14:paraId="667EA890">
      <w:pPr>
        <w:pStyle w:val="10"/>
        <w:shd w:val="clear" w:color="auto" w:fill="auto"/>
        <w:ind w:left="0" w:leftChars="0" w:firstLine="0" w:firstLineChars="0"/>
        <w:jc w:val="both"/>
        <w:rPr>
          <w:rFonts w:hint="eastAsia" w:ascii="宋体" w:hAnsi="宋体" w:eastAsia="宋体" w:cs="宋体"/>
          <w:sz w:val="24"/>
          <w:szCs w:val="24"/>
          <w:highlight w:val="none"/>
        </w:rPr>
        <w:sectPr>
          <w:footerReference r:id="rId7" w:type="default"/>
          <w:pgSz w:w="11906" w:h="16838"/>
          <w:pgMar w:top="1843" w:right="1531" w:bottom="1843" w:left="1531" w:header="851" w:footer="992" w:gutter="0"/>
          <w:pgNumType w:fmt="decimal"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7"/>
        <w:gridCol w:w="770"/>
        <w:gridCol w:w="545"/>
        <w:gridCol w:w="703"/>
        <w:gridCol w:w="781"/>
        <w:gridCol w:w="717"/>
        <w:gridCol w:w="1601"/>
        <w:gridCol w:w="1302"/>
        <w:gridCol w:w="4323"/>
        <w:gridCol w:w="773"/>
        <w:gridCol w:w="1096"/>
      </w:tblGrid>
      <w:tr w14:paraId="08800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4844E4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附件1：</w:t>
            </w:r>
          </w:p>
        </w:tc>
      </w:tr>
      <w:tr w14:paraId="11780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11"/>
            <w:tcBorders>
              <w:top w:val="nil"/>
              <w:left w:val="nil"/>
              <w:bottom w:val="nil"/>
              <w:right w:val="nil"/>
            </w:tcBorders>
            <w:noWrap w:val="0"/>
            <w:vAlign w:val="center"/>
          </w:tcPr>
          <w:p w14:paraId="5E5EBAD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专项资金-和地财农【2023】68号：2024年自治区农村综合改革转移支付预算-农村公益事业财政奖补项目</w:t>
            </w:r>
            <w:r>
              <w:rPr>
                <w:rStyle w:val="61"/>
                <w:rFonts w:hint="eastAsia" w:ascii="宋体" w:hAnsi="宋体" w:eastAsia="宋体" w:cs="宋体"/>
                <w:sz w:val="21"/>
                <w:szCs w:val="21"/>
                <w:highlight w:val="none"/>
                <w:lang w:val="en-US" w:eastAsia="zh-CN"/>
              </w:rPr>
              <w:t>绩效评价指标体系综合评分表</w:t>
            </w:r>
          </w:p>
        </w:tc>
      </w:tr>
      <w:tr w14:paraId="1AF1C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83" w:type="pct"/>
            <w:tcBorders>
              <w:top w:val="single" w:color="auto" w:sz="8" w:space="0"/>
              <w:left w:val="single" w:color="auto" w:sz="8" w:space="0"/>
              <w:bottom w:val="single" w:color="auto" w:sz="8" w:space="0"/>
              <w:right w:val="single" w:color="auto" w:sz="8" w:space="0"/>
            </w:tcBorders>
            <w:noWrap w:val="0"/>
            <w:vAlign w:val="center"/>
          </w:tcPr>
          <w:p w14:paraId="34752A0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一级指标</w:t>
            </w:r>
          </w:p>
        </w:tc>
        <w:tc>
          <w:tcPr>
            <w:tcW w:w="288" w:type="pct"/>
            <w:tcBorders>
              <w:top w:val="single" w:color="auto" w:sz="8" w:space="0"/>
              <w:left w:val="nil"/>
              <w:bottom w:val="single" w:color="auto" w:sz="8" w:space="0"/>
              <w:right w:val="single" w:color="auto" w:sz="8" w:space="0"/>
            </w:tcBorders>
            <w:noWrap w:val="0"/>
            <w:vAlign w:val="center"/>
          </w:tcPr>
          <w:p w14:paraId="3B32402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204" w:type="pct"/>
            <w:tcBorders>
              <w:top w:val="single" w:color="auto" w:sz="8" w:space="0"/>
              <w:left w:val="nil"/>
              <w:bottom w:val="single" w:color="auto" w:sz="8" w:space="0"/>
              <w:right w:val="single" w:color="auto" w:sz="8" w:space="0"/>
            </w:tcBorders>
            <w:noWrap w:val="0"/>
            <w:vAlign w:val="center"/>
          </w:tcPr>
          <w:p w14:paraId="703A588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二级指标</w:t>
            </w:r>
          </w:p>
        </w:tc>
        <w:tc>
          <w:tcPr>
            <w:tcW w:w="263" w:type="pct"/>
            <w:tcBorders>
              <w:top w:val="single" w:color="auto" w:sz="8" w:space="0"/>
              <w:left w:val="nil"/>
              <w:bottom w:val="single" w:color="auto" w:sz="8" w:space="0"/>
              <w:right w:val="single" w:color="auto" w:sz="8" w:space="0"/>
            </w:tcBorders>
            <w:noWrap w:val="0"/>
            <w:vAlign w:val="center"/>
          </w:tcPr>
          <w:p w14:paraId="77C4597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292" w:type="pct"/>
            <w:tcBorders>
              <w:top w:val="single" w:color="auto" w:sz="8" w:space="0"/>
              <w:left w:val="nil"/>
              <w:bottom w:val="single" w:color="auto" w:sz="8" w:space="0"/>
              <w:right w:val="single" w:color="auto" w:sz="8" w:space="0"/>
            </w:tcBorders>
            <w:noWrap w:val="0"/>
            <w:vAlign w:val="center"/>
          </w:tcPr>
          <w:p w14:paraId="1E60C95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三级指标</w:t>
            </w:r>
          </w:p>
        </w:tc>
        <w:tc>
          <w:tcPr>
            <w:tcW w:w="268" w:type="pct"/>
            <w:tcBorders>
              <w:top w:val="single" w:color="auto" w:sz="8" w:space="0"/>
              <w:left w:val="nil"/>
              <w:bottom w:val="single" w:color="auto" w:sz="8" w:space="0"/>
              <w:right w:val="single" w:color="auto" w:sz="8" w:space="0"/>
            </w:tcBorders>
            <w:noWrap w:val="0"/>
            <w:vAlign w:val="center"/>
          </w:tcPr>
          <w:p w14:paraId="6E73D8D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分值</w:t>
            </w:r>
          </w:p>
        </w:tc>
        <w:tc>
          <w:tcPr>
            <w:tcW w:w="599" w:type="pct"/>
            <w:tcBorders>
              <w:top w:val="single" w:color="auto" w:sz="8" w:space="0"/>
              <w:left w:val="nil"/>
              <w:bottom w:val="single" w:color="auto" w:sz="8" w:space="0"/>
              <w:right w:val="single" w:color="auto" w:sz="8" w:space="0"/>
            </w:tcBorders>
            <w:noWrap w:val="0"/>
            <w:vAlign w:val="center"/>
          </w:tcPr>
          <w:p w14:paraId="762577A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指标解释</w:t>
            </w:r>
          </w:p>
        </w:tc>
        <w:tc>
          <w:tcPr>
            <w:tcW w:w="487" w:type="pct"/>
            <w:tcBorders>
              <w:top w:val="single" w:color="auto" w:sz="8" w:space="0"/>
              <w:left w:val="nil"/>
              <w:bottom w:val="single" w:color="auto" w:sz="8" w:space="0"/>
              <w:right w:val="single" w:color="auto" w:sz="8" w:space="0"/>
            </w:tcBorders>
            <w:noWrap w:val="0"/>
            <w:vAlign w:val="center"/>
          </w:tcPr>
          <w:p w14:paraId="594B81E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标杆值</w:t>
            </w:r>
          </w:p>
        </w:tc>
        <w:tc>
          <w:tcPr>
            <w:tcW w:w="1617" w:type="pct"/>
            <w:tcBorders>
              <w:top w:val="single" w:color="auto" w:sz="8" w:space="0"/>
              <w:left w:val="nil"/>
              <w:bottom w:val="single" w:color="auto" w:sz="8" w:space="0"/>
              <w:right w:val="single" w:color="auto" w:sz="8" w:space="0"/>
            </w:tcBorders>
            <w:noWrap w:val="0"/>
            <w:vAlign w:val="center"/>
          </w:tcPr>
          <w:p w14:paraId="28FC502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评分标准</w:t>
            </w:r>
          </w:p>
        </w:tc>
        <w:tc>
          <w:tcPr>
            <w:tcW w:w="289" w:type="pct"/>
            <w:tcBorders>
              <w:top w:val="single" w:color="auto" w:sz="8" w:space="0"/>
              <w:left w:val="nil"/>
              <w:bottom w:val="single" w:color="auto" w:sz="8" w:space="0"/>
              <w:right w:val="single" w:color="auto" w:sz="8" w:space="0"/>
            </w:tcBorders>
            <w:noWrap w:val="0"/>
            <w:vAlign w:val="center"/>
          </w:tcPr>
          <w:p w14:paraId="4CF422E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完成值</w:t>
            </w:r>
          </w:p>
        </w:tc>
        <w:tc>
          <w:tcPr>
            <w:tcW w:w="405" w:type="pct"/>
            <w:tcBorders>
              <w:top w:val="single" w:color="auto" w:sz="8" w:space="0"/>
              <w:left w:val="nil"/>
              <w:bottom w:val="single" w:color="auto" w:sz="8" w:space="0"/>
              <w:right w:val="single" w:color="auto" w:sz="8" w:space="0"/>
            </w:tcBorders>
            <w:noWrap w:val="0"/>
            <w:vAlign w:val="center"/>
          </w:tcPr>
          <w:p w14:paraId="5E0B3EB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rPr>
              <w:t>得分</w:t>
            </w:r>
          </w:p>
        </w:tc>
      </w:tr>
      <w:tr w14:paraId="52D9A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1" w:hRule="atLeast"/>
        </w:trPr>
        <w:tc>
          <w:tcPr>
            <w:tcW w:w="283" w:type="pct"/>
            <w:vMerge w:val="restart"/>
            <w:tcBorders>
              <w:top w:val="nil"/>
              <w:left w:val="single" w:color="auto" w:sz="8" w:space="0"/>
              <w:bottom w:val="single" w:color="auto" w:sz="8" w:space="0"/>
              <w:right w:val="single" w:color="auto" w:sz="8" w:space="0"/>
            </w:tcBorders>
            <w:noWrap w:val="0"/>
            <w:vAlign w:val="center"/>
          </w:tcPr>
          <w:p w14:paraId="15C1A3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项目决策</w:t>
            </w:r>
          </w:p>
        </w:tc>
        <w:tc>
          <w:tcPr>
            <w:tcW w:w="288" w:type="pct"/>
            <w:vMerge w:val="restart"/>
            <w:tcBorders>
              <w:top w:val="nil"/>
              <w:left w:val="nil"/>
              <w:bottom w:val="single" w:color="auto" w:sz="8" w:space="0"/>
              <w:right w:val="single" w:color="auto" w:sz="8" w:space="0"/>
            </w:tcBorders>
            <w:noWrap w:val="0"/>
            <w:vAlign w:val="center"/>
          </w:tcPr>
          <w:p w14:paraId="4AF31C3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23</w:t>
            </w:r>
          </w:p>
        </w:tc>
        <w:tc>
          <w:tcPr>
            <w:tcW w:w="204" w:type="pct"/>
            <w:vMerge w:val="restart"/>
            <w:tcBorders>
              <w:top w:val="nil"/>
              <w:left w:val="nil"/>
              <w:bottom w:val="single" w:color="auto" w:sz="8" w:space="0"/>
              <w:right w:val="single" w:color="auto" w:sz="8" w:space="0"/>
            </w:tcBorders>
            <w:noWrap w:val="0"/>
            <w:vAlign w:val="center"/>
          </w:tcPr>
          <w:p w14:paraId="14FB03E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w:t>
            </w:r>
          </w:p>
        </w:tc>
        <w:tc>
          <w:tcPr>
            <w:tcW w:w="263" w:type="pct"/>
            <w:vMerge w:val="restart"/>
            <w:tcBorders>
              <w:top w:val="nil"/>
              <w:left w:val="nil"/>
              <w:bottom w:val="single" w:color="auto" w:sz="8" w:space="0"/>
              <w:right w:val="single" w:color="auto" w:sz="8" w:space="0"/>
            </w:tcBorders>
            <w:noWrap w:val="0"/>
            <w:vAlign w:val="center"/>
          </w:tcPr>
          <w:p w14:paraId="5F8C8C4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292" w:type="pct"/>
            <w:tcBorders>
              <w:top w:val="nil"/>
              <w:left w:val="nil"/>
              <w:bottom w:val="single" w:color="auto" w:sz="8" w:space="0"/>
              <w:right w:val="single" w:color="auto" w:sz="8" w:space="0"/>
            </w:tcBorders>
            <w:noWrap w:val="0"/>
            <w:vAlign w:val="center"/>
          </w:tcPr>
          <w:p w14:paraId="59626FC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立项依据充分性</w:t>
            </w:r>
          </w:p>
        </w:tc>
        <w:tc>
          <w:tcPr>
            <w:tcW w:w="268" w:type="pct"/>
            <w:tcBorders>
              <w:top w:val="nil"/>
              <w:left w:val="nil"/>
              <w:bottom w:val="single" w:color="auto" w:sz="8" w:space="0"/>
              <w:right w:val="single" w:color="auto" w:sz="8" w:space="0"/>
            </w:tcBorders>
            <w:noWrap w:val="0"/>
            <w:vAlign w:val="center"/>
          </w:tcPr>
          <w:p w14:paraId="1314AC9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599" w:type="pct"/>
            <w:tcBorders>
              <w:top w:val="nil"/>
              <w:left w:val="nil"/>
              <w:bottom w:val="single" w:color="auto" w:sz="8" w:space="0"/>
              <w:right w:val="single" w:color="auto" w:sz="8" w:space="0"/>
            </w:tcBorders>
            <w:noWrap w:val="0"/>
            <w:vAlign w:val="center"/>
          </w:tcPr>
          <w:p w14:paraId="232941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项目立项是否符合法律法规、相关政策、发展规划以及部门职责，用以反映和考核项目立项依据情况。</w:t>
            </w:r>
          </w:p>
        </w:tc>
        <w:tc>
          <w:tcPr>
            <w:tcW w:w="487" w:type="pct"/>
            <w:tcBorders>
              <w:top w:val="nil"/>
              <w:left w:val="nil"/>
              <w:bottom w:val="single" w:color="auto" w:sz="8" w:space="0"/>
              <w:right w:val="single" w:color="auto" w:sz="8" w:space="0"/>
            </w:tcBorders>
            <w:noWrap w:val="0"/>
            <w:vAlign w:val="center"/>
          </w:tcPr>
          <w:p w14:paraId="0F70179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1617" w:type="pct"/>
            <w:tcBorders>
              <w:top w:val="nil"/>
              <w:left w:val="nil"/>
              <w:bottom w:val="single" w:color="auto" w:sz="8" w:space="0"/>
              <w:right w:val="single" w:color="auto" w:sz="8" w:space="0"/>
            </w:tcBorders>
            <w:noWrap w:val="0"/>
            <w:vAlign w:val="center"/>
          </w:tcPr>
          <w:p w14:paraId="65577A9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①项目立项是否符合国家法律法规、国民经济发展规划和相关政策；</w:t>
            </w:r>
          </w:p>
          <w:p w14:paraId="19EB20A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②项目立项是否符合行业发展规划和政策要求；</w:t>
            </w:r>
          </w:p>
          <w:p w14:paraId="254CBC2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③项目立项是否与部门职责范围相符，属于部门履职所需；</w:t>
            </w:r>
          </w:p>
          <w:p w14:paraId="6FCEBE8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④项目是否属于公共财政支持范围，是否符合中央、地方事权支出责任划分原则；</w:t>
            </w:r>
          </w:p>
          <w:p w14:paraId="611A5B4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⑤项目是否与相关部门同类项目或部门内部相关项目重复。</w:t>
            </w:r>
          </w:p>
          <w:p w14:paraId="22C5198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以上每条要素占权重分的20%，每有一条不符合，扣除对应权重分，扣完为止。</w:t>
            </w:r>
          </w:p>
        </w:tc>
        <w:tc>
          <w:tcPr>
            <w:tcW w:w="289" w:type="pct"/>
            <w:tcBorders>
              <w:top w:val="nil"/>
              <w:left w:val="nil"/>
              <w:bottom w:val="single" w:color="auto" w:sz="8" w:space="0"/>
              <w:right w:val="single" w:color="auto" w:sz="8" w:space="0"/>
            </w:tcBorders>
            <w:noWrap w:val="0"/>
            <w:vAlign w:val="center"/>
          </w:tcPr>
          <w:p w14:paraId="2CCCA7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充分</w:t>
            </w:r>
          </w:p>
        </w:tc>
        <w:tc>
          <w:tcPr>
            <w:tcW w:w="405" w:type="pct"/>
            <w:tcBorders>
              <w:top w:val="nil"/>
              <w:left w:val="nil"/>
              <w:bottom w:val="single" w:color="auto" w:sz="8" w:space="0"/>
              <w:right w:val="single" w:color="auto" w:sz="8" w:space="0"/>
            </w:tcBorders>
            <w:noWrap w:val="0"/>
            <w:vAlign w:val="center"/>
          </w:tcPr>
          <w:p w14:paraId="11AF7FD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r>
      <w:tr w14:paraId="5815B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6C00251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1AA8507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259B1BA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8" w:space="0"/>
            </w:tcBorders>
            <w:noWrap w:val="0"/>
            <w:vAlign w:val="center"/>
          </w:tcPr>
          <w:p w14:paraId="33164A2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nil"/>
              <w:left w:val="nil"/>
              <w:bottom w:val="single" w:color="auto" w:sz="8" w:space="0"/>
              <w:right w:val="single" w:color="auto" w:sz="8" w:space="0"/>
            </w:tcBorders>
            <w:noWrap w:val="0"/>
            <w:vAlign w:val="center"/>
          </w:tcPr>
          <w:p w14:paraId="4470B2E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立项程序规范性</w:t>
            </w:r>
          </w:p>
        </w:tc>
        <w:tc>
          <w:tcPr>
            <w:tcW w:w="268" w:type="pct"/>
            <w:tcBorders>
              <w:top w:val="nil"/>
              <w:left w:val="nil"/>
              <w:bottom w:val="single" w:color="auto" w:sz="8" w:space="0"/>
              <w:right w:val="single" w:color="auto" w:sz="8" w:space="0"/>
            </w:tcBorders>
            <w:noWrap w:val="0"/>
            <w:vAlign w:val="center"/>
          </w:tcPr>
          <w:p w14:paraId="3E222CB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599" w:type="pct"/>
            <w:tcBorders>
              <w:top w:val="nil"/>
              <w:left w:val="nil"/>
              <w:bottom w:val="single" w:color="auto" w:sz="8" w:space="0"/>
              <w:right w:val="single" w:color="auto" w:sz="8" w:space="0"/>
            </w:tcBorders>
            <w:noWrap w:val="0"/>
            <w:vAlign w:val="center"/>
          </w:tcPr>
          <w:p w14:paraId="5434A4F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项目申请、设立过程是否符合相关要求，用以反映和考核项目立项的规范情况。</w:t>
            </w:r>
          </w:p>
        </w:tc>
        <w:tc>
          <w:tcPr>
            <w:tcW w:w="487" w:type="pct"/>
            <w:tcBorders>
              <w:top w:val="nil"/>
              <w:left w:val="nil"/>
              <w:bottom w:val="single" w:color="auto" w:sz="8" w:space="0"/>
              <w:right w:val="single" w:color="auto" w:sz="8" w:space="0"/>
            </w:tcBorders>
            <w:noWrap w:val="0"/>
            <w:vAlign w:val="center"/>
          </w:tcPr>
          <w:p w14:paraId="29D786C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1617" w:type="pct"/>
            <w:tcBorders>
              <w:top w:val="nil"/>
              <w:left w:val="nil"/>
              <w:bottom w:val="single" w:color="auto" w:sz="8" w:space="0"/>
              <w:right w:val="single" w:color="auto" w:sz="8" w:space="0"/>
            </w:tcBorders>
            <w:noWrap w:val="0"/>
            <w:vAlign w:val="center"/>
          </w:tcPr>
          <w:p w14:paraId="12713F3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①项目是否按照规定的程序申请设立；</w:t>
            </w:r>
          </w:p>
          <w:p w14:paraId="38C5A97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②审批文件、材料是否符合相关要求；</w:t>
            </w:r>
          </w:p>
          <w:p w14:paraId="5D4487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③事前是否已经过必要的可行性研究、专家论证、风险评估、绩效评估、集体决策。</w:t>
            </w:r>
          </w:p>
          <w:p w14:paraId="324D4D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①②③齐全得权重分的100%，缺①扣权重分的40%，缺②扣权重分的30%，缺③扣权重分的30%。</w:t>
            </w:r>
          </w:p>
        </w:tc>
        <w:tc>
          <w:tcPr>
            <w:tcW w:w="289" w:type="pct"/>
            <w:tcBorders>
              <w:top w:val="nil"/>
              <w:left w:val="nil"/>
              <w:bottom w:val="single" w:color="auto" w:sz="8" w:space="0"/>
              <w:right w:val="single" w:color="auto" w:sz="8" w:space="0"/>
            </w:tcBorders>
            <w:noWrap w:val="0"/>
            <w:vAlign w:val="center"/>
          </w:tcPr>
          <w:p w14:paraId="5619FBD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规范</w:t>
            </w:r>
          </w:p>
        </w:tc>
        <w:tc>
          <w:tcPr>
            <w:tcW w:w="405" w:type="pct"/>
            <w:tcBorders>
              <w:top w:val="nil"/>
              <w:left w:val="nil"/>
              <w:bottom w:val="single" w:color="auto" w:sz="8" w:space="0"/>
              <w:right w:val="single" w:color="auto" w:sz="8" w:space="0"/>
            </w:tcBorders>
            <w:noWrap w:val="0"/>
            <w:vAlign w:val="center"/>
          </w:tcPr>
          <w:p w14:paraId="13BDEEA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5D623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08D4C16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1325621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restart"/>
            <w:tcBorders>
              <w:top w:val="nil"/>
              <w:left w:val="nil"/>
              <w:bottom w:val="single" w:color="auto" w:sz="8" w:space="0"/>
              <w:right w:val="single" w:color="auto" w:sz="8" w:space="0"/>
            </w:tcBorders>
            <w:noWrap w:val="0"/>
            <w:vAlign w:val="center"/>
          </w:tcPr>
          <w:p w14:paraId="3C232A7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w:t>
            </w:r>
          </w:p>
        </w:tc>
        <w:tc>
          <w:tcPr>
            <w:tcW w:w="263" w:type="pct"/>
            <w:vMerge w:val="restart"/>
            <w:tcBorders>
              <w:top w:val="nil"/>
              <w:left w:val="nil"/>
              <w:bottom w:val="single" w:color="auto" w:sz="8" w:space="0"/>
              <w:right w:val="single" w:color="auto" w:sz="8" w:space="0"/>
            </w:tcBorders>
            <w:noWrap w:val="0"/>
            <w:vAlign w:val="center"/>
          </w:tcPr>
          <w:p w14:paraId="363BD37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92" w:type="pct"/>
            <w:tcBorders>
              <w:top w:val="nil"/>
              <w:left w:val="nil"/>
              <w:bottom w:val="single" w:color="auto" w:sz="4" w:space="0"/>
              <w:right w:val="single" w:color="auto" w:sz="8" w:space="0"/>
            </w:tcBorders>
            <w:noWrap w:val="0"/>
            <w:vAlign w:val="center"/>
          </w:tcPr>
          <w:p w14:paraId="41D1339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绩效目标合理性</w:t>
            </w:r>
          </w:p>
        </w:tc>
        <w:tc>
          <w:tcPr>
            <w:tcW w:w="268" w:type="pct"/>
            <w:tcBorders>
              <w:top w:val="nil"/>
              <w:left w:val="nil"/>
              <w:bottom w:val="single" w:color="auto" w:sz="4" w:space="0"/>
              <w:right w:val="single" w:color="auto" w:sz="8" w:space="0"/>
            </w:tcBorders>
            <w:noWrap w:val="0"/>
            <w:vAlign w:val="center"/>
          </w:tcPr>
          <w:p w14:paraId="25E0DFB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599" w:type="pct"/>
            <w:tcBorders>
              <w:top w:val="nil"/>
              <w:left w:val="nil"/>
              <w:bottom w:val="single" w:color="auto" w:sz="4" w:space="0"/>
              <w:right w:val="single" w:color="auto" w:sz="8" w:space="0"/>
            </w:tcBorders>
            <w:noWrap w:val="0"/>
            <w:vAlign w:val="center"/>
          </w:tcPr>
          <w:p w14:paraId="00A6341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项目所设定的绩效目标是否依据充分，是否符合客观实际，用以反映和考核项目绩效目标与项目实施的相符情况。</w:t>
            </w:r>
          </w:p>
        </w:tc>
        <w:tc>
          <w:tcPr>
            <w:tcW w:w="487" w:type="pct"/>
            <w:tcBorders>
              <w:top w:val="nil"/>
              <w:left w:val="nil"/>
              <w:bottom w:val="single" w:color="auto" w:sz="4" w:space="0"/>
              <w:right w:val="single" w:color="auto" w:sz="8" w:space="0"/>
            </w:tcBorders>
            <w:noWrap w:val="0"/>
            <w:vAlign w:val="center"/>
          </w:tcPr>
          <w:p w14:paraId="0E3285F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1617" w:type="pct"/>
            <w:tcBorders>
              <w:top w:val="nil"/>
              <w:left w:val="nil"/>
              <w:bottom w:val="single" w:color="auto" w:sz="4" w:space="0"/>
              <w:right w:val="single" w:color="auto" w:sz="8" w:space="0"/>
            </w:tcBorders>
            <w:noWrap w:val="0"/>
            <w:vAlign w:val="center"/>
          </w:tcPr>
          <w:p w14:paraId="6F9C033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①项目是否有绩效目标；</w:t>
            </w:r>
          </w:p>
          <w:p w14:paraId="50AF332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②项目绩效目标与实际工作内容是否具有相关性；</w:t>
            </w:r>
          </w:p>
          <w:p w14:paraId="5208680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③项目预期产出效益和效果是否符合正常的业绩水平；</w:t>
            </w:r>
          </w:p>
          <w:p w14:paraId="437FB19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④是否与预算确定的项目投资额或资金量相匹配。</w:t>
            </w:r>
          </w:p>
          <w:p w14:paraId="2B4D259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289" w:type="pct"/>
            <w:tcBorders>
              <w:top w:val="nil"/>
              <w:left w:val="nil"/>
              <w:bottom w:val="single" w:color="auto" w:sz="4" w:space="0"/>
              <w:right w:val="single" w:color="auto" w:sz="8" w:space="0"/>
            </w:tcBorders>
            <w:noWrap w:val="0"/>
            <w:vAlign w:val="center"/>
          </w:tcPr>
          <w:p w14:paraId="04D302F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405" w:type="pct"/>
            <w:tcBorders>
              <w:top w:val="nil"/>
              <w:left w:val="nil"/>
              <w:bottom w:val="single" w:color="auto" w:sz="4" w:space="0"/>
              <w:right w:val="single" w:color="auto" w:sz="8" w:space="0"/>
            </w:tcBorders>
            <w:noWrap w:val="0"/>
            <w:vAlign w:val="center"/>
          </w:tcPr>
          <w:p w14:paraId="636BF46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r>
      <w:tr w14:paraId="717BE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4762E53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37E0B86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0243ECF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4" w:space="0"/>
            </w:tcBorders>
            <w:noWrap w:val="0"/>
            <w:vAlign w:val="center"/>
          </w:tcPr>
          <w:p w14:paraId="754F1C0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single" w:color="auto" w:sz="4" w:space="0"/>
              <w:left w:val="single" w:color="auto" w:sz="4" w:space="0"/>
              <w:bottom w:val="single" w:color="auto" w:sz="4" w:space="0"/>
              <w:right w:val="single" w:color="auto" w:sz="8" w:space="0"/>
            </w:tcBorders>
            <w:noWrap w:val="0"/>
            <w:vAlign w:val="center"/>
          </w:tcPr>
          <w:p w14:paraId="2AE8C89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绩效指标明确性</w:t>
            </w:r>
          </w:p>
        </w:tc>
        <w:tc>
          <w:tcPr>
            <w:tcW w:w="268" w:type="pct"/>
            <w:tcBorders>
              <w:top w:val="single" w:color="auto" w:sz="4" w:space="0"/>
              <w:left w:val="nil"/>
              <w:bottom w:val="single" w:color="auto" w:sz="4" w:space="0"/>
              <w:right w:val="single" w:color="auto" w:sz="8" w:space="0"/>
            </w:tcBorders>
            <w:noWrap w:val="0"/>
            <w:vAlign w:val="center"/>
          </w:tcPr>
          <w:p w14:paraId="1D63704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599" w:type="pct"/>
            <w:tcBorders>
              <w:top w:val="single" w:color="auto" w:sz="4" w:space="0"/>
              <w:left w:val="nil"/>
              <w:bottom w:val="single" w:color="auto" w:sz="4" w:space="0"/>
              <w:right w:val="single" w:color="auto" w:sz="8" w:space="0"/>
            </w:tcBorders>
            <w:noWrap w:val="0"/>
            <w:vAlign w:val="center"/>
          </w:tcPr>
          <w:p w14:paraId="65855F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依据绩效目标设定的绩效指标是否清晰、细化、可衡量等，用以反映和考核项目绩效目标的明细化情况。</w:t>
            </w:r>
          </w:p>
        </w:tc>
        <w:tc>
          <w:tcPr>
            <w:tcW w:w="487" w:type="pct"/>
            <w:tcBorders>
              <w:top w:val="single" w:color="auto" w:sz="4" w:space="0"/>
              <w:left w:val="nil"/>
              <w:bottom w:val="single" w:color="auto" w:sz="4" w:space="0"/>
              <w:right w:val="single" w:color="auto" w:sz="8" w:space="0"/>
            </w:tcBorders>
            <w:noWrap w:val="0"/>
            <w:vAlign w:val="center"/>
          </w:tcPr>
          <w:p w14:paraId="2664B7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1617" w:type="pct"/>
            <w:tcBorders>
              <w:top w:val="single" w:color="auto" w:sz="4" w:space="0"/>
              <w:left w:val="nil"/>
              <w:bottom w:val="single" w:color="auto" w:sz="4" w:space="0"/>
              <w:right w:val="single" w:color="auto" w:sz="8" w:space="0"/>
            </w:tcBorders>
            <w:noWrap w:val="0"/>
            <w:vAlign w:val="center"/>
          </w:tcPr>
          <w:p w14:paraId="32B2666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①是否将项目绩效目标细化分解为具体的绩效指标；</w:t>
            </w:r>
          </w:p>
          <w:p w14:paraId="148D1A7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②是否通过清晰、可衡量的指标值予以体现；</w:t>
            </w:r>
          </w:p>
          <w:p w14:paraId="327AFE0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③是否与项目目标任务数或计划数相对应。</w:t>
            </w:r>
          </w:p>
          <w:p w14:paraId="4E9BF9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①②③齐全得权重分的100%，缺①扣权重分的20%，缺②扣权重分的50%，缺③扣权重分的30%。</w:t>
            </w:r>
          </w:p>
        </w:tc>
        <w:tc>
          <w:tcPr>
            <w:tcW w:w="289" w:type="pct"/>
            <w:tcBorders>
              <w:top w:val="single" w:color="auto" w:sz="4" w:space="0"/>
              <w:left w:val="nil"/>
              <w:bottom w:val="single" w:color="auto" w:sz="4" w:space="0"/>
              <w:right w:val="single" w:color="auto" w:sz="8" w:space="0"/>
            </w:tcBorders>
            <w:noWrap w:val="0"/>
            <w:vAlign w:val="center"/>
          </w:tcPr>
          <w:p w14:paraId="093240C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明确</w:t>
            </w:r>
          </w:p>
        </w:tc>
        <w:tc>
          <w:tcPr>
            <w:tcW w:w="405" w:type="pct"/>
            <w:tcBorders>
              <w:top w:val="single" w:color="auto" w:sz="4" w:space="0"/>
              <w:left w:val="nil"/>
              <w:bottom w:val="single" w:color="auto" w:sz="4" w:space="0"/>
              <w:right w:val="single" w:color="auto" w:sz="4" w:space="0"/>
            </w:tcBorders>
            <w:noWrap w:val="0"/>
            <w:vAlign w:val="center"/>
          </w:tcPr>
          <w:p w14:paraId="7EDB094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r>
      <w:tr w14:paraId="1AC7D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4"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10847AC2">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356B279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restart"/>
            <w:tcBorders>
              <w:top w:val="nil"/>
              <w:left w:val="nil"/>
              <w:bottom w:val="single" w:color="auto" w:sz="8" w:space="0"/>
              <w:right w:val="single" w:color="auto" w:sz="8" w:space="0"/>
            </w:tcBorders>
            <w:noWrap w:val="0"/>
            <w:vAlign w:val="center"/>
          </w:tcPr>
          <w:p w14:paraId="3ACE70A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资金投入</w:t>
            </w:r>
          </w:p>
        </w:tc>
        <w:tc>
          <w:tcPr>
            <w:tcW w:w="263" w:type="pct"/>
            <w:vMerge w:val="restart"/>
            <w:tcBorders>
              <w:top w:val="nil"/>
              <w:left w:val="nil"/>
              <w:bottom w:val="single" w:color="auto" w:sz="8" w:space="0"/>
              <w:right w:val="single" w:color="auto" w:sz="8" w:space="0"/>
            </w:tcBorders>
            <w:noWrap w:val="0"/>
            <w:vAlign w:val="center"/>
          </w:tcPr>
          <w:p w14:paraId="5D0C225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8</w:t>
            </w:r>
          </w:p>
        </w:tc>
        <w:tc>
          <w:tcPr>
            <w:tcW w:w="292" w:type="pct"/>
            <w:tcBorders>
              <w:top w:val="single" w:color="auto" w:sz="4" w:space="0"/>
              <w:left w:val="nil"/>
              <w:bottom w:val="single" w:color="auto" w:sz="8" w:space="0"/>
              <w:right w:val="single" w:color="auto" w:sz="8" w:space="0"/>
            </w:tcBorders>
            <w:noWrap w:val="0"/>
            <w:vAlign w:val="center"/>
          </w:tcPr>
          <w:p w14:paraId="661F51D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预算编制科学性</w:t>
            </w:r>
          </w:p>
        </w:tc>
        <w:tc>
          <w:tcPr>
            <w:tcW w:w="268" w:type="pct"/>
            <w:tcBorders>
              <w:top w:val="single" w:color="auto" w:sz="4" w:space="0"/>
              <w:left w:val="nil"/>
              <w:bottom w:val="single" w:color="auto" w:sz="8" w:space="0"/>
              <w:right w:val="single" w:color="auto" w:sz="8" w:space="0"/>
            </w:tcBorders>
            <w:noWrap w:val="0"/>
            <w:vAlign w:val="center"/>
          </w:tcPr>
          <w:p w14:paraId="3BDFC29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599" w:type="pct"/>
            <w:tcBorders>
              <w:top w:val="single" w:color="auto" w:sz="4" w:space="0"/>
              <w:left w:val="nil"/>
              <w:bottom w:val="single" w:color="auto" w:sz="8" w:space="0"/>
              <w:right w:val="single" w:color="auto" w:sz="8" w:space="0"/>
            </w:tcBorders>
            <w:noWrap w:val="0"/>
            <w:vAlign w:val="center"/>
          </w:tcPr>
          <w:p w14:paraId="4151B2B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项目预算编制是否经过科学论证、有明确标准，资金额度与年度目标是否相适应，用以反映和考核项目预算编制的科学性、合理性情况。</w:t>
            </w:r>
          </w:p>
        </w:tc>
        <w:tc>
          <w:tcPr>
            <w:tcW w:w="487" w:type="pct"/>
            <w:tcBorders>
              <w:top w:val="single" w:color="auto" w:sz="4" w:space="0"/>
              <w:left w:val="nil"/>
              <w:bottom w:val="single" w:color="auto" w:sz="8" w:space="0"/>
              <w:right w:val="single" w:color="auto" w:sz="8" w:space="0"/>
            </w:tcBorders>
            <w:noWrap w:val="0"/>
            <w:vAlign w:val="center"/>
          </w:tcPr>
          <w:p w14:paraId="6522874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1617" w:type="pct"/>
            <w:tcBorders>
              <w:top w:val="single" w:color="auto" w:sz="4" w:space="0"/>
              <w:left w:val="nil"/>
              <w:bottom w:val="single" w:color="auto" w:sz="8" w:space="0"/>
              <w:right w:val="single" w:color="auto" w:sz="8" w:space="0"/>
            </w:tcBorders>
            <w:noWrap w:val="0"/>
            <w:vAlign w:val="center"/>
          </w:tcPr>
          <w:p w14:paraId="63CEF9B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①预算编制是否经过科学论证；</w:t>
            </w:r>
          </w:p>
          <w:p w14:paraId="5189D97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②预算内容与项目内容是否匹配；</w:t>
            </w:r>
          </w:p>
          <w:p w14:paraId="73C185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③预算额度测算依据是否充分，是否按照标准编制；</w:t>
            </w:r>
          </w:p>
          <w:p w14:paraId="09D4601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④预算确定的项目投资额或资金量是否与工作任务相匹配。</w:t>
            </w:r>
          </w:p>
          <w:p w14:paraId="027AC5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以上每条要素各占权重的25%，每有一条不符合，扣除对应的权重分，扣完为止。</w:t>
            </w:r>
          </w:p>
        </w:tc>
        <w:tc>
          <w:tcPr>
            <w:tcW w:w="289" w:type="pct"/>
            <w:tcBorders>
              <w:top w:val="single" w:color="auto" w:sz="4" w:space="0"/>
              <w:left w:val="nil"/>
              <w:bottom w:val="single" w:color="auto" w:sz="8" w:space="0"/>
              <w:right w:val="single" w:color="auto" w:sz="8" w:space="0"/>
            </w:tcBorders>
            <w:noWrap w:val="0"/>
            <w:vAlign w:val="center"/>
          </w:tcPr>
          <w:p w14:paraId="65B8FB0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科学</w:t>
            </w:r>
          </w:p>
        </w:tc>
        <w:tc>
          <w:tcPr>
            <w:tcW w:w="405" w:type="pct"/>
            <w:tcBorders>
              <w:top w:val="single" w:color="auto" w:sz="4" w:space="0"/>
              <w:left w:val="nil"/>
              <w:bottom w:val="single" w:color="auto" w:sz="8" w:space="0"/>
              <w:right w:val="single" w:color="auto" w:sz="8" w:space="0"/>
            </w:tcBorders>
            <w:noWrap w:val="0"/>
            <w:vAlign w:val="center"/>
          </w:tcPr>
          <w:p w14:paraId="7140DA5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r>
      <w:tr w14:paraId="5D98C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2"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7711BCE4">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36CF6FD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0EB34B6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8" w:space="0"/>
            </w:tcBorders>
            <w:noWrap w:val="0"/>
            <w:vAlign w:val="center"/>
          </w:tcPr>
          <w:p w14:paraId="716A9B84">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nil"/>
              <w:left w:val="nil"/>
              <w:bottom w:val="single" w:color="auto" w:sz="8" w:space="0"/>
              <w:right w:val="single" w:color="auto" w:sz="8" w:space="0"/>
            </w:tcBorders>
            <w:noWrap w:val="0"/>
            <w:vAlign w:val="center"/>
          </w:tcPr>
          <w:p w14:paraId="719ECC7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资金分配合理性</w:t>
            </w:r>
          </w:p>
        </w:tc>
        <w:tc>
          <w:tcPr>
            <w:tcW w:w="268" w:type="pct"/>
            <w:tcBorders>
              <w:top w:val="nil"/>
              <w:left w:val="nil"/>
              <w:bottom w:val="single" w:color="auto" w:sz="8" w:space="0"/>
              <w:right w:val="single" w:color="auto" w:sz="8" w:space="0"/>
            </w:tcBorders>
            <w:noWrap w:val="0"/>
            <w:vAlign w:val="center"/>
          </w:tcPr>
          <w:p w14:paraId="60B833E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599" w:type="pct"/>
            <w:tcBorders>
              <w:top w:val="nil"/>
              <w:left w:val="nil"/>
              <w:bottom w:val="single" w:color="auto" w:sz="8" w:space="0"/>
              <w:right w:val="single" w:color="auto" w:sz="8" w:space="0"/>
            </w:tcBorders>
            <w:noWrap w:val="0"/>
            <w:vAlign w:val="center"/>
          </w:tcPr>
          <w:p w14:paraId="5975B61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项目预算资金分配是否有测算依据，与补助单位或地方实际是否相适应，用以反映和考核项目预算资金分配的科学性、合理性情况。</w:t>
            </w:r>
          </w:p>
        </w:tc>
        <w:tc>
          <w:tcPr>
            <w:tcW w:w="487" w:type="pct"/>
            <w:tcBorders>
              <w:top w:val="nil"/>
              <w:left w:val="nil"/>
              <w:bottom w:val="single" w:color="auto" w:sz="8" w:space="0"/>
              <w:right w:val="single" w:color="auto" w:sz="8" w:space="0"/>
            </w:tcBorders>
            <w:noWrap w:val="0"/>
            <w:vAlign w:val="center"/>
          </w:tcPr>
          <w:p w14:paraId="36CAC58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1617" w:type="pct"/>
            <w:tcBorders>
              <w:top w:val="nil"/>
              <w:left w:val="nil"/>
              <w:bottom w:val="single" w:color="auto" w:sz="8" w:space="0"/>
              <w:right w:val="single" w:color="auto" w:sz="8" w:space="0"/>
            </w:tcBorders>
            <w:noWrap w:val="0"/>
            <w:vAlign w:val="center"/>
          </w:tcPr>
          <w:p w14:paraId="546B742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①预算资金分配依据是否充分；</w:t>
            </w:r>
          </w:p>
          <w:p w14:paraId="3F8DE00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②资金分配额度是否合理，与项目单位或地方实际是否相适应。</w:t>
            </w:r>
          </w:p>
          <w:p w14:paraId="2CD9A4D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289" w:type="pct"/>
            <w:tcBorders>
              <w:top w:val="nil"/>
              <w:left w:val="nil"/>
              <w:bottom w:val="single" w:color="auto" w:sz="8" w:space="0"/>
              <w:right w:val="single" w:color="auto" w:sz="8" w:space="0"/>
            </w:tcBorders>
            <w:noWrap w:val="0"/>
            <w:vAlign w:val="center"/>
          </w:tcPr>
          <w:p w14:paraId="17500FB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合理</w:t>
            </w:r>
          </w:p>
        </w:tc>
        <w:tc>
          <w:tcPr>
            <w:tcW w:w="405" w:type="pct"/>
            <w:tcBorders>
              <w:top w:val="nil"/>
              <w:left w:val="nil"/>
              <w:bottom w:val="single" w:color="auto" w:sz="8" w:space="0"/>
              <w:right w:val="single" w:color="auto" w:sz="8" w:space="0"/>
            </w:tcBorders>
            <w:noWrap w:val="0"/>
            <w:vAlign w:val="center"/>
          </w:tcPr>
          <w:p w14:paraId="72D92D0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r>
      <w:tr w14:paraId="490B2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83" w:type="pct"/>
            <w:tcBorders>
              <w:top w:val="nil"/>
              <w:left w:val="single" w:color="auto" w:sz="4" w:space="0"/>
              <w:bottom w:val="single" w:color="auto" w:sz="4" w:space="0"/>
              <w:right w:val="single" w:color="auto" w:sz="8" w:space="0"/>
            </w:tcBorders>
            <w:noWrap w:val="0"/>
            <w:vAlign w:val="center"/>
          </w:tcPr>
          <w:p w14:paraId="392C0B7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项目过程</w:t>
            </w:r>
          </w:p>
        </w:tc>
        <w:tc>
          <w:tcPr>
            <w:tcW w:w="288" w:type="pct"/>
            <w:tcBorders>
              <w:top w:val="nil"/>
              <w:left w:val="nil"/>
              <w:bottom w:val="single" w:color="auto" w:sz="4" w:space="0"/>
              <w:right w:val="single" w:color="auto" w:sz="8" w:space="0"/>
            </w:tcBorders>
            <w:noWrap w:val="0"/>
            <w:vAlign w:val="center"/>
          </w:tcPr>
          <w:p w14:paraId="3010EFC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12</w:t>
            </w:r>
          </w:p>
        </w:tc>
        <w:tc>
          <w:tcPr>
            <w:tcW w:w="204" w:type="pct"/>
            <w:tcBorders>
              <w:top w:val="nil"/>
              <w:left w:val="nil"/>
              <w:bottom w:val="single" w:color="auto" w:sz="4" w:space="0"/>
              <w:right w:val="single" w:color="auto" w:sz="8" w:space="0"/>
            </w:tcBorders>
            <w:noWrap w:val="0"/>
            <w:vAlign w:val="center"/>
          </w:tcPr>
          <w:p w14:paraId="5CA44AE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资金管理</w:t>
            </w:r>
          </w:p>
        </w:tc>
        <w:tc>
          <w:tcPr>
            <w:tcW w:w="263" w:type="pct"/>
            <w:tcBorders>
              <w:top w:val="nil"/>
              <w:left w:val="nil"/>
              <w:bottom w:val="single" w:color="auto" w:sz="4" w:space="0"/>
              <w:right w:val="single" w:color="auto" w:sz="8" w:space="0"/>
            </w:tcBorders>
            <w:noWrap w:val="0"/>
            <w:vAlign w:val="center"/>
          </w:tcPr>
          <w:p w14:paraId="11B3A05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292" w:type="pct"/>
            <w:tcBorders>
              <w:top w:val="nil"/>
              <w:left w:val="nil"/>
              <w:bottom w:val="single" w:color="auto" w:sz="4" w:space="0"/>
              <w:right w:val="single" w:color="auto" w:sz="8" w:space="0"/>
            </w:tcBorders>
            <w:noWrap w:val="0"/>
            <w:vAlign w:val="center"/>
          </w:tcPr>
          <w:p w14:paraId="4AC922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w:t>
            </w:r>
          </w:p>
        </w:tc>
        <w:tc>
          <w:tcPr>
            <w:tcW w:w="268" w:type="pct"/>
            <w:tcBorders>
              <w:top w:val="nil"/>
              <w:left w:val="nil"/>
              <w:bottom w:val="single" w:color="auto" w:sz="4" w:space="0"/>
              <w:right w:val="single" w:color="auto" w:sz="8" w:space="0"/>
            </w:tcBorders>
            <w:noWrap w:val="0"/>
            <w:vAlign w:val="center"/>
          </w:tcPr>
          <w:p w14:paraId="4CD2578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w:t>
            </w:r>
          </w:p>
        </w:tc>
        <w:tc>
          <w:tcPr>
            <w:tcW w:w="599" w:type="pct"/>
            <w:tcBorders>
              <w:top w:val="nil"/>
              <w:left w:val="nil"/>
              <w:bottom w:val="single" w:color="auto" w:sz="4" w:space="0"/>
              <w:right w:val="single" w:color="auto" w:sz="8" w:space="0"/>
            </w:tcBorders>
            <w:noWrap w:val="0"/>
            <w:vAlign w:val="center"/>
          </w:tcPr>
          <w:p w14:paraId="2352549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实际到位资金与预算资金的比率，用以反映和考核资金落实情况对项目实施的总体保障程度。</w:t>
            </w:r>
          </w:p>
        </w:tc>
        <w:tc>
          <w:tcPr>
            <w:tcW w:w="487" w:type="pct"/>
            <w:tcBorders>
              <w:top w:val="nil"/>
              <w:left w:val="nil"/>
              <w:bottom w:val="single" w:color="auto" w:sz="4" w:space="0"/>
              <w:right w:val="single" w:color="auto" w:sz="8" w:space="0"/>
            </w:tcBorders>
            <w:noWrap w:val="0"/>
            <w:vAlign w:val="center"/>
          </w:tcPr>
          <w:p w14:paraId="75E39A0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617" w:type="pct"/>
            <w:tcBorders>
              <w:top w:val="nil"/>
              <w:left w:val="nil"/>
              <w:bottom w:val="single" w:color="auto" w:sz="4" w:space="0"/>
              <w:right w:val="single" w:color="auto" w:sz="8" w:space="0"/>
            </w:tcBorders>
            <w:noWrap w:val="0"/>
            <w:vAlign w:val="center"/>
          </w:tcPr>
          <w:p w14:paraId="1A1B5EB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资金到位率=（实际到位资金/预算资金）×100%。</w:t>
            </w:r>
          </w:p>
          <w:p w14:paraId="0D92ED3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资金到位率=100%，得权重分满分，每降低1%，扣除5%权重分，扣完为止。</w:t>
            </w:r>
          </w:p>
        </w:tc>
        <w:tc>
          <w:tcPr>
            <w:tcW w:w="289" w:type="pct"/>
            <w:tcBorders>
              <w:top w:val="nil"/>
              <w:left w:val="nil"/>
              <w:bottom w:val="single" w:color="auto" w:sz="4" w:space="0"/>
              <w:right w:val="single" w:color="auto" w:sz="8" w:space="0"/>
            </w:tcBorders>
            <w:noWrap w:val="0"/>
            <w:vAlign w:val="center"/>
          </w:tcPr>
          <w:p w14:paraId="763438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05" w:type="pct"/>
            <w:tcBorders>
              <w:top w:val="nil"/>
              <w:left w:val="nil"/>
              <w:bottom w:val="single" w:color="auto" w:sz="4" w:space="0"/>
              <w:right w:val="single" w:color="auto" w:sz="8" w:space="0"/>
            </w:tcBorders>
            <w:noWrap w:val="0"/>
            <w:vAlign w:val="center"/>
          </w:tcPr>
          <w:p w14:paraId="58B0E0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w:t>
            </w:r>
          </w:p>
        </w:tc>
      </w:tr>
    </w:tbl>
    <w:p w14:paraId="23762A4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sectPr>
          <w:pgSz w:w="16838" w:h="11906" w:orient="landscape"/>
          <w:pgMar w:top="1531" w:right="1985" w:bottom="1531" w:left="1701" w:header="851" w:footer="992" w:gutter="0"/>
          <w:pgNumType w:fmt="decimal"/>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8"/>
        <w:gridCol w:w="771"/>
        <w:gridCol w:w="546"/>
        <w:gridCol w:w="704"/>
        <w:gridCol w:w="781"/>
        <w:gridCol w:w="717"/>
        <w:gridCol w:w="1603"/>
        <w:gridCol w:w="1303"/>
        <w:gridCol w:w="4328"/>
        <w:gridCol w:w="773"/>
        <w:gridCol w:w="1084"/>
      </w:tblGrid>
      <w:tr w14:paraId="65701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283" w:type="pct"/>
            <w:vMerge w:val="restart"/>
            <w:tcBorders>
              <w:top w:val="single" w:color="auto" w:sz="4" w:space="0"/>
              <w:left w:val="single" w:color="auto" w:sz="4" w:space="0"/>
              <w:right w:val="single" w:color="auto" w:sz="8" w:space="0"/>
            </w:tcBorders>
            <w:noWrap w:val="0"/>
            <w:vAlign w:val="center"/>
          </w:tcPr>
          <w:p w14:paraId="50F241E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restart"/>
            <w:tcBorders>
              <w:top w:val="single" w:color="auto" w:sz="4" w:space="0"/>
              <w:left w:val="nil"/>
              <w:right w:val="single" w:color="auto" w:sz="8" w:space="0"/>
            </w:tcBorders>
            <w:noWrap w:val="0"/>
            <w:vAlign w:val="center"/>
          </w:tcPr>
          <w:p w14:paraId="6FED594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restart"/>
            <w:tcBorders>
              <w:top w:val="single" w:color="auto" w:sz="4" w:space="0"/>
              <w:left w:val="nil"/>
              <w:right w:val="single" w:color="auto" w:sz="8" w:space="0"/>
            </w:tcBorders>
            <w:noWrap w:val="0"/>
            <w:vAlign w:val="center"/>
          </w:tcPr>
          <w:p w14:paraId="2120E41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restart"/>
            <w:tcBorders>
              <w:top w:val="single" w:color="auto" w:sz="4" w:space="0"/>
              <w:left w:val="nil"/>
              <w:right w:val="single" w:color="auto" w:sz="8" w:space="0"/>
            </w:tcBorders>
            <w:noWrap w:val="0"/>
            <w:vAlign w:val="center"/>
          </w:tcPr>
          <w:p w14:paraId="478BD07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single" w:color="auto" w:sz="4" w:space="0"/>
              <w:left w:val="nil"/>
              <w:bottom w:val="single" w:color="auto" w:sz="4" w:space="0"/>
              <w:right w:val="single" w:color="auto" w:sz="8" w:space="0"/>
            </w:tcBorders>
            <w:noWrap w:val="0"/>
            <w:vAlign w:val="center"/>
          </w:tcPr>
          <w:p w14:paraId="71066F8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w:t>
            </w:r>
          </w:p>
        </w:tc>
        <w:tc>
          <w:tcPr>
            <w:tcW w:w="268" w:type="pct"/>
            <w:tcBorders>
              <w:top w:val="single" w:color="auto" w:sz="4" w:space="0"/>
              <w:left w:val="nil"/>
              <w:bottom w:val="single" w:color="auto" w:sz="4" w:space="0"/>
              <w:right w:val="single" w:color="auto" w:sz="8" w:space="0"/>
            </w:tcBorders>
            <w:noWrap w:val="0"/>
            <w:vAlign w:val="center"/>
          </w:tcPr>
          <w:p w14:paraId="021F356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w:t>
            </w:r>
          </w:p>
        </w:tc>
        <w:tc>
          <w:tcPr>
            <w:tcW w:w="599" w:type="pct"/>
            <w:tcBorders>
              <w:top w:val="single" w:color="auto" w:sz="4" w:space="0"/>
              <w:left w:val="nil"/>
              <w:bottom w:val="single" w:color="auto" w:sz="4" w:space="0"/>
              <w:right w:val="single" w:color="auto" w:sz="8" w:space="0"/>
            </w:tcBorders>
            <w:noWrap w:val="0"/>
            <w:vAlign w:val="center"/>
          </w:tcPr>
          <w:p w14:paraId="2A9E032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项目预算资金是否按照计划执行，用以反映或考核项目预算执行情况。</w:t>
            </w:r>
          </w:p>
        </w:tc>
        <w:tc>
          <w:tcPr>
            <w:tcW w:w="487" w:type="pct"/>
            <w:tcBorders>
              <w:top w:val="single" w:color="auto" w:sz="4" w:space="0"/>
              <w:left w:val="nil"/>
              <w:bottom w:val="single" w:color="auto" w:sz="4" w:space="0"/>
              <w:right w:val="single" w:color="auto" w:sz="8" w:space="0"/>
            </w:tcBorders>
            <w:noWrap w:val="0"/>
            <w:vAlign w:val="center"/>
          </w:tcPr>
          <w:p w14:paraId="1119DBB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617" w:type="pct"/>
            <w:tcBorders>
              <w:top w:val="single" w:color="auto" w:sz="4" w:space="0"/>
              <w:left w:val="nil"/>
              <w:bottom w:val="single" w:color="auto" w:sz="4" w:space="0"/>
              <w:right w:val="single" w:color="auto" w:sz="8" w:space="0"/>
            </w:tcBorders>
            <w:noWrap w:val="0"/>
            <w:vAlign w:val="center"/>
          </w:tcPr>
          <w:p w14:paraId="7904B3C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预算执行率=（实际支出资金/实际到位资金）×100%。</w:t>
            </w:r>
          </w:p>
          <w:p w14:paraId="526BFFA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预算执行率=100%，得权重分满分；若预算执行率＜100%，得分=预算执行率*分值；若执行率≤60%，则不得分。</w:t>
            </w:r>
          </w:p>
        </w:tc>
        <w:tc>
          <w:tcPr>
            <w:tcW w:w="289" w:type="pct"/>
            <w:tcBorders>
              <w:top w:val="single" w:color="auto" w:sz="4" w:space="0"/>
              <w:left w:val="nil"/>
              <w:bottom w:val="single" w:color="auto" w:sz="4" w:space="0"/>
              <w:right w:val="single" w:color="auto" w:sz="8" w:space="0"/>
            </w:tcBorders>
            <w:noWrap w:val="0"/>
            <w:vAlign w:val="center"/>
          </w:tcPr>
          <w:p w14:paraId="3F98FF2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93.8%</w:t>
            </w:r>
          </w:p>
        </w:tc>
        <w:tc>
          <w:tcPr>
            <w:tcW w:w="405" w:type="pct"/>
            <w:tcBorders>
              <w:top w:val="single" w:color="auto" w:sz="4" w:space="0"/>
              <w:left w:val="nil"/>
              <w:bottom w:val="single" w:color="auto" w:sz="4" w:space="0"/>
              <w:right w:val="single" w:color="auto" w:sz="4" w:space="0"/>
            </w:tcBorders>
            <w:noWrap w:val="0"/>
            <w:vAlign w:val="center"/>
          </w:tcPr>
          <w:p w14:paraId="44DBD85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 xml:space="preserve">1.88 </w:t>
            </w:r>
          </w:p>
        </w:tc>
      </w:tr>
      <w:tr w14:paraId="1B0E6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trPr>
        <w:tc>
          <w:tcPr>
            <w:tcW w:w="283" w:type="pct"/>
            <w:vMerge w:val="continue"/>
            <w:tcBorders>
              <w:top w:val="single" w:color="auto" w:sz="4" w:space="0"/>
              <w:left w:val="single" w:color="auto" w:sz="4" w:space="0"/>
              <w:bottom w:val="single" w:color="auto" w:sz="8" w:space="0"/>
              <w:right w:val="single" w:color="auto" w:sz="8" w:space="0"/>
            </w:tcBorders>
            <w:noWrap w:val="0"/>
            <w:vAlign w:val="center"/>
          </w:tcPr>
          <w:p w14:paraId="70BC081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single" w:color="auto" w:sz="4" w:space="0"/>
              <w:left w:val="nil"/>
              <w:bottom w:val="single" w:color="auto" w:sz="8" w:space="0"/>
              <w:right w:val="single" w:color="auto" w:sz="8" w:space="0"/>
            </w:tcBorders>
            <w:noWrap w:val="0"/>
            <w:vAlign w:val="center"/>
          </w:tcPr>
          <w:p w14:paraId="44AF553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single" w:color="auto" w:sz="4" w:space="0"/>
              <w:left w:val="nil"/>
              <w:bottom w:val="single" w:color="auto" w:sz="8" w:space="0"/>
              <w:right w:val="single" w:color="auto" w:sz="8" w:space="0"/>
            </w:tcBorders>
            <w:noWrap w:val="0"/>
            <w:vAlign w:val="center"/>
          </w:tcPr>
          <w:p w14:paraId="1252596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single" w:color="auto" w:sz="4" w:space="0"/>
              <w:left w:val="nil"/>
              <w:bottom w:val="single" w:color="auto" w:sz="8" w:space="0"/>
              <w:right w:val="single" w:color="auto" w:sz="8" w:space="0"/>
            </w:tcBorders>
            <w:noWrap w:val="0"/>
            <w:vAlign w:val="center"/>
          </w:tcPr>
          <w:p w14:paraId="6ED1374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single" w:color="auto" w:sz="4" w:space="0"/>
              <w:left w:val="nil"/>
              <w:bottom w:val="single" w:color="auto" w:sz="8" w:space="0"/>
              <w:right w:val="single" w:color="auto" w:sz="8" w:space="0"/>
            </w:tcBorders>
            <w:noWrap w:val="0"/>
            <w:vAlign w:val="center"/>
          </w:tcPr>
          <w:p w14:paraId="72160EC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资金使用合规性</w:t>
            </w:r>
          </w:p>
        </w:tc>
        <w:tc>
          <w:tcPr>
            <w:tcW w:w="268" w:type="pct"/>
            <w:tcBorders>
              <w:top w:val="single" w:color="auto" w:sz="4" w:space="0"/>
              <w:left w:val="nil"/>
              <w:bottom w:val="single" w:color="auto" w:sz="8" w:space="0"/>
              <w:right w:val="single" w:color="auto" w:sz="8" w:space="0"/>
            </w:tcBorders>
            <w:noWrap w:val="0"/>
            <w:vAlign w:val="center"/>
          </w:tcPr>
          <w:p w14:paraId="34FD377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599" w:type="pct"/>
            <w:tcBorders>
              <w:top w:val="single" w:color="auto" w:sz="4" w:space="0"/>
              <w:left w:val="nil"/>
              <w:bottom w:val="single" w:color="auto" w:sz="8" w:space="0"/>
              <w:right w:val="single" w:color="auto" w:sz="8" w:space="0"/>
            </w:tcBorders>
            <w:noWrap w:val="0"/>
            <w:vAlign w:val="center"/>
          </w:tcPr>
          <w:p w14:paraId="29BFFF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项目资金使用是否符合相关的财务管理制度规定，用以反映和考核项目资金的规范运行情况。</w:t>
            </w:r>
          </w:p>
        </w:tc>
        <w:tc>
          <w:tcPr>
            <w:tcW w:w="487" w:type="pct"/>
            <w:tcBorders>
              <w:top w:val="single" w:color="auto" w:sz="4" w:space="0"/>
              <w:left w:val="nil"/>
              <w:bottom w:val="single" w:color="auto" w:sz="8" w:space="0"/>
              <w:right w:val="single" w:color="auto" w:sz="8" w:space="0"/>
            </w:tcBorders>
            <w:noWrap w:val="0"/>
            <w:vAlign w:val="center"/>
          </w:tcPr>
          <w:p w14:paraId="665C698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1617" w:type="pct"/>
            <w:tcBorders>
              <w:top w:val="single" w:color="auto" w:sz="4" w:space="0"/>
              <w:left w:val="nil"/>
              <w:bottom w:val="single" w:color="auto" w:sz="8" w:space="0"/>
              <w:right w:val="single" w:color="auto" w:sz="8" w:space="0"/>
            </w:tcBorders>
            <w:noWrap w:val="0"/>
            <w:vAlign w:val="center"/>
          </w:tcPr>
          <w:p w14:paraId="616C55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①否符合国家财经法规和财务管理制度以及有关专项资金管理办法的规定；</w:t>
            </w:r>
          </w:p>
          <w:p w14:paraId="11698A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②资金的拨付是否有完整的审批程序和手续；</w:t>
            </w:r>
          </w:p>
          <w:p w14:paraId="6AB1EEF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③是否符合项目预算批复或合同规定的用途；</w:t>
            </w:r>
          </w:p>
          <w:p w14:paraId="3ECA12C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④是否存在截留、挤占、挪用、虚列支出等情况。</w:t>
            </w:r>
          </w:p>
          <w:p w14:paraId="2366133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以上每条指标各占权重分的25%，要素①②不符合，扣除对应权重分；要素③④不符合属于重大违纪，该指标不得分。</w:t>
            </w:r>
          </w:p>
        </w:tc>
        <w:tc>
          <w:tcPr>
            <w:tcW w:w="289" w:type="pct"/>
            <w:tcBorders>
              <w:top w:val="single" w:color="auto" w:sz="4" w:space="0"/>
              <w:left w:val="nil"/>
              <w:bottom w:val="single" w:color="auto" w:sz="8" w:space="0"/>
              <w:right w:val="single" w:color="auto" w:sz="8" w:space="0"/>
            </w:tcBorders>
            <w:noWrap w:val="0"/>
            <w:vAlign w:val="center"/>
          </w:tcPr>
          <w:p w14:paraId="2B56FBC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合规</w:t>
            </w:r>
          </w:p>
        </w:tc>
        <w:tc>
          <w:tcPr>
            <w:tcW w:w="405" w:type="pct"/>
            <w:tcBorders>
              <w:top w:val="single" w:color="auto" w:sz="4" w:space="0"/>
              <w:left w:val="nil"/>
              <w:bottom w:val="single" w:color="auto" w:sz="8" w:space="0"/>
              <w:right w:val="single" w:color="auto" w:sz="8" w:space="0"/>
            </w:tcBorders>
            <w:noWrap w:val="0"/>
            <w:vAlign w:val="center"/>
          </w:tcPr>
          <w:p w14:paraId="6738FA5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5F5F2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283" w:type="pct"/>
            <w:vMerge w:val="continue"/>
            <w:tcBorders>
              <w:top w:val="nil"/>
              <w:left w:val="single" w:color="auto" w:sz="4" w:space="0"/>
              <w:bottom w:val="single" w:color="auto" w:sz="8" w:space="0"/>
              <w:right w:val="single" w:color="auto" w:sz="8" w:space="0"/>
            </w:tcBorders>
            <w:noWrap w:val="0"/>
            <w:vAlign w:val="center"/>
          </w:tcPr>
          <w:p w14:paraId="4048649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66760A5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restart"/>
            <w:tcBorders>
              <w:top w:val="nil"/>
              <w:left w:val="nil"/>
              <w:bottom w:val="single" w:color="auto" w:sz="8" w:space="0"/>
              <w:right w:val="single" w:color="auto" w:sz="8" w:space="0"/>
            </w:tcBorders>
            <w:noWrap w:val="0"/>
            <w:vAlign w:val="center"/>
          </w:tcPr>
          <w:p w14:paraId="665FAB4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组织实施</w:t>
            </w:r>
          </w:p>
        </w:tc>
        <w:tc>
          <w:tcPr>
            <w:tcW w:w="263" w:type="pct"/>
            <w:vMerge w:val="restart"/>
            <w:tcBorders>
              <w:top w:val="nil"/>
              <w:left w:val="nil"/>
              <w:bottom w:val="single" w:color="auto" w:sz="8" w:space="0"/>
              <w:right w:val="single" w:color="auto" w:sz="8" w:space="0"/>
            </w:tcBorders>
            <w:noWrap w:val="0"/>
            <w:vAlign w:val="center"/>
          </w:tcPr>
          <w:p w14:paraId="08942A7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6</w:t>
            </w:r>
          </w:p>
        </w:tc>
        <w:tc>
          <w:tcPr>
            <w:tcW w:w="292" w:type="pct"/>
            <w:tcBorders>
              <w:top w:val="nil"/>
              <w:left w:val="nil"/>
              <w:bottom w:val="single" w:color="auto" w:sz="8" w:space="0"/>
              <w:right w:val="single" w:color="auto" w:sz="8" w:space="0"/>
            </w:tcBorders>
            <w:noWrap w:val="0"/>
            <w:vAlign w:val="center"/>
          </w:tcPr>
          <w:p w14:paraId="19BE5FC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管理制度健全性</w:t>
            </w:r>
          </w:p>
        </w:tc>
        <w:tc>
          <w:tcPr>
            <w:tcW w:w="268" w:type="pct"/>
            <w:tcBorders>
              <w:top w:val="nil"/>
              <w:left w:val="nil"/>
              <w:bottom w:val="single" w:color="auto" w:sz="8" w:space="0"/>
              <w:right w:val="single" w:color="auto" w:sz="8" w:space="0"/>
            </w:tcBorders>
            <w:noWrap w:val="0"/>
            <w:vAlign w:val="center"/>
          </w:tcPr>
          <w:p w14:paraId="49F676F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599" w:type="pct"/>
            <w:tcBorders>
              <w:top w:val="nil"/>
              <w:left w:val="nil"/>
              <w:bottom w:val="single" w:color="auto" w:sz="8" w:space="0"/>
              <w:right w:val="single" w:color="auto" w:sz="8" w:space="0"/>
            </w:tcBorders>
            <w:noWrap w:val="0"/>
            <w:vAlign w:val="center"/>
          </w:tcPr>
          <w:p w14:paraId="53C316B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项目实施单位的财务和业务管理制度是否健全，用以反映和考核财务和业务管理制度对项目顺利实施的保障情况。</w:t>
            </w:r>
          </w:p>
        </w:tc>
        <w:tc>
          <w:tcPr>
            <w:tcW w:w="487" w:type="pct"/>
            <w:tcBorders>
              <w:top w:val="nil"/>
              <w:left w:val="nil"/>
              <w:bottom w:val="single" w:color="auto" w:sz="8" w:space="0"/>
              <w:right w:val="single" w:color="auto" w:sz="8" w:space="0"/>
            </w:tcBorders>
            <w:noWrap w:val="0"/>
            <w:vAlign w:val="center"/>
          </w:tcPr>
          <w:p w14:paraId="145296D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1617" w:type="pct"/>
            <w:tcBorders>
              <w:top w:val="nil"/>
              <w:left w:val="nil"/>
              <w:bottom w:val="single" w:color="auto" w:sz="8" w:space="0"/>
              <w:right w:val="single" w:color="auto" w:sz="8" w:space="0"/>
            </w:tcBorders>
            <w:noWrap w:val="0"/>
            <w:vAlign w:val="center"/>
          </w:tcPr>
          <w:p w14:paraId="78D5EBE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①是否已制定或具有相应的财务和业务管理制度；</w:t>
            </w:r>
          </w:p>
          <w:p w14:paraId="1C00C14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②财务和业务管理制度是否合法、合规、完整。</w:t>
            </w:r>
          </w:p>
          <w:p w14:paraId="158A097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以上每条要素各占权重的50%，每有一条不符合，扣除对应的权重分，扣完为止。</w:t>
            </w:r>
          </w:p>
        </w:tc>
        <w:tc>
          <w:tcPr>
            <w:tcW w:w="289" w:type="pct"/>
            <w:tcBorders>
              <w:top w:val="nil"/>
              <w:left w:val="nil"/>
              <w:bottom w:val="single" w:color="auto" w:sz="8" w:space="0"/>
              <w:right w:val="single" w:color="auto" w:sz="8" w:space="0"/>
            </w:tcBorders>
            <w:noWrap w:val="0"/>
            <w:vAlign w:val="center"/>
          </w:tcPr>
          <w:p w14:paraId="7037FBA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健全</w:t>
            </w:r>
          </w:p>
        </w:tc>
        <w:tc>
          <w:tcPr>
            <w:tcW w:w="405" w:type="pct"/>
            <w:tcBorders>
              <w:top w:val="nil"/>
              <w:left w:val="nil"/>
              <w:bottom w:val="single" w:color="auto" w:sz="8" w:space="0"/>
              <w:right w:val="single" w:color="auto" w:sz="8" w:space="0"/>
            </w:tcBorders>
            <w:noWrap w:val="0"/>
            <w:vAlign w:val="center"/>
          </w:tcPr>
          <w:p w14:paraId="20590FD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01B9D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283" w:type="pct"/>
            <w:vMerge w:val="continue"/>
            <w:tcBorders>
              <w:top w:val="nil"/>
              <w:left w:val="single" w:color="auto" w:sz="4" w:space="0"/>
              <w:bottom w:val="single" w:color="auto" w:sz="8" w:space="0"/>
              <w:right w:val="single" w:color="auto" w:sz="8" w:space="0"/>
            </w:tcBorders>
            <w:noWrap w:val="0"/>
            <w:vAlign w:val="center"/>
          </w:tcPr>
          <w:p w14:paraId="1AE28F7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6E8D4442">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04E8AC6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8" w:space="0"/>
            </w:tcBorders>
            <w:noWrap w:val="0"/>
            <w:vAlign w:val="center"/>
          </w:tcPr>
          <w:p w14:paraId="48AF5F91">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nil"/>
              <w:left w:val="nil"/>
              <w:bottom w:val="single" w:color="auto" w:sz="4" w:space="0"/>
              <w:right w:val="single" w:color="auto" w:sz="8" w:space="0"/>
            </w:tcBorders>
            <w:noWrap w:val="0"/>
            <w:vAlign w:val="center"/>
          </w:tcPr>
          <w:p w14:paraId="15D8D48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268" w:type="pct"/>
            <w:tcBorders>
              <w:top w:val="nil"/>
              <w:left w:val="nil"/>
              <w:bottom w:val="single" w:color="auto" w:sz="4" w:space="0"/>
              <w:right w:val="single" w:color="auto" w:sz="8" w:space="0"/>
            </w:tcBorders>
            <w:noWrap w:val="0"/>
            <w:vAlign w:val="center"/>
          </w:tcPr>
          <w:p w14:paraId="5135465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599" w:type="pct"/>
            <w:tcBorders>
              <w:top w:val="nil"/>
              <w:left w:val="nil"/>
              <w:bottom w:val="single" w:color="auto" w:sz="4" w:space="0"/>
              <w:right w:val="single" w:color="auto" w:sz="8" w:space="0"/>
            </w:tcBorders>
            <w:noWrap w:val="0"/>
            <w:vAlign w:val="center"/>
          </w:tcPr>
          <w:p w14:paraId="5E21B61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项目实施是否符合相关管理规定，用以反映和考核相关管理制度的有效执行情况。</w:t>
            </w:r>
          </w:p>
        </w:tc>
        <w:tc>
          <w:tcPr>
            <w:tcW w:w="487" w:type="pct"/>
            <w:tcBorders>
              <w:top w:val="nil"/>
              <w:left w:val="nil"/>
              <w:bottom w:val="single" w:color="auto" w:sz="4" w:space="0"/>
              <w:right w:val="single" w:color="auto" w:sz="8" w:space="0"/>
            </w:tcBorders>
            <w:noWrap w:val="0"/>
            <w:vAlign w:val="center"/>
          </w:tcPr>
          <w:p w14:paraId="5F2E50B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1617" w:type="pct"/>
            <w:tcBorders>
              <w:top w:val="nil"/>
              <w:left w:val="nil"/>
              <w:bottom w:val="single" w:color="auto" w:sz="4" w:space="0"/>
              <w:right w:val="single" w:color="auto" w:sz="8" w:space="0"/>
            </w:tcBorders>
            <w:noWrap w:val="0"/>
            <w:vAlign w:val="center"/>
          </w:tcPr>
          <w:p w14:paraId="6391C6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628692C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01670BB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46B2A36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289" w:type="pct"/>
            <w:tcBorders>
              <w:top w:val="nil"/>
              <w:left w:val="nil"/>
              <w:bottom w:val="single" w:color="auto" w:sz="4" w:space="0"/>
              <w:right w:val="single" w:color="auto" w:sz="8" w:space="0"/>
            </w:tcBorders>
            <w:noWrap w:val="0"/>
            <w:vAlign w:val="center"/>
          </w:tcPr>
          <w:p w14:paraId="2916FE8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405" w:type="pct"/>
            <w:tcBorders>
              <w:top w:val="nil"/>
              <w:left w:val="nil"/>
              <w:bottom w:val="single" w:color="auto" w:sz="4" w:space="0"/>
              <w:right w:val="single" w:color="auto" w:sz="8" w:space="0"/>
            </w:tcBorders>
            <w:noWrap w:val="0"/>
            <w:vAlign w:val="center"/>
          </w:tcPr>
          <w:p w14:paraId="4C2C4D6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r>
      <w:tr w14:paraId="2380C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5" w:hRule="atLeast"/>
        </w:trPr>
        <w:tc>
          <w:tcPr>
            <w:tcW w:w="283" w:type="pct"/>
            <w:vMerge w:val="restart"/>
            <w:tcBorders>
              <w:top w:val="nil"/>
              <w:left w:val="single" w:color="auto" w:sz="8" w:space="0"/>
              <w:bottom w:val="single" w:color="auto" w:sz="8" w:space="0"/>
              <w:right w:val="single" w:color="auto" w:sz="8" w:space="0"/>
            </w:tcBorders>
            <w:noWrap w:val="0"/>
            <w:vAlign w:val="center"/>
          </w:tcPr>
          <w:p w14:paraId="102CE6B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288" w:type="pct"/>
            <w:vMerge w:val="restart"/>
            <w:tcBorders>
              <w:top w:val="nil"/>
              <w:left w:val="nil"/>
              <w:bottom w:val="single" w:color="auto" w:sz="8" w:space="0"/>
              <w:right w:val="single" w:color="auto" w:sz="8" w:space="0"/>
            </w:tcBorders>
            <w:noWrap w:val="0"/>
            <w:vAlign w:val="center"/>
          </w:tcPr>
          <w:p w14:paraId="78DA38D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40</w:t>
            </w:r>
          </w:p>
        </w:tc>
        <w:tc>
          <w:tcPr>
            <w:tcW w:w="204" w:type="pct"/>
            <w:tcBorders>
              <w:top w:val="nil"/>
              <w:left w:val="nil"/>
              <w:bottom w:val="single" w:color="auto" w:sz="8" w:space="0"/>
              <w:right w:val="single" w:color="auto" w:sz="8" w:space="0"/>
            </w:tcBorders>
            <w:noWrap w:val="0"/>
            <w:vAlign w:val="center"/>
          </w:tcPr>
          <w:p w14:paraId="2F6B1F0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263" w:type="pct"/>
            <w:tcBorders>
              <w:top w:val="nil"/>
              <w:left w:val="nil"/>
              <w:bottom w:val="single" w:color="auto" w:sz="8" w:space="0"/>
              <w:right w:val="single" w:color="auto" w:sz="4" w:space="0"/>
            </w:tcBorders>
            <w:noWrap w:val="0"/>
            <w:vAlign w:val="center"/>
          </w:tcPr>
          <w:p w14:paraId="73EF77B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92" w:type="pct"/>
            <w:tcBorders>
              <w:top w:val="single" w:color="auto" w:sz="4" w:space="0"/>
              <w:left w:val="single" w:color="auto" w:sz="4" w:space="0"/>
              <w:bottom w:val="single" w:color="auto" w:sz="4" w:space="0"/>
              <w:right w:val="single" w:color="auto" w:sz="4" w:space="0"/>
            </w:tcBorders>
            <w:noWrap w:val="0"/>
            <w:vAlign w:val="center"/>
          </w:tcPr>
          <w:p w14:paraId="2504801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60114C4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00CB935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采购太阳能路灯</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54981F5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≥720盏</w:t>
            </w:r>
          </w:p>
        </w:tc>
        <w:tc>
          <w:tcPr>
            <w:tcW w:w="1617" w:type="pct"/>
            <w:tcBorders>
              <w:top w:val="single" w:color="auto" w:sz="4" w:space="0"/>
              <w:left w:val="single" w:color="auto" w:sz="4" w:space="0"/>
              <w:bottom w:val="single" w:color="auto" w:sz="4" w:space="0"/>
              <w:right w:val="single" w:color="auto" w:sz="4" w:space="0"/>
            </w:tcBorders>
            <w:noWrap w:val="0"/>
            <w:vAlign w:val="center"/>
          </w:tcPr>
          <w:p w14:paraId="37A20C6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实际完成率=（实际完成/预期完成）×100%。</w:t>
            </w:r>
          </w:p>
          <w:p w14:paraId="36260FC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①实际完成率≥100%，且偏离程度＜20%，得满分；</w:t>
            </w:r>
          </w:p>
          <w:p w14:paraId="4B3C832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②实际完成率≥100%，偏离程度≥20%，得0分；</w:t>
            </w:r>
          </w:p>
          <w:p w14:paraId="342C6B8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③实际完成率×100%＜100%，得分=实际完成率×指标分值。</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57B9D89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720盏</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A9D56C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39435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05660CFC">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41539D7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tcBorders>
              <w:top w:val="nil"/>
              <w:left w:val="nil"/>
              <w:bottom w:val="single" w:color="auto" w:sz="8" w:space="0"/>
              <w:right w:val="single" w:color="auto" w:sz="8" w:space="0"/>
            </w:tcBorders>
            <w:noWrap w:val="0"/>
            <w:vAlign w:val="center"/>
          </w:tcPr>
          <w:p w14:paraId="3BE8131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产出质量</w:t>
            </w:r>
          </w:p>
        </w:tc>
        <w:tc>
          <w:tcPr>
            <w:tcW w:w="263" w:type="pct"/>
            <w:tcBorders>
              <w:top w:val="nil"/>
              <w:left w:val="nil"/>
              <w:bottom w:val="single" w:color="auto" w:sz="8" w:space="0"/>
              <w:right w:val="single" w:color="auto" w:sz="4" w:space="0"/>
            </w:tcBorders>
            <w:noWrap w:val="0"/>
            <w:vAlign w:val="center"/>
          </w:tcPr>
          <w:p w14:paraId="5287E4B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92" w:type="pct"/>
            <w:tcBorders>
              <w:top w:val="single" w:color="auto" w:sz="4" w:space="0"/>
              <w:left w:val="single" w:color="auto" w:sz="4" w:space="0"/>
              <w:bottom w:val="single" w:color="auto" w:sz="4" w:space="0"/>
              <w:right w:val="single" w:color="auto" w:sz="4" w:space="0"/>
            </w:tcBorders>
            <w:noWrap w:val="0"/>
            <w:vAlign w:val="center"/>
          </w:tcPr>
          <w:p w14:paraId="10FF36B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质量达标率</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49EA09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564C8FF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验收合格率</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4914C8A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617" w:type="pct"/>
            <w:tcBorders>
              <w:top w:val="single" w:color="auto" w:sz="4" w:space="0"/>
              <w:left w:val="single" w:color="auto" w:sz="4" w:space="0"/>
              <w:bottom w:val="single" w:color="auto" w:sz="4" w:space="0"/>
              <w:right w:val="single" w:color="auto" w:sz="4" w:space="0"/>
            </w:tcBorders>
            <w:noWrap w:val="0"/>
            <w:vAlign w:val="center"/>
          </w:tcPr>
          <w:p w14:paraId="04AE40C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若指标达到标杆值，则得100%权重分；否则，得分=（实际完成/预期完成）×100%×指标分值。</w:t>
            </w:r>
          </w:p>
          <w:p w14:paraId="2DA06D0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若指标完成值达到标杆值，则得100%权重分；否则，不得分。</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7B59F23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BBC308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r>
      <w:tr w14:paraId="5C476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2EC81E60">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1819378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restart"/>
            <w:tcBorders>
              <w:top w:val="nil"/>
              <w:left w:val="nil"/>
              <w:bottom w:val="single" w:color="auto" w:sz="8" w:space="0"/>
              <w:right w:val="single" w:color="auto" w:sz="8" w:space="0"/>
            </w:tcBorders>
            <w:noWrap w:val="0"/>
            <w:vAlign w:val="center"/>
          </w:tcPr>
          <w:p w14:paraId="034C327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263" w:type="pct"/>
            <w:vMerge w:val="restart"/>
            <w:tcBorders>
              <w:top w:val="nil"/>
              <w:left w:val="nil"/>
              <w:bottom w:val="single" w:color="auto" w:sz="8" w:space="0"/>
              <w:right w:val="single" w:color="auto" w:sz="4" w:space="0"/>
            </w:tcBorders>
            <w:noWrap w:val="0"/>
            <w:vAlign w:val="center"/>
          </w:tcPr>
          <w:p w14:paraId="3CD9802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92" w:type="pct"/>
            <w:vMerge w:val="restart"/>
            <w:tcBorders>
              <w:top w:val="single" w:color="auto" w:sz="4" w:space="0"/>
              <w:left w:val="single" w:color="auto" w:sz="4" w:space="0"/>
              <w:bottom w:val="single" w:color="auto" w:sz="4" w:space="0"/>
              <w:right w:val="single" w:color="auto" w:sz="4" w:space="0"/>
            </w:tcBorders>
            <w:noWrap w:val="0"/>
            <w:vAlign w:val="center"/>
          </w:tcPr>
          <w:p w14:paraId="73AC18C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9D1DFE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55213B4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项目完成时间</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70F9B52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202年10月</w:t>
            </w:r>
          </w:p>
        </w:tc>
        <w:tc>
          <w:tcPr>
            <w:tcW w:w="1617" w:type="pct"/>
            <w:vMerge w:val="restart"/>
            <w:tcBorders>
              <w:top w:val="single" w:color="auto" w:sz="4" w:space="0"/>
              <w:left w:val="single" w:color="auto" w:sz="4" w:space="0"/>
              <w:bottom w:val="single" w:color="auto" w:sz="4" w:space="0"/>
              <w:right w:val="single" w:color="auto" w:sz="4" w:space="0"/>
            </w:tcBorders>
            <w:noWrap w:val="0"/>
            <w:vAlign w:val="center"/>
          </w:tcPr>
          <w:p w14:paraId="49C7020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若指标完成值达到标杆值，则得100%权重分；否则，得分=（实际完成/预期完成）×100%×指标分值。</w:t>
            </w:r>
          </w:p>
          <w:p w14:paraId="234ACF8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58DDD31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2024年12月</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3A7D1E4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0</w:t>
            </w:r>
          </w:p>
        </w:tc>
      </w:tr>
      <w:tr w14:paraId="6BAF3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3F19E82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0A4B075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3BDAC16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4" w:space="0"/>
            </w:tcBorders>
            <w:noWrap w:val="0"/>
            <w:vAlign w:val="center"/>
          </w:tcPr>
          <w:p w14:paraId="6C27629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vMerge w:val="continue"/>
            <w:tcBorders>
              <w:top w:val="single" w:color="auto" w:sz="4" w:space="0"/>
              <w:left w:val="single" w:color="auto" w:sz="4" w:space="0"/>
              <w:bottom w:val="single" w:color="auto" w:sz="4" w:space="0"/>
              <w:right w:val="single" w:color="auto" w:sz="4" w:space="0"/>
            </w:tcBorders>
            <w:noWrap w:val="0"/>
            <w:vAlign w:val="center"/>
          </w:tcPr>
          <w:p w14:paraId="40960CC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04A802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2FF5AE9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资金支付及时率</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3937E6A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1617" w:type="pct"/>
            <w:vMerge w:val="continue"/>
            <w:tcBorders>
              <w:top w:val="single" w:color="auto" w:sz="4" w:space="0"/>
              <w:left w:val="single" w:color="auto" w:sz="4" w:space="0"/>
              <w:bottom w:val="single" w:color="auto" w:sz="4" w:space="0"/>
              <w:right w:val="single" w:color="auto" w:sz="4" w:space="0"/>
            </w:tcBorders>
            <w:noWrap w:val="0"/>
            <w:vAlign w:val="center"/>
          </w:tcPr>
          <w:p w14:paraId="22B3FE6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p>
        </w:tc>
        <w:tc>
          <w:tcPr>
            <w:tcW w:w="289" w:type="pct"/>
            <w:tcBorders>
              <w:top w:val="single" w:color="auto" w:sz="4" w:space="0"/>
              <w:left w:val="single" w:color="auto" w:sz="4" w:space="0"/>
              <w:bottom w:val="single" w:color="auto" w:sz="4" w:space="0"/>
              <w:right w:val="single" w:color="auto" w:sz="4" w:space="0"/>
            </w:tcBorders>
            <w:noWrap w:val="0"/>
            <w:vAlign w:val="center"/>
          </w:tcPr>
          <w:p w14:paraId="27F468AD">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4410B7A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w:t>
            </w:r>
          </w:p>
        </w:tc>
      </w:tr>
      <w:tr w14:paraId="13BCA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59A16C8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26C6374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restart"/>
            <w:tcBorders>
              <w:top w:val="nil"/>
              <w:left w:val="nil"/>
              <w:bottom w:val="single" w:color="auto" w:sz="8" w:space="0"/>
              <w:right w:val="single" w:color="auto" w:sz="8" w:space="0"/>
            </w:tcBorders>
            <w:noWrap w:val="0"/>
            <w:vAlign w:val="center"/>
          </w:tcPr>
          <w:p w14:paraId="2CA990A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263" w:type="pct"/>
            <w:vMerge w:val="restart"/>
            <w:tcBorders>
              <w:top w:val="nil"/>
              <w:left w:val="nil"/>
              <w:bottom w:val="single" w:color="auto" w:sz="8" w:space="0"/>
              <w:right w:val="single" w:color="auto" w:sz="4" w:space="0"/>
            </w:tcBorders>
            <w:noWrap w:val="0"/>
            <w:vAlign w:val="center"/>
          </w:tcPr>
          <w:p w14:paraId="30EF646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92" w:type="pct"/>
            <w:vMerge w:val="restart"/>
            <w:tcBorders>
              <w:top w:val="single" w:color="auto" w:sz="4" w:space="0"/>
              <w:left w:val="single" w:color="auto" w:sz="4" w:space="0"/>
              <w:bottom w:val="single" w:color="auto" w:sz="4" w:space="0"/>
              <w:right w:val="single" w:color="auto" w:sz="4" w:space="0"/>
            </w:tcBorders>
            <w:noWrap w:val="0"/>
            <w:vAlign w:val="center"/>
          </w:tcPr>
          <w:p w14:paraId="4BA4662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717A00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5E74B1A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布亚阿日希村投资额</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4920F61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≤50万元</w:t>
            </w:r>
          </w:p>
        </w:tc>
        <w:tc>
          <w:tcPr>
            <w:tcW w:w="1617" w:type="pct"/>
            <w:vMerge w:val="restart"/>
            <w:tcBorders>
              <w:top w:val="single" w:color="auto" w:sz="4" w:space="0"/>
              <w:left w:val="single" w:color="auto" w:sz="4" w:space="0"/>
              <w:bottom w:val="single" w:color="auto" w:sz="4" w:space="0"/>
              <w:right w:val="single" w:color="auto" w:sz="4" w:space="0"/>
            </w:tcBorders>
            <w:noWrap w:val="0"/>
            <w:vAlign w:val="center"/>
          </w:tcPr>
          <w:p w14:paraId="2658200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实际完成率=（实际支付资金数/计划应支付资金数）×100%。</w:t>
            </w:r>
          </w:p>
          <w:p w14:paraId="6720EB9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①实际完成率＞年度指标值，得0得分；</w:t>
            </w:r>
          </w:p>
          <w:p w14:paraId="4773E02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②实际完成率≤年度指标值，且偏离程度＜20%，得满分；③实际完成率＜年度指标值，且偏离程度≥20%，得分=实际完成率×分值。</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120DC7A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46.9万元</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937E3E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 xml:space="preserve">2.81 </w:t>
            </w:r>
          </w:p>
        </w:tc>
      </w:tr>
      <w:tr w14:paraId="5F447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3FC7883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7EE6511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17E526F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4" w:space="0"/>
            </w:tcBorders>
            <w:noWrap w:val="0"/>
            <w:vAlign w:val="center"/>
          </w:tcPr>
          <w:p w14:paraId="42A6EFC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vMerge w:val="continue"/>
            <w:tcBorders>
              <w:top w:val="single" w:color="auto" w:sz="4" w:space="0"/>
              <w:left w:val="single" w:color="auto" w:sz="4" w:space="0"/>
              <w:bottom w:val="single" w:color="auto" w:sz="4" w:space="0"/>
              <w:right w:val="single" w:color="auto" w:sz="4" w:space="0"/>
            </w:tcBorders>
            <w:noWrap w:val="0"/>
            <w:vAlign w:val="center"/>
          </w:tcPr>
          <w:p w14:paraId="2332300E">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85E82B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3</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2075526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塔木其拉村投资额</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4532B21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≤50万元</w:t>
            </w:r>
          </w:p>
        </w:tc>
        <w:tc>
          <w:tcPr>
            <w:tcW w:w="1617" w:type="pct"/>
            <w:vMerge w:val="continue"/>
            <w:tcBorders>
              <w:top w:val="single" w:color="auto" w:sz="4" w:space="0"/>
              <w:left w:val="single" w:color="auto" w:sz="4" w:space="0"/>
              <w:bottom w:val="single" w:color="auto" w:sz="4" w:space="0"/>
              <w:right w:val="single" w:color="auto" w:sz="4" w:space="0"/>
            </w:tcBorders>
            <w:noWrap w:val="0"/>
            <w:vAlign w:val="center"/>
          </w:tcPr>
          <w:p w14:paraId="30400B2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p>
        </w:tc>
        <w:tc>
          <w:tcPr>
            <w:tcW w:w="289" w:type="pct"/>
            <w:tcBorders>
              <w:top w:val="single" w:color="auto" w:sz="4" w:space="0"/>
              <w:left w:val="single" w:color="auto" w:sz="4" w:space="0"/>
              <w:bottom w:val="single" w:color="auto" w:sz="4" w:space="0"/>
              <w:right w:val="single" w:color="auto" w:sz="4" w:space="0"/>
            </w:tcBorders>
            <w:noWrap w:val="0"/>
            <w:vAlign w:val="center"/>
          </w:tcPr>
          <w:p w14:paraId="24A8A7B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46.9万元</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19F7083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 xml:space="preserve">2.81 </w:t>
            </w:r>
          </w:p>
        </w:tc>
      </w:tr>
      <w:tr w14:paraId="78E8D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2066D16D">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7CDB2E95">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305C86F3">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4" w:space="0"/>
            </w:tcBorders>
            <w:noWrap w:val="0"/>
            <w:vAlign w:val="center"/>
          </w:tcPr>
          <w:p w14:paraId="04AD5AA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vMerge w:val="continue"/>
            <w:tcBorders>
              <w:top w:val="single" w:color="auto" w:sz="4" w:space="0"/>
              <w:left w:val="single" w:color="auto" w:sz="4" w:space="0"/>
              <w:bottom w:val="single" w:color="auto" w:sz="4" w:space="0"/>
              <w:right w:val="single" w:color="auto" w:sz="4" w:space="0"/>
            </w:tcBorders>
            <w:noWrap w:val="0"/>
            <w:vAlign w:val="center"/>
          </w:tcPr>
          <w:p w14:paraId="1A0F4159">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7613E02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469F5A6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拜合提勒克扎村投资额</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1634182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≤50万元</w:t>
            </w:r>
          </w:p>
        </w:tc>
        <w:tc>
          <w:tcPr>
            <w:tcW w:w="1617" w:type="pct"/>
            <w:vMerge w:val="continue"/>
            <w:tcBorders>
              <w:top w:val="single" w:color="auto" w:sz="4" w:space="0"/>
              <w:left w:val="single" w:color="auto" w:sz="4" w:space="0"/>
              <w:bottom w:val="single" w:color="auto" w:sz="4" w:space="0"/>
              <w:right w:val="single" w:color="auto" w:sz="4" w:space="0"/>
            </w:tcBorders>
            <w:noWrap w:val="0"/>
            <w:vAlign w:val="center"/>
          </w:tcPr>
          <w:p w14:paraId="205CF734">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p>
        </w:tc>
        <w:tc>
          <w:tcPr>
            <w:tcW w:w="289" w:type="pct"/>
            <w:tcBorders>
              <w:top w:val="single" w:color="auto" w:sz="4" w:space="0"/>
              <w:left w:val="single" w:color="auto" w:sz="4" w:space="0"/>
              <w:bottom w:val="single" w:color="auto" w:sz="4" w:space="0"/>
              <w:right w:val="single" w:color="auto" w:sz="4" w:space="0"/>
            </w:tcBorders>
            <w:noWrap w:val="0"/>
            <w:vAlign w:val="center"/>
          </w:tcPr>
          <w:p w14:paraId="29B37B3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46.9万元</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7CEACDD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 xml:space="preserve">3.75 </w:t>
            </w:r>
          </w:p>
        </w:tc>
      </w:tr>
      <w:tr w14:paraId="3E376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283" w:type="pct"/>
            <w:vMerge w:val="restart"/>
            <w:tcBorders>
              <w:top w:val="nil"/>
              <w:left w:val="single" w:color="auto" w:sz="8" w:space="0"/>
              <w:bottom w:val="single" w:color="auto" w:sz="8" w:space="0"/>
              <w:right w:val="single" w:color="auto" w:sz="8" w:space="0"/>
            </w:tcBorders>
            <w:noWrap w:val="0"/>
            <w:vAlign w:val="center"/>
          </w:tcPr>
          <w:p w14:paraId="09C9A22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288" w:type="pct"/>
            <w:vMerge w:val="restart"/>
            <w:tcBorders>
              <w:top w:val="nil"/>
              <w:left w:val="nil"/>
              <w:bottom w:val="single" w:color="auto" w:sz="8" w:space="0"/>
              <w:right w:val="single" w:color="auto" w:sz="8" w:space="0"/>
            </w:tcBorders>
            <w:noWrap w:val="0"/>
            <w:vAlign w:val="center"/>
          </w:tcPr>
          <w:p w14:paraId="2D0C5F9F">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204" w:type="pct"/>
            <w:vMerge w:val="restart"/>
            <w:tcBorders>
              <w:top w:val="nil"/>
              <w:left w:val="nil"/>
              <w:bottom w:val="single" w:color="auto" w:sz="8" w:space="0"/>
              <w:right w:val="single" w:color="auto" w:sz="8" w:space="0"/>
            </w:tcBorders>
            <w:noWrap w:val="0"/>
            <w:vAlign w:val="center"/>
          </w:tcPr>
          <w:p w14:paraId="1306DCB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263" w:type="pct"/>
            <w:vMerge w:val="restart"/>
            <w:tcBorders>
              <w:top w:val="nil"/>
              <w:left w:val="nil"/>
              <w:bottom w:val="single" w:color="auto" w:sz="8" w:space="0"/>
              <w:right w:val="single" w:color="auto" w:sz="4" w:space="0"/>
            </w:tcBorders>
            <w:noWrap w:val="0"/>
            <w:vAlign w:val="center"/>
          </w:tcPr>
          <w:p w14:paraId="367B156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25</w:t>
            </w:r>
          </w:p>
        </w:tc>
        <w:tc>
          <w:tcPr>
            <w:tcW w:w="292" w:type="pct"/>
            <w:tcBorders>
              <w:top w:val="single" w:color="auto" w:sz="4" w:space="0"/>
              <w:left w:val="single" w:color="auto" w:sz="4" w:space="0"/>
              <w:bottom w:val="single" w:color="auto" w:sz="4" w:space="0"/>
              <w:right w:val="single" w:color="auto" w:sz="4" w:space="0"/>
            </w:tcBorders>
            <w:noWrap w:val="0"/>
            <w:vAlign w:val="center"/>
          </w:tcPr>
          <w:p w14:paraId="663825F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社会效益</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1F60E7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15</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373DFC6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提升村容村貌，村庄规划管理工作</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7C3D1025">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有效提升</w:t>
            </w:r>
          </w:p>
        </w:tc>
        <w:tc>
          <w:tcPr>
            <w:tcW w:w="1617" w:type="pct"/>
            <w:tcBorders>
              <w:top w:val="single" w:color="auto" w:sz="4" w:space="0"/>
              <w:left w:val="single" w:color="auto" w:sz="4" w:space="0"/>
              <w:bottom w:val="single" w:color="auto" w:sz="4" w:space="0"/>
              <w:right w:val="single" w:color="auto" w:sz="4" w:space="0"/>
            </w:tcBorders>
            <w:noWrap w:val="0"/>
            <w:vAlign w:val="center"/>
          </w:tcPr>
          <w:p w14:paraId="1C30F4E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32740A4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有效提升</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71E128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 xml:space="preserve">15.00 </w:t>
            </w:r>
          </w:p>
        </w:tc>
      </w:tr>
      <w:tr w14:paraId="7FDFF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83" w:type="pct"/>
            <w:vMerge w:val="continue"/>
            <w:tcBorders>
              <w:top w:val="nil"/>
              <w:left w:val="single" w:color="auto" w:sz="8" w:space="0"/>
              <w:bottom w:val="single" w:color="auto" w:sz="8" w:space="0"/>
              <w:right w:val="single" w:color="auto" w:sz="8" w:space="0"/>
            </w:tcBorders>
            <w:noWrap w:val="0"/>
            <w:vAlign w:val="center"/>
          </w:tcPr>
          <w:p w14:paraId="47DA1D3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88" w:type="pct"/>
            <w:vMerge w:val="continue"/>
            <w:tcBorders>
              <w:top w:val="nil"/>
              <w:left w:val="nil"/>
              <w:bottom w:val="single" w:color="auto" w:sz="8" w:space="0"/>
              <w:right w:val="single" w:color="auto" w:sz="8" w:space="0"/>
            </w:tcBorders>
            <w:noWrap w:val="0"/>
            <w:vAlign w:val="center"/>
          </w:tcPr>
          <w:p w14:paraId="3707601F">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04" w:type="pct"/>
            <w:vMerge w:val="continue"/>
            <w:tcBorders>
              <w:top w:val="nil"/>
              <w:left w:val="nil"/>
              <w:bottom w:val="single" w:color="auto" w:sz="8" w:space="0"/>
              <w:right w:val="single" w:color="auto" w:sz="8" w:space="0"/>
            </w:tcBorders>
            <w:noWrap w:val="0"/>
            <w:vAlign w:val="center"/>
          </w:tcPr>
          <w:p w14:paraId="090E79C6">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vMerge w:val="continue"/>
            <w:tcBorders>
              <w:top w:val="nil"/>
              <w:left w:val="nil"/>
              <w:bottom w:val="single" w:color="auto" w:sz="8" w:space="0"/>
              <w:right w:val="single" w:color="auto" w:sz="4" w:space="0"/>
            </w:tcBorders>
            <w:noWrap w:val="0"/>
            <w:vAlign w:val="center"/>
          </w:tcPr>
          <w:p w14:paraId="6994A8FB">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92" w:type="pct"/>
            <w:tcBorders>
              <w:top w:val="single" w:color="auto" w:sz="4" w:space="0"/>
              <w:left w:val="single" w:color="auto" w:sz="4" w:space="0"/>
              <w:bottom w:val="single" w:color="auto" w:sz="4" w:space="0"/>
              <w:right w:val="single" w:color="auto" w:sz="4" w:space="0"/>
            </w:tcBorders>
            <w:noWrap w:val="0"/>
            <w:vAlign w:val="center"/>
          </w:tcPr>
          <w:p w14:paraId="1691CDF2">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18320087">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68DDD32A">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受益群众满意度</w:t>
            </w:r>
          </w:p>
        </w:tc>
        <w:tc>
          <w:tcPr>
            <w:tcW w:w="487" w:type="pct"/>
            <w:tcBorders>
              <w:top w:val="single" w:color="auto" w:sz="4" w:space="0"/>
              <w:left w:val="single" w:color="auto" w:sz="4" w:space="0"/>
              <w:bottom w:val="single" w:color="auto" w:sz="4" w:space="0"/>
              <w:right w:val="single" w:color="auto" w:sz="4" w:space="0"/>
            </w:tcBorders>
            <w:noWrap w:val="0"/>
            <w:vAlign w:val="center"/>
          </w:tcPr>
          <w:p w14:paraId="39E3AE7B">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≥95%</w:t>
            </w:r>
          </w:p>
        </w:tc>
        <w:tc>
          <w:tcPr>
            <w:tcW w:w="1617" w:type="pct"/>
            <w:tcBorders>
              <w:top w:val="single" w:color="auto" w:sz="4" w:space="0"/>
              <w:left w:val="single" w:color="auto" w:sz="4" w:space="0"/>
              <w:bottom w:val="single" w:color="auto" w:sz="4" w:space="0"/>
              <w:right w:val="single" w:color="auto" w:sz="4" w:space="0"/>
            </w:tcBorders>
            <w:noWrap w:val="0"/>
            <w:vAlign w:val="center"/>
          </w:tcPr>
          <w:p w14:paraId="3DBAB0AC">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根据问卷调查，满意度达到标杆值，得权重分的100%；否则低于95%，得分=实际满意度*指标分值。</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687839D1">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405" w:type="pct"/>
            <w:tcBorders>
              <w:top w:val="single" w:color="auto" w:sz="4" w:space="0"/>
              <w:left w:val="single" w:color="auto" w:sz="4" w:space="0"/>
              <w:bottom w:val="single" w:color="auto" w:sz="4" w:space="0"/>
              <w:right w:val="single" w:color="auto" w:sz="4" w:space="0"/>
            </w:tcBorders>
            <w:noWrap w:val="0"/>
            <w:vAlign w:val="center"/>
          </w:tcPr>
          <w:p w14:paraId="6D63C556">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 xml:space="preserve">10.00 </w:t>
            </w:r>
          </w:p>
        </w:tc>
      </w:tr>
      <w:tr w14:paraId="6C0E14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83" w:type="pct"/>
            <w:tcBorders>
              <w:top w:val="nil"/>
              <w:left w:val="single" w:color="auto" w:sz="8" w:space="0"/>
              <w:bottom w:val="single" w:color="auto" w:sz="8" w:space="0"/>
              <w:right w:val="single" w:color="auto" w:sz="8" w:space="0"/>
            </w:tcBorders>
            <w:noWrap w:val="0"/>
            <w:vAlign w:val="center"/>
          </w:tcPr>
          <w:p w14:paraId="669BEB7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288" w:type="pct"/>
            <w:tcBorders>
              <w:top w:val="nil"/>
              <w:left w:val="nil"/>
              <w:bottom w:val="single" w:color="auto" w:sz="8" w:space="0"/>
              <w:right w:val="single" w:color="auto" w:sz="8" w:space="0"/>
            </w:tcBorders>
            <w:noWrap w:val="0"/>
            <w:vAlign w:val="center"/>
          </w:tcPr>
          <w:p w14:paraId="50623359">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04" w:type="pct"/>
            <w:tcBorders>
              <w:top w:val="nil"/>
              <w:left w:val="nil"/>
              <w:bottom w:val="single" w:color="auto" w:sz="8" w:space="0"/>
              <w:right w:val="single" w:color="auto" w:sz="8" w:space="0"/>
            </w:tcBorders>
            <w:noWrap w:val="0"/>
            <w:vAlign w:val="center"/>
          </w:tcPr>
          <w:p w14:paraId="5DF05962">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3" w:type="pct"/>
            <w:tcBorders>
              <w:top w:val="nil"/>
              <w:left w:val="nil"/>
              <w:bottom w:val="single" w:color="auto" w:sz="8" w:space="0"/>
              <w:right w:val="single" w:color="auto" w:sz="4" w:space="0"/>
            </w:tcBorders>
            <w:noWrap w:val="0"/>
            <w:vAlign w:val="center"/>
          </w:tcPr>
          <w:p w14:paraId="7EFC705E">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92" w:type="pct"/>
            <w:tcBorders>
              <w:top w:val="single" w:color="auto" w:sz="4" w:space="0"/>
              <w:left w:val="single" w:color="auto" w:sz="4" w:space="0"/>
              <w:bottom w:val="single" w:color="auto" w:sz="4" w:space="0"/>
              <w:right w:val="single" w:color="auto" w:sz="4" w:space="0"/>
            </w:tcBorders>
            <w:noWrap w:val="0"/>
            <w:vAlign w:val="center"/>
          </w:tcPr>
          <w:p w14:paraId="69FB15BA">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1979640">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599" w:type="pct"/>
            <w:tcBorders>
              <w:top w:val="single" w:color="auto" w:sz="4" w:space="0"/>
              <w:left w:val="single" w:color="auto" w:sz="4" w:space="0"/>
              <w:bottom w:val="single" w:color="auto" w:sz="4" w:space="0"/>
              <w:right w:val="single" w:color="auto" w:sz="4" w:space="0"/>
            </w:tcBorders>
            <w:noWrap w:val="0"/>
            <w:vAlign w:val="center"/>
          </w:tcPr>
          <w:p w14:paraId="4B4F6C6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87" w:type="pct"/>
            <w:tcBorders>
              <w:top w:val="single" w:color="auto" w:sz="4" w:space="0"/>
              <w:left w:val="single" w:color="auto" w:sz="4" w:space="0"/>
              <w:bottom w:val="single" w:color="auto" w:sz="4" w:space="0"/>
              <w:right w:val="single" w:color="auto" w:sz="4" w:space="0"/>
            </w:tcBorders>
            <w:noWrap w:val="0"/>
            <w:vAlign w:val="center"/>
          </w:tcPr>
          <w:p w14:paraId="1AF88048">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w:t>
            </w:r>
          </w:p>
        </w:tc>
        <w:tc>
          <w:tcPr>
            <w:tcW w:w="1617" w:type="pct"/>
            <w:tcBorders>
              <w:top w:val="single" w:color="auto" w:sz="4" w:space="0"/>
              <w:left w:val="single" w:color="auto" w:sz="4" w:space="0"/>
              <w:bottom w:val="single" w:color="auto" w:sz="4" w:space="0"/>
              <w:right w:val="single" w:color="auto" w:sz="4" w:space="0"/>
            </w:tcBorders>
            <w:noWrap w:val="0"/>
            <w:vAlign w:val="center"/>
          </w:tcPr>
          <w:p w14:paraId="043A3551">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289" w:type="pct"/>
            <w:tcBorders>
              <w:top w:val="single" w:color="auto" w:sz="4" w:space="0"/>
              <w:left w:val="single" w:color="auto" w:sz="4" w:space="0"/>
              <w:bottom w:val="single" w:color="auto" w:sz="4" w:space="0"/>
              <w:right w:val="single" w:color="auto" w:sz="4" w:space="0"/>
            </w:tcBorders>
            <w:noWrap w:val="0"/>
            <w:vAlign w:val="center"/>
          </w:tcPr>
          <w:p w14:paraId="7B2F9247">
            <w:pPr>
              <w:keepNext w:val="0"/>
              <w:keepLines w:val="0"/>
              <w:pageBreakBefore w:val="0"/>
              <w:widowControl/>
              <w:shd w:val="clear" w:color="auto" w:fill="auto"/>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405" w:type="pct"/>
            <w:tcBorders>
              <w:top w:val="single" w:color="auto" w:sz="4" w:space="0"/>
              <w:left w:val="single" w:color="auto" w:sz="4" w:space="0"/>
              <w:bottom w:val="single" w:color="auto" w:sz="4" w:space="0"/>
              <w:right w:val="single" w:color="auto" w:sz="4" w:space="0"/>
            </w:tcBorders>
            <w:noWrap w:val="0"/>
            <w:vAlign w:val="center"/>
          </w:tcPr>
          <w:p w14:paraId="26195903">
            <w:pPr>
              <w:keepNext w:val="0"/>
              <w:keepLines w:val="0"/>
              <w:pageBreakBefore w:val="0"/>
              <w:widowControl/>
              <w:suppressLineNumbers w:val="0"/>
              <w:shd w:val="clear" w:color="auto" w:fill="auto"/>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94.256</w:t>
            </w:r>
          </w:p>
        </w:tc>
      </w:tr>
    </w:tbl>
    <w:p w14:paraId="2B30A54D">
      <w:pPr>
        <w:pStyle w:val="10"/>
        <w:shd w:val="clear" w:color="auto" w:fill="auto"/>
        <w:rPr>
          <w:rFonts w:hint="eastAsia" w:ascii="宋体" w:hAnsi="宋体" w:eastAsia="宋体" w:cs="宋体"/>
          <w:sz w:val="24"/>
          <w:szCs w:val="24"/>
          <w:highlight w:val="none"/>
          <w:lang w:eastAsia="zh-CN"/>
        </w:rPr>
      </w:pPr>
    </w:p>
    <w:p w14:paraId="548A3A8A">
      <w:pPr>
        <w:pStyle w:val="10"/>
        <w:shd w:val="clear" w:color="auto" w:fill="auto"/>
        <w:rPr>
          <w:rFonts w:hint="eastAsia" w:ascii="宋体" w:hAnsi="宋体" w:eastAsia="宋体" w:cs="宋体"/>
          <w:sz w:val="24"/>
          <w:szCs w:val="24"/>
          <w:highlight w:val="none"/>
          <w:lang w:eastAsia="zh-CN"/>
        </w:rPr>
      </w:pPr>
    </w:p>
    <w:p w14:paraId="02448E78">
      <w:pPr>
        <w:pStyle w:val="10"/>
        <w:shd w:val="clear" w:color="auto" w:fill="auto"/>
        <w:rPr>
          <w:rFonts w:hint="eastAsia" w:ascii="宋体" w:hAnsi="宋体" w:eastAsia="宋体" w:cs="宋体"/>
          <w:sz w:val="24"/>
          <w:szCs w:val="24"/>
          <w:highlight w:val="none"/>
          <w:lang w:eastAsia="zh-CN"/>
        </w:rPr>
      </w:pPr>
    </w:p>
    <w:p w14:paraId="681852F0">
      <w:pPr>
        <w:pStyle w:val="10"/>
        <w:shd w:val="clear" w:color="auto" w:fill="auto"/>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2977"/>
        <w:gridCol w:w="1803"/>
      </w:tblGrid>
      <w:tr w14:paraId="7D8CE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F292E93">
            <w:pPr>
              <w:keepNext w:val="0"/>
              <w:keepLines w:val="0"/>
              <w:widowControl/>
              <w:suppressLineNumbers w:val="0"/>
              <w:shd w:val="clear" w:color="auto" w:fill="auto"/>
              <w:ind w:left="0" w:leftChars="0" w:firstLine="0" w:firstLineChars="0"/>
              <w:jc w:val="left"/>
              <w:textAlignment w:val="center"/>
              <w:rPr>
                <w:rFonts w:hint="eastAsia" w:ascii="宋体" w:hAnsi="宋体" w:eastAsia="宋体" w:cs="宋体"/>
                <w:i w:val="0"/>
                <w:iCs w:val="0"/>
                <w:color w:val="auto"/>
                <w:sz w:val="21"/>
                <w:szCs w:val="21"/>
                <w:highlight w:val="none"/>
                <w:u w:val="none"/>
              </w:rPr>
            </w:pPr>
          </w:p>
        </w:tc>
        <w:tc>
          <w:tcPr>
            <w:tcW w:w="1778" w:type="dxa"/>
            <w:tcBorders>
              <w:top w:val="nil"/>
              <w:left w:val="nil"/>
              <w:bottom w:val="nil"/>
              <w:right w:val="nil"/>
            </w:tcBorders>
            <w:noWrap/>
            <w:vAlign w:val="center"/>
          </w:tcPr>
          <w:p w14:paraId="7C1BA86A">
            <w:pPr>
              <w:shd w:val="clear" w:color="auto" w:fill="auto"/>
              <w:rPr>
                <w:rFonts w:hint="eastAsia" w:ascii="宋体" w:hAnsi="宋体" w:eastAsia="宋体" w:cs="宋体"/>
                <w:i w:val="0"/>
                <w:iCs w:val="0"/>
                <w:color w:val="auto"/>
                <w:sz w:val="21"/>
                <w:szCs w:val="21"/>
                <w:highlight w:val="none"/>
                <w:u w:val="none"/>
              </w:rPr>
            </w:pPr>
          </w:p>
        </w:tc>
        <w:tc>
          <w:tcPr>
            <w:tcW w:w="2786" w:type="dxa"/>
            <w:tcBorders>
              <w:top w:val="nil"/>
              <w:left w:val="nil"/>
              <w:bottom w:val="nil"/>
              <w:right w:val="nil"/>
            </w:tcBorders>
            <w:noWrap/>
            <w:vAlign w:val="center"/>
          </w:tcPr>
          <w:p w14:paraId="6693F293">
            <w:pPr>
              <w:shd w:val="clear" w:color="auto" w:fill="auto"/>
              <w:rPr>
                <w:rFonts w:hint="eastAsia" w:ascii="宋体" w:hAnsi="宋体" w:eastAsia="宋体" w:cs="宋体"/>
                <w:i w:val="0"/>
                <w:iCs w:val="0"/>
                <w:color w:val="auto"/>
                <w:sz w:val="21"/>
                <w:szCs w:val="21"/>
                <w:highlight w:val="none"/>
                <w:u w:val="none"/>
              </w:rPr>
            </w:pPr>
          </w:p>
        </w:tc>
        <w:tc>
          <w:tcPr>
            <w:tcW w:w="2314" w:type="dxa"/>
            <w:tcBorders>
              <w:top w:val="nil"/>
              <w:left w:val="nil"/>
              <w:bottom w:val="nil"/>
              <w:right w:val="nil"/>
            </w:tcBorders>
            <w:noWrap/>
            <w:vAlign w:val="center"/>
          </w:tcPr>
          <w:p w14:paraId="525FB400">
            <w:pPr>
              <w:shd w:val="clear" w:color="auto" w:fill="auto"/>
              <w:rPr>
                <w:rFonts w:hint="eastAsia" w:ascii="宋体" w:hAnsi="宋体" w:eastAsia="宋体" w:cs="宋体"/>
                <w:i w:val="0"/>
                <w:iCs w:val="0"/>
                <w:color w:val="auto"/>
                <w:sz w:val="21"/>
                <w:szCs w:val="21"/>
                <w:highlight w:val="none"/>
                <w:u w:val="none"/>
              </w:rPr>
            </w:pPr>
          </w:p>
        </w:tc>
        <w:tc>
          <w:tcPr>
            <w:tcW w:w="2977" w:type="dxa"/>
            <w:tcBorders>
              <w:top w:val="nil"/>
              <w:left w:val="nil"/>
              <w:bottom w:val="nil"/>
              <w:right w:val="nil"/>
            </w:tcBorders>
            <w:noWrap/>
            <w:vAlign w:val="center"/>
          </w:tcPr>
          <w:p w14:paraId="40FE196C">
            <w:pPr>
              <w:shd w:val="clear" w:color="auto" w:fill="auto"/>
              <w:rPr>
                <w:rFonts w:hint="eastAsia" w:ascii="宋体" w:hAnsi="宋体" w:eastAsia="宋体" w:cs="宋体"/>
                <w:i w:val="0"/>
                <w:iCs w:val="0"/>
                <w:color w:val="auto"/>
                <w:sz w:val="21"/>
                <w:szCs w:val="21"/>
                <w:highlight w:val="none"/>
                <w:u w:val="none"/>
              </w:rPr>
            </w:pPr>
          </w:p>
        </w:tc>
        <w:tc>
          <w:tcPr>
            <w:tcW w:w="1803" w:type="dxa"/>
            <w:tcBorders>
              <w:top w:val="nil"/>
              <w:left w:val="nil"/>
              <w:bottom w:val="nil"/>
              <w:right w:val="nil"/>
            </w:tcBorders>
            <w:noWrap/>
            <w:vAlign w:val="center"/>
          </w:tcPr>
          <w:p w14:paraId="18195E0D">
            <w:pPr>
              <w:shd w:val="clear" w:color="auto" w:fill="auto"/>
              <w:rPr>
                <w:rFonts w:hint="eastAsia" w:ascii="宋体" w:hAnsi="宋体" w:eastAsia="宋体" w:cs="宋体"/>
                <w:i w:val="0"/>
                <w:iCs w:val="0"/>
                <w:color w:val="auto"/>
                <w:sz w:val="21"/>
                <w:szCs w:val="21"/>
                <w:highlight w:val="none"/>
                <w:u w:val="none"/>
              </w:rPr>
            </w:pPr>
          </w:p>
        </w:tc>
      </w:tr>
      <w:tr w14:paraId="11EB6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53AC049">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专项资金-和地财农【2023】68号：2024年自治区农村综合改革转移支付预算-农村公益事业财政奖补项目综合得分表</w:t>
            </w:r>
          </w:p>
        </w:tc>
      </w:tr>
      <w:tr w14:paraId="0C275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C077E7">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42DE911">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C304C1">
            <w:pPr>
              <w:keepNext w:val="0"/>
              <w:keepLines w:val="0"/>
              <w:widowControl/>
              <w:suppressLineNumbers w:val="0"/>
              <w:shd w:val="clear" w:color="auto" w:fill="auto"/>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770A530">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项目产出</w:t>
            </w:r>
          </w:p>
        </w:tc>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CC6518">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项目效益</w:t>
            </w:r>
          </w:p>
        </w:tc>
        <w:tc>
          <w:tcPr>
            <w:tcW w:w="180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16F87E0">
            <w:pPr>
              <w:keepNext w:val="0"/>
              <w:keepLines w:val="0"/>
              <w:widowControl/>
              <w:suppressLineNumbers w:val="0"/>
              <w:shd w:val="clear" w:color="auto" w:fill="auto"/>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合计</w:t>
            </w:r>
          </w:p>
        </w:tc>
      </w:tr>
      <w:tr w14:paraId="37220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0BDC9F9">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B676F3C">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646AEFD">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DAF285A">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40.00</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73B691B8">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25.00</w:t>
            </w:r>
          </w:p>
        </w:tc>
        <w:tc>
          <w:tcPr>
            <w:tcW w:w="1803" w:type="dxa"/>
            <w:tcBorders>
              <w:top w:val="single" w:color="auto" w:sz="4" w:space="0"/>
              <w:left w:val="single" w:color="auto" w:sz="4" w:space="0"/>
              <w:bottom w:val="single" w:color="auto" w:sz="4" w:space="0"/>
              <w:right w:val="single" w:color="auto" w:sz="4" w:space="0"/>
            </w:tcBorders>
            <w:noWrap w:val="0"/>
            <w:vAlign w:val="center"/>
          </w:tcPr>
          <w:p w14:paraId="5B083F89">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100.00</w:t>
            </w:r>
          </w:p>
        </w:tc>
      </w:tr>
      <w:tr w14:paraId="79457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6E2ED89">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C09B2A">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54BF89">
            <w:pPr>
              <w:keepNext w:val="0"/>
              <w:keepLines w:val="0"/>
              <w:widowControl/>
              <w:suppressLineNumbers w:val="0"/>
              <w:shd w:val="clear" w:color="auto" w:fill="auto"/>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rPr>
              <w:t>11.876</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301C7E">
            <w:pPr>
              <w:keepNext w:val="0"/>
              <w:keepLines w:val="0"/>
              <w:widowControl/>
              <w:suppressLineNumbers w:val="0"/>
              <w:shd w:val="clear" w:color="auto" w:fill="auto"/>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rPr>
              <w:t>34.38</w:t>
            </w:r>
          </w:p>
        </w:tc>
        <w:tc>
          <w:tcPr>
            <w:tcW w:w="297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8C67E65">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25.00</w:t>
            </w:r>
          </w:p>
        </w:tc>
        <w:tc>
          <w:tcPr>
            <w:tcW w:w="1803" w:type="dxa"/>
            <w:tcBorders>
              <w:top w:val="single" w:color="auto" w:sz="4" w:space="0"/>
              <w:left w:val="single" w:color="auto" w:sz="4" w:space="0"/>
              <w:bottom w:val="single" w:color="auto" w:sz="4" w:space="0"/>
              <w:right w:val="single" w:color="auto" w:sz="4" w:space="0"/>
            </w:tcBorders>
            <w:noWrap w:val="0"/>
            <w:vAlign w:val="center"/>
          </w:tcPr>
          <w:p w14:paraId="71405DC7">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94.256</w:t>
            </w:r>
          </w:p>
        </w:tc>
      </w:tr>
      <w:tr w14:paraId="48F64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81DE975">
            <w:pPr>
              <w:keepNext w:val="0"/>
              <w:keepLines w:val="0"/>
              <w:widowControl/>
              <w:suppressLineNumbers w:val="0"/>
              <w:shd w:val="clear" w:color="auto" w:fill="auto"/>
              <w:ind w:left="0" w:leftChars="0" w:firstLine="0" w:firstLineChars="0"/>
              <w:jc w:val="both"/>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51E40C0">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B351D09">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98.97%</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700B86E">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85.95%</w:t>
            </w:r>
          </w:p>
        </w:tc>
        <w:tc>
          <w:tcPr>
            <w:tcW w:w="2977" w:type="dxa"/>
            <w:tcBorders>
              <w:top w:val="single" w:color="auto" w:sz="4" w:space="0"/>
              <w:left w:val="single" w:color="auto" w:sz="4" w:space="0"/>
              <w:bottom w:val="single" w:color="auto" w:sz="4" w:space="0"/>
              <w:right w:val="single" w:color="auto" w:sz="4" w:space="0"/>
            </w:tcBorders>
            <w:noWrap w:val="0"/>
            <w:vAlign w:val="center"/>
          </w:tcPr>
          <w:p w14:paraId="534D60D5">
            <w:pPr>
              <w:keepNext w:val="0"/>
              <w:keepLines w:val="0"/>
              <w:widowControl/>
              <w:suppressLineNumbers w:val="0"/>
              <w:shd w:val="clear" w:color="auto" w:fill="auto"/>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100.00%</w:t>
            </w:r>
          </w:p>
        </w:tc>
        <w:tc>
          <w:tcPr>
            <w:tcW w:w="1803" w:type="dxa"/>
            <w:tcBorders>
              <w:top w:val="single" w:color="auto" w:sz="4" w:space="0"/>
              <w:left w:val="single" w:color="auto" w:sz="4" w:space="0"/>
              <w:bottom w:val="single" w:color="auto" w:sz="4" w:space="0"/>
              <w:right w:val="single" w:color="auto" w:sz="4" w:space="0"/>
            </w:tcBorders>
            <w:noWrap w:val="0"/>
            <w:vAlign w:val="center"/>
          </w:tcPr>
          <w:p w14:paraId="69DE898B">
            <w:pPr>
              <w:keepNext w:val="0"/>
              <w:keepLines w:val="0"/>
              <w:widowControl/>
              <w:suppressLineNumbers w:val="0"/>
              <w:shd w:val="clear" w:color="auto" w:fill="auto"/>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94.256%</w:t>
            </w:r>
          </w:p>
        </w:tc>
      </w:tr>
    </w:tbl>
    <w:p w14:paraId="1A9C1BB7">
      <w:pPr>
        <w:pStyle w:val="10"/>
        <w:shd w:val="clear" w:color="auto" w:fill="auto"/>
        <w:ind w:left="0" w:leftChars="0" w:firstLine="0" w:firstLineChars="0"/>
        <w:jc w:val="both"/>
        <w:rPr>
          <w:rFonts w:hint="default" w:ascii="宋体" w:hAnsi="宋体" w:eastAsia="宋体" w:cs="宋体"/>
          <w:sz w:val="24"/>
          <w:szCs w:val="24"/>
          <w:highlight w:val="none"/>
          <w:lang w:val="en-US" w:eastAsia="zh-CN"/>
        </w:rPr>
      </w:pPr>
    </w:p>
    <w:p w14:paraId="47B7117C">
      <w:pPr>
        <w:pStyle w:val="10"/>
        <w:shd w:val="clear" w:color="auto" w:fill="auto"/>
        <w:ind w:left="0" w:leftChars="0" w:firstLine="0" w:firstLineChars="0"/>
        <w:jc w:val="both"/>
        <w:rPr>
          <w:rFonts w:hint="eastAsia" w:ascii="宋体" w:hAnsi="宋体" w:eastAsia="宋体" w:cs="宋体"/>
          <w:sz w:val="24"/>
          <w:szCs w:val="24"/>
          <w:highlight w:val="none"/>
          <w:lang w:eastAsia="zh-CN"/>
        </w:rPr>
        <w:sectPr>
          <w:footerReference r:id="rId8" w:type="default"/>
          <w:pgSz w:w="16838" w:h="11906" w:orient="landscape"/>
          <w:pgMar w:top="1531" w:right="1985" w:bottom="1531" w:left="1701" w:header="851" w:footer="992" w:gutter="0"/>
          <w:pgNumType w:fmt="decimal"/>
          <w:cols w:space="720" w:num="1"/>
          <w:docGrid w:type="linesAndChars" w:linePitch="386" w:charSpace="0"/>
        </w:sectPr>
      </w:pPr>
    </w:p>
    <w:p w14:paraId="1CB9F36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736C9F5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sz w:val="24"/>
          <w:szCs w:val="24"/>
          <w:highlight w:val="none"/>
        </w:rPr>
      </w:pPr>
      <w:r>
        <w:rPr>
          <w:rFonts w:hint="eastAsia" w:ascii="宋体" w:hAnsi="宋体" w:eastAsia="宋体" w:cs="宋体"/>
          <w:b/>
          <w:bCs/>
          <w:color w:val="auto"/>
          <w:sz w:val="24"/>
          <w:szCs w:val="24"/>
          <w:highlight w:val="none"/>
          <w:lang w:val="en-US" w:eastAsia="zh-CN"/>
        </w:rPr>
        <w:t>专项资金-和地财农【2023】68号：2024年自治区农村综合改革转移支付预算-农村公益事业财政奖补项目满</w:t>
      </w:r>
      <w:r>
        <w:rPr>
          <w:rFonts w:hint="eastAsia" w:ascii="宋体" w:hAnsi="宋体" w:eastAsia="宋体" w:cs="宋体"/>
          <w:b/>
          <w:bCs/>
          <w:sz w:val="24"/>
          <w:szCs w:val="24"/>
          <w:highlight w:val="none"/>
          <w:lang w:val="en-US" w:eastAsia="zh-CN"/>
        </w:rPr>
        <w:t>意度</w:t>
      </w:r>
      <w:r>
        <w:rPr>
          <w:rFonts w:hint="eastAsia" w:ascii="宋体" w:hAnsi="宋体" w:eastAsia="宋体" w:cs="宋体"/>
          <w:b/>
          <w:bCs/>
          <w:sz w:val="24"/>
          <w:szCs w:val="24"/>
          <w:highlight w:val="none"/>
        </w:rPr>
        <w:t>调查问卷</w:t>
      </w:r>
      <w:r>
        <w:rPr>
          <w:rFonts w:hint="eastAsia" w:ascii="宋体" w:hAnsi="宋体" w:eastAsia="宋体" w:cs="宋体"/>
          <w:b/>
          <w:bCs/>
          <w:sz w:val="24"/>
          <w:szCs w:val="24"/>
          <w:highlight w:val="none"/>
          <w:lang w:val="en-US" w:eastAsia="zh-CN"/>
        </w:rPr>
        <w:t>分析报告</w:t>
      </w:r>
    </w:p>
    <w:p w14:paraId="331346BC">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3382E59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该问卷调查从202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日开始至202</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日结束，调查问卷共设置</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道题目。</w:t>
      </w:r>
    </w:p>
    <w:p w14:paraId="2274F003">
      <w:pPr>
        <w:keepNext w:val="0"/>
        <w:keepLines w:val="0"/>
        <w:pageBreakBefore w:val="0"/>
        <w:widowControl w:val="0"/>
        <w:shd w:val="clear" w:color="auto" w:fill="auto"/>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bCs/>
          <w:color w:val="auto"/>
          <w:kern w:val="0"/>
          <w:sz w:val="24"/>
          <w:szCs w:val="24"/>
          <w:highlight w:val="none"/>
          <w:lang w:val="zh-CN" w:eastAsia="zh-CN" w:bidi="zh-CN"/>
        </w:rPr>
      </w:pPr>
      <w:r>
        <w:rPr>
          <w:rFonts w:hint="eastAsia" w:ascii="宋体" w:hAnsi="宋体" w:eastAsia="宋体" w:cs="宋体"/>
          <w:b/>
          <w:bCs/>
          <w:color w:val="auto"/>
          <w:kern w:val="0"/>
          <w:sz w:val="24"/>
          <w:szCs w:val="24"/>
          <w:highlight w:val="none"/>
          <w:lang w:val="zh-CN" w:eastAsia="zh-CN" w:bidi="zh-CN"/>
        </w:rPr>
        <w:t>1.调查对象</w:t>
      </w:r>
    </w:p>
    <w:p w14:paraId="01BC28BE">
      <w:pPr>
        <w:keepNext w:val="0"/>
        <w:keepLines w:val="0"/>
        <w:pageBreakBefore w:val="0"/>
        <w:widowControl w:val="0"/>
        <w:shd w:val="clear" w:color="auto" w:fill="auto"/>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bCs/>
          <w:i w:val="0"/>
          <w:iCs w:val="0"/>
          <w:color w:val="auto"/>
          <w:kern w:val="0"/>
          <w:sz w:val="24"/>
          <w:szCs w:val="24"/>
          <w:highlight w:val="none"/>
          <w:lang w:val="zh-CN" w:eastAsia="zh-CN" w:bidi="zh-CN"/>
        </w:rPr>
      </w:pPr>
      <w:r>
        <w:rPr>
          <w:rFonts w:hint="eastAsia" w:ascii="宋体" w:hAnsi="宋体" w:eastAsia="宋体" w:cs="宋体"/>
          <w:color w:val="auto"/>
          <w:kern w:val="0"/>
          <w:sz w:val="24"/>
          <w:szCs w:val="24"/>
          <w:highlight w:val="none"/>
          <w:lang w:val="zh-CN" w:eastAsia="zh-CN" w:bidi="zh-CN"/>
        </w:rPr>
        <w:t>本次调查的受益对象为</w:t>
      </w:r>
      <w:r>
        <w:rPr>
          <w:rFonts w:hint="eastAsia" w:ascii="宋体" w:hAnsi="宋体" w:eastAsia="宋体" w:cs="宋体"/>
          <w:color w:val="auto"/>
          <w:kern w:val="0"/>
          <w:sz w:val="24"/>
          <w:szCs w:val="24"/>
          <w:highlight w:val="none"/>
          <w:lang w:val="en-US" w:eastAsia="zh-CN" w:bidi="zh-CN"/>
        </w:rPr>
        <w:t>群众</w:t>
      </w:r>
      <w:r>
        <w:rPr>
          <w:rFonts w:hint="eastAsia" w:ascii="宋体" w:hAnsi="宋体" w:eastAsia="宋体" w:cs="宋体"/>
          <w:color w:val="auto"/>
          <w:kern w:val="0"/>
          <w:sz w:val="24"/>
          <w:szCs w:val="24"/>
          <w:highlight w:val="none"/>
          <w:lang w:val="zh-CN" w:eastAsia="zh-CN" w:bidi="zh-CN"/>
        </w:rPr>
        <w:t>。</w:t>
      </w:r>
    </w:p>
    <w:p w14:paraId="1C2F4F7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i w:val="0"/>
          <w:iCs w:val="0"/>
          <w:color w:val="auto"/>
          <w:sz w:val="24"/>
          <w:szCs w:val="24"/>
          <w:highlight w:val="none"/>
        </w:rPr>
        <w:t>2.</w:t>
      </w:r>
      <w:r>
        <w:rPr>
          <w:rFonts w:hint="eastAsia" w:ascii="宋体" w:hAnsi="宋体" w:eastAsia="宋体" w:cs="宋体"/>
          <w:b/>
          <w:bCs/>
          <w:i w:val="0"/>
          <w:iCs w:val="0"/>
          <w:color w:val="auto"/>
          <w:sz w:val="24"/>
          <w:szCs w:val="24"/>
          <w:highlight w:val="none"/>
          <w:lang w:eastAsia="zh-CN"/>
        </w:rPr>
        <w:t>调查</w:t>
      </w:r>
      <w:r>
        <w:rPr>
          <w:rFonts w:hint="eastAsia" w:ascii="宋体" w:hAnsi="宋体" w:eastAsia="宋体" w:cs="宋体"/>
          <w:b/>
          <w:bCs/>
          <w:i w:val="0"/>
          <w:iCs w:val="0"/>
          <w:color w:val="auto"/>
          <w:sz w:val="24"/>
          <w:szCs w:val="24"/>
          <w:highlight w:val="none"/>
        </w:rPr>
        <w:t>内容</w:t>
      </w:r>
    </w:p>
    <w:p w14:paraId="72FE508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①您对专项资金-和地财农【2023】68号：2024年自治区农村综合改革转移支付预算-农村公益事业财政奖补项目的资金支付及时率是否满意?</w:t>
      </w:r>
    </w:p>
    <w:p w14:paraId="0A088C4B">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A.非常满意              B.满意             C.一般            D.不满意</w:t>
      </w:r>
    </w:p>
    <w:p w14:paraId="6B5C324D">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②您对专项资金-和地财农【2023】68号：2024年自治区农村综合改革转移支付预算-农村公益事业财政奖补项目的各村投资额是否满意？</w:t>
      </w:r>
    </w:p>
    <w:p w14:paraId="6B24680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A.非常满意              B.满意             C.一般            D.不满意</w:t>
      </w:r>
    </w:p>
    <w:p w14:paraId="5317050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③总的来说，您对目前专项资金-和地财农【2023】68号：2024年自治区农村综合改革转移支付预算-农村公益事业财政奖补项目实施后的整体满意程度如何？</w:t>
      </w:r>
    </w:p>
    <w:p w14:paraId="077FFB7A">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highlight w:val="none"/>
          <w:lang w:val="en-US" w:eastAsia="zh-CN"/>
        </w:rPr>
        <w:t>A.非常满意              B.满意             C.一般            D.不满意</w:t>
      </w:r>
    </w:p>
    <w:p w14:paraId="1B10CE00">
      <w:pPr>
        <w:keepNext w:val="0"/>
        <w:keepLines w:val="0"/>
        <w:pageBreakBefore w:val="0"/>
        <w:widowControl w:val="0"/>
        <w:shd w:val="clear" w:color="auto" w:fill="auto"/>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bCs/>
          <w:color w:val="auto"/>
          <w:kern w:val="0"/>
          <w:sz w:val="24"/>
          <w:szCs w:val="24"/>
          <w:highlight w:val="none"/>
          <w:lang w:val="zh-CN" w:eastAsia="zh-CN" w:bidi="zh-CN"/>
        </w:rPr>
      </w:pPr>
      <w:r>
        <w:rPr>
          <w:rFonts w:hint="eastAsia" w:ascii="宋体" w:hAnsi="宋体" w:eastAsia="宋体" w:cs="宋体"/>
          <w:b/>
          <w:bCs/>
          <w:color w:val="auto"/>
          <w:kern w:val="0"/>
          <w:sz w:val="24"/>
          <w:szCs w:val="24"/>
          <w:highlight w:val="none"/>
          <w:lang w:val="en-US" w:eastAsia="zh-CN" w:bidi="zh-CN"/>
        </w:rPr>
        <w:t>3.</w:t>
      </w:r>
      <w:r>
        <w:rPr>
          <w:rFonts w:hint="eastAsia" w:ascii="宋体" w:hAnsi="宋体" w:eastAsia="宋体" w:cs="宋体"/>
          <w:b/>
          <w:bCs/>
          <w:color w:val="auto"/>
          <w:kern w:val="0"/>
          <w:sz w:val="24"/>
          <w:szCs w:val="24"/>
          <w:highlight w:val="none"/>
          <w:lang w:val="zh-CN" w:eastAsia="zh-CN" w:bidi="zh-CN"/>
        </w:rPr>
        <w:t>调查方法</w:t>
      </w:r>
    </w:p>
    <w:p w14:paraId="62BD56EE">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分层</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随机抽样相结合</w:t>
      </w:r>
      <w:r>
        <w:rPr>
          <w:rFonts w:hint="eastAsia" w:ascii="宋体" w:hAnsi="宋体" w:eastAsia="宋体" w:cs="宋体"/>
          <w:color w:val="auto"/>
          <w:sz w:val="24"/>
          <w:szCs w:val="24"/>
          <w:highlight w:val="none"/>
        </w:rPr>
        <w:t>的方式进行。在全面</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开展之前会先进行论证，依据论证结果对问卷和抽样方案再进行一次修改和调整</w:t>
      </w:r>
      <w:r>
        <w:rPr>
          <w:rFonts w:hint="eastAsia" w:ascii="宋体" w:hAnsi="宋体" w:eastAsia="宋体" w:cs="宋体"/>
          <w:color w:val="auto"/>
          <w:sz w:val="24"/>
          <w:szCs w:val="24"/>
          <w:highlight w:val="none"/>
          <w:lang w:val="en-US" w:eastAsia="zh-CN"/>
        </w:rPr>
        <w:t>之后再付诸实施</w:t>
      </w:r>
      <w:r>
        <w:rPr>
          <w:rFonts w:hint="eastAsia" w:ascii="宋体" w:hAnsi="宋体" w:eastAsia="宋体" w:cs="宋体"/>
          <w:color w:val="auto"/>
          <w:sz w:val="24"/>
          <w:szCs w:val="24"/>
          <w:highlight w:val="none"/>
        </w:rPr>
        <w:t>。</w:t>
      </w:r>
    </w:p>
    <w:p w14:paraId="2277046D">
      <w:pPr>
        <w:keepNext w:val="0"/>
        <w:keepLines w:val="0"/>
        <w:pageBreakBefore w:val="0"/>
        <w:widowControl w:val="0"/>
        <w:shd w:val="clear" w:color="auto" w:fill="auto"/>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bCs/>
          <w:color w:val="auto"/>
          <w:kern w:val="0"/>
          <w:sz w:val="24"/>
          <w:szCs w:val="24"/>
          <w:highlight w:val="none"/>
          <w:lang w:val="zh-CN" w:eastAsia="zh-CN" w:bidi="zh-CN"/>
        </w:rPr>
      </w:pPr>
      <w:r>
        <w:rPr>
          <w:rFonts w:hint="eastAsia" w:ascii="宋体" w:hAnsi="宋体" w:eastAsia="宋体" w:cs="宋体"/>
          <w:b/>
          <w:bCs/>
          <w:color w:val="auto"/>
          <w:kern w:val="0"/>
          <w:sz w:val="24"/>
          <w:szCs w:val="24"/>
          <w:highlight w:val="none"/>
          <w:lang w:val="en-US" w:eastAsia="zh-CN" w:bidi="zh-CN"/>
        </w:rPr>
        <w:t>4.</w:t>
      </w:r>
      <w:r>
        <w:rPr>
          <w:rFonts w:hint="eastAsia" w:ascii="宋体" w:hAnsi="宋体" w:eastAsia="宋体" w:cs="宋体"/>
          <w:b/>
          <w:bCs/>
          <w:color w:val="auto"/>
          <w:kern w:val="0"/>
          <w:sz w:val="24"/>
          <w:szCs w:val="24"/>
          <w:highlight w:val="none"/>
          <w:lang w:val="zh-CN" w:eastAsia="zh-CN" w:bidi="zh-CN"/>
        </w:rPr>
        <w:t>抽样方式</w:t>
      </w:r>
    </w:p>
    <w:p w14:paraId="33782BA2">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rPr>
        <w:t>为确保问卷</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的全面性和代表性，本次</w:t>
      </w:r>
      <w:r>
        <w:rPr>
          <w:rFonts w:hint="eastAsia" w:ascii="宋体" w:hAnsi="宋体" w:eastAsia="宋体" w:cs="宋体"/>
          <w:color w:val="auto"/>
          <w:sz w:val="24"/>
          <w:szCs w:val="24"/>
          <w:highlight w:val="none"/>
          <w:lang w:eastAsia="zh-CN"/>
        </w:rPr>
        <w:t>调查</w:t>
      </w:r>
      <w:r>
        <w:rPr>
          <w:rFonts w:hint="eastAsia" w:ascii="宋体" w:hAnsi="宋体" w:eastAsia="宋体" w:cs="宋体"/>
          <w:color w:val="auto"/>
          <w:sz w:val="24"/>
          <w:szCs w:val="24"/>
          <w:highlight w:val="none"/>
        </w:rPr>
        <w:t>问卷调查采取</w:t>
      </w:r>
      <w:r>
        <w:rPr>
          <w:rFonts w:hint="eastAsia" w:ascii="宋体" w:hAnsi="宋体" w:eastAsia="宋体" w:cs="宋体"/>
          <w:color w:val="auto"/>
          <w:sz w:val="24"/>
          <w:szCs w:val="24"/>
          <w:highlight w:val="none"/>
          <w:lang w:val="en-US" w:eastAsia="zh-CN"/>
        </w:rPr>
        <w:t>随机</w:t>
      </w:r>
      <w:r>
        <w:rPr>
          <w:rFonts w:hint="eastAsia" w:ascii="宋体" w:hAnsi="宋体" w:eastAsia="宋体" w:cs="宋体"/>
          <w:color w:val="auto"/>
          <w:sz w:val="24"/>
          <w:szCs w:val="24"/>
          <w:highlight w:val="none"/>
        </w:rPr>
        <w:t>抽样和</w:t>
      </w:r>
      <w:r>
        <w:rPr>
          <w:rFonts w:hint="eastAsia" w:ascii="宋体" w:hAnsi="宋体" w:eastAsia="宋体" w:cs="宋体"/>
          <w:color w:val="auto"/>
          <w:sz w:val="24"/>
          <w:szCs w:val="24"/>
          <w:highlight w:val="none"/>
          <w:lang w:val="en-US" w:eastAsia="zh-CN"/>
        </w:rPr>
        <w:t>分层抽样相结合</w:t>
      </w:r>
      <w:r>
        <w:rPr>
          <w:rFonts w:hint="eastAsia" w:ascii="宋体" w:hAnsi="宋体" w:eastAsia="宋体" w:cs="宋体"/>
          <w:color w:val="auto"/>
          <w:sz w:val="24"/>
          <w:szCs w:val="24"/>
          <w:highlight w:val="none"/>
        </w:rPr>
        <w:t>方式进行。</w:t>
      </w:r>
    </w:p>
    <w:p w14:paraId="3FD9B3FA">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5B6CFE7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5E712C22">
      <w:pPr>
        <w:keepNext w:val="0"/>
        <w:keepLines w:val="0"/>
        <w:pageBreakBefore w:val="0"/>
        <w:widowControl w:val="0"/>
        <w:shd w:val="clear" w:color="auto" w:fill="auto"/>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bCs/>
          <w:color w:val="auto"/>
          <w:kern w:val="0"/>
          <w:sz w:val="24"/>
          <w:szCs w:val="24"/>
          <w:highlight w:val="none"/>
          <w:lang w:val="en-US" w:eastAsia="zh-CN" w:bidi="zh-CN"/>
        </w:rPr>
      </w:pPr>
      <w:r>
        <w:rPr>
          <w:rFonts w:hint="eastAsia" w:ascii="宋体" w:hAnsi="宋体" w:eastAsia="宋体" w:cs="宋体"/>
          <w:b/>
          <w:bCs/>
          <w:color w:val="auto"/>
          <w:kern w:val="0"/>
          <w:sz w:val="24"/>
          <w:szCs w:val="24"/>
          <w:highlight w:val="none"/>
          <w:lang w:val="en-US" w:eastAsia="zh-CN" w:bidi="zh-CN"/>
        </w:rPr>
        <w:t>6.问卷调查分析结果</w:t>
      </w:r>
    </w:p>
    <w:p w14:paraId="792CEE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本次调查过程中，评价小组实际发放问卷30份，回收问卷30份，问卷回收率为100.00%，有效问卷30份，有效回收率100.00%，本次调查的整体情况如下：</w:t>
      </w:r>
    </w:p>
    <w:p w14:paraId="086ACB4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2551DFB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4E473497">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311DB170">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2B881919">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专项资金-和地财农【2023】68号：2024年自治区农村综合改革转移支付预算-农村公益事业财政奖补项目针对受益人员发放30份调查问卷，最终统计受益人群满意度为100%。</w:t>
      </w:r>
    </w:p>
    <w:p w14:paraId="401D942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2E744024">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洛浦县布亚乡人民政府</w:t>
      </w:r>
    </w:p>
    <w:p w14:paraId="710BBF86">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2025年3月20日</w:t>
      </w:r>
    </w:p>
    <w:p w14:paraId="7D9CDD86">
      <w:pPr>
        <w:keepNext w:val="0"/>
        <w:keepLines w:val="0"/>
        <w:pageBreakBefore w:val="0"/>
        <w:widowControl w:val="0"/>
        <w:shd w:val="clear" w:color="auto" w:fill="auto"/>
        <w:kinsoku/>
        <w:wordWrap/>
        <w:overflowPunct/>
        <w:topLinePunct w:val="0"/>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14:paraId="7DC7CA7E">
      <w:pPr>
        <w:pStyle w:val="10"/>
        <w:shd w:val="clear" w:color="auto" w:fill="auto"/>
        <w:rPr>
          <w:rFonts w:hint="eastAsia" w:ascii="宋体" w:hAnsi="宋体" w:eastAsia="宋体" w:cs="宋体"/>
          <w:sz w:val="24"/>
          <w:szCs w:val="24"/>
          <w:highlight w:val="none"/>
          <w:lang w:eastAsia="zh-CN"/>
        </w:rPr>
      </w:pPr>
    </w:p>
    <w:sectPr>
      <w:pgSz w:w="11906" w:h="16838"/>
      <w:pgMar w:top="1985" w:right="1531" w:bottom="1701" w:left="1531" w:header="851" w:footer="992" w:gutter="0"/>
      <w:pgNumType w:fmt="decimal"/>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AA5F9">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B63EF">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1738521F">
                <w:pPr>
                  <w:pStyle w:val="15"/>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t xml:space="preserve"> 页 共 </w:t>
                </w:r>
                <w:r>
                  <w:rPr>
                    <w:rFonts w:hint="eastAsia" w:ascii="宋体" w:hAnsi="宋体" w:eastAsia="宋体" w:cs="宋体"/>
                    <w:lang w:val="en-US" w:eastAsia="zh-CN"/>
                  </w:rPr>
                  <w:t>28</w:t>
                </w:r>
                <w:r>
                  <w:rPr>
                    <w:rFonts w:hint="eastAsia" w:ascii="宋体" w:hAnsi="宋体" w:eastAsia="宋体" w:cs="宋体"/>
                  </w:rPr>
                  <w:t xml:space="preserve"> 页</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5012F">
    <w:pPr>
      <w:pStyle w:val="15"/>
      <w:ind w:firstLine="360"/>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aspectratio="f"/>
          <v:textbox inset="0mm,0mm,0mm,0mm" style="mso-fit-shape-to-text:t;">
            <w:txbxContent>
              <w:p w14:paraId="194430F3">
                <w:pPr>
                  <w:pStyle w:val="15"/>
                  <w:rPr>
                    <w:rFonts w:hint="eastAsia" w:ascii="宋体" w:hAnsi="宋体" w:eastAsia="宋体" w:cs="宋体"/>
                  </w:rPr>
                </w:pPr>
                <w:r>
                  <w:rPr>
                    <w:rFonts w:hint="eastAsia" w:ascii="宋体" w:hAnsi="宋体" w:eastAsia="宋体" w:cs="宋体"/>
                  </w:rP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t xml:space="preserve"> 页 共 </w:t>
                </w:r>
                <w:r>
                  <w:rPr>
                    <w:rFonts w:hint="eastAsia" w:ascii="宋体" w:hAnsi="宋体" w:eastAsia="宋体" w:cs="宋体"/>
                    <w:lang w:val="en-US" w:eastAsia="zh-CN"/>
                  </w:rPr>
                  <w:t>28</w:t>
                </w:r>
                <w:r>
                  <w:rPr>
                    <w:rFonts w:hint="eastAsia" w:ascii="宋体" w:hAnsi="宋体" w:eastAsia="宋体" w:cs="宋体"/>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07A22">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multilevel"/>
    <w:tmpl w:val="0053208E"/>
    <w:lvl w:ilvl="0" w:tentative="0">
      <w:start w:val="1"/>
      <w:numFmt w:val="chineseCountingThousand"/>
      <w:pStyle w:val="5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23617B1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 w:type="paragraph" w:customStyle="1" w:styleId="59">
    <w:name w:val="标题2"/>
    <w:basedOn w:val="5"/>
    <w:qFormat/>
    <w:uiPriority w:val="0"/>
    <w:pPr>
      <w:numPr>
        <w:ilvl w:val="0"/>
        <w:numId w:val="1"/>
      </w:numPr>
      <w:spacing w:before="120" w:after="120" w:line="500" w:lineRule="exact"/>
    </w:pPr>
    <w:rPr>
      <w:rFonts w:ascii="仿宋_GB2312" w:eastAsia="仿宋_GB2312" w:cs="Times New Roman"/>
    </w:rPr>
  </w:style>
  <w:style w:type="paragraph" w:customStyle="1" w:styleId="60">
    <w:name w:val="Char"/>
    <w:basedOn w:val="1"/>
    <w:qFormat/>
    <w:uiPriority w:val="0"/>
    <w:rPr>
      <w:rFonts w:ascii="仿宋_GB2312" w:eastAsia="仿宋_GB2312" w:cs="黑体"/>
      <w:b/>
      <w:sz w:val="32"/>
      <w:szCs w:val="32"/>
    </w:rPr>
  </w:style>
  <w:style w:type="character" w:customStyle="1" w:styleId="61">
    <w:name w:val="font61"/>
    <w:basedOn w:val="25"/>
    <w:uiPriority w:val="0"/>
    <w:rPr>
      <w:rFonts w:hint="eastAsia" w:ascii="微软雅黑" w:hAnsi="微软雅黑" w:eastAsia="微软雅黑" w:cs="微软雅黑"/>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0"/>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591B43592A64404B9DD675B4F62EFAD7_13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98b7c-8ad2-478e-adc6-35154a5a842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11033</Words>
  <Characters>11649</Characters>
  <Lines>44</Lines>
  <Paragraphs>12</Paragraphs>
  <TotalTime>185</TotalTime>
  <ScaleCrop>false</ScaleCrop>
  <LinksUpToDate>false</LinksUpToDate>
  <CharactersWithSpaces>11669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2025-10-10T08:41:06Z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591B43592A64404B9DD675B4F62EFAD7_13</vt:lpwstr>
  </property>
  <property fmtid="{D5CDD505-2E9C-101B-9397-08002B2CF9AE}" pid="4" name="KSOTemplateDocerSaveRecord">
    <vt:lpwstr>eyJoZGlkIjoiZDE5MGZhMTJhZDM2OTQwYzkzYWVjM2FhZDUxN2Q0M2IiLCJ1c2VySWQiOiI2NTE5NDIwMjYifQ_x003D__x003D_</vt:lpwstr>
  </property>
</Properties>
</file>