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821AE">
      <w:bookmarkStart w:id="22" w:name="_GoBack"/>
      <w:bookmarkEnd w:id="22"/>
    </w:p>
    <w:p w14:paraId="07245E56">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7077E69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和田地区洛浦县新疆京洛集团有限责任公司</w:t>
      </w:r>
    </w:p>
    <w:p w14:paraId="18A07DB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公司追加注册资本金项目</w:t>
      </w:r>
    </w:p>
    <w:p w14:paraId="097DC26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783EBF55">
      <w:pPr>
        <w:pStyle w:val="6"/>
        <w:ind w:left="0" w:leftChars="0" w:firstLine="0" w:firstLineChars="0"/>
        <w:jc w:val="center"/>
        <w:rPr>
          <w:rFonts w:hint="eastAsia" w:ascii="宋体" w:hAnsi="宋体" w:eastAsia="宋体" w:cs="宋体"/>
          <w:b/>
          <w:bCs w:val="0"/>
          <w:color w:val="000000"/>
          <w:sz w:val="28"/>
          <w:szCs w:val="28"/>
          <w:highlight w:val="none"/>
          <w:lang w:eastAsia="zh-CN"/>
        </w:rPr>
      </w:pPr>
      <w:r>
        <w:rPr>
          <w:rFonts w:hint="eastAsia" w:ascii="宋体" w:hAnsi="宋体" w:eastAsia="宋体" w:cs="宋体"/>
          <w:b/>
          <w:bCs w:val="0"/>
          <w:color w:val="000000"/>
          <w:sz w:val="28"/>
          <w:szCs w:val="28"/>
          <w:highlight w:val="none"/>
          <w:lang w:eastAsia="zh-CN"/>
        </w:rPr>
        <w:t>（</w:t>
      </w:r>
      <w:r>
        <w:rPr>
          <w:rFonts w:hint="eastAsia" w:ascii="宋体" w:hAnsi="宋体" w:eastAsia="宋体" w:cs="宋体"/>
          <w:b/>
          <w:bCs w:val="0"/>
          <w:color w:val="000000"/>
          <w:sz w:val="28"/>
          <w:szCs w:val="28"/>
          <w:highlight w:val="none"/>
          <w:lang w:val="en-US" w:eastAsia="zh-CN"/>
        </w:rPr>
        <w:t>2024年度</w:t>
      </w:r>
      <w:r>
        <w:rPr>
          <w:rFonts w:hint="eastAsia" w:ascii="宋体" w:hAnsi="宋体" w:eastAsia="宋体" w:cs="宋体"/>
          <w:b/>
          <w:bCs w:val="0"/>
          <w:color w:val="000000"/>
          <w:sz w:val="28"/>
          <w:szCs w:val="28"/>
          <w:highlight w:val="none"/>
          <w:lang w:eastAsia="zh-CN"/>
        </w:rPr>
        <w:t>）</w:t>
      </w:r>
    </w:p>
    <w:p w14:paraId="3A72C30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E7E0CA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4E3E9232">
      <w:pPr>
        <w:pStyle w:val="6"/>
        <w:rPr>
          <w:rFonts w:hint="eastAsia" w:eastAsia="方正仿宋_GBK" w:cs="方正仿宋_GBK"/>
          <w:b/>
          <w:color w:val="auto"/>
          <w:kern w:val="0"/>
          <w:sz w:val="32"/>
          <w:szCs w:val="32"/>
          <w:lang w:bidi="en-US"/>
        </w:rPr>
      </w:pPr>
    </w:p>
    <w:p w14:paraId="7DE60F7A">
      <w:pPr>
        <w:rPr>
          <w:rFonts w:hint="eastAsia" w:eastAsia="方正仿宋_GBK" w:cs="方正仿宋_GBK"/>
          <w:b/>
          <w:color w:val="auto"/>
          <w:kern w:val="0"/>
          <w:sz w:val="32"/>
          <w:szCs w:val="32"/>
          <w:lang w:bidi="en-US"/>
        </w:rPr>
      </w:pPr>
    </w:p>
    <w:p w14:paraId="31FA9EDA">
      <w:pPr>
        <w:pStyle w:val="6"/>
        <w:rPr>
          <w:rFonts w:hint="eastAsia"/>
          <w:color w:val="auto"/>
        </w:rPr>
      </w:pPr>
    </w:p>
    <w:p w14:paraId="38B57027">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77981169">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01743DA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6C0129D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项目名称：新疆京洛集团有限责任公司公司追加注册资本金</w:t>
      </w:r>
    </w:p>
    <w:p w14:paraId="5C94A63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val="en-US" w:eastAsia="zh-CN" w:bidi="en-US"/>
        </w:rPr>
        <w:t>洛浦县财政局</w:t>
      </w:r>
    </w:p>
    <w:p w14:paraId="24ECFA1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val="en-US" w:eastAsia="zh-CN" w:bidi="en-US"/>
        </w:rPr>
        <w:t>洛浦县财政局</w:t>
      </w:r>
      <w:r>
        <w:rPr>
          <w:rFonts w:hint="eastAsia" w:ascii="宋体" w:hAnsi="宋体" w:eastAsia="宋体" w:cs="宋体"/>
          <w:b/>
          <w:bCs/>
          <w:color w:val="000000"/>
          <w:kern w:val="0"/>
          <w:sz w:val="28"/>
          <w:szCs w:val="28"/>
          <w:highlight w:val="none"/>
          <w:lang w:bidi="en-US"/>
        </w:rPr>
        <w:t>（本级）</w:t>
      </w:r>
    </w:p>
    <w:p w14:paraId="174DFE8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曾涛</w:t>
      </w:r>
    </w:p>
    <w:p w14:paraId="3E5FDF3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4</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15</w:t>
      </w:r>
      <w:r>
        <w:rPr>
          <w:rFonts w:hint="eastAsia" w:ascii="宋体" w:hAnsi="宋体" w:eastAsia="宋体" w:cs="宋体"/>
          <w:b/>
          <w:bCs/>
          <w:color w:val="000000"/>
          <w:kern w:val="0"/>
          <w:sz w:val="28"/>
          <w:szCs w:val="28"/>
          <w:highlight w:val="none"/>
          <w:lang w:bidi="en-US"/>
        </w:rPr>
        <w:t>日</w:t>
      </w:r>
    </w:p>
    <w:p w14:paraId="7D24734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58F4EA50">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bookmarkStart w:id="0" w:name="_Toc68364657"/>
      <w:r>
        <w:rPr>
          <w:rFonts w:hint="eastAsia" w:ascii="黑体" w:hAnsi="黑体" w:eastAsia="黑体" w:cs="黑体"/>
          <w:b/>
          <w:bCs/>
          <w:color w:val="000000"/>
          <w:sz w:val="24"/>
          <w:szCs w:val="24"/>
          <w:highlight w:val="none"/>
          <w:lang w:val="en-US" w:eastAsia="zh-CN"/>
        </w:rPr>
        <w:t>一、基本情况</w:t>
      </w:r>
      <w:bookmarkEnd w:id="0"/>
    </w:p>
    <w:p w14:paraId="1BAFC198">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bookmarkStart w:id="1" w:name="_Toc68364658"/>
      <w:r>
        <w:rPr>
          <w:rFonts w:hint="eastAsia" w:ascii="宋体" w:hAnsi="宋体" w:eastAsia="宋体" w:cs="宋体"/>
          <w:b/>
          <w:bCs/>
          <w:color w:val="000000"/>
          <w:sz w:val="24"/>
          <w:szCs w:val="24"/>
          <w:highlight w:val="none"/>
          <w:lang w:eastAsia="zh-CN"/>
        </w:rPr>
        <w:t>（一）项目概况</w:t>
      </w:r>
      <w:bookmarkEnd w:id="1"/>
    </w:p>
    <w:p w14:paraId="67DF297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2A18726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要谋划进一步全面深化改革重大举措，为推动高质量发展、加快中国式现代化持续注入强大动力。不断完善落实“两个毫不动摇”的体制机制，充分激活各类经营主体的内生动力和创新活力。深入实施国有企业改革深化提升行动。增强核心功能、提高核心竞争力。</w:t>
      </w:r>
    </w:p>
    <w:p w14:paraId="3B4034F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隶属于新疆维吾尔自治区和田地区。位于昆仑山北麓，塔里木盆地边缘，地处东经79°59′-81°83′，北纬36°30′-39°29′东邻策勒县，南靠昆仑山，西以玉龙喀什河为界与和田县、和田市隔河相望，北伸延入塔克拉玛干大沙漠与阿克苏市、阿瓦提县为邻。</w:t>
      </w:r>
    </w:p>
    <w:p w14:paraId="25157AA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今年以来京洛集团有限责任公司积极承接荒漠化治理建设工程项目以及政府公益性项目，此类资金需求量大，且部分资金未回笼个，制约了公司的发展前景，为持续支持京洛集团后续的发展，解决京洛集团目前发展面临的困境，经财经委员会研究，向京洛集团追加注册资本金。</w:t>
      </w:r>
    </w:p>
    <w:p w14:paraId="773DB1F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35DC01E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457A621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保障1家公司（京洛集团）注册本级。通过项目实施，解决京洛集团流动资金困难问题，提高企业竞争力、促进公司发展。</w:t>
      </w:r>
    </w:p>
    <w:p w14:paraId="5E5592E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3C48B40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1854C9F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本项目主管部门为洛浦县财政局，实施单位为洛浦县财政局。</w:t>
      </w:r>
    </w:p>
    <w:p w14:paraId="2DC1955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3D173814">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2024年1月-2024年12月</w:t>
      </w:r>
    </w:p>
    <w:p w14:paraId="7C4E972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1807D45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本项目于2024年12月31日前全部执行完毕。</w:t>
      </w:r>
    </w:p>
    <w:p w14:paraId="7915AB2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3.资金投入和使用情况</w:t>
      </w:r>
    </w:p>
    <w:p w14:paraId="5522ED3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1CF9DFE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310</w:t>
      </w:r>
      <w:r>
        <w:rPr>
          <w:rFonts w:hint="eastAsia" w:ascii="宋体" w:hAnsi="宋体" w:eastAsia="宋体" w:cs="宋体"/>
          <w:color w:val="auto"/>
          <w:sz w:val="24"/>
          <w:szCs w:val="24"/>
        </w:rPr>
        <w:t>万元，资金来源为</w:t>
      </w:r>
      <w:r>
        <w:rPr>
          <w:rFonts w:hint="eastAsia" w:ascii="宋体" w:hAnsi="宋体" w:eastAsia="宋体" w:cs="宋体"/>
          <w:color w:val="auto"/>
          <w:sz w:val="24"/>
          <w:szCs w:val="24"/>
          <w:lang w:eastAsia="zh-CN"/>
        </w:rPr>
        <w:t>县财力资金</w:t>
      </w:r>
      <w:r>
        <w:rPr>
          <w:rFonts w:hint="eastAsia" w:ascii="宋体" w:hAnsi="宋体" w:eastAsia="宋体" w:cs="宋体"/>
          <w:color w:val="auto"/>
          <w:sz w:val="24"/>
          <w:szCs w:val="24"/>
          <w:lang w:val="en-US" w:eastAsia="zh-CN"/>
        </w:rPr>
        <w:t>310万元</w:t>
      </w:r>
      <w:r>
        <w:rPr>
          <w:rFonts w:hint="eastAsia" w:ascii="宋体" w:hAnsi="宋体" w:eastAsia="宋体" w:cs="宋体"/>
          <w:color w:val="auto"/>
          <w:sz w:val="24"/>
          <w:szCs w:val="24"/>
        </w:rPr>
        <w:t>，</w:t>
      </w:r>
      <w:r>
        <w:rPr>
          <w:rFonts w:hint="eastAsia" w:ascii="宋体" w:hAnsi="宋体" w:eastAsia="宋体" w:cs="宋体"/>
          <w:color w:val="000000"/>
          <w:sz w:val="24"/>
          <w:szCs w:val="24"/>
          <w:highlight w:val="none"/>
        </w:rPr>
        <w:t>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年实际收到预算资金</w:t>
      </w:r>
      <w:r>
        <w:rPr>
          <w:rFonts w:hint="eastAsia" w:ascii="宋体" w:hAnsi="宋体" w:eastAsia="宋体" w:cs="宋体"/>
          <w:color w:val="auto"/>
          <w:sz w:val="24"/>
          <w:szCs w:val="24"/>
          <w:lang w:val="en-US" w:eastAsia="zh-CN"/>
        </w:rPr>
        <w:t>310</w:t>
      </w:r>
      <w:r>
        <w:rPr>
          <w:rFonts w:hint="eastAsia" w:ascii="宋体" w:hAnsi="宋体" w:eastAsia="宋体" w:cs="宋体"/>
          <w:color w:val="000000"/>
          <w:sz w:val="24"/>
          <w:szCs w:val="24"/>
          <w:highlight w:val="none"/>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rPr>
        <w:t>。</w:t>
      </w:r>
    </w:p>
    <w:p w14:paraId="4F24CB7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2927CE5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本项目</w:t>
      </w:r>
      <w:r>
        <w:rPr>
          <w:rFonts w:hint="eastAsia" w:ascii="宋体" w:hAnsi="宋体" w:eastAsia="宋体" w:cs="宋体"/>
          <w:color w:val="auto"/>
          <w:sz w:val="24"/>
          <w:szCs w:val="24"/>
          <w:lang w:val="en-US" w:eastAsia="zh-CN"/>
        </w:rPr>
        <w:t>2024年</w:t>
      </w:r>
      <w:r>
        <w:rPr>
          <w:rFonts w:hint="eastAsia" w:ascii="宋体" w:hAnsi="宋体" w:eastAsia="宋体" w:cs="宋体"/>
          <w:color w:val="auto"/>
          <w:sz w:val="24"/>
          <w:szCs w:val="24"/>
        </w:rPr>
        <w:t>实际支付资金</w:t>
      </w:r>
      <w:r>
        <w:rPr>
          <w:rFonts w:hint="eastAsia" w:ascii="宋体" w:hAnsi="宋体" w:eastAsia="宋体" w:cs="宋体"/>
          <w:color w:val="auto"/>
          <w:sz w:val="24"/>
          <w:szCs w:val="24"/>
          <w:lang w:val="en-US" w:eastAsia="zh-CN"/>
        </w:rPr>
        <w:t>310</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%。本项目资金主要用于解决京洛集团流动资金困难问题，提高企业竞争力、促进公司发展。</w:t>
      </w:r>
    </w:p>
    <w:p w14:paraId="3A58647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1AB2DB8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540F856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38CA289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rPr>
        <w:t>根据《洛浦县财经委员会会议纪要》（洛财纪字【2024】12号）文件要求实施此项目，主要内容为：保障1家公司（京洛集团）注册本级。通过项目实施，解决京洛集团流动资金困难问题，提高企业竞争力、促进公司发展。</w:t>
      </w:r>
    </w:p>
    <w:p w14:paraId="0DD0AD5D">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3" w:name="_Toc68364660"/>
      <w:r>
        <w:rPr>
          <w:rFonts w:hint="eastAsia" w:ascii="宋体" w:hAnsi="宋体" w:eastAsia="宋体" w:cs="宋体"/>
          <w:b/>
          <w:bCs/>
          <w:color w:val="000000"/>
          <w:sz w:val="24"/>
          <w:szCs w:val="24"/>
          <w:highlight w:val="none"/>
        </w:rPr>
        <w:t>阶段性目标</w:t>
      </w:r>
    </w:p>
    <w:p w14:paraId="0551132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4A492C4">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1E46902E">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68D89825">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保障公司数量，</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lang w:val="en-US" w:eastAsia="zh-CN"/>
        </w:rPr>
        <w:t>=1家</w:t>
      </w:r>
      <w:r>
        <w:rPr>
          <w:rFonts w:hint="eastAsia" w:ascii="宋体" w:hAnsi="宋体" w:eastAsia="宋体" w:cs="宋体"/>
          <w:color w:val="auto"/>
          <w:sz w:val="24"/>
          <w:szCs w:val="24"/>
        </w:rPr>
        <w:t>；</w:t>
      </w:r>
    </w:p>
    <w:p w14:paraId="29EA978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8FB4F4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资金使用合格率，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942A5B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6361765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项目完成时间，</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4CFA63B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指标</w:t>
      </w:r>
      <w:r>
        <w:rPr>
          <w:rFonts w:hint="eastAsia" w:ascii="宋体" w:hAnsi="宋体" w:eastAsia="宋体" w:cs="宋体"/>
          <w:color w:val="auto"/>
          <w:sz w:val="24"/>
          <w:szCs w:val="24"/>
          <w:lang w:val="en-US" w:eastAsia="zh-CN"/>
        </w:rPr>
        <w:t>2：资金支付及时率，预期指标值=100%</w:t>
      </w:r>
      <w:r>
        <w:rPr>
          <w:rFonts w:hint="eastAsia" w:ascii="宋体" w:hAnsi="宋体" w:eastAsia="宋体" w:cs="宋体"/>
          <w:color w:val="auto"/>
          <w:sz w:val="24"/>
          <w:szCs w:val="24"/>
        </w:rPr>
        <w:t>；</w:t>
      </w:r>
    </w:p>
    <w:p w14:paraId="40E2297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37EA0C7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452E0B41">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注册本金，</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310万元</w:t>
      </w:r>
      <w:r>
        <w:rPr>
          <w:rFonts w:hint="eastAsia" w:ascii="宋体" w:hAnsi="宋体" w:eastAsia="宋体" w:cs="宋体"/>
          <w:color w:val="auto"/>
          <w:sz w:val="24"/>
          <w:szCs w:val="24"/>
        </w:rPr>
        <w:t>；</w:t>
      </w:r>
    </w:p>
    <w:p w14:paraId="63CA145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2F4E08E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1455F066">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生态成本指标;</w:t>
      </w:r>
    </w:p>
    <w:p w14:paraId="0D901B0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42214C2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0D4E44D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6E0863E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0683376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66F2F8C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促进公司发展，</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效果显著</w:t>
      </w:r>
      <w:r>
        <w:rPr>
          <w:rFonts w:hint="eastAsia" w:ascii="宋体" w:hAnsi="宋体" w:eastAsia="宋体" w:cs="宋体"/>
          <w:color w:val="auto"/>
          <w:sz w:val="24"/>
          <w:szCs w:val="24"/>
        </w:rPr>
        <w:t>；</w:t>
      </w:r>
    </w:p>
    <w:p w14:paraId="2A01346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5D1BD01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77B4571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26B62CB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color w:val="auto"/>
          <w:sz w:val="24"/>
          <w:szCs w:val="24"/>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val="en-US" w:eastAsia="zh-CN"/>
        </w:rPr>
        <w:t>受益单位满意度，</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4AD4517A">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297818E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2357D24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4AEE8E2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定，对新疆京洛集团有限责任公司公司追加注册资本金</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开展本次部门项目支出绩效评价工作。全面了解</w:t>
      </w:r>
      <w:r>
        <w:rPr>
          <w:rFonts w:hint="eastAsia" w:ascii="宋体" w:hAnsi="宋体" w:eastAsia="宋体" w:cs="宋体"/>
          <w:color w:val="auto"/>
          <w:sz w:val="24"/>
          <w:szCs w:val="24"/>
          <w:lang w:val="en-US" w:eastAsia="zh-CN"/>
        </w:rPr>
        <w:t>新疆京洛集团有限责任公司公司追加注册资本金</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005B38A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781993E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1BF563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2B3FA3B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0A87428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新疆京洛集团有限责任公司公司追加注册资本金</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6D3C4198">
      <w:pPr>
        <w:pStyle w:val="45"/>
        <w:pageBreakBefore w:val="0"/>
        <w:widowControl w:val="0"/>
        <w:kinsoku/>
        <w:wordWrap/>
        <w:topLinePunct w:val="0"/>
        <w:autoSpaceDE/>
        <w:autoSpaceDN/>
        <w:bidi w:val="0"/>
        <w:spacing w:line="360" w:lineRule="auto"/>
        <w:ind w:left="0" w:leftChars="0" w:firstLine="480"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566D37C3">
      <w:pPr>
        <w:pStyle w:val="45"/>
        <w:pageBreakBefore w:val="0"/>
        <w:widowControl w:val="0"/>
        <w:kinsoku/>
        <w:wordWrap/>
        <w:topLinePunct w:val="0"/>
        <w:autoSpaceDE/>
        <w:autoSpaceDN/>
        <w:bidi w:val="0"/>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新疆京洛集团有限责任公司公司追加注册资本金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5714AC3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3F6AAF9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0E09E4C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908BEE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55F64D0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584923E">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2B86C45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0C85AF0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24FA4ADD">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33F7E0C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rPr>
        <w:t>2）保证评价结果的真实性、公</w:t>
      </w:r>
      <w:r>
        <w:rPr>
          <w:rFonts w:hint="eastAsia" w:ascii="宋体" w:hAnsi="宋体" w:eastAsia="宋体" w:cs="宋体"/>
          <w:color w:val="auto"/>
          <w:sz w:val="24"/>
          <w:szCs w:val="24"/>
          <w:highlight w:val="none"/>
        </w:rPr>
        <w:t>正性，提高评价报告的公信力。</w:t>
      </w:r>
    </w:p>
    <w:p w14:paraId="5ABCF8A2">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6907B6CF">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2.绩效评价指标体系</w:t>
      </w:r>
    </w:p>
    <w:p w14:paraId="51AFABD6">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33F42E4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3.绩效评价方法</w:t>
      </w:r>
    </w:p>
    <w:p w14:paraId="19F0C7C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6223BB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58C478E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3D93752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w:t>
      </w:r>
      <w:r>
        <w:rPr>
          <w:rFonts w:hint="eastAsia" w:ascii="宋体" w:hAnsi="宋体" w:eastAsia="宋体" w:cs="宋体"/>
          <w:b w:val="0"/>
          <w:bCs/>
          <w:color w:val="auto"/>
          <w:sz w:val="24"/>
          <w:szCs w:val="24"/>
        </w:rPr>
        <w:t>件要求执行，分析立项程序的规范性。</w:t>
      </w:r>
    </w:p>
    <w:p w14:paraId="50D1D96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5A463BD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766BE755">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79E75FAA">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76148249">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4584F670">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28F4F46B">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433DB4A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591CD43C">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381EA184">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4AEC027">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0BE9BEE3">
      <w:pPr>
        <w:pStyle w:val="45"/>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229C2BF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val="en-US" w:eastAsia="zh-CN"/>
        </w:rPr>
        <w:t>计划</w:t>
      </w:r>
      <w:r>
        <w:rPr>
          <w:rFonts w:hint="eastAsia" w:ascii="宋体" w:hAnsi="宋体" w:eastAsia="宋体" w:cs="宋体"/>
          <w:color w:val="auto"/>
          <w:sz w:val="24"/>
          <w:szCs w:val="24"/>
        </w:rPr>
        <w:t>标准。</w:t>
      </w:r>
    </w:p>
    <w:p w14:paraId="020FEC7E">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color w:val="auto"/>
          <w:sz w:val="24"/>
          <w:szCs w:val="24"/>
        </w:rPr>
        <w:t>计划标准：指以预先制定的目标、计划、预算、定额等作为评价标准。</w:t>
      </w:r>
      <w:bookmarkEnd w:id="7"/>
      <w:bookmarkEnd w:id="8"/>
    </w:p>
    <w:p w14:paraId="31BD85B0">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9" w:name="_Toc2318"/>
      <w:bookmarkStart w:id="10" w:name="_Toc5633"/>
      <w:r>
        <w:rPr>
          <w:rFonts w:hint="eastAsia" w:ascii="宋体" w:hAnsi="宋体" w:eastAsia="宋体" w:cs="宋体"/>
          <w:color w:val="auto"/>
          <w:sz w:val="24"/>
          <w:szCs w:val="24"/>
        </w:rPr>
        <w:t>行业标准：指参照国家公布的行业指标数据制定的评价标准。</w:t>
      </w:r>
      <w:bookmarkEnd w:id="9"/>
      <w:bookmarkEnd w:id="10"/>
    </w:p>
    <w:p w14:paraId="4FEBBA97">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rPr>
      </w:pPr>
      <w:bookmarkStart w:id="11" w:name="_Toc16028"/>
      <w:bookmarkStart w:id="12" w:name="_Toc430"/>
      <w:r>
        <w:rPr>
          <w:rFonts w:hint="eastAsia" w:ascii="宋体" w:hAnsi="宋体" w:eastAsia="宋体" w:cs="宋体"/>
          <w:color w:val="auto"/>
          <w:sz w:val="24"/>
          <w:szCs w:val="24"/>
        </w:rPr>
        <w:t>历史标准：指参照历史数据制定的评价标准，为体现绩效改进的原则，在可实现的条件下应当确定相对较高的评价标准。</w:t>
      </w:r>
      <w:bookmarkEnd w:id="11"/>
      <w:bookmarkEnd w:id="12"/>
    </w:p>
    <w:p w14:paraId="016CAAC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0F89A4D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3" w:name="_Toc68364664"/>
      <w:r>
        <w:rPr>
          <w:rFonts w:hint="eastAsia" w:ascii="宋体" w:hAnsi="宋体" w:eastAsia="宋体" w:cs="宋体"/>
          <w:b/>
          <w:bCs/>
          <w:color w:val="000000"/>
          <w:sz w:val="24"/>
          <w:szCs w:val="24"/>
          <w:highlight w:val="none"/>
        </w:rPr>
        <w:t>1.前期准备</w:t>
      </w:r>
    </w:p>
    <w:p w14:paraId="49DDE22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0110AD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曾涛</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项目的实施和操作，负责项目指标研制和报告质量审核</w:t>
      </w:r>
      <w:r>
        <w:rPr>
          <w:rFonts w:hint="eastAsia" w:ascii="宋体" w:hAnsi="宋体" w:eastAsia="宋体" w:cs="宋体"/>
          <w:color w:val="auto"/>
          <w:sz w:val="24"/>
          <w:szCs w:val="24"/>
        </w:rPr>
        <w:t>;</w:t>
      </w:r>
    </w:p>
    <w:p w14:paraId="2C70066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尚润之</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项目方案、报告的制定、和报告撰写;</w:t>
      </w:r>
    </w:p>
    <w:p w14:paraId="611A1A9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谢仁古丽</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主要负责项目的资料整理、收集和数据分析</w:t>
      </w:r>
      <w:r>
        <w:rPr>
          <w:rFonts w:hint="eastAsia" w:ascii="宋体" w:hAnsi="宋体" w:eastAsia="宋体" w:cs="宋体"/>
          <w:color w:val="auto"/>
          <w:sz w:val="24"/>
          <w:szCs w:val="24"/>
        </w:rPr>
        <w:t>。</w:t>
      </w:r>
    </w:p>
    <w:p w14:paraId="766D117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7D2AB98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07152A3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279F249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1DE7BB8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79C1B04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0E3759E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3E73AB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17857A8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05FCAE70">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1AAD106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393C6974">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65"/>
      <w:r>
        <w:rPr>
          <w:rFonts w:hint="eastAsia" w:ascii="宋体" w:hAnsi="宋体" w:eastAsia="宋体" w:cs="宋体"/>
          <w:color w:val="auto"/>
          <w:sz w:val="24"/>
          <w:szCs w:val="24"/>
        </w:rPr>
        <w:t>（一）综合评价情况</w:t>
      </w:r>
      <w:bookmarkEnd w:id="14"/>
    </w:p>
    <w:p w14:paraId="703288E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bookmarkStart w:id="15"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lang w:eastAsia="zh-CN"/>
        </w:rPr>
        <w:t>新疆京洛集团有限责任公司公司追加注册资本金</w:t>
      </w:r>
      <w:r>
        <w:rPr>
          <w:rFonts w:hint="eastAsia" w:ascii="宋体" w:hAnsi="宋体" w:eastAsia="宋体" w:cs="宋体"/>
          <w:color w:val="auto"/>
          <w:sz w:val="24"/>
          <w:szCs w:val="24"/>
        </w:rPr>
        <w:t>项目产生</w:t>
      </w:r>
      <w:r>
        <w:rPr>
          <w:rFonts w:hint="eastAsia" w:ascii="宋体" w:hAnsi="宋体" w:eastAsia="宋体" w:cs="宋体"/>
          <w:color w:val="auto"/>
          <w:sz w:val="24"/>
          <w:szCs w:val="24"/>
          <w:lang w:val="en-US" w:eastAsia="zh-CN"/>
        </w:rPr>
        <w:t>社会</w:t>
      </w:r>
      <w:r>
        <w:rPr>
          <w:rFonts w:hint="eastAsia" w:ascii="宋体" w:hAnsi="宋体" w:eastAsia="宋体" w:cs="宋体"/>
          <w:color w:val="auto"/>
          <w:sz w:val="24"/>
          <w:szCs w:val="24"/>
        </w:rPr>
        <w:t>效益。通过项目实施，解决京洛集团流动资金困难问题，提高企业竞争力、促进公司发展</w:t>
      </w:r>
      <w:r>
        <w:rPr>
          <w:rFonts w:hint="eastAsia" w:ascii="宋体" w:hAnsi="宋体" w:eastAsia="宋体" w:cs="宋体"/>
          <w:color w:val="auto"/>
          <w:sz w:val="24"/>
          <w:szCs w:val="24"/>
          <w:lang w:eastAsia="zh-CN"/>
        </w:rPr>
        <w:t>。</w:t>
      </w:r>
    </w:p>
    <w:p w14:paraId="1B92661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项目决策：该项目主要通过</w:t>
      </w:r>
      <w:r>
        <w:rPr>
          <w:rFonts w:hint="eastAsia" w:ascii="宋体" w:hAnsi="宋体" w:eastAsia="宋体" w:cs="宋体"/>
          <w:color w:val="auto"/>
          <w:sz w:val="24"/>
          <w:szCs w:val="24"/>
          <w:lang w:eastAsia="zh-CN"/>
        </w:rPr>
        <w:t>新疆京洛集团注册资本金</w:t>
      </w:r>
      <w:r>
        <w:rPr>
          <w:rFonts w:hint="eastAsia" w:ascii="宋体" w:hAnsi="宋体" w:eastAsia="宋体" w:cs="宋体"/>
          <w:color w:val="auto"/>
          <w:sz w:val="24"/>
          <w:szCs w:val="24"/>
        </w:rPr>
        <w:t>项目项目</w:t>
      </w:r>
      <w:r>
        <w:rPr>
          <w:rFonts w:hint="eastAsia" w:ascii="宋体" w:hAnsi="宋体" w:eastAsia="宋体" w:cs="宋体"/>
          <w:color w:val="auto"/>
          <w:sz w:val="24"/>
          <w:szCs w:val="24"/>
          <w:highlight w:val="none"/>
        </w:rPr>
        <w:t>初步设计报告的批复立项</w:t>
      </w:r>
      <w:r>
        <w:rPr>
          <w:rFonts w:hint="eastAsia" w:ascii="宋体" w:hAnsi="宋体" w:eastAsia="宋体" w:cs="宋体"/>
          <w:color w:val="auto"/>
          <w:sz w:val="24"/>
          <w:szCs w:val="24"/>
        </w:rPr>
        <w:t>，项目实施符合</w:t>
      </w:r>
      <w:r>
        <w:rPr>
          <w:rFonts w:hint="eastAsia" w:ascii="宋体" w:hAnsi="宋体" w:eastAsia="宋体" w:cs="宋体"/>
          <w:color w:val="auto"/>
          <w:sz w:val="24"/>
          <w:szCs w:val="24"/>
          <w:highlight w:val="none"/>
          <w:lang w:val="en-US" w:eastAsia="zh-CN"/>
        </w:rPr>
        <w:t>初步设计的</w:t>
      </w:r>
      <w:r>
        <w:rPr>
          <w:rFonts w:hint="eastAsia" w:ascii="宋体" w:hAnsi="宋体" w:eastAsia="宋体" w:cs="宋体"/>
          <w:color w:val="auto"/>
          <w:sz w:val="24"/>
          <w:szCs w:val="24"/>
        </w:rPr>
        <w:t>要求，项目立项依据充分，立项程序规范。</w:t>
      </w:r>
    </w:p>
    <w:p w14:paraId="02B638A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lang w:eastAsia="zh-CN"/>
        </w:rPr>
        <w:t>新疆京洛集团有限责任公司公司追加注册资本金</w:t>
      </w:r>
      <w:r>
        <w:rPr>
          <w:rFonts w:hint="eastAsia" w:ascii="宋体" w:hAnsi="宋体" w:eastAsia="宋体" w:cs="宋体"/>
          <w:color w:val="auto"/>
          <w:sz w:val="24"/>
          <w:szCs w:val="24"/>
        </w:rPr>
        <w:t>项目</w:t>
      </w:r>
      <w:r>
        <w:rPr>
          <w:rFonts w:hint="eastAsia" w:ascii="宋体" w:hAnsi="宋体" w:eastAsia="宋体" w:cs="宋体"/>
          <w:color w:val="auto"/>
          <w:sz w:val="24"/>
          <w:szCs w:val="24"/>
          <w:highlight w:val="none"/>
          <w:lang w:val="en-US" w:eastAsia="zh-CN"/>
        </w:rPr>
        <w:t>总投资310</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2024年预算资金310元，实际执行310万元，预算执行率100%。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0C95955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w:t>
      </w:r>
      <w:r>
        <w:rPr>
          <w:rFonts w:hint="eastAsia" w:ascii="宋体" w:hAnsi="宋体" w:eastAsia="宋体" w:cs="宋体"/>
          <w:color w:val="auto"/>
          <w:sz w:val="24"/>
          <w:szCs w:val="24"/>
          <w:highlight w:val="none"/>
          <w:lang w:val="en-US" w:eastAsia="zh-CN"/>
        </w:rPr>
        <w:t>该项目</w:t>
      </w:r>
      <w:r>
        <w:rPr>
          <w:rFonts w:hint="eastAsia" w:ascii="宋体" w:hAnsi="宋体" w:eastAsia="宋体" w:cs="宋体"/>
          <w:color w:val="auto"/>
          <w:sz w:val="24"/>
          <w:szCs w:val="24"/>
          <w:lang w:eastAsia="zh-CN"/>
        </w:rPr>
        <w:t>解决了国有企业的经营困境，促进企业发展</w:t>
      </w:r>
    </w:p>
    <w:p w14:paraId="1641985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项目效益：项目的实施</w:t>
      </w:r>
      <w:r>
        <w:rPr>
          <w:rFonts w:hint="eastAsia" w:ascii="宋体" w:hAnsi="宋体" w:eastAsia="宋体" w:cs="宋体"/>
          <w:color w:val="auto"/>
          <w:sz w:val="24"/>
          <w:szCs w:val="24"/>
          <w:lang w:eastAsia="zh-CN"/>
        </w:rPr>
        <w:t>，有力支持京洛集团后续的长远发展。</w:t>
      </w:r>
    </w:p>
    <w:p w14:paraId="5AD52E2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333333"/>
          <w:kern w:val="2"/>
          <w:sz w:val="24"/>
          <w:szCs w:val="24"/>
          <w:lang w:val="en-US" w:eastAsia="zh-CN" w:bidi="ar-SA"/>
        </w:rPr>
      </w:pPr>
      <w:r>
        <w:rPr>
          <w:rFonts w:hint="eastAsia" w:ascii="宋体" w:hAnsi="宋体" w:eastAsia="宋体" w:cs="宋体"/>
          <w:color w:val="333333"/>
          <w:kern w:val="2"/>
          <w:sz w:val="24"/>
          <w:szCs w:val="24"/>
          <w:lang w:val="en-US" w:eastAsia="zh-CN" w:bidi="ar-SA"/>
        </w:rPr>
        <w:t>（二）综合评价结论</w:t>
      </w:r>
      <w:bookmarkEnd w:id="15"/>
    </w:p>
    <w:p w14:paraId="7DF7BE4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16" w:name="_Toc68364667"/>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w:t>
      </w:r>
      <w:r>
        <w:rPr>
          <w:rFonts w:hint="eastAsia" w:ascii="宋体" w:hAnsi="宋体" w:eastAsia="宋体" w:cs="宋体"/>
          <w:color w:val="auto"/>
          <w:sz w:val="24"/>
          <w:szCs w:val="24"/>
        </w:rPr>
        <w:t>。经对</w:t>
      </w:r>
      <w:r>
        <w:rPr>
          <w:rFonts w:hint="eastAsia" w:ascii="宋体" w:hAnsi="宋体" w:eastAsia="宋体" w:cs="宋体"/>
          <w:color w:val="000000"/>
          <w:sz w:val="24"/>
          <w:szCs w:val="24"/>
          <w:highlight w:val="none"/>
          <w:lang w:val="en-US" w:eastAsia="zh-CN"/>
        </w:rPr>
        <w:t>新疆京洛集团有限责任公司公司追加注册资本金</w:t>
      </w:r>
      <w:r>
        <w:rPr>
          <w:rFonts w:hint="eastAsia" w:ascii="宋体" w:hAnsi="宋体" w:eastAsia="宋体" w:cs="宋体"/>
          <w:color w:val="auto"/>
          <w:sz w:val="24"/>
          <w:szCs w:val="24"/>
        </w:rPr>
        <w:t>项目</w:t>
      </w:r>
      <w:r>
        <w:rPr>
          <w:rFonts w:hint="eastAsia" w:ascii="宋体" w:hAnsi="宋体" w:eastAsia="宋体" w:cs="宋体"/>
          <w:color w:val="333333"/>
          <w:sz w:val="24"/>
          <w:szCs w:val="24"/>
        </w:rPr>
        <w:t>进行</w:t>
      </w:r>
      <w:r>
        <w:rPr>
          <w:rFonts w:hint="eastAsia" w:ascii="宋体" w:hAnsi="宋体" w:eastAsia="宋体" w:cs="宋体"/>
          <w:color w:val="333333"/>
          <w:sz w:val="24"/>
          <w:szCs w:val="24"/>
          <w:highlight w:val="none"/>
        </w:rPr>
        <w:t>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p>
    <w:p w14:paraId="08353909">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四、绩效评价指标分析</w:t>
      </w:r>
      <w:bookmarkEnd w:id="16"/>
    </w:p>
    <w:p w14:paraId="2D745485">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7" w:name="_Toc68364668"/>
      <w:r>
        <w:rPr>
          <w:rFonts w:hint="eastAsia" w:ascii="宋体" w:hAnsi="宋体" w:eastAsia="宋体" w:cs="宋体"/>
          <w:color w:val="auto"/>
          <w:sz w:val="24"/>
          <w:szCs w:val="24"/>
        </w:rPr>
        <w:t>（一）项目决策情况</w:t>
      </w:r>
    </w:p>
    <w:p w14:paraId="07AC571C">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项目决策类指标包括项目立项、绩效目标和资金投入三方面的内容，由</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个三级指标构成，权重分为</w:t>
      </w:r>
      <w:r>
        <w:rPr>
          <w:rFonts w:hint="eastAsia" w:ascii="宋体" w:hAnsi="宋体" w:eastAsia="宋体" w:cs="宋体"/>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8FE5BA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40CBE233">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本项目立项符合本项目实施符合《洛浦县财经委员会会议纪要》；根据</w:t>
      </w:r>
      <w:r>
        <w:rPr>
          <w:rFonts w:hint="eastAsia" w:ascii="宋体" w:hAnsi="宋体" w:eastAsia="宋体" w:cs="宋体"/>
          <w:sz w:val="24"/>
          <w:szCs w:val="24"/>
          <w:highlight w:val="none"/>
          <w:lang w:eastAsia="zh-CN"/>
        </w:rPr>
        <w:t>洛财纪字【</w:t>
      </w:r>
      <w:r>
        <w:rPr>
          <w:rFonts w:hint="eastAsia" w:ascii="宋体" w:hAnsi="宋体" w:eastAsia="宋体" w:cs="宋体"/>
          <w:sz w:val="24"/>
          <w:szCs w:val="24"/>
          <w:highlight w:val="none"/>
          <w:lang w:val="en-US" w:eastAsia="zh-CN"/>
        </w:rPr>
        <w:t>2024】12号会议纪要</w:t>
      </w:r>
      <w:r>
        <w:rPr>
          <w:rFonts w:hint="eastAsia" w:ascii="宋体" w:hAnsi="宋体" w:eastAsia="宋体" w:cs="宋体"/>
          <w:sz w:val="24"/>
          <w:szCs w:val="24"/>
          <w:highlight w:val="none"/>
        </w:rPr>
        <w:t>，本项目功能分类为“</w:t>
      </w:r>
      <w:r>
        <w:rPr>
          <w:rFonts w:hint="eastAsia" w:ascii="宋体" w:hAnsi="宋体" w:eastAsia="宋体" w:cs="宋体"/>
          <w:sz w:val="24"/>
          <w:szCs w:val="24"/>
          <w:highlight w:val="none"/>
          <w:lang w:val="en-US" w:eastAsia="zh-CN"/>
        </w:rPr>
        <w:t>2150899</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其他支持中小企业管理支出，</w:t>
      </w:r>
      <w:r>
        <w:rPr>
          <w:rFonts w:hint="eastAsia" w:ascii="宋体" w:hAnsi="宋体" w:eastAsia="宋体" w:cs="宋体"/>
          <w:sz w:val="24"/>
          <w:szCs w:val="24"/>
          <w:highlight w:val="none"/>
        </w:rPr>
        <w:t>经济分类为“</w:t>
      </w:r>
      <w:r>
        <w:rPr>
          <w:rFonts w:hint="eastAsia" w:ascii="宋体" w:hAnsi="宋体" w:eastAsia="宋体" w:cs="宋体"/>
          <w:sz w:val="24"/>
          <w:szCs w:val="24"/>
          <w:highlight w:val="none"/>
          <w:lang w:val="en-US" w:eastAsia="zh-CN"/>
        </w:rPr>
        <w:t>50799</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其他对企业的补助</w:t>
      </w:r>
      <w:r>
        <w:rPr>
          <w:rFonts w:hint="eastAsia" w:ascii="宋体" w:hAnsi="宋体" w:eastAsia="宋体" w:cs="宋体"/>
          <w:sz w:val="24"/>
          <w:szCs w:val="24"/>
          <w:highlight w:val="none"/>
        </w:rPr>
        <w:t>，符合中央、地方事权支出责任划分原则；经检查我单位财政应用平台指标，本项目不存在重复。</w:t>
      </w:r>
    </w:p>
    <w:p w14:paraId="3D6C4B8A">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综上所述，本指标满分为2分，根据评分标准得2分，本项目立项依据较充分。</w:t>
      </w:r>
    </w:p>
    <w:p w14:paraId="11438B6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1D2C0DB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本项目按照规定的程序申请设立，</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特定类</w:t>
      </w:r>
      <w:r>
        <w:rPr>
          <w:rFonts w:hint="eastAsia" w:ascii="宋体" w:hAnsi="宋体" w:eastAsia="宋体" w:cs="宋体"/>
          <w:color w:val="auto"/>
          <w:sz w:val="24"/>
          <w:szCs w:val="24"/>
          <w:highlight w:val="none"/>
        </w:rPr>
        <w:t>项目，属于经常性项目，项目预算金额为</w:t>
      </w:r>
      <w:r>
        <w:rPr>
          <w:rFonts w:hint="eastAsia" w:ascii="宋体" w:hAnsi="宋体" w:eastAsia="宋体" w:cs="宋体"/>
          <w:color w:val="auto"/>
          <w:sz w:val="24"/>
          <w:szCs w:val="24"/>
          <w:highlight w:val="none"/>
          <w:lang w:val="en-US" w:eastAsia="zh-CN"/>
        </w:rPr>
        <w:t>310</w:t>
      </w:r>
      <w:r>
        <w:rPr>
          <w:rFonts w:hint="eastAsia" w:ascii="宋体" w:hAnsi="宋体" w:eastAsia="宋体" w:cs="宋体"/>
          <w:color w:val="auto"/>
          <w:sz w:val="24"/>
          <w:szCs w:val="24"/>
          <w:highlight w:val="none"/>
        </w:rPr>
        <w:t>万元。</w:t>
      </w:r>
      <w:r>
        <w:rPr>
          <w:rFonts w:hint="eastAsia" w:ascii="宋体" w:hAnsi="宋体" w:eastAsia="宋体" w:cs="宋体"/>
          <w:color w:val="000000"/>
          <w:sz w:val="24"/>
          <w:szCs w:val="24"/>
          <w:highlight w:val="none"/>
        </w:rPr>
        <w:t>不涉及事前绩效评估和风险评估。</w:t>
      </w:r>
    </w:p>
    <w:p w14:paraId="385DCA9E">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686C2C13">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3.绩效目标合理性</w:t>
      </w:r>
    </w:p>
    <w:p w14:paraId="0DA7786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该项目年初设定绩效目标主要内容为：根据《洛浦县财经委员会会议纪要》（洛财纪字【2024】12号）文件要求实施此项目，主要内容为：保障1家公司（京洛集团）注册本级。通过项目实施，解决京洛集团流动资金困难问题，提高企业竞争力、促进公司发展</w:t>
      </w:r>
      <w:r>
        <w:rPr>
          <w:rFonts w:hint="eastAsia" w:ascii="宋体" w:hAnsi="宋体" w:eastAsia="宋体" w:cs="宋体"/>
          <w:color w:val="auto"/>
          <w:sz w:val="24"/>
          <w:szCs w:val="24"/>
          <w:highlight w:val="none"/>
          <w:lang w:eastAsia="zh-CN"/>
        </w:rPr>
        <w:t>。</w:t>
      </w:r>
    </w:p>
    <w:p w14:paraId="756C657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4A19286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43881454">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w:t>
      </w:r>
      <w:r>
        <w:rPr>
          <w:rFonts w:hint="eastAsia" w:ascii="宋体" w:hAnsi="宋体" w:eastAsia="宋体" w:cs="宋体"/>
          <w:color w:val="auto"/>
          <w:sz w:val="24"/>
          <w:szCs w:val="24"/>
          <w:highlight w:val="none"/>
          <w:lang w:eastAsia="zh-CN"/>
        </w:rPr>
        <w:t>新疆京洛集团有限责任公司公司追加注册资本金项目</w:t>
      </w:r>
      <w:r>
        <w:rPr>
          <w:rFonts w:hint="eastAsia" w:ascii="宋体" w:hAnsi="宋体" w:eastAsia="宋体" w:cs="宋体"/>
          <w:color w:val="auto"/>
          <w:sz w:val="24"/>
          <w:szCs w:val="24"/>
          <w:highlight w:val="none"/>
        </w:rPr>
        <w:t>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6个</w:t>
      </w:r>
      <w:r>
        <w:rPr>
          <w:rFonts w:hint="eastAsia" w:ascii="宋体" w:hAnsi="宋体" w:eastAsia="宋体" w:cs="宋体"/>
          <w:color w:val="auto"/>
          <w:sz w:val="24"/>
          <w:szCs w:val="24"/>
          <w:highlight w:val="none"/>
        </w:rPr>
        <w:t>，三级指标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85.71</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355B9EF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w:t>
      </w:r>
      <w:r>
        <w:rPr>
          <w:rFonts w:hint="eastAsia" w:ascii="宋体" w:hAnsi="宋体" w:eastAsia="宋体" w:cs="宋体"/>
          <w:color w:val="auto"/>
          <w:sz w:val="24"/>
          <w:szCs w:val="24"/>
          <w:highlight w:val="none"/>
          <w:lang w:eastAsia="zh-CN"/>
        </w:rPr>
        <w:t>新疆京洛集团有限责任公司公司追加注册资本金项目</w:t>
      </w:r>
      <w:r>
        <w:rPr>
          <w:rFonts w:hint="eastAsia" w:ascii="宋体" w:hAnsi="宋体" w:eastAsia="宋体" w:cs="宋体"/>
          <w:color w:val="auto"/>
          <w:sz w:val="24"/>
          <w:szCs w:val="24"/>
          <w:highlight w:val="none"/>
        </w:rPr>
        <w:t>支出绩效目标表》中，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eastAsia="zh-CN"/>
        </w:rPr>
        <w:t>保障公司数量</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项目完成时间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、“资金支付及时率”</w:t>
      </w:r>
      <w:r>
        <w:rPr>
          <w:rFonts w:hint="eastAsia" w:ascii="宋体" w:hAnsi="宋体" w:eastAsia="宋体" w:cs="宋体"/>
          <w:color w:val="auto"/>
          <w:sz w:val="24"/>
          <w:szCs w:val="24"/>
          <w:highlight w:val="none"/>
        </w:rPr>
        <w:t>。已设置的绩效目标具备明确性、可衡量性、可实现性、相关性、时限性。</w:t>
      </w:r>
    </w:p>
    <w:p w14:paraId="04674F7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7B81B6F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预算编制科学性</w:t>
      </w:r>
    </w:p>
    <w:p w14:paraId="140E8FE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洛浦县财经委员会会议纪要》（洛财纪字【2024】12号）文件要求实施此项目，主要内容为：保障1家公司（京洛集团）注册本级。通过项目实施，解决京洛集团流动资金困难问题，提高企业竞争力、促进公司发展，</w:t>
      </w:r>
      <w:r>
        <w:rPr>
          <w:rFonts w:hint="eastAsia" w:ascii="宋体" w:hAnsi="宋体" w:eastAsia="宋体" w:cs="宋体"/>
          <w:color w:val="000000"/>
          <w:sz w:val="24"/>
          <w:szCs w:val="24"/>
          <w:highlight w:val="none"/>
        </w:rPr>
        <w:t>预算申请与《新疆京洛集团有限责任公司公司追加注册资本金项目实施方案》中涉及的项目内容匹配</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310</w:t>
      </w:r>
      <w:r>
        <w:rPr>
          <w:rFonts w:hint="eastAsia" w:ascii="宋体" w:hAnsi="宋体" w:eastAsia="宋体" w:cs="宋体"/>
          <w:color w:val="000000"/>
          <w:sz w:val="24"/>
          <w:szCs w:val="24"/>
          <w:highlight w:val="none"/>
        </w:rPr>
        <w:t>万元，我单位在预算申请中严格按照项目实施内容及测算标准进行核算，</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rPr>
        <w:t>。</w:t>
      </w:r>
    </w:p>
    <w:p w14:paraId="644F114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分，本项目预算编制科学。</w:t>
      </w:r>
    </w:p>
    <w:p w14:paraId="5BA560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资金分配合理性</w:t>
      </w:r>
    </w:p>
    <w:p w14:paraId="15C993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本项目实际分配资金以</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洛浦县财经委员会会议纪要</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、洛财纪字【</w:t>
      </w:r>
      <w:r>
        <w:rPr>
          <w:rFonts w:hint="eastAsia" w:ascii="宋体" w:hAnsi="宋体" w:eastAsia="宋体" w:cs="宋体"/>
          <w:color w:val="000000"/>
          <w:sz w:val="24"/>
          <w:szCs w:val="24"/>
          <w:highlight w:val="none"/>
          <w:lang w:val="en-US" w:eastAsia="zh-CN"/>
        </w:rPr>
        <w:t>2024】12号</w:t>
      </w:r>
      <w:r>
        <w:rPr>
          <w:rFonts w:hint="eastAsia" w:ascii="宋体" w:hAnsi="宋体" w:eastAsia="宋体" w:cs="宋体"/>
          <w:color w:val="000000"/>
          <w:sz w:val="24"/>
          <w:szCs w:val="24"/>
          <w:highlight w:val="none"/>
        </w:rPr>
        <w:t>为依据进行资金分配，预算资金分配依据充分</w:t>
      </w:r>
      <w:r>
        <w:rPr>
          <w:rFonts w:hint="eastAsia" w:ascii="宋体" w:hAnsi="宋体" w:eastAsia="宋体" w:cs="宋体"/>
          <w:color w:val="000000"/>
          <w:sz w:val="24"/>
          <w:szCs w:val="24"/>
          <w:highlight w:val="none"/>
          <w:lang w:eastAsia="zh-CN"/>
        </w:rPr>
        <w:t>。本项目实际到位资金</w:t>
      </w:r>
      <w:r>
        <w:rPr>
          <w:rFonts w:hint="eastAsia" w:ascii="宋体" w:hAnsi="宋体" w:eastAsia="宋体" w:cs="宋体"/>
          <w:color w:val="000000"/>
          <w:sz w:val="24"/>
          <w:szCs w:val="24"/>
          <w:highlight w:val="none"/>
          <w:lang w:val="en-US" w:eastAsia="zh-CN"/>
        </w:rPr>
        <w:t>310</w:t>
      </w:r>
      <w:r>
        <w:rPr>
          <w:rFonts w:hint="eastAsia" w:ascii="宋体" w:hAnsi="宋体" w:eastAsia="宋体" w:cs="宋体"/>
          <w:color w:val="000000"/>
          <w:sz w:val="24"/>
          <w:szCs w:val="24"/>
          <w:highlight w:val="none"/>
          <w:lang w:eastAsia="zh-CN"/>
        </w:rPr>
        <w:t>万元，</w:t>
      </w:r>
      <w:r>
        <w:rPr>
          <w:rFonts w:hint="eastAsia" w:ascii="宋体" w:hAnsi="宋体" w:eastAsia="宋体" w:cs="宋体"/>
          <w:color w:val="000000"/>
          <w:sz w:val="24"/>
          <w:szCs w:val="24"/>
          <w:highlight w:val="none"/>
        </w:rPr>
        <w:t>资金分配额度合理，与</w:t>
      </w:r>
      <w:r>
        <w:rPr>
          <w:rFonts w:hint="eastAsia" w:ascii="宋体" w:hAnsi="宋体" w:eastAsia="宋体" w:cs="宋体"/>
          <w:color w:val="000000"/>
          <w:sz w:val="24"/>
          <w:szCs w:val="24"/>
          <w:highlight w:val="none"/>
          <w:lang w:eastAsia="zh-CN"/>
        </w:rPr>
        <w:t>我</w:t>
      </w:r>
      <w:r>
        <w:rPr>
          <w:rFonts w:hint="eastAsia" w:ascii="宋体" w:hAnsi="宋体" w:eastAsia="宋体" w:cs="宋体"/>
          <w:color w:val="000000"/>
          <w:sz w:val="24"/>
          <w:szCs w:val="24"/>
          <w:highlight w:val="none"/>
        </w:rPr>
        <w:t>单位实际</w:t>
      </w:r>
      <w:r>
        <w:rPr>
          <w:rFonts w:hint="eastAsia" w:ascii="宋体" w:hAnsi="宋体" w:eastAsia="宋体" w:cs="宋体"/>
          <w:color w:val="000000"/>
          <w:sz w:val="24"/>
          <w:szCs w:val="24"/>
          <w:highlight w:val="none"/>
          <w:lang w:eastAsia="zh-CN"/>
        </w:rPr>
        <w:t>需求</w:t>
      </w:r>
      <w:r>
        <w:rPr>
          <w:rFonts w:hint="eastAsia" w:ascii="宋体" w:hAnsi="宋体" w:eastAsia="宋体" w:cs="宋体"/>
          <w:color w:val="000000"/>
          <w:sz w:val="24"/>
          <w:szCs w:val="24"/>
          <w:highlight w:val="none"/>
        </w:rPr>
        <w:t>相适应</w:t>
      </w:r>
      <w:r>
        <w:rPr>
          <w:rFonts w:hint="eastAsia" w:ascii="宋体" w:hAnsi="宋体" w:eastAsia="宋体" w:cs="宋体"/>
          <w:color w:val="000000"/>
          <w:sz w:val="24"/>
          <w:szCs w:val="24"/>
          <w:highlight w:val="none"/>
          <w:lang w:eastAsia="zh-CN"/>
        </w:rPr>
        <w:t>。资金分配与实际相适应。</w:t>
      </w:r>
    </w:p>
    <w:p w14:paraId="3047A11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分，本项目资金分配合理。</w:t>
      </w:r>
    </w:p>
    <w:p w14:paraId="5C636548">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4DFF21B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分，得分率为100%。</w:t>
      </w:r>
    </w:p>
    <w:p w14:paraId="51D804AA">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2F0BAA8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310</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310</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元，实际到位资金</w:t>
      </w:r>
      <w:r>
        <w:rPr>
          <w:rFonts w:hint="eastAsia" w:ascii="宋体" w:hAnsi="宋体" w:eastAsia="宋体" w:cs="宋体"/>
          <w:color w:val="000000"/>
          <w:sz w:val="24"/>
          <w:szCs w:val="24"/>
          <w:highlight w:val="none"/>
          <w:lang w:val="en-US" w:eastAsia="zh-CN"/>
        </w:rPr>
        <w:t>310</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4C0D1C9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2E1126E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预算执行率</w:t>
      </w:r>
    </w:p>
    <w:p w14:paraId="5D50843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310万</w:t>
      </w:r>
      <w:r>
        <w:rPr>
          <w:rFonts w:hint="eastAsia" w:ascii="宋体" w:hAnsi="宋体" w:eastAsia="宋体" w:cs="宋体"/>
          <w:color w:val="000000"/>
          <w:sz w:val="24"/>
          <w:szCs w:val="24"/>
          <w:highlight w:val="none"/>
        </w:rPr>
        <w:t>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04DEA0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04B0A24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资金使用合规性</w:t>
      </w:r>
    </w:p>
    <w:p w14:paraId="60C5680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和田地区洛浦县财政局</w:t>
      </w:r>
      <w:r>
        <w:rPr>
          <w:rFonts w:hint="eastAsia" w:ascii="宋体" w:hAnsi="宋体" w:eastAsia="宋体" w:cs="宋体"/>
          <w:color w:val="auto"/>
          <w:sz w:val="24"/>
          <w:szCs w:val="24"/>
          <w:highlight w:val="none"/>
        </w:rPr>
        <w:t>单位资金管理办法》《专项资金管理办法》，资金的拨付有完整的审批程序和手续，资金实际使用方向与预算批复用途一致，不存在截留、挤占、挪用、虚列支出的情况。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62E7764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46A702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管理制度健全性</w:t>
      </w:r>
    </w:p>
    <w:p w14:paraId="242E8CA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年初本</w:t>
      </w:r>
      <w:r>
        <w:rPr>
          <w:rFonts w:hint="eastAsia" w:ascii="宋体" w:hAnsi="宋体" w:eastAsia="宋体" w:cs="宋体"/>
          <w:b w:val="0"/>
          <w:bCs w:val="0"/>
          <w:color w:val="auto"/>
          <w:sz w:val="24"/>
          <w:szCs w:val="24"/>
          <w:highlight w:val="none"/>
        </w:rPr>
        <w:t>单位已制定《</w:t>
      </w:r>
      <w:r>
        <w:rPr>
          <w:rFonts w:hint="eastAsia" w:ascii="宋体" w:hAnsi="宋体" w:eastAsia="宋体" w:cs="宋体"/>
          <w:color w:val="auto"/>
          <w:sz w:val="24"/>
          <w:szCs w:val="24"/>
          <w:highlight w:val="none"/>
        </w:rPr>
        <w:t>专项</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项目</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洛浦县财政局</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洛浦县财政局合同</w:t>
      </w:r>
      <w:r>
        <w:rPr>
          <w:rFonts w:hint="eastAsia" w:ascii="宋体" w:hAnsi="宋体" w:eastAsia="宋体" w:cs="宋体"/>
          <w:b w:val="0"/>
          <w:bCs w:val="0"/>
          <w:color w:val="auto"/>
          <w:sz w:val="24"/>
          <w:szCs w:val="24"/>
          <w:highlight w:val="none"/>
        </w:rPr>
        <w:t>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w:t>
      </w:r>
    </w:p>
    <w:p w14:paraId="4ACAFE7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497CE14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制度执行有效性</w:t>
      </w:r>
    </w:p>
    <w:p w14:paraId="72F9ADF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rPr>
        <w:t>专项</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项目</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洛浦县财政局</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洛浦县财政局</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2056807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304A134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新疆京洛集团注册资本金项目</w:t>
      </w:r>
      <w:r>
        <w:rPr>
          <w:rFonts w:hint="eastAsia" w:ascii="宋体" w:hAnsi="宋体" w:eastAsia="宋体" w:cs="宋体"/>
          <w:color w:val="auto"/>
          <w:sz w:val="24"/>
          <w:szCs w:val="24"/>
          <w:highlight w:val="none"/>
        </w:rPr>
        <w:t>工作领导小组，由</w:t>
      </w:r>
      <w:r>
        <w:rPr>
          <w:rFonts w:hint="eastAsia" w:ascii="宋体" w:hAnsi="宋体" w:eastAsia="宋体" w:cs="宋体"/>
          <w:color w:val="auto"/>
          <w:sz w:val="24"/>
          <w:szCs w:val="24"/>
          <w:highlight w:val="none"/>
          <w:lang w:val="en-US" w:eastAsia="zh-CN"/>
        </w:rPr>
        <w:t>周立明</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曾涛</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尚润之和谢仁古丽</w:t>
      </w:r>
      <w:r>
        <w:rPr>
          <w:rFonts w:hint="eastAsia" w:ascii="宋体" w:hAnsi="宋体" w:eastAsia="宋体" w:cs="宋体"/>
          <w:color w:val="auto"/>
          <w:sz w:val="24"/>
          <w:szCs w:val="24"/>
          <w:highlight w:val="none"/>
        </w:rPr>
        <w:t>，主要负责项目监督管理、验收以及资金核拨等工作。</w:t>
      </w:r>
    </w:p>
    <w:p w14:paraId="7A0CA84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4D26FA7">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11A8C18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9FFE5D2">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对于“产出数量”</w:t>
      </w:r>
    </w:p>
    <w:p w14:paraId="3D9DF98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保障公司数量，预期指标值</w:t>
      </w:r>
      <w:r>
        <w:rPr>
          <w:rFonts w:hint="eastAsia" w:ascii="宋体" w:hAnsi="宋体" w:eastAsia="宋体" w:cs="宋体"/>
          <w:color w:val="auto"/>
          <w:sz w:val="24"/>
          <w:szCs w:val="24"/>
          <w:highlight w:val="none"/>
          <w:lang w:val="en-US" w:eastAsia="zh-CN"/>
        </w:rPr>
        <w:t>等于1家</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1家</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0B4C05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66D26FB3">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对于“产出质量”</w:t>
      </w:r>
    </w:p>
    <w:p w14:paraId="0C6EB94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资金使用合格率，预期指标值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E72DE2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02F3CAC7">
      <w:pPr>
        <w:pStyle w:val="10"/>
        <w:pageBreakBefore w:val="0"/>
        <w:widowControl w:val="0"/>
        <w:numPr>
          <w:ilvl w:val="0"/>
          <w:numId w:val="0"/>
        </w:numPr>
        <w:kinsoku/>
        <w:wordWrap/>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对于“产出时效”</w:t>
      </w:r>
    </w:p>
    <w:p w14:paraId="40AD5CC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w:t>
      </w:r>
      <w:r>
        <w:rPr>
          <w:rFonts w:hint="eastAsia" w:ascii="宋体" w:hAnsi="宋体" w:eastAsia="宋体" w:cs="宋体"/>
          <w:b w:val="0"/>
          <w:color w:val="auto"/>
          <w:sz w:val="24"/>
          <w:szCs w:val="24"/>
          <w:highlight w:val="none"/>
          <w:lang w:val="en-US" w:eastAsia="zh-CN"/>
        </w:rPr>
        <w:t>为2024年12月</w:t>
      </w:r>
      <w:r>
        <w:rPr>
          <w:rFonts w:hint="eastAsia" w:ascii="宋体" w:hAnsi="宋体" w:eastAsia="宋体" w:cs="宋体"/>
          <w:b w:val="0"/>
          <w:color w:val="auto"/>
          <w:sz w:val="24"/>
          <w:szCs w:val="24"/>
          <w:highlight w:val="none"/>
        </w:rPr>
        <w:t>，实际完成值</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，指标完成率100%，与预期目标一致，根据评分标准，该指标不扣分，得</w:t>
      </w:r>
      <w:r>
        <w:rPr>
          <w:rFonts w:hint="eastAsia" w:ascii="宋体" w:hAns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分。</w:t>
      </w:r>
    </w:p>
    <w:p w14:paraId="74D9F50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1EEC34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000000"/>
          <w:sz w:val="24"/>
          <w:szCs w:val="24"/>
          <w:highlight w:val="none"/>
        </w:rPr>
        <w:t>合计得10分。</w:t>
      </w:r>
    </w:p>
    <w:p w14:paraId="0D5AC17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对于“产出成本”</w:t>
      </w:r>
    </w:p>
    <w:p w14:paraId="637B31D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注册本金，预期指标值</w:t>
      </w:r>
      <w:r>
        <w:rPr>
          <w:rFonts w:hint="eastAsia" w:ascii="宋体" w:hAnsi="宋体" w:eastAsia="宋体" w:cs="宋体"/>
          <w:color w:val="auto"/>
          <w:sz w:val="24"/>
          <w:szCs w:val="24"/>
          <w:highlight w:val="none"/>
          <w:lang w:val="en-US" w:eastAsia="zh-CN"/>
        </w:rPr>
        <w:t>小于等于310</w:t>
      </w:r>
      <w:r>
        <w:rPr>
          <w:rFonts w:hint="eastAsia" w:ascii="宋体" w:hAnsi="宋体" w:eastAsia="宋体" w:cs="宋体"/>
          <w:color w:val="auto"/>
          <w:sz w:val="24"/>
          <w:szCs w:val="24"/>
          <w:highlight w:val="none"/>
        </w:rPr>
        <w:t>万元，实际完成值</w:t>
      </w:r>
      <w:r>
        <w:rPr>
          <w:rFonts w:hint="eastAsia" w:ascii="宋体" w:hAnsi="宋体" w:eastAsia="宋体" w:cs="宋体"/>
          <w:color w:val="auto"/>
          <w:sz w:val="24"/>
          <w:szCs w:val="24"/>
          <w:highlight w:val="none"/>
          <w:lang w:val="en-US" w:eastAsia="zh-CN"/>
        </w:rPr>
        <w:t>310</w:t>
      </w:r>
      <w:r>
        <w:rPr>
          <w:rFonts w:hint="eastAsia" w:ascii="宋体" w:hAnsi="宋体" w:eastAsia="宋体" w:cs="宋体"/>
          <w:color w:val="auto"/>
          <w:sz w:val="24"/>
          <w:szCs w:val="24"/>
          <w:highlight w:val="none"/>
        </w:rPr>
        <w:t>万元，指标完成率100%</w:t>
      </w:r>
      <w:r>
        <w:rPr>
          <w:rFonts w:hint="eastAsia" w:ascii="宋体" w:hAnsi="宋体" w:eastAsia="宋体" w:cs="宋体"/>
          <w:color w:val="auto"/>
          <w:sz w:val="24"/>
          <w:szCs w:val="24"/>
          <w:highlight w:val="none"/>
          <w:lang w:eastAsia="zh-CN"/>
        </w:rPr>
        <w:t>，</w:t>
      </w:r>
      <w:r>
        <w:rPr>
          <w:rFonts w:hint="eastAsia" w:ascii="宋体" w:hAnsi="宋体" w:eastAsia="宋体" w:cs="宋体"/>
          <w:b w:val="0"/>
          <w:color w:val="auto"/>
          <w:kern w:val="2"/>
          <w:sz w:val="24"/>
          <w:szCs w:val="24"/>
          <w:highlight w:val="none"/>
          <w:lang w:val="en-US" w:eastAsia="zh-CN" w:bidi="ar-SA"/>
        </w:rPr>
        <w:t>与预期目标一致，根据评分标准，该指标不扣分</w:t>
      </w:r>
      <w:r>
        <w:rPr>
          <w:rFonts w:hint="eastAsia" w:ascii="宋体" w:hAnsi="宋体" w:eastAsia="宋体" w:cs="宋体"/>
          <w:color w:val="auto"/>
          <w:sz w:val="24"/>
          <w:szCs w:val="24"/>
          <w:highlight w:val="none"/>
        </w:rPr>
        <w:t>，得1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752DAA4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000000"/>
          <w:sz w:val="24"/>
          <w:szCs w:val="24"/>
          <w:highlight w:val="none"/>
        </w:rPr>
        <w:t>合计得10分。</w:t>
      </w:r>
    </w:p>
    <w:p w14:paraId="5208CF6B">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5565087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32622A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对于“社会效益指标”</w:t>
      </w:r>
    </w:p>
    <w:p w14:paraId="476B2C8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促进公司发展</w:t>
      </w:r>
      <w:r>
        <w:rPr>
          <w:rFonts w:hint="eastAsia" w:ascii="宋体" w:hAnsi="宋体" w:eastAsia="宋体" w:cs="宋体"/>
          <w:b w:val="0"/>
          <w:bCs w:val="0"/>
          <w:color w:val="auto"/>
          <w:sz w:val="24"/>
          <w:szCs w:val="24"/>
          <w:highlight w:val="none"/>
        </w:rPr>
        <w:t>，预期指标值为</w:t>
      </w:r>
      <w:r>
        <w:rPr>
          <w:rFonts w:hint="eastAsia" w:ascii="宋体" w:hAnsi="宋体" w:eastAsia="宋体" w:cs="宋体"/>
          <w:b w:val="0"/>
          <w:bCs w:val="0"/>
          <w:color w:val="auto"/>
          <w:sz w:val="24"/>
          <w:szCs w:val="24"/>
          <w:highlight w:val="none"/>
          <w:lang w:val="en-US" w:eastAsia="zh-CN"/>
        </w:rPr>
        <w:t>效果显著</w:t>
      </w:r>
      <w:r>
        <w:rPr>
          <w:rFonts w:hint="eastAsia" w:ascii="宋体" w:hAnsi="宋体" w:eastAsia="宋体" w:cs="宋体"/>
          <w:b w:val="0"/>
          <w:bCs w:val="0"/>
          <w:color w:val="auto"/>
          <w:sz w:val="24"/>
          <w:szCs w:val="24"/>
          <w:highlight w:val="none"/>
        </w:rPr>
        <w:t>，实际完成值为</w:t>
      </w:r>
      <w:r>
        <w:rPr>
          <w:rFonts w:hint="eastAsia" w:ascii="宋体" w:hAnsi="宋体" w:eastAsia="宋体" w:cs="宋体"/>
          <w:b w:val="0"/>
          <w:bCs w:val="0"/>
          <w:color w:val="auto"/>
          <w:sz w:val="24"/>
          <w:szCs w:val="24"/>
          <w:highlight w:val="none"/>
          <w:lang w:val="en-US" w:eastAsia="zh-CN"/>
        </w:rPr>
        <w:t>效果显著</w:t>
      </w:r>
      <w:r>
        <w:rPr>
          <w:rFonts w:hint="eastAsia" w:ascii="宋体" w:hAnsi="宋体" w:eastAsia="宋体" w:cs="宋体"/>
          <w:b w:val="0"/>
          <w:bCs w:val="0"/>
          <w:color w:val="auto"/>
          <w:sz w:val="24"/>
          <w:szCs w:val="24"/>
          <w:highlight w:val="none"/>
        </w:rPr>
        <w:t>，指标完成率为</w:t>
      </w:r>
      <w:r>
        <w:rPr>
          <w:rFonts w:hint="eastAsia" w:ascii="宋体" w:hAnsi="宋体" w:eastAsia="宋体" w:cs="宋体"/>
          <w:b w:val="0"/>
          <w:bCs w:val="0"/>
          <w:color w:val="auto"/>
          <w:sz w:val="24"/>
          <w:szCs w:val="24"/>
          <w:highlight w:val="none"/>
          <w:lang w:val="en-US" w:eastAsia="zh-CN"/>
        </w:rPr>
        <w:t>100%</w:t>
      </w:r>
      <w:r>
        <w:rPr>
          <w:rFonts w:hint="eastAsia" w:ascii="宋体" w:hAnsi="宋体" w:eastAsia="宋体" w:cs="宋体"/>
          <w:b w:val="0"/>
          <w:bCs w:val="0"/>
          <w:color w:val="auto"/>
          <w:sz w:val="24"/>
          <w:szCs w:val="24"/>
          <w:highlight w:val="none"/>
        </w:rPr>
        <w:t>，与预期指标一致，根据评分标准，该指标不扣分，得</w:t>
      </w:r>
      <w:r>
        <w:rPr>
          <w:rFonts w:hint="eastAsia" w:ascii="宋体" w:hAnsi="宋体" w:eastAsia="宋体" w:cs="宋体"/>
          <w:b w:val="0"/>
          <w:bCs w:val="0"/>
          <w:color w:val="auto"/>
          <w:sz w:val="24"/>
          <w:szCs w:val="24"/>
          <w:highlight w:val="none"/>
          <w:lang w:val="en-US" w:eastAsia="zh-CN"/>
        </w:rPr>
        <w:t>15</w:t>
      </w:r>
      <w:r>
        <w:rPr>
          <w:rFonts w:hint="eastAsia" w:ascii="宋体" w:hAnsi="宋体" w:eastAsia="宋体" w:cs="宋体"/>
          <w:b w:val="0"/>
          <w:bCs w:val="0"/>
          <w:color w:val="auto"/>
          <w:sz w:val="24"/>
          <w:szCs w:val="24"/>
          <w:highlight w:val="none"/>
        </w:rPr>
        <w:t>分。</w:t>
      </w:r>
    </w:p>
    <w:p w14:paraId="757B340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对于“经济效益指标”</w:t>
      </w:r>
    </w:p>
    <w:p w14:paraId="75CE12B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lang w:val="en-US" w:eastAsia="zh-CN"/>
        </w:rPr>
        <w:t>该项目不涉及</w:t>
      </w:r>
      <w:r>
        <w:rPr>
          <w:rFonts w:hint="eastAsia" w:ascii="宋体" w:hAnsi="宋体" w:eastAsia="宋体" w:cs="宋体"/>
          <w:b w:val="0"/>
          <w:bCs w:val="0"/>
          <w:color w:val="auto"/>
          <w:sz w:val="24"/>
          <w:szCs w:val="24"/>
          <w:highlight w:val="none"/>
        </w:rPr>
        <w:t>经济效益指标</w:t>
      </w:r>
      <w:r>
        <w:rPr>
          <w:rFonts w:hint="eastAsia" w:ascii="宋体" w:hAnsi="宋体" w:eastAsia="宋体" w:cs="宋体"/>
          <w:b w:val="0"/>
          <w:bCs w:val="0"/>
          <w:color w:val="auto"/>
          <w:sz w:val="24"/>
          <w:szCs w:val="24"/>
          <w:highlight w:val="none"/>
          <w:lang w:val="en-US" w:eastAsia="zh-CN"/>
        </w:rPr>
        <w:t>。</w:t>
      </w:r>
    </w:p>
    <w:p w14:paraId="2089572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对于“生态效益指标”</w:t>
      </w:r>
    </w:p>
    <w:p w14:paraId="5DD351F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highlight w:val="none"/>
          <w:lang w:val="en-US" w:eastAsia="zh-CN"/>
        </w:rPr>
        <w:t>该项目不涉及生态效益指标。</w:t>
      </w:r>
    </w:p>
    <w:p w14:paraId="600C089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满意度指标分析</w:t>
      </w:r>
      <w:bookmarkEnd w:id="17"/>
    </w:p>
    <w:p w14:paraId="34A3BE90">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highlight w:val="none"/>
          <w:lang w:val="en-US" w:eastAsia="zh-CN"/>
        </w:rPr>
        <w:t>受益单位满意度</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大于等于95%</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p>
    <w:p w14:paraId="0C9FD91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644B212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2107AB36">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310</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310</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310</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1527C66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30EF2B7">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highlight w:val="none"/>
        </w:rPr>
        <w:t>综上所述本项目预算执行率与总体完成率之间</w:t>
      </w:r>
      <w:r>
        <w:rPr>
          <w:rFonts w:hint="eastAsia" w:ascii="宋体" w:hAnsi="宋体" w:eastAsia="宋体" w:cs="宋体"/>
          <w:color w:val="auto"/>
          <w:sz w:val="24"/>
          <w:szCs w:val="24"/>
          <w:highlight w:val="none"/>
          <w:lang w:val="en-US" w:eastAsia="zh-CN"/>
        </w:rPr>
        <w:t>无偏差</w:t>
      </w:r>
      <w:r>
        <w:rPr>
          <w:rFonts w:hint="eastAsia" w:ascii="宋体" w:hAnsi="宋体" w:eastAsia="宋体" w:cs="宋体"/>
          <w:color w:val="auto"/>
          <w:sz w:val="24"/>
          <w:szCs w:val="24"/>
          <w:highlight w:val="none"/>
        </w:rPr>
        <w:t>。</w:t>
      </w:r>
      <w:bookmarkStart w:id="18" w:name="_Toc68364673"/>
    </w:p>
    <w:p w14:paraId="567CE932">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六、主要经验及做法、存在的问题及原因分析</w:t>
      </w:r>
    </w:p>
    <w:p w14:paraId="6AA4B98E">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（一）主要经验及做法</w:t>
      </w:r>
      <w:bookmarkEnd w:id="18"/>
    </w:p>
    <w:p w14:paraId="7A9A75C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1.组织保障。为了加强对项目建设工作的领导，保证项目的顺利进行，成立了项目建设领导小组，负责项目建设的组织实施、重大事项决策和监督。下设项目资金保障组、项目执行组和项目监控组。</w:t>
      </w:r>
    </w:p>
    <w:p w14:paraId="738FC24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2.经费保障。建立项目资金使用监控机制，规范项目资金财务管理，严格执行各项资金使用并加强审计监督，保证项目资金按规定、按计划使用，提高资金使用效率。</w:t>
      </w:r>
    </w:p>
    <w:p w14:paraId="7C02574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3.制度保障。在现有制度的基础上，加强对项目实施、建设资金和实训设备的管理。制定项目建设进度计划和各职能小组工作职责，保证项目的顺利进展和资金的有效使用。</w:t>
      </w:r>
    </w:p>
    <w:p w14:paraId="2874CD5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4.监管保障。建立</w:t>
      </w:r>
      <w:r>
        <w:rPr>
          <w:rFonts w:hint="eastAsia" w:ascii="宋体" w:hAnsi="宋体" w:eastAsia="宋体" w:cs="宋体"/>
          <w:b w:val="0"/>
          <w:bCs w:val="0"/>
          <w:color w:val="auto"/>
          <w:sz w:val="24"/>
          <w:szCs w:val="24"/>
          <w:lang w:eastAsia="zh-CN"/>
        </w:rPr>
        <w:t>财政、企业两级</w:t>
      </w:r>
      <w:r>
        <w:rPr>
          <w:rFonts w:hint="eastAsia" w:ascii="宋体" w:hAnsi="宋体" w:eastAsia="宋体" w:cs="宋体"/>
          <w:b w:val="0"/>
          <w:bCs w:val="0"/>
          <w:color w:val="auto"/>
          <w:sz w:val="24"/>
          <w:szCs w:val="24"/>
        </w:rPr>
        <w:t>监管联动机制，对项目实施重点监测、监控和监管。学校按时向上级监管部门汇报项目态势、进展和质量状况，主动接受监管，确保高效率、高质量、高水平完成项目建设工作。</w:t>
      </w:r>
      <w:bookmarkStart w:id="19" w:name="_Toc68364674"/>
    </w:p>
    <w:p w14:paraId="50DD409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（二）存在问题及原因分析</w:t>
      </w:r>
      <w:bookmarkEnd w:id="19"/>
      <w:bookmarkStart w:id="20" w:name="_Toc68364675"/>
    </w:p>
    <w:p w14:paraId="6A6C619E">
      <w:pPr>
        <w:pStyle w:val="5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1.规划设计：主要风险因素包括与地方国民经济社会发展规划、专项规划、区域规划不一致的风险；和地方法律法规冲突的风险</w:t>
      </w:r>
    </w:p>
    <w:p w14:paraId="67581755">
      <w:pPr>
        <w:pStyle w:val="5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2.项目选址：主要风险因素包括，选址所面临自然环境的风险；选址的社会风险。如果项目的建设地地质不稳定、不可靠，可能影响项目建设顺利推进，或者引进建筑物损坏。将会对项目造成无法挽回的巨大损失。因此，项目选址方面的风险是本项目客观存在的，发生后造成的损失严重，属严重风险。</w:t>
      </w:r>
    </w:p>
    <w:p w14:paraId="11E47ED1">
      <w:pPr>
        <w:pStyle w:val="5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3.项目筹资、融资：资金筹措融资风险。从规划到施工过程及项目前期工作都将投入大量资金，特别是施工阶段，项目投资有集中的特点，一旦资金来源中断，或供应不足将直接影响到项目的顺利实施，因此，投资风险属较大的风险。</w:t>
      </w:r>
    </w:p>
    <w:p w14:paraId="24569943">
      <w:pPr>
        <w:pStyle w:val="59"/>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七、有关建议</w:t>
      </w:r>
      <w:bookmarkEnd w:id="20"/>
      <w:bookmarkStart w:id="21" w:name="_Toc68364676"/>
    </w:p>
    <w:p w14:paraId="7E539B7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1.项目相关各个职能部门之间协调沟通是否顺畅有效的风险防范和化解措施，组建由政府牵头，成立项目协调领导小组，加强各个单位之间的沟通，及时解决出现的问题。经常性召开各个部门之间的研讨会，及时了解各个单位的意见和建议。维持好各个部门之间的工作和业务对接，保障项目建设的顺利进行。</w:t>
      </w:r>
    </w:p>
    <w:p w14:paraId="7EB41F8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3.资金使用是否合理监管的风险防范和化解措施，本项目在资金使用上，严格按照项目建设计划，坚决执行资金跟随项目走的原则。在资金管理上严格按照国家有关规定，实行专人管理、专户储存、专账核算，严格财经纪律，加强对项目资金的监管力度，按项目计划和施工进度投放资金，确保资金的专款专用。</w:t>
      </w:r>
    </w:p>
    <w:p w14:paraId="1B01288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4.做好相关项目资金的监管包括：专项账户监管、赔偿款发放监管，有效避免此类群体事件。</w:t>
      </w:r>
    </w:p>
    <w:p w14:paraId="2A06BBB3">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八、其他需要说明的问题</w:t>
      </w:r>
      <w:bookmarkEnd w:id="21"/>
    </w:p>
    <w:p w14:paraId="18C3ADA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本项目部分间接产生的效果无法准确在短期内衡量，因此很难认定项目产生的全部效果。通过指标来反映绩效，指标的科学性和全面性需要不断地完善和研究。</w:t>
      </w:r>
    </w:p>
    <w:p w14:paraId="3CF37BE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评价结果作为安排政府预算、完善政策和改进管理的重要依据。原则上，对评价等级为优、良的，根据情况予以支持；对评价等级为中、差的，要完善政策、改进管理，根据情况核减预算。</w:t>
      </w:r>
    </w:p>
    <w:p w14:paraId="26B4409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评价结果分别编入政府决算和部门预算，报送本级人民代表大会常务委员会，并依法予以公开。</w:t>
      </w:r>
    </w:p>
    <w:p w14:paraId="76E0A35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435DB3D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044D7B0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p>
    <w:p w14:paraId="578A8739">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附件1：新疆京洛集团有限责任公司公司追加注册资本金项目绩效评价指标体系</w:t>
      </w:r>
    </w:p>
    <w:p w14:paraId="0A9EBDF2">
      <w:pPr>
        <w:pageBreakBefore w:val="0"/>
        <w:kinsoku/>
        <w:wordWrap/>
        <w:topLinePunct w:val="0"/>
        <w:autoSpaceDE/>
        <w:autoSpaceDN/>
        <w:bidi w:val="0"/>
        <w:spacing w:line="360" w:lineRule="auto"/>
        <w:ind w:left="0" w:leftChars="0"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附件2：新疆京洛集团有限责任公司公司追加注册资本金项目综合得分表</w:t>
      </w:r>
    </w:p>
    <w:p w14:paraId="46FD495E">
      <w:pPr>
        <w:pageBreakBefore w:val="0"/>
        <w:kinsoku/>
        <w:wordWrap/>
        <w:topLinePunct w:val="0"/>
        <w:autoSpaceDE/>
        <w:autoSpaceDN/>
        <w:bidi w:val="0"/>
        <w:spacing w:line="360" w:lineRule="auto"/>
        <w:ind w:left="0" w:leftChars="0"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附件3：满意度调查问分析情况</w:t>
      </w:r>
    </w:p>
    <w:p w14:paraId="6EF7F33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sz w:val="24"/>
          <w:szCs w:val="24"/>
        </w:rPr>
      </w:pPr>
    </w:p>
    <w:p w14:paraId="22EADF24">
      <w:pPr>
        <w:pStyle w:val="10"/>
        <w:pageBreakBefore w:val="0"/>
        <w:kinsoku/>
        <w:wordWrap/>
        <w:topLinePunct w:val="0"/>
        <w:autoSpaceDE/>
        <w:autoSpaceDN/>
        <w:bidi w:val="0"/>
        <w:spacing w:line="360" w:lineRule="auto"/>
        <w:ind w:left="0" w:leftChars="0" w:firstLine="480" w:firstLineChars="200"/>
        <w:jc w:val="both"/>
        <w:rPr>
          <w:rFonts w:hint="eastAsia" w:ascii="宋体" w:hAnsi="宋体" w:eastAsia="宋体" w:cs="宋体"/>
          <w:color w:val="auto"/>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636"/>
        <w:gridCol w:w="542"/>
        <w:gridCol w:w="717"/>
        <w:gridCol w:w="527"/>
        <w:gridCol w:w="2928"/>
        <w:gridCol w:w="1118"/>
        <w:gridCol w:w="4270"/>
        <w:gridCol w:w="840"/>
        <w:gridCol w:w="652"/>
      </w:tblGrid>
      <w:tr w14:paraId="61A28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6FFFC5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1BEB0DB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38" w:type="pct"/>
            <w:tcBorders>
              <w:top w:val="nil"/>
              <w:left w:val="nil"/>
              <w:bottom w:val="nil"/>
              <w:right w:val="nil"/>
            </w:tcBorders>
            <w:noWrap/>
            <w:vAlign w:val="center"/>
          </w:tcPr>
          <w:p w14:paraId="621F152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03" w:type="pct"/>
            <w:tcBorders>
              <w:top w:val="nil"/>
              <w:left w:val="nil"/>
              <w:bottom w:val="nil"/>
              <w:right w:val="nil"/>
            </w:tcBorders>
            <w:noWrap/>
            <w:vAlign w:val="center"/>
          </w:tcPr>
          <w:p w14:paraId="3DC4012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462AE2F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68E471A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10D215E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5885AA6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2BBD89E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14" w:type="pct"/>
            <w:tcBorders>
              <w:top w:val="nil"/>
              <w:left w:val="nil"/>
              <w:bottom w:val="nil"/>
              <w:right w:val="nil"/>
            </w:tcBorders>
            <w:noWrap/>
            <w:vAlign w:val="center"/>
          </w:tcPr>
          <w:p w14:paraId="38183E0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39" w:type="pct"/>
            <w:tcBorders>
              <w:top w:val="nil"/>
              <w:left w:val="nil"/>
              <w:bottom w:val="nil"/>
              <w:right w:val="nil"/>
            </w:tcBorders>
            <w:noWrap/>
            <w:vAlign w:val="center"/>
          </w:tcPr>
          <w:p w14:paraId="7C199E7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1F3DC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4B5E83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新疆京洛集团有限责任公司公司追加注册资本金项目</w:t>
            </w:r>
            <w:r>
              <w:rPr>
                <w:rStyle w:val="58"/>
                <w:rFonts w:hint="eastAsia" w:ascii="宋体" w:hAnsi="宋体" w:eastAsia="宋体" w:cs="宋体"/>
                <w:color w:val="000000"/>
                <w:sz w:val="24"/>
                <w:szCs w:val="24"/>
                <w:highlight w:val="none"/>
                <w:lang w:val="en-US" w:eastAsia="zh-CN"/>
              </w:rPr>
              <w:t>绩效评价指标体系综合评分表</w:t>
            </w:r>
          </w:p>
        </w:tc>
      </w:tr>
      <w:tr w14:paraId="2B2CB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7CCFDD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544BDD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38" w:type="pct"/>
            <w:tcBorders>
              <w:top w:val="single" w:color="auto" w:sz="4" w:space="0"/>
              <w:left w:val="single" w:color="auto" w:sz="4" w:space="0"/>
              <w:bottom w:val="single" w:color="auto" w:sz="4" w:space="0"/>
              <w:right w:val="single" w:color="auto" w:sz="4" w:space="0"/>
            </w:tcBorders>
            <w:noWrap w:val="0"/>
            <w:vAlign w:val="center"/>
          </w:tcPr>
          <w:p w14:paraId="22C62F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203" w:type="pct"/>
            <w:tcBorders>
              <w:top w:val="single" w:color="auto" w:sz="4" w:space="0"/>
              <w:left w:val="single" w:color="auto" w:sz="4" w:space="0"/>
              <w:bottom w:val="single" w:color="auto" w:sz="4" w:space="0"/>
              <w:right w:val="single" w:color="auto" w:sz="4" w:space="0"/>
            </w:tcBorders>
            <w:noWrap w:val="0"/>
            <w:vAlign w:val="center"/>
          </w:tcPr>
          <w:p w14:paraId="748DE1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D7F28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5B122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C53A9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2C1B2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15D9E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3D0AE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3D3ACA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6197E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65570E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2E366D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38" w:type="pct"/>
            <w:vMerge w:val="restart"/>
            <w:tcBorders>
              <w:top w:val="single" w:color="auto" w:sz="4" w:space="0"/>
              <w:left w:val="single" w:color="auto" w:sz="4" w:space="0"/>
              <w:bottom w:val="single" w:color="auto" w:sz="4" w:space="0"/>
              <w:right w:val="single" w:color="auto" w:sz="4" w:space="0"/>
            </w:tcBorders>
            <w:noWrap w:val="0"/>
            <w:vAlign w:val="center"/>
          </w:tcPr>
          <w:p w14:paraId="204A11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203" w:type="pct"/>
            <w:vMerge w:val="restart"/>
            <w:tcBorders>
              <w:top w:val="single" w:color="auto" w:sz="4" w:space="0"/>
              <w:left w:val="single" w:color="auto" w:sz="4" w:space="0"/>
              <w:bottom w:val="single" w:color="auto" w:sz="4" w:space="0"/>
              <w:right w:val="single" w:color="auto" w:sz="4" w:space="0"/>
            </w:tcBorders>
            <w:noWrap w:val="0"/>
            <w:vAlign w:val="center"/>
          </w:tcPr>
          <w:p w14:paraId="4D8A70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42595A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D6367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9C8EC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16346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C26B90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B8B137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3EB2DE3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7657F3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1C8A74E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5B6BF6A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BF8F2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2EF7C3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A7F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0EBF9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3A9F0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3A6F90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28FD1A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60FFB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4719F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B4905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785C2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E64E8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2DA6B1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7A7A95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365E2E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91196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3CB22D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2B52B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C704F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600EC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restart"/>
            <w:tcBorders>
              <w:top w:val="single" w:color="auto" w:sz="4" w:space="0"/>
              <w:left w:val="single" w:color="auto" w:sz="4" w:space="0"/>
              <w:bottom w:val="single" w:color="auto" w:sz="4" w:space="0"/>
              <w:right w:val="single" w:color="auto" w:sz="4" w:space="0"/>
            </w:tcBorders>
            <w:noWrap w:val="0"/>
            <w:vAlign w:val="center"/>
          </w:tcPr>
          <w:p w14:paraId="1FB61E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203" w:type="pct"/>
            <w:vMerge w:val="restart"/>
            <w:tcBorders>
              <w:top w:val="single" w:color="auto" w:sz="4" w:space="0"/>
              <w:left w:val="single" w:color="auto" w:sz="4" w:space="0"/>
              <w:bottom w:val="single" w:color="auto" w:sz="4" w:space="0"/>
              <w:right w:val="single" w:color="auto" w:sz="4" w:space="0"/>
            </w:tcBorders>
            <w:noWrap w:val="0"/>
            <w:vAlign w:val="center"/>
          </w:tcPr>
          <w:p w14:paraId="34049E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B76C0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E0A83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AB65F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970ED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13C6B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69AF66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640940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15FB59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61F123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11680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591A3E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774F7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7B1BD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0829D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060552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40E4E6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1E9AA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57AB1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00891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248A2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66D7B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6A57C6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049A0F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71541E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63DE06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5ED2A3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861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1041D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4A48E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restart"/>
            <w:tcBorders>
              <w:top w:val="single" w:color="auto" w:sz="4" w:space="0"/>
              <w:left w:val="single" w:color="auto" w:sz="4" w:space="0"/>
              <w:bottom w:val="single" w:color="auto" w:sz="4" w:space="0"/>
              <w:right w:val="single" w:color="auto" w:sz="4" w:space="0"/>
            </w:tcBorders>
            <w:noWrap w:val="0"/>
            <w:vAlign w:val="center"/>
          </w:tcPr>
          <w:p w14:paraId="5E9E8A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203" w:type="pct"/>
            <w:vMerge w:val="restart"/>
            <w:tcBorders>
              <w:top w:val="single" w:color="auto" w:sz="4" w:space="0"/>
              <w:left w:val="single" w:color="auto" w:sz="4" w:space="0"/>
              <w:bottom w:val="single" w:color="auto" w:sz="4" w:space="0"/>
              <w:right w:val="single" w:color="auto" w:sz="4" w:space="0"/>
            </w:tcBorders>
            <w:noWrap w:val="0"/>
            <w:vAlign w:val="center"/>
          </w:tcPr>
          <w:p w14:paraId="29EF4D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50FE8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B0D0D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67AE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42805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D33A1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71A0BB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38F42C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29780E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07EE89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265BC6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49892E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115CD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41F9AB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EA402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1A9119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1E6893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82C5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DAECD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21A1C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FFCAF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0CD56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275C2C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3A87A2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169DE4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7B4A3E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79574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234E37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67D538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38" w:type="pct"/>
            <w:vMerge w:val="restart"/>
            <w:tcBorders>
              <w:top w:val="single" w:color="auto" w:sz="4" w:space="0"/>
              <w:left w:val="single" w:color="auto" w:sz="4" w:space="0"/>
              <w:bottom w:val="single" w:color="auto" w:sz="4" w:space="0"/>
              <w:right w:val="single" w:color="auto" w:sz="4" w:space="0"/>
            </w:tcBorders>
            <w:noWrap w:val="0"/>
            <w:vAlign w:val="center"/>
          </w:tcPr>
          <w:p w14:paraId="369CF0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203" w:type="pct"/>
            <w:vMerge w:val="restart"/>
            <w:tcBorders>
              <w:top w:val="single" w:color="auto" w:sz="4" w:space="0"/>
              <w:left w:val="single" w:color="auto" w:sz="4" w:space="0"/>
              <w:bottom w:val="single" w:color="auto" w:sz="4" w:space="0"/>
              <w:right w:val="single" w:color="auto" w:sz="4" w:space="0"/>
            </w:tcBorders>
            <w:noWrap w:val="0"/>
            <w:vAlign w:val="center"/>
          </w:tcPr>
          <w:p w14:paraId="124174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6E9098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5EBC9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FFF5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5CCD5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295A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F6965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1FB41C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71A86A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1A463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71506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B749A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11B111D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02DFC5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68D8E0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F0542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788E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E3BEB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DAEAB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3E7967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6EDF23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246317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10EA2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147ED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4C533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18681DF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460E92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00075A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D1402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A92EC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7301F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B711E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127F75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2A2E25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2B978B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045478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0AFEED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0EB505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733B4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B10CF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7E84A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restart"/>
            <w:tcBorders>
              <w:top w:val="single" w:color="auto" w:sz="4" w:space="0"/>
              <w:left w:val="single" w:color="auto" w:sz="4" w:space="0"/>
              <w:bottom w:val="single" w:color="auto" w:sz="4" w:space="0"/>
              <w:right w:val="single" w:color="auto" w:sz="4" w:space="0"/>
            </w:tcBorders>
            <w:noWrap w:val="0"/>
            <w:vAlign w:val="center"/>
          </w:tcPr>
          <w:p w14:paraId="1EAA9A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203" w:type="pct"/>
            <w:vMerge w:val="restart"/>
            <w:tcBorders>
              <w:top w:val="single" w:color="auto" w:sz="4" w:space="0"/>
              <w:left w:val="single" w:color="auto" w:sz="4" w:space="0"/>
              <w:bottom w:val="single" w:color="auto" w:sz="4" w:space="0"/>
              <w:right w:val="single" w:color="auto" w:sz="4" w:space="0"/>
            </w:tcBorders>
            <w:noWrap w:val="0"/>
            <w:vAlign w:val="center"/>
          </w:tcPr>
          <w:p w14:paraId="2E3373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565627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DCA49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E3609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C7C18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DE81B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36CEED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219FCA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3B0D54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30A702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6857F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A503C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552D1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352E29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7704BE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33E4F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BEF7F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6230B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A9BEF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B0C9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23B29D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6726C7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B0C4C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2865DB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65D3F4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1EAA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right w:val="single" w:color="auto" w:sz="4" w:space="0"/>
            </w:tcBorders>
            <w:noWrap w:val="0"/>
            <w:vAlign w:val="center"/>
          </w:tcPr>
          <w:p w14:paraId="5B0A40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204" w:type="pct"/>
            <w:vMerge w:val="restart"/>
            <w:tcBorders>
              <w:top w:val="single" w:color="auto" w:sz="4" w:space="0"/>
              <w:left w:val="single" w:color="auto" w:sz="4" w:space="0"/>
              <w:right w:val="single" w:color="auto" w:sz="4" w:space="0"/>
            </w:tcBorders>
            <w:noWrap w:val="0"/>
            <w:vAlign w:val="center"/>
          </w:tcPr>
          <w:p w14:paraId="2B2E9A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238" w:type="pct"/>
            <w:tcBorders>
              <w:top w:val="single" w:color="auto" w:sz="4" w:space="0"/>
              <w:left w:val="single" w:color="auto" w:sz="4" w:space="0"/>
              <w:right w:val="single" w:color="auto" w:sz="4" w:space="0"/>
            </w:tcBorders>
            <w:noWrap w:val="0"/>
            <w:vAlign w:val="center"/>
          </w:tcPr>
          <w:p w14:paraId="0058AC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203" w:type="pct"/>
            <w:tcBorders>
              <w:top w:val="single" w:color="auto" w:sz="4" w:space="0"/>
              <w:left w:val="single" w:color="auto" w:sz="4" w:space="0"/>
              <w:right w:val="single" w:color="auto" w:sz="4" w:space="0"/>
            </w:tcBorders>
            <w:noWrap w:val="0"/>
            <w:vAlign w:val="center"/>
          </w:tcPr>
          <w:p w14:paraId="2BCEDC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right w:val="single" w:color="auto" w:sz="4" w:space="0"/>
            </w:tcBorders>
            <w:noWrap w:val="0"/>
            <w:vAlign w:val="center"/>
          </w:tcPr>
          <w:p w14:paraId="384279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3F78E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D4CC0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保障公司数量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073CF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=1家</w:t>
            </w:r>
          </w:p>
        </w:tc>
        <w:tc>
          <w:tcPr>
            <w:tcW w:w="1597" w:type="pct"/>
            <w:tcBorders>
              <w:top w:val="single" w:color="auto" w:sz="4" w:space="0"/>
              <w:left w:val="single" w:color="auto" w:sz="4" w:space="0"/>
              <w:right w:val="single" w:color="auto" w:sz="4" w:space="0"/>
            </w:tcBorders>
            <w:noWrap w:val="0"/>
            <w:vAlign w:val="center"/>
          </w:tcPr>
          <w:p w14:paraId="2A8AE4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242237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1家</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7DBA65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52526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24C06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BEC32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tcBorders>
              <w:top w:val="single" w:color="auto" w:sz="4" w:space="0"/>
              <w:left w:val="single" w:color="auto" w:sz="4" w:space="0"/>
              <w:bottom w:val="single" w:color="auto" w:sz="4" w:space="0"/>
              <w:right w:val="single" w:color="auto" w:sz="4" w:space="0"/>
            </w:tcBorders>
            <w:noWrap w:val="0"/>
            <w:vAlign w:val="center"/>
          </w:tcPr>
          <w:p w14:paraId="49BF9A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203" w:type="pct"/>
            <w:tcBorders>
              <w:top w:val="single" w:color="auto" w:sz="4" w:space="0"/>
              <w:left w:val="single" w:color="auto" w:sz="4" w:space="0"/>
              <w:bottom w:val="single" w:color="auto" w:sz="4" w:space="0"/>
              <w:right w:val="single" w:color="auto" w:sz="4" w:space="0"/>
            </w:tcBorders>
            <w:noWrap w:val="0"/>
            <w:vAlign w:val="center"/>
          </w:tcPr>
          <w:p w14:paraId="723FE5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9482C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A6018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B3756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资金使用合格率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CF89C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tcBorders>
              <w:top w:val="single" w:color="auto" w:sz="4" w:space="0"/>
              <w:left w:val="single" w:color="auto" w:sz="4" w:space="0"/>
              <w:right w:val="single" w:color="auto" w:sz="4" w:space="0"/>
            </w:tcBorders>
            <w:noWrap w:val="0"/>
            <w:vAlign w:val="center"/>
          </w:tcPr>
          <w:p w14:paraId="530F93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4BEA9E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587C3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594F19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55EDA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DD0B3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62690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restart"/>
            <w:tcBorders>
              <w:top w:val="single" w:color="auto" w:sz="4" w:space="0"/>
              <w:left w:val="single" w:color="auto" w:sz="4" w:space="0"/>
              <w:right w:val="single" w:color="auto" w:sz="4" w:space="0"/>
            </w:tcBorders>
            <w:noWrap w:val="0"/>
            <w:vAlign w:val="center"/>
          </w:tcPr>
          <w:p w14:paraId="7DC531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203" w:type="pct"/>
            <w:vMerge w:val="restart"/>
            <w:tcBorders>
              <w:top w:val="single" w:color="auto" w:sz="4" w:space="0"/>
              <w:left w:val="single" w:color="auto" w:sz="4" w:space="0"/>
              <w:right w:val="single" w:color="auto" w:sz="4" w:space="0"/>
            </w:tcBorders>
            <w:noWrap w:val="0"/>
            <w:vAlign w:val="center"/>
          </w:tcPr>
          <w:p w14:paraId="46BD0B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vMerge w:val="restart"/>
            <w:tcBorders>
              <w:top w:val="single" w:color="auto" w:sz="4" w:space="0"/>
              <w:left w:val="single" w:color="auto" w:sz="4" w:space="0"/>
              <w:right w:val="single" w:color="auto" w:sz="4" w:space="0"/>
            </w:tcBorders>
            <w:noWrap w:val="0"/>
            <w:vAlign w:val="center"/>
          </w:tcPr>
          <w:p w14:paraId="6A515F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4EB89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B587B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44C50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597" w:type="pct"/>
            <w:vMerge w:val="restart"/>
            <w:tcBorders>
              <w:top w:val="single" w:color="auto" w:sz="4" w:space="0"/>
              <w:left w:val="single" w:color="auto" w:sz="4" w:space="0"/>
              <w:right w:val="single" w:color="auto" w:sz="4" w:space="0"/>
            </w:tcBorders>
            <w:noWrap w:val="0"/>
            <w:vAlign w:val="center"/>
          </w:tcPr>
          <w:p w14:paraId="0A9DB6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070C92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3B3526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0A5B87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39406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F7548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B033E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38" w:type="pct"/>
            <w:vMerge w:val="continue"/>
            <w:tcBorders>
              <w:left w:val="single" w:color="auto" w:sz="4" w:space="0"/>
              <w:right w:val="single" w:color="auto" w:sz="4" w:space="0"/>
            </w:tcBorders>
            <w:noWrap w:val="0"/>
            <w:vAlign w:val="center"/>
          </w:tcPr>
          <w:p w14:paraId="776997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03" w:type="pct"/>
            <w:vMerge w:val="continue"/>
            <w:tcBorders>
              <w:left w:val="single" w:color="auto" w:sz="4" w:space="0"/>
              <w:right w:val="single" w:color="auto" w:sz="4" w:space="0"/>
            </w:tcBorders>
            <w:noWrap w:val="0"/>
            <w:vAlign w:val="center"/>
          </w:tcPr>
          <w:p w14:paraId="2E6EF4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68" w:type="pct"/>
            <w:vMerge w:val="continue"/>
            <w:tcBorders>
              <w:left w:val="single" w:color="auto" w:sz="4" w:space="0"/>
              <w:right w:val="single" w:color="auto" w:sz="4" w:space="0"/>
            </w:tcBorders>
            <w:noWrap w:val="0"/>
            <w:vAlign w:val="center"/>
          </w:tcPr>
          <w:p w14:paraId="75D7EC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036F11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0ECB8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F2FBB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597" w:type="pct"/>
            <w:vMerge w:val="continue"/>
            <w:tcBorders>
              <w:left w:val="single" w:color="auto" w:sz="4" w:space="0"/>
              <w:right w:val="single" w:color="auto" w:sz="4" w:space="0"/>
            </w:tcBorders>
            <w:noWrap w:val="0"/>
            <w:vAlign w:val="center"/>
          </w:tcPr>
          <w:p w14:paraId="2D5E33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314" w:type="pct"/>
            <w:tcBorders>
              <w:top w:val="single" w:color="auto" w:sz="4" w:space="0"/>
              <w:left w:val="single" w:color="auto" w:sz="4" w:space="0"/>
              <w:bottom w:val="single" w:color="auto" w:sz="4" w:space="0"/>
              <w:right w:val="single" w:color="auto" w:sz="4" w:space="0"/>
            </w:tcBorders>
            <w:noWrap w:val="0"/>
            <w:vAlign w:val="center"/>
          </w:tcPr>
          <w:p w14:paraId="3AA521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4987F1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103D5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682AC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69446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tcBorders>
              <w:top w:val="single" w:color="auto" w:sz="4" w:space="0"/>
              <w:left w:val="single" w:color="auto" w:sz="4" w:space="0"/>
              <w:right w:val="single" w:color="auto" w:sz="4" w:space="0"/>
            </w:tcBorders>
            <w:noWrap w:val="0"/>
            <w:vAlign w:val="center"/>
          </w:tcPr>
          <w:p w14:paraId="6BF548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203" w:type="pct"/>
            <w:tcBorders>
              <w:top w:val="single" w:color="auto" w:sz="4" w:space="0"/>
              <w:left w:val="single" w:color="auto" w:sz="4" w:space="0"/>
              <w:right w:val="single" w:color="auto" w:sz="4" w:space="0"/>
            </w:tcBorders>
            <w:noWrap w:val="0"/>
            <w:vAlign w:val="center"/>
          </w:tcPr>
          <w:p w14:paraId="55E2F0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right w:val="single" w:color="auto" w:sz="4" w:space="0"/>
            </w:tcBorders>
            <w:noWrap w:val="0"/>
            <w:vAlign w:val="center"/>
          </w:tcPr>
          <w:p w14:paraId="4558AF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4BEF0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03F2D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注册本金</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31817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310</w:t>
            </w:r>
            <w:r>
              <w:rPr>
                <w:rFonts w:hint="eastAsia" w:ascii="宋体" w:hAnsi="宋体" w:eastAsia="宋体" w:cs="宋体"/>
                <w:i w:val="0"/>
                <w:iCs w:val="0"/>
                <w:color w:val="000000"/>
                <w:sz w:val="18"/>
                <w:szCs w:val="18"/>
                <w:highlight w:val="none"/>
                <w:u w:val="none"/>
              </w:rPr>
              <w:t>万元</w:t>
            </w:r>
          </w:p>
        </w:tc>
        <w:tc>
          <w:tcPr>
            <w:tcW w:w="1597" w:type="pct"/>
            <w:tcBorders>
              <w:top w:val="single" w:color="auto" w:sz="4" w:space="0"/>
              <w:left w:val="single" w:color="auto" w:sz="4" w:space="0"/>
              <w:right w:val="single" w:color="auto" w:sz="4" w:space="0"/>
            </w:tcBorders>
            <w:noWrap w:val="0"/>
            <w:vAlign w:val="center"/>
          </w:tcPr>
          <w:p w14:paraId="341953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38C41A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310</w:t>
            </w:r>
            <w:r>
              <w:rPr>
                <w:rFonts w:hint="eastAsia" w:ascii="宋体" w:hAnsi="宋体" w:eastAsia="宋体" w:cs="宋体"/>
                <w:i w:val="0"/>
                <w:iCs w:val="0"/>
                <w:color w:val="000000"/>
                <w:sz w:val="18"/>
                <w:szCs w:val="18"/>
                <w:highlight w:val="none"/>
                <w:u w:val="none"/>
              </w:rPr>
              <w:t>万元</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717A97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214FA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648F88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046A07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38" w:type="pct"/>
            <w:vMerge w:val="restart"/>
            <w:tcBorders>
              <w:top w:val="single" w:color="auto" w:sz="4" w:space="0"/>
              <w:left w:val="single" w:color="auto" w:sz="4" w:space="0"/>
              <w:bottom w:val="single" w:color="auto" w:sz="4" w:space="0"/>
              <w:right w:val="single" w:color="auto" w:sz="4" w:space="0"/>
            </w:tcBorders>
            <w:noWrap w:val="0"/>
            <w:vAlign w:val="center"/>
          </w:tcPr>
          <w:p w14:paraId="237758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203" w:type="pct"/>
            <w:vMerge w:val="restart"/>
            <w:tcBorders>
              <w:top w:val="single" w:color="auto" w:sz="4" w:space="0"/>
              <w:left w:val="single" w:color="auto" w:sz="4" w:space="0"/>
              <w:bottom w:val="single" w:color="auto" w:sz="4" w:space="0"/>
              <w:right w:val="single" w:color="auto" w:sz="4" w:space="0"/>
            </w:tcBorders>
            <w:noWrap w:val="0"/>
            <w:vAlign w:val="center"/>
          </w:tcPr>
          <w:p w14:paraId="0D1CFB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5B8683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3A61C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CE7DF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促进公司发展</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3F864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D54BB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42DF21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4B6706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5DF25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593C1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8425A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8" w:type="pct"/>
            <w:vMerge w:val="continue"/>
            <w:tcBorders>
              <w:top w:val="single" w:color="auto" w:sz="4" w:space="0"/>
              <w:left w:val="single" w:color="auto" w:sz="4" w:space="0"/>
              <w:bottom w:val="single" w:color="auto" w:sz="4" w:space="0"/>
              <w:right w:val="single" w:color="auto" w:sz="4" w:space="0"/>
            </w:tcBorders>
            <w:noWrap w:val="0"/>
            <w:vAlign w:val="center"/>
          </w:tcPr>
          <w:p w14:paraId="39F364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vMerge w:val="continue"/>
            <w:tcBorders>
              <w:top w:val="single" w:color="auto" w:sz="4" w:space="0"/>
              <w:left w:val="single" w:color="auto" w:sz="4" w:space="0"/>
              <w:bottom w:val="single" w:color="auto" w:sz="4" w:space="0"/>
              <w:right w:val="single" w:color="auto" w:sz="4" w:space="0"/>
            </w:tcBorders>
            <w:noWrap w:val="0"/>
            <w:vAlign w:val="center"/>
          </w:tcPr>
          <w:p w14:paraId="586CD1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5B034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DDB5B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4AE26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受益单位满意度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223BD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5928C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14" w:type="pct"/>
            <w:tcBorders>
              <w:top w:val="single" w:color="auto" w:sz="4" w:space="0"/>
              <w:left w:val="single" w:color="auto" w:sz="4" w:space="0"/>
              <w:bottom w:val="single" w:color="auto" w:sz="4" w:space="0"/>
              <w:right w:val="single" w:color="auto" w:sz="4" w:space="0"/>
            </w:tcBorders>
            <w:noWrap w:val="0"/>
            <w:vAlign w:val="center"/>
          </w:tcPr>
          <w:p w14:paraId="311063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239" w:type="pct"/>
            <w:tcBorders>
              <w:top w:val="single" w:color="auto" w:sz="4" w:space="0"/>
              <w:left w:val="single" w:color="auto" w:sz="4" w:space="0"/>
              <w:bottom w:val="single" w:color="auto" w:sz="4" w:space="0"/>
              <w:right w:val="single" w:color="auto" w:sz="4" w:space="0"/>
            </w:tcBorders>
            <w:noWrap w:val="0"/>
            <w:vAlign w:val="center"/>
          </w:tcPr>
          <w:p w14:paraId="7382A1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4DFC0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041877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0793FB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38" w:type="pct"/>
            <w:tcBorders>
              <w:top w:val="single" w:color="auto" w:sz="4" w:space="0"/>
              <w:left w:val="single" w:color="auto" w:sz="4" w:space="0"/>
              <w:bottom w:val="single" w:color="auto" w:sz="4" w:space="0"/>
              <w:right w:val="single" w:color="auto" w:sz="4" w:space="0"/>
            </w:tcBorders>
            <w:noWrap w:val="0"/>
            <w:vAlign w:val="center"/>
          </w:tcPr>
          <w:p w14:paraId="15B374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3" w:type="pct"/>
            <w:tcBorders>
              <w:top w:val="single" w:color="auto" w:sz="4" w:space="0"/>
              <w:left w:val="single" w:color="auto" w:sz="4" w:space="0"/>
              <w:bottom w:val="single" w:color="auto" w:sz="4" w:space="0"/>
              <w:right w:val="single" w:color="auto" w:sz="4" w:space="0"/>
            </w:tcBorders>
            <w:noWrap w:val="0"/>
            <w:vAlign w:val="center"/>
          </w:tcPr>
          <w:p w14:paraId="12ED68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4191D9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3611D0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B0715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18" w:type="pct"/>
            <w:tcBorders>
              <w:top w:val="single" w:color="auto" w:sz="4" w:space="0"/>
              <w:left w:val="single" w:color="auto" w:sz="4" w:space="0"/>
              <w:bottom w:val="single" w:color="auto" w:sz="4" w:space="0"/>
              <w:right w:val="single" w:color="auto" w:sz="4" w:space="0"/>
            </w:tcBorders>
            <w:noWrap w:val="0"/>
            <w:vAlign w:val="center"/>
          </w:tcPr>
          <w:p w14:paraId="593728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0654F7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314" w:type="pct"/>
            <w:tcBorders>
              <w:top w:val="single" w:color="auto" w:sz="4" w:space="0"/>
              <w:left w:val="single" w:color="auto" w:sz="4" w:space="0"/>
              <w:bottom w:val="single" w:color="auto" w:sz="4" w:space="0"/>
              <w:right w:val="single" w:color="auto" w:sz="4" w:space="0"/>
            </w:tcBorders>
            <w:noWrap w:val="0"/>
            <w:vAlign w:val="center"/>
          </w:tcPr>
          <w:p w14:paraId="561DCD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39" w:type="pct"/>
            <w:tcBorders>
              <w:top w:val="single" w:color="auto" w:sz="4" w:space="0"/>
              <w:left w:val="single" w:color="auto" w:sz="4" w:space="0"/>
              <w:bottom w:val="single" w:color="auto" w:sz="4" w:space="0"/>
              <w:right w:val="single" w:color="auto" w:sz="4" w:space="0"/>
            </w:tcBorders>
            <w:noWrap w:val="0"/>
            <w:vAlign w:val="center"/>
          </w:tcPr>
          <w:p w14:paraId="6432F4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r>
    </w:tbl>
    <w:p w14:paraId="58A9F9D6">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47BBAFA6">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42D36AE2">
      <w:pPr>
        <w:pStyle w:val="10"/>
        <w:ind w:left="0" w:leftChars="0" w:firstLine="0" w:firstLineChars="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BC52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695906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62E8C31D">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0D16FCBF">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0247BD6D">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6B0C603E">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0F03E6B7">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r>
      <w:tr w14:paraId="4B431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9AE01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36"/>
                <w:szCs w:val="36"/>
                <w:highlight w:val="none"/>
                <w:u w:val="none"/>
              </w:rPr>
            </w:pPr>
            <w:r>
              <w:rPr>
                <w:rFonts w:hint="eastAsia" w:ascii="宋体" w:hAnsi="宋体" w:eastAsia="宋体" w:cs="宋体"/>
                <w:b/>
                <w:bCs/>
                <w:i w:val="0"/>
                <w:iCs w:val="0"/>
                <w:color w:val="000000"/>
                <w:kern w:val="0"/>
                <w:sz w:val="36"/>
                <w:szCs w:val="36"/>
                <w:highlight w:val="none"/>
                <w:u w:val="none"/>
                <w:lang w:val="en-US" w:eastAsia="zh-CN"/>
              </w:rPr>
              <w:t>新疆京洛集团有限责任公司公司追加注册资本金项目综合得分表</w:t>
            </w:r>
          </w:p>
        </w:tc>
      </w:tr>
      <w:tr w14:paraId="65609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3C346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27147A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AAECB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C49E2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8756C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5D60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合计</w:t>
            </w:r>
          </w:p>
        </w:tc>
      </w:tr>
      <w:tr w14:paraId="7B644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2C03A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6634CC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00159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55E59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2B3E5B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C1FB48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r w14:paraId="1ADAF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E2CC8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546F84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6A000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B0FEF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14ABA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DE8FD6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100.00</w:t>
            </w:r>
          </w:p>
        </w:tc>
      </w:tr>
      <w:tr w14:paraId="20477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33FF1D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3595EA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EC11FE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268751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CDE9A5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1308BE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bl>
    <w:p w14:paraId="16764E9E">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568AF0E4">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70A932F5">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3690498B">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793D9787">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pPr>
    </w:p>
    <w:p w14:paraId="008A8C43">
      <w:pPr>
        <w:pStyle w:val="10"/>
        <w:pageBreakBefore w:val="0"/>
        <w:kinsoku/>
        <w:wordWrap/>
        <w:topLinePunct w:val="0"/>
        <w:autoSpaceDE/>
        <w:autoSpaceDN/>
        <w:bidi w:val="0"/>
        <w:spacing w:line="360" w:lineRule="auto"/>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755EF82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4F77565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新疆京洛集团有限责任公司公司追加注册资本金项目</w:t>
      </w:r>
    </w:p>
    <w:p w14:paraId="27998D0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66695FA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1907259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sz w:val="24"/>
          <w:szCs w:val="24"/>
          <w:highlight w:val="none"/>
        </w:rPr>
        <w:t>为</w:t>
      </w:r>
      <w:r>
        <w:rPr>
          <w:rFonts w:hint="eastAsia" w:ascii="宋体" w:hAnsi="宋体" w:eastAsia="宋体" w:cs="宋体"/>
          <w:color w:val="000000"/>
          <w:sz w:val="24"/>
          <w:szCs w:val="24"/>
          <w:highlight w:val="none"/>
        </w:rPr>
        <w:t>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52E7A16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一、该问卷调查从2025年3月1日开始至2025年3月5日结束，调查问卷共设置3道题目。</w:t>
      </w:r>
    </w:p>
    <w:p w14:paraId="2C19F9AA">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72887EE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的受益对象</w:t>
      </w:r>
      <w:r>
        <w:rPr>
          <w:rFonts w:hint="eastAsia" w:ascii="宋体" w:hAnsi="宋体" w:eastAsia="宋体" w:cs="宋体"/>
          <w:sz w:val="24"/>
          <w:szCs w:val="24"/>
          <w:highlight w:val="none"/>
          <w:lang w:eastAsia="zh-CN"/>
        </w:rPr>
        <w:t>京洛集团</w:t>
      </w:r>
      <w:r>
        <w:rPr>
          <w:rFonts w:hint="eastAsia" w:ascii="宋体" w:hAnsi="宋体" w:eastAsia="宋体" w:cs="宋体"/>
          <w:sz w:val="24"/>
          <w:szCs w:val="24"/>
          <w:highlight w:val="none"/>
        </w:rPr>
        <w:t>。</w:t>
      </w:r>
    </w:p>
    <w:p w14:paraId="7D47432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i w:val="0"/>
          <w:iCs w:val="0"/>
          <w:color w:val="000000"/>
          <w:sz w:val="24"/>
          <w:szCs w:val="24"/>
          <w:highlight w:val="none"/>
          <w:lang w:val="en-US" w:eastAsia="zh-CN"/>
        </w:rPr>
      </w:pPr>
      <w:r>
        <w:rPr>
          <w:rFonts w:hint="eastAsia" w:ascii="宋体" w:hAnsi="宋体" w:eastAsia="宋体" w:cs="宋体"/>
          <w:b/>
          <w:bCs/>
          <w:i w:val="0"/>
          <w:iCs w:val="0"/>
          <w:color w:val="000000"/>
          <w:sz w:val="24"/>
          <w:szCs w:val="24"/>
          <w:highlight w:val="none"/>
        </w:rPr>
        <w:t>2.</w:t>
      </w:r>
      <w:r>
        <w:rPr>
          <w:rFonts w:hint="eastAsia" w:ascii="宋体" w:hAnsi="宋体" w:eastAsia="宋体" w:cs="宋体"/>
          <w:b/>
          <w:bCs/>
          <w:i w:val="0"/>
          <w:iCs w:val="0"/>
          <w:color w:val="000000"/>
          <w:sz w:val="24"/>
          <w:szCs w:val="24"/>
          <w:highlight w:val="none"/>
          <w:lang w:eastAsia="zh-CN"/>
        </w:rPr>
        <w:t>调查</w:t>
      </w:r>
      <w:r>
        <w:rPr>
          <w:rFonts w:hint="eastAsia" w:ascii="宋体" w:hAnsi="宋体" w:eastAsia="宋体" w:cs="宋体"/>
          <w:b/>
          <w:bCs/>
          <w:i w:val="0"/>
          <w:iCs w:val="0"/>
          <w:color w:val="000000"/>
          <w:sz w:val="24"/>
          <w:szCs w:val="24"/>
          <w:highlight w:val="none"/>
        </w:rPr>
        <w:t>内容</w:t>
      </w:r>
    </w:p>
    <w:p w14:paraId="1B2D1D3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①您对2024年新疆京洛集团项目注册资金及时性是否满意是否满意?</w:t>
      </w:r>
    </w:p>
    <w:p w14:paraId="56C7252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②您对2024年新疆京洛集团项目注册资金是否满意？</w:t>
      </w:r>
    </w:p>
    <w:p w14:paraId="0336DA8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③总的来说，您对目前2024年新疆京洛集团项目注册资金项目实施后的整体满意程度如何？</w:t>
      </w:r>
    </w:p>
    <w:p w14:paraId="65975F4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i w:val="0"/>
          <w:iCs w:val="0"/>
          <w:color w:val="000000"/>
          <w:sz w:val="24"/>
          <w:szCs w:val="24"/>
          <w:highlight w:val="none"/>
          <w:lang w:val="en-US" w:eastAsia="zh-CN"/>
        </w:rPr>
      </w:pPr>
      <w:r>
        <w:rPr>
          <w:rFonts w:hint="eastAsia" w:ascii="宋体" w:hAnsi="宋体" w:eastAsia="宋体" w:cs="宋体"/>
          <w:b/>
          <w:bCs/>
          <w:i w:val="0"/>
          <w:iCs w:val="0"/>
          <w:color w:val="000000"/>
          <w:sz w:val="24"/>
          <w:szCs w:val="24"/>
          <w:highlight w:val="none"/>
          <w:lang w:val="en-US" w:eastAsia="zh-CN"/>
        </w:rPr>
        <w:t>3.调查方法</w:t>
      </w:r>
    </w:p>
    <w:p w14:paraId="673045A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2660A9C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4.抽样方式</w:t>
      </w:r>
    </w:p>
    <w:p w14:paraId="58FB8AE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28CBEEC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7A2264B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为了给调查对象营造良好的作答环境，保证调查的科学性和严谨性，由我单位工作人员在线下发放问卷，邀请相应的调查对象填写问卷。到目前为止共回收问卷20份，其中有效问卷20份，有效问卷回收率为100%。</w:t>
      </w:r>
    </w:p>
    <w:p w14:paraId="50ADC77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67B1E33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本次调查过程中，评价小组实际发放问卷10份，回收问卷10份，问卷回收率为100.00%，有效问卷10份，有效回收率100.00%，本次调查的整体情况如下：</w:t>
      </w:r>
    </w:p>
    <w:p w14:paraId="0D9F8B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第一个问题：该项统计有效问卷数量10份，选择非常满意的人数为10人。选择比较满意的人数为0人，选择一般的人数0人，选择不满意的人数0人，选择非常不满意的人数0人。</w:t>
      </w:r>
    </w:p>
    <w:p w14:paraId="4D4F862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第二个问题：该项统计有效问卷数量10份，选择非常满意的人数为10人。选择比较满意的人数为0人，选择一般的人数0人，选择不满意的人数0人，选择非常不满意的人数0人。</w:t>
      </w:r>
    </w:p>
    <w:p w14:paraId="5C6D6CB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第三个问题：该项统计有效问卷数量10份，选择非常满意的人数为10人。选择比较满意的人数为0人，选择一般的人数0人，选择不满意的人数0人，选择非常不满意的人数0人。</w:t>
      </w:r>
    </w:p>
    <w:p w14:paraId="2D5C123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3A240F0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2024年新疆京洛集团项目注册资金项目针对受益单位发放10份调查问卷，最终统计受益人群满意度为100%。</w:t>
      </w:r>
    </w:p>
    <w:p w14:paraId="6A30F77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2AB3BF9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中共洛浦县财政局</w:t>
      </w:r>
    </w:p>
    <w:p w14:paraId="5408DA5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highlight w:val="none"/>
          <w:lang w:val="en-US" w:eastAsia="zh-CN"/>
        </w:rPr>
        <w:t>2025年3月6日</w:t>
      </w:r>
    </w:p>
    <w:p w14:paraId="7B89AC86">
      <w:pPr>
        <w:pStyle w:val="10"/>
        <w:pageBreakBefore w:val="0"/>
        <w:kinsoku/>
        <w:wordWrap/>
        <w:topLinePunct w:val="0"/>
        <w:autoSpaceDE/>
        <w:autoSpaceDN/>
        <w:bidi w:val="0"/>
        <w:spacing w:line="360" w:lineRule="auto"/>
        <w:ind w:left="0" w:leftChars="0" w:firstLine="480" w:firstLineChars="200"/>
        <w:rPr>
          <w:rFonts w:hint="eastAsia" w:ascii="宋体" w:hAnsi="宋体" w:eastAsia="宋体" w:cs="宋体"/>
          <w:color w:val="auto"/>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F5259F-684C-40DD-8ECB-67F359D4D3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3A017BCC-B925-4399-9AEC-364C51E705C7}"/>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29A08641-87A1-4472-A2C3-D5B55AB06A4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3002C">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3B3E">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lvlText w:val="%1."/>
      <w:lvlJc w:val="left"/>
      <w:pPr>
        <w:tabs>
          <w:tab w:val="left" w:pos="312"/>
        </w:tabs>
      </w:pPr>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2"/>
      <w:numFmt w:val="decimal"/>
      <w:lvlText w:val="%1."/>
      <w:lvlJc w:val="left"/>
      <w:pPr>
        <w:tabs>
          <w:tab w:val="left" w:pos="312"/>
        </w:tabs>
      </w:pPr>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7559278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qFormat/>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qFormat/>
    <w:uiPriority w:val="99"/>
    <w:rPr>
      <w:sz w:val="16"/>
      <w:szCs w:val="16"/>
    </w:rPr>
  </w:style>
  <w:style w:type="character" w:customStyle="1" w:styleId="30">
    <w:name w:val="正文文本缩进 Char"/>
    <w:link w:val="3"/>
    <w:semiHidden/>
    <w:qFormat/>
    <w:uiPriority w:val="99"/>
    <w:rPr>
      <w:rFonts w:ascii="Calibri" w:hAnsi="Calibri" w:eastAsia="仿宋_GB2312" w:cs="黑体"/>
      <w:sz w:val="28"/>
    </w:rPr>
  </w:style>
  <w:style w:type="character" w:customStyle="1" w:styleId="31">
    <w:name w:val="正文首行缩进 2 Char"/>
    <w:link w:val="2"/>
    <w:qFormat/>
    <w:uiPriority w:val="0"/>
    <w:rPr>
      <w:rFonts w:ascii="Calibri" w:hAnsi="Calibri" w:eastAsia="仿宋_GB2312" w:cs="黑体"/>
      <w:sz w:val="28"/>
    </w:rPr>
  </w:style>
  <w:style w:type="character" w:customStyle="1" w:styleId="32">
    <w:name w:val="标题 1 Char"/>
    <w:link w:val="4"/>
    <w:qFormat/>
    <w:uiPriority w:val="9"/>
    <w:rPr>
      <w:rFonts w:ascii="Times New Roman" w:hAnsi="Times New Roman" w:eastAsia="仿宋_GB2312" w:cs="Times New Roman"/>
      <w:b/>
      <w:bCs/>
      <w:kern w:val="44"/>
      <w:sz w:val="32"/>
      <w:szCs w:val="44"/>
    </w:rPr>
  </w:style>
  <w:style w:type="character" w:customStyle="1" w:styleId="33">
    <w:name w:val="标题 2 Char"/>
    <w:link w:val="5"/>
    <w:qFormat/>
    <w:uiPriority w:val="0"/>
    <w:rPr>
      <w:rFonts w:ascii="Cambria" w:hAnsi="Cambria" w:eastAsia="仿宋_GB2312" w:cs="Times New Roman"/>
      <w:b/>
      <w:bCs/>
      <w:kern w:val="0"/>
      <w:sz w:val="30"/>
      <w:szCs w:val="32"/>
    </w:rPr>
  </w:style>
  <w:style w:type="character" w:customStyle="1" w:styleId="34">
    <w:name w:val="标题 3 Char"/>
    <w:link w:val="6"/>
    <w:qFormat/>
    <w:uiPriority w:val="9"/>
    <w:rPr>
      <w:rFonts w:ascii="Calibri" w:hAnsi="Calibri" w:eastAsia="仿宋_GB2312" w:cs="黑体"/>
      <w:bCs/>
      <w:sz w:val="28"/>
      <w:szCs w:val="32"/>
    </w:rPr>
  </w:style>
  <w:style w:type="character" w:customStyle="1" w:styleId="35">
    <w:name w:val="标题 4 Char"/>
    <w:link w:val="7"/>
    <w:semiHidden/>
    <w:qFormat/>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闻政-正文一级标题 Char"/>
    <w:link w:val="44"/>
    <w:qFormat/>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qFormat/>
    <w:uiPriority w:val="3"/>
    <w:rPr>
      <w:rFonts w:ascii="Times New Roman" w:hAnsi="Times New Roman" w:eastAsia="仿宋_GB2312"/>
      <w:sz w:val="28"/>
      <w:szCs w:val="28"/>
    </w:rPr>
  </w:style>
  <w:style w:type="character" w:customStyle="1" w:styleId="47">
    <w:name w:val="闻政-正文二级标题 Char"/>
    <w:link w:val="48"/>
    <w:qFormat/>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qFormat/>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qFormat/>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qFormat/>
    <w:uiPriority w:val="0"/>
    <w:rPr>
      <w:rFonts w:hint="default" w:ascii="Times New Roman" w:hAnsi="Times New Roman" w:cs="Times New Roman"/>
      <w:color w:val="000000"/>
      <w:sz w:val="24"/>
      <w:szCs w:val="24"/>
      <w:u w:val="none"/>
    </w:rPr>
  </w:style>
  <w:style w:type="character" w:customStyle="1" w:styleId="54">
    <w:name w:val="无间隔 Char"/>
    <w:link w:val="55"/>
    <w:qFormat/>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qFormat/>
    <w:uiPriority w:val="0"/>
    <w:rPr>
      <w:rFonts w:hint="eastAsia" w:ascii="微软雅黑" w:hAnsi="微软雅黑" w:eastAsia="微软雅黑" w:cs="微软雅黑"/>
      <w:b/>
      <w:bCs/>
      <w:color w:val="000000"/>
      <w:sz w:val="32"/>
      <w:szCs w:val="32"/>
      <w:u w:val="none"/>
    </w:rPr>
  </w:style>
  <w:style w:type="paragraph" w:customStyle="1" w:styleId="59">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91E4C838A8D5498FA6951455B579CC37_13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7e27f11b-9aef-4fe5-bdee-68880f567be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13715</Words>
  <Characters>14442</Characters>
  <Lines>44</Lines>
  <Paragraphs>12</Paragraphs>
  <TotalTime>1</TotalTime>
  <ScaleCrop>false</ScaleCrop>
  <LinksUpToDate>false</LinksUpToDate>
  <CharactersWithSpaces>14442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2025-10-10T10:32:58Z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91E4C838A8D5498FA6951455B579CC37_13</vt:lpwstr>
  </property>
  <property fmtid="{D5CDD505-2E9C-101B-9397-08002B2CF9AE}" pid="4" name="KSOTemplateDocerSaveRecord">
    <vt:lpwstr>eyJoZGlkIjoiZDE5MGZhMTJhZDM2OTQwYzkzYWVjM2FhZDUxN2Q0M2IiLCJ1c2VySWQiOiI2NTE5NDIwMjYifQ_x003D__x003D_</vt:lpwstr>
  </property>
</Properties>
</file>