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AA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highlight w:val="none"/>
          <w:shd w:val="clear" w:fill="FFFFFF"/>
          <w:lang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highlight w:val="none"/>
          <w:shd w:val="clear" w:fill="FFFFFF"/>
          <w:lang w:eastAsia="zh-CN"/>
          <w14:textFill>
            <w14:solidFill>
              <w14:schemeClr w14:val="tx1"/>
            </w14:solidFill>
          </w14:textFill>
        </w:rPr>
        <w:t>关于调整洛浦县农业供水价格的通知</w:t>
      </w:r>
    </w:p>
    <w:p w14:paraId="058B07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eastAsia" w:ascii="方正小标宋简体" w:hAnsi="方正小标宋简体" w:eastAsia="方正小标宋简体" w:cs="方正小标宋简体"/>
          <w:i w:val="0"/>
          <w:caps w:val="0"/>
          <w:color w:val="000000" w:themeColor="text1"/>
          <w:spacing w:val="0"/>
          <w:sz w:val="44"/>
          <w:szCs w:val="44"/>
          <w:highlight w:val="none"/>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highlight w:val="none"/>
          <w:shd w:val="clear" w:fill="FFFFFF"/>
          <w:lang w:eastAsia="zh-CN"/>
          <w14:textFill>
            <w14:solidFill>
              <w14:schemeClr w14:val="tx1"/>
            </w14:solidFill>
          </w14:textFill>
        </w:rPr>
        <w:t>（征求意见稿）</w:t>
      </w:r>
    </w:p>
    <w:p w14:paraId="071829EC">
      <w:pPr>
        <w:rPr>
          <w:rFonts w:hint="eastAsia"/>
          <w:lang w:eastAsia="zh-CN"/>
        </w:rPr>
      </w:pPr>
    </w:p>
    <w:p w14:paraId="65AD10C4">
      <w:pPr>
        <w:keepNext w:val="0"/>
        <w:keepLines w:val="0"/>
        <w:pageBreakBefore w:val="0"/>
        <w:wordWrap/>
        <w:overflowPunct/>
        <w:topLinePunct w:val="0"/>
        <w:bidi w:val="0"/>
        <w:spacing w:line="540" w:lineRule="exac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各乡镇、产业园区、供水经营单位：</w:t>
      </w:r>
    </w:p>
    <w:p w14:paraId="37C68865">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为规范我县水利工程农业供水价格管理，节约和保护水资源，促进农业供水事业健康、高质量、可持续发展，结合洛浦县农业供水实际，经洛浦县人民政府第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次常务会议审议同意，现将</w:t>
      </w:r>
      <w:r>
        <w:rPr>
          <w:rFonts w:hint="eastAsia" w:ascii="仿宋_GB2312" w:hAnsi="仿宋_GB2312" w:eastAsia="仿宋_GB2312" w:cs="仿宋_GB2312"/>
          <w:color w:val="000000" w:themeColor="text1"/>
          <w:sz w:val="32"/>
          <w:szCs w:val="32"/>
          <w:lang w:eastAsia="zh-CN"/>
          <w14:textFill>
            <w14:solidFill>
              <w14:schemeClr w14:val="tx1"/>
            </w14:solidFill>
          </w14:textFill>
        </w:rPr>
        <w:t>洛浦县农业供水价格有关调整事项通知如下：</w:t>
      </w:r>
    </w:p>
    <w:p w14:paraId="639048AB">
      <w:pPr>
        <w:keepNext w:val="0"/>
        <w:keepLines w:val="0"/>
        <w:pageBreakBefore w:val="0"/>
        <w:wordWrap/>
        <w:overflowPunct/>
        <w:topLinePunct w:val="0"/>
        <w:bidi w:val="0"/>
        <w:spacing w:line="540" w:lineRule="exac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农业供水分类水价</w:t>
      </w:r>
    </w:p>
    <w:p w14:paraId="272F409E">
      <w:pPr>
        <w:keepNext w:val="0"/>
        <w:keepLines w:val="0"/>
        <w:pageBreakBefore w:val="0"/>
        <w:wordWrap/>
        <w:overflowPunct/>
        <w:topLinePunct w:val="0"/>
        <w:bidi w:val="0"/>
        <w:spacing w:line="54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粮食作物水价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0.0952元/立方米</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p>
    <w:p w14:paraId="761433F8">
      <w:pPr>
        <w:keepNext w:val="0"/>
        <w:keepLines w:val="0"/>
        <w:pageBreakBefore w:val="0"/>
        <w:wordWrap/>
        <w:overflowPunct/>
        <w:topLinePunct w:val="0"/>
        <w:bidi w:val="0"/>
        <w:spacing w:line="54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经济作物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及水产养殖</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水价0.1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142</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元/立方米；</w:t>
      </w:r>
    </w:p>
    <w:p w14:paraId="52A5C932">
      <w:pPr>
        <w:keepNext w:val="0"/>
        <w:keepLines w:val="0"/>
        <w:pageBreakBefore w:val="0"/>
        <w:wordWrap/>
        <w:overflowPunct/>
        <w:topLinePunct w:val="0"/>
        <w:bidi w:val="0"/>
        <w:spacing w:line="54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3、末级渠系维护费实行政府指导价，</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常规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灌溉不高于</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0.02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07</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元/立方米、高效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节水（微灌）不高于</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0.04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07</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元/立方米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，且下浮不限</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p>
    <w:p w14:paraId="59FB8DC2">
      <w:pPr>
        <w:keepNext w:val="0"/>
        <w:keepLines w:val="0"/>
        <w:pageBreakBefore w:val="0"/>
        <w:wordWrap/>
        <w:overflowPunct/>
        <w:topLinePunct w:val="0"/>
        <w:bidi w:val="0"/>
        <w:spacing w:line="54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4、生态用水价格参考供水成本0.0952元/立方米，由供需双方协商确定。</w:t>
      </w:r>
    </w:p>
    <w:p w14:paraId="46FF9079">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分档水价</w:t>
      </w:r>
    </w:p>
    <w:p w14:paraId="17DD2715">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多用水多付费”原则，在实行农业供水定额管理的基础上，积极推行超定额累进加价制度。以《实行最严格水资源管理制度“三条红线”》和《用水总量控制方案》指标确定的年度农业用水定额为依据，参照自治区水利厅《新疆维吾尔自治区农业用水定额》（新水厅〔2023〕67号）文件规定，结合本县实际核定年度农业用水定额。超定额加价幅度按《自治区人民政府关于印发新疆维吾尔自治区农业水价综合改革实施方案通知》（新政发〔2017〕29号）。定额内水价按规定水价执行，对超过定额不足50%（含50%）以内的，超过部分按规定价格标准的1.5倍执行；超过定额50%不足1倍（含1倍）的，超过部分按规定价格标准的2倍执行；超过定额1倍以上的，超过部分按规定价格标准的2.5倍执行。除向水力发电、生态用水、城乡供水企业供水以外，水利工程向终端用水户直接供水的，应当实行定额管理，超定额用水实行累进加价。</w:t>
      </w:r>
      <w:r>
        <w:rPr>
          <w:rFonts w:hint="eastAsia" w:ascii="仿宋_GB2312" w:hAnsi="仿宋_GB2312" w:eastAsia="仿宋_GB2312" w:cs="仿宋_GB2312"/>
          <w:color w:val="000000" w:themeColor="text1"/>
          <w:sz w:val="32"/>
          <w:szCs w:val="32"/>
          <w:lang w:eastAsia="zh-CN"/>
          <w14:textFill>
            <w14:solidFill>
              <w14:schemeClr w14:val="tx1"/>
            </w14:solidFill>
          </w14:textFill>
        </w:rPr>
        <w:t>其定额以水利部门依据上级标准和实际测量为准，仅对国有水利工程供水部分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执行超定额累进加价。</w:t>
      </w:r>
    </w:p>
    <w:p w14:paraId="42A10BDE">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三、其他事项</w:t>
      </w:r>
    </w:p>
    <w:p w14:paraId="2A869541">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调价范围和计费周期</w:t>
      </w:r>
    </w:p>
    <w:p w14:paraId="27E4C227">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此次水利供水调价范围为洛浦县辖区农业用水户（含新灌区）。</w:t>
      </w:r>
    </w:p>
    <w:p w14:paraId="361D6095">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计费周期按年度作为一个周期核定，按量计价，一般以产权分界点或交水断面的计量售水量作为计价点售水量。当累计水量超过用水定额后，即开始实行超定额累进加价制度。</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以水价制度执行后用水户首次购买时间为起始时间。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跨年用水不累计、不结转。</w:t>
      </w:r>
    </w:p>
    <w:p w14:paraId="69FA3AFA">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税费</w:t>
      </w:r>
    </w:p>
    <w:p w14:paraId="54AECDFD">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以上价格均不含水资源税及增值税，水资源税及增值税的征收按照相关文件从其规定。</w:t>
      </w:r>
    </w:p>
    <w:p w14:paraId="4F28599C">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明确事项</w:t>
      </w:r>
    </w:p>
    <w:p w14:paraId="3CC2BAC8">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权归国家、农村集体经济组织或农民用水合作组织所在的工程管护费，以末级渠系维护费和中央小型农田水利工程维护补助经费为主，不足部分可从超定额累进加价水费、水权转让和交易费等中进行统筹安排，财政部门可根据财力情况给予必要的补助。</w:t>
      </w:r>
    </w:p>
    <w:p w14:paraId="3FFBE052">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末级维护费应专账核算，专款专用，全额用于管理人员费用、末级渠系计量设施、农业高效节水工程的运行和维修养护、损耗等，其中用于末级渠系和农业高效节水工程运行和维修养护的支出不少于60%。任何单位和个人不得截留挪用或者挤占。</w:t>
      </w:r>
    </w:p>
    <w:p w14:paraId="2D45593A">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终端供水计量点的实际用水量，必须由农民用水合作组织聘用的配水员和用水</w:t>
      </w:r>
      <w:r>
        <w:rPr>
          <w:rFonts w:hint="default" w:ascii="仿宋_GB2312" w:hAnsi="仿宋_GB2312" w:eastAsia="仿宋_GB2312" w:cs="仿宋_GB2312"/>
          <w:color w:val="000000" w:themeColor="text1"/>
          <w:sz w:val="32"/>
          <w:szCs w:val="32"/>
          <w:lang w:eastAsia="zh-CN"/>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共同签字确认。供水核算涉及多个用水</w:t>
      </w:r>
      <w:r>
        <w:rPr>
          <w:rFonts w:hint="default" w:ascii="仿宋_GB2312" w:hAnsi="仿宋_GB2312" w:eastAsia="仿宋_GB2312" w:cs="仿宋_GB2312"/>
          <w:color w:val="000000" w:themeColor="text1"/>
          <w:sz w:val="32"/>
          <w:szCs w:val="32"/>
          <w:lang w:eastAsia="zh-CN"/>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的，必须协商确定相应水量分配办法，并经三分之二以上的农民同意。</w:t>
      </w:r>
    </w:p>
    <w:p w14:paraId="6292F38C">
      <w:pPr>
        <w:keepNext w:val="0"/>
        <w:keepLines w:val="0"/>
        <w:pageBreakBefore w:val="0"/>
        <w:wordWrap/>
        <w:overflowPunct/>
        <w:topLinePunct w:val="0"/>
        <w:bidi w:val="0"/>
        <w:spacing w:line="540" w:lineRule="exac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超定额累进加价的定额基数以水利部门依据上级标准和实际测量公布数据为准，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粮食作物和经济作物分类由县农业农村局根据国家有关政策确定。</w:t>
      </w:r>
    </w:p>
    <w:p w14:paraId="5780CA98">
      <w:pPr>
        <w:keepNext w:val="0"/>
        <w:keepLines w:val="0"/>
        <w:pageBreakBefore w:val="0"/>
        <w:wordWrap/>
        <w:overflowPunct/>
        <w:topLinePunct w:val="0"/>
        <w:bidi w:val="0"/>
        <w:spacing w:line="54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5、加快供水计量体系建设。大中型灌区骨干工程全部实现斗口计量供水，小型灌区和末级渠系根据管理需要细化计量单元，使用地下水灌溉的要计量到井，推行“井电双控”或“以电折水”等智能计量方式。</w:t>
      </w:r>
    </w:p>
    <w:p w14:paraId="3D94CB75">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调价时间。本通知自2026年1月1日起执行，有效期至2030年12月31日，由洛浦县发改委、水利局、农业农村局、财政局负责解释，《关于调整洛浦县农业灌溉用水价格及水资源费的批复》（洛发改物价〔2019〕4号）、《关于调定洛浦县农业灌溉末级渠系维护费的通知》（洛发改物价〔2023〕5号）文件同时作废。《关于调定洛浦县农业灌溉末级渠系维护费的通知》（洛发改物价〔2023〕5号）文件中的附件1《</w:t>
      </w:r>
      <w:r>
        <w:rPr>
          <w:rFonts w:hint="eastAsia" w:ascii="仿宋_GB2312" w:hAnsi="仿宋_GB2312" w:eastAsia="仿宋_GB2312" w:cs="仿宋_GB2312"/>
          <w:color w:val="000000" w:themeColor="text1"/>
          <w:sz w:val="32"/>
          <w:szCs w:val="32"/>
          <w:lang w:eastAsia="zh-CN"/>
          <w14:textFill>
            <w14:solidFill>
              <w14:schemeClr w14:val="tx1"/>
            </w14:solidFill>
          </w14:textFill>
        </w:rPr>
        <w:t>洛浦县农业灌溉用水超定额累进加价制度（试行）》，附件2《洛浦县农业灌溉用水终端水价制度》仍然延用。</w:t>
      </w:r>
    </w:p>
    <w:p w14:paraId="0420DC0A">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附：洛浦县农业供水价格标准及分类表</w:t>
      </w:r>
    </w:p>
    <w:p w14:paraId="71C3748E">
      <w:pPr>
        <w:keepNext w:val="0"/>
        <w:keepLines w:val="0"/>
        <w:pageBreakBefore w:val="0"/>
        <w:wordWrap/>
        <w:overflowPunct/>
        <w:topLinePunct w:val="0"/>
        <w:bidi w:val="0"/>
        <w:spacing w:line="540" w:lineRule="exac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275E3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0" w:firstLineChars="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bookmarkEnd w:id="0"/>
    </w:p>
    <w:p w14:paraId="541B40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0" w:firstLineChars="0"/>
        <w:jc w:val="both"/>
        <w:textAlignment w:val="auto"/>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pPr>
    </w:p>
    <w:p w14:paraId="2B7EDDAA">
      <w:pPr>
        <w:rPr>
          <w:rFonts w:hint="eastAsia" w:ascii="方正小标宋简体" w:hAnsi="方正小标宋简体" w:eastAsia="方正小标宋简体" w:cs="方正小标宋简体"/>
          <w:i w:val="0"/>
          <w:caps w:val="0"/>
          <w:color w:val="000000" w:themeColor="text1"/>
          <w:spacing w:val="0"/>
          <w:sz w:val="44"/>
          <w:szCs w:val="44"/>
          <w:highlight w:val="none"/>
          <w:shd w:val="clear" w:fill="FFFFFF"/>
          <w:lang w:eastAsia="zh-CN"/>
          <w14:textFill>
            <w14:solidFill>
              <w14:schemeClr w14:val="tx1"/>
            </w14:solidFill>
          </w14:textFill>
        </w:rPr>
        <w:sectPr>
          <w:footerReference r:id="rId3" w:type="default"/>
          <w:pgSz w:w="11906" w:h="16838"/>
          <w:pgMar w:top="2098" w:right="1531" w:bottom="2098" w:left="1531" w:header="851" w:footer="1701" w:gutter="0"/>
          <w:pgNumType w:fmt="decimal"/>
          <w:cols w:space="425" w:num="1"/>
          <w:docGrid w:type="lines" w:linePitch="312" w:charSpace="0"/>
        </w:sectPr>
      </w:pPr>
    </w:p>
    <w:tbl>
      <w:tblPr>
        <w:tblStyle w:val="11"/>
        <w:tblW w:w="149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44"/>
        <w:gridCol w:w="1400"/>
        <w:gridCol w:w="1252"/>
        <w:gridCol w:w="979"/>
        <w:gridCol w:w="1142"/>
        <w:gridCol w:w="6475"/>
        <w:gridCol w:w="1268"/>
      </w:tblGrid>
      <w:tr w14:paraId="0778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4960" w:type="dxa"/>
            <w:gridSpan w:val="7"/>
            <w:tcBorders>
              <w:top w:val="nil"/>
              <w:left w:val="nil"/>
              <w:bottom w:val="nil"/>
              <w:right w:val="nil"/>
            </w:tcBorders>
            <w:shd w:val="clear" w:color="auto" w:fill="auto"/>
            <w:noWrap/>
            <w:vAlign w:val="center"/>
          </w:tcPr>
          <w:p w14:paraId="7220C2C3">
            <w:pPr>
              <w:keepNext w:val="0"/>
              <w:keepLines w:val="0"/>
              <w:widowControl/>
              <w:suppressLineNumbers w:val="0"/>
              <w:jc w:val="left"/>
              <w:textAlignment w:val="center"/>
              <w:rPr>
                <w:rFonts w:hint="default" w:ascii="宋体" w:hAnsi="宋体" w:eastAsia="宋体" w:cs="宋体"/>
                <w:b/>
                <w:bCs/>
                <w:i w:val="0"/>
                <w:iCs w:val="0"/>
                <w:color w:val="000000"/>
                <w:kern w:val="0"/>
                <w:sz w:val="44"/>
                <w:szCs w:val="44"/>
                <w:u w:val="none"/>
                <w:lang w:val="en-US" w:eastAsia="zh-CN" w:bidi="ar"/>
              </w:rPr>
            </w:pPr>
            <w:r>
              <w:rPr>
                <w:rFonts w:hint="eastAsia" w:ascii="宋体" w:hAnsi="宋体" w:cs="宋体"/>
                <w:b/>
                <w:bCs/>
                <w:i w:val="0"/>
                <w:iCs w:val="0"/>
                <w:color w:val="000000"/>
                <w:kern w:val="0"/>
                <w:sz w:val="20"/>
                <w:szCs w:val="20"/>
                <w:u w:val="none"/>
                <w:lang w:val="en-US" w:eastAsia="zh-CN" w:bidi="ar"/>
              </w:rPr>
              <w:t>附件：</w:t>
            </w:r>
          </w:p>
        </w:tc>
      </w:tr>
      <w:tr w14:paraId="2CD8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14960" w:type="dxa"/>
            <w:gridSpan w:val="7"/>
            <w:tcBorders>
              <w:top w:val="nil"/>
              <w:left w:val="nil"/>
              <w:bottom w:val="nil"/>
              <w:right w:val="nil"/>
            </w:tcBorders>
            <w:shd w:val="clear" w:color="auto" w:fill="auto"/>
            <w:noWrap/>
            <w:vAlign w:val="center"/>
          </w:tcPr>
          <w:p w14:paraId="31F302AB">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洛浦县</w:t>
            </w:r>
            <w:r>
              <w:rPr>
                <w:rFonts w:hint="eastAsia" w:ascii="宋体" w:hAnsi="宋体" w:cs="宋体"/>
                <w:b/>
                <w:bCs/>
                <w:i w:val="0"/>
                <w:iCs w:val="0"/>
                <w:color w:val="000000"/>
                <w:kern w:val="0"/>
                <w:sz w:val="44"/>
                <w:szCs w:val="44"/>
                <w:u w:val="none"/>
                <w:lang w:val="en-US" w:eastAsia="zh-CN" w:bidi="ar"/>
              </w:rPr>
              <w:t>农业</w:t>
            </w:r>
            <w:r>
              <w:rPr>
                <w:rFonts w:hint="eastAsia" w:ascii="宋体" w:hAnsi="宋体" w:eastAsia="宋体" w:cs="宋体"/>
                <w:b/>
                <w:bCs/>
                <w:i w:val="0"/>
                <w:iCs w:val="0"/>
                <w:color w:val="000000"/>
                <w:kern w:val="0"/>
                <w:sz w:val="44"/>
                <w:szCs w:val="44"/>
                <w:u w:val="none"/>
                <w:lang w:val="en-US" w:eastAsia="zh-CN" w:bidi="ar"/>
              </w:rPr>
              <w:t>供水价格标准及分类表</w:t>
            </w:r>
          </w:p>
        </w:tc>
      </w:tr>
      <w:tr w14:paraId="324C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2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50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用水类别</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D3314">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单位</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5A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斗渠口供水价格</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BC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末级渠系维护费</w:t>
            </w:r>
          </w:p>
        </w:tc>
        <w:tc>
          <w:tcPr>
            <w:tcW w:w="6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09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64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文件依据</w:t>
            </w:r>
          </w:p>
        </w:tc>
      </w:tr>
      <w:tr w14:paraId="503E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FCF95">
            <w:pPr>
              <w:jc w:val="center"/>
              <w:rPr>
                <w:rFonts w:hint="eastAsia" w:ascii="宋体" w:hAnsi="宋体" w:eastAsia="宋体" w:cs="宋体"/>
                <w:i w:val="0"/>
                <w:iCs w:val="0"/>
                <w:color w:val="000000"/>
                <w:sz w:val="24"/>
                <w:szCs w:val="24"/>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7BD2">
            <w:pPr>
              <w:jc w:val="center"/>
              <w:rPr>
                <w:rFonts w:hint="eastAsia" w:ascii="宋体" w:hAnsi="宋体" w:eastAsia="宋体" w:cs="宋体"/>
                <w:i w:val="0"/>
                <w:iCs w:val="0"/>
                <w:color w:val="000000"/>
                <w:sz w:val="24"/>
                <w:szCs w:val="24"/>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F7708">
            <w:pPr>
              <w:jc w:val="center"/>
              <w:rPr>
                <w:rFonts w:hint="eastAsia" w:ascii="宋体" w:hAnsi="宋体" w:eastAsia="宋体" w:cs="宋体"/>
                <w:i w:val="0"/>
                <w:iCs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E9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B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w:t>
            </w:r>
          </w:p>
        </w:tc>
        <w:tc>
          <w:tcPr>
            <w:tcW w:w="6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68667">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4A8A">
            <w:pPr>
              <w:jc w:val="center"/>
              <w:rPr>
                <w:rFonts w:hint="eastAsia" w:ascii="宋体" w:hAnsi="宋体" w:eastAsia="宋体" w:cs="宋体"/>
                <w:i w:val="0"/>
                <w:iCs w:val="0"/>
                <w:color w:val="000000"/>
                <w:sz w:val="24"/>
                <w:szCs w:val="24"/>
                <w:u w:val="none"/>
              </w:rPr>
            </w:pPr>
          </w:p>
        </w:tc>
      </w:tr>
      <w:tr w14:paraId="398A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B0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一、农业用水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DB00">
            <w:pPr>
              <w:rPr>
                <w:rFonts w:hint="eastAsia" w:ascii="宋体" w:hAnsi="宋体" w:eastAsia="宋体" w:cs="宋体"/>
                <w:i w:val="0"/>
                <w:iCs w:val="0"/>
                <w:color w:val="000000"/>
                <w:sz w:val="24"/>
                <w:szCs w:val="24"/>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945C">
            <w:pPr>
              <w:jc w:val="center"/>
              <w:rPr>
                <w:rFonts w:hint="eastAsia" w:ascii="宋体" w:hAnsi="宋体" w:eastAsia="宋体" w:cs="宋体"/>
                <w:i w:val="0"/>
                <w:iCs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AA04">
            <w:pPr>
              <w:jc w:val="center"/>
              <w:rPr>
                <w:rFonts w:hint="eastAsia" w:ascii="宋体" w:hAnsi="宋体" w:eastAsia="宋体" w:cs="宋体"/>
                <w:i w:val="0"/>
                <w:iCs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49DA">
            <w:pPr>
              <w:jc w:val="center"/>
              <w:rPr>
                <w:rFonts w:hint="eastAsia" w:ascii="宋体" w:hAnsi="宋体" w:eastAsia="宋体" w:cs="宋体"/>
                <w:i w:val="0"/>
                <w:iCs w:val="0"/>
                <w:color w:val="000000"/>
                <w:sz w:val="24"/>
                <w:szCs w:val="24"/>
                <w:u w:val="none"/>
              </w:rPr>
            </w:pPr>
          </w:p>
        </w:tc>
        <w:tc>
          <w:tcPr>
            <w:tcW w:w="6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75ED">
            <w:pPr>
              <w:rPr>
                <w:rFonts w:hint="eastAsia" w:ascii="宋体" w:hAnsi="宋体" w:eastAsia="宋体" w:cs="宋体"/>
                <w:i w:val="0"/>
                <w:iCs w:val="0"/>
                <w:color w:val="000000"/>
                <w:sz w:val="24"/>
                <w:szCs w:val="24"/>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A069">
            <w:pPr>
              <w:rPr>
                <w:rFonts w:hint="eastAsia" w:ascii="宋体" w:hAnsi="宋体" w:eastAsia="宋体" w:cs="宋体"/>
                <w:i w:val="0"/>
                <w:iCs w:val="0"/>
                <w:color w:val="000000"/>
                <w:sz w:val="24"/>
                <w:szCs w:val="24"/>
                <w:u w:val="none"/>
              </w:rPr>
            </w:pPr>
          </w:p>
        </w:tc>
      </w:tr>
      <w:tr w14:paraId="3BAE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4EB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1、粮食作物用水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C5C9">
            <w:pPr>
              <w:rPr>
                <w:rFonts w:hint="eastAsia" w:ascii="宋体" w:hAnsi="宋体" w:eastAsia="宋体" w:cs="宋体"/>
                <w:i w:val="0"/>
                <w:iCs w:val="0"/>
                <w:color w:val="000000"/>
                <w:sz w:val="24"/>
                <w:szCs w:val="24"/>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AB71">
            <w:pPr>
              <w:rPr>
                <w:rFonts w:hint="eastAsia" w:ascii="宋体" w:hAnsi="宋体" w:eastAsia="宋体" w:cs="宋体"/>
                <w:i w:val="0"/>
                <w:iCs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BBFA">
            <w:pPr>
              <w:rPr>
                <w:rFonts w:hint="eastAsia" w:ascii="Tahoma" w:hAnsi="Tahoma" w:eastAsia="Tahoma" w:cs="Tahoma"/>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1FD0">
            <w:pPr>
              <w:rPr>
                <w:rFonts w:hint="default" w:ascii="Tahoma" w:hAnsi="Tahoma" w:eastAsia="Tahoma" w:cs="Tahoma"/>
                <w:i w:val="0"/>
                <w:iCs w:val="0"/>
                <w:color w:val="000000"/>
                <w:sz w:val="22"/>
                <w:szCs w:val="22"/>
                <w:u w:val="none"/>
              </w:rPr>
            </w:pPr>
          </w:p>
        </w:tc>
        <w:tc>
          <w:tcPr>
            <w:tcW w:w="6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C6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主要以小麦、水稻、玉米等为主的粮食作物。</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55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新政发[2017]29号、新水厅〔2023〕67号</w:t>
            </w:r>
          </w:p>
        </w:tc>
      </w:tr>
      <w:tr w14:paraId="1CC8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43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定额用水量内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8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元/立方</w:t>
            </w:r>
            <w:r>
              <w:rPr>
                <w:rFonts w:hint="eastAsia" w:ascii="宋体" w:hAnsi="宋体" w:cs="宋体"/>
                <w:i w:val="0"/>
                <w:iCs w:val="0"/>
                <w:color w:val="000000"/>
                <w:kern w:val="0"/>
                <w:sz w:val="24"/>
                <w:szCs w:val="24"/>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E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0.0952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BF6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0.0207</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6F7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0.0407</w:t>
            </w:r>
          </w:p>
        </w:tc>
        <w:tc>
          <w:tcPr>
            <w:tcW w:w="6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3E99">
            <w:pP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75499">
            <w:pPr>
              <w:jc w:val="center"/>
              <w:rPr>
                <w:rFonts w:hint="eastAsia" w:ascii="宋体" w:hAnsi="宋体" w:eastAsia="宋体" w:cs="宋体"/>
                <w:i w:val="0"/>
                <w:iCs w:val="0"/>
                <w:color w:val="000000"/>
                <w:sz w:val="24"/>
                <w:szCs w:val="24"/>
                <w:u w:val="none"/>
              </w:rPr>
            </w:pPr>
          </w:p>
        </w:tc>
      </w:tr>
      <w:tr w14:paraId="76411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77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超过定额不足50%（含50%）以内的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8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元/立方</w:t>
            </w:r>
            <w:r>
              <w:rPr>
                <w:rFonts w:hint="eastAsia" w:ascii="宋体" w:hAnsi="宋体" w:cs="宋体"/>
                <w:i w:val="0"/>
                <w:iCs w:val="0"/>
                <w:color w:val="000000"/>
                <w:kern w:val="0"/>
                <w:sz w:val="24"/>
                <w:szCs w:val="24"/>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4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0.1428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1A25">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0.0207</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680D">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0.0407</w:t>
            </w:r>
          </w:p>
        </w:tc>
        <w:tc>
          <w:tcPr>
            <w:tcW w:w="6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38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超过部分按规定价格标准的1.5倍执行；</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25414">
            <w:pPr>
              <w:jc w:val="center"/>
              <w:rPr>
                <w:rFonts w:hint="eastAsia" w:ascii="宋体" w:hAnsi="宋体" w:eastAsia="宋体" w:cs="宋体"/>
                <w:i w:val="0"/>
                <w:iCs w:val="0"/>
                <w:color w:val="000000"/>
                <w:sz w:val="24"/>
                <w:szCs w:val="24"/>
                <w:u w:val="none"/>
              </w:rPr>
            </w:pPr>
          </w:p>
        </w:tc>
      </w:tr>
      <w:tr w14:paraId="3141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79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超定额50%不足1倍（含1倍）的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E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元/立方</w:t>
            </w:r>
            <w:r>
              <w:rPr>
                <w:rFonts w:hint="eastAsia" w:ascii="宋体" w:hAnsi="宋体" w:cs="宋体"/>
                <w:i w:val="0"/>
                <w:iCs w:val="0"/>
                <w:color w:val="000000"/>
                <w:kern w:val="0"/>
                <w:sz w:val="24"/>
                <w:szCs w:val="24"/>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E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0.1904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9286">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0.0207</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FD67">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0.0407</w:t>
            </w:r>
          </w:p>
        </w:tc>
        <w:tc>
          <w:tcPr>
            <w:tcW w:w="6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39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超过部分按照定价格标准的2倍执行；</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64369">
            <w:pPr>
              <w:jc w:val="center"/>
              <w:rPr>
                <w:rFonts w:hint="eastAsia" w:ascii="宋体" w:hAnsi="宋体" w:eastAsia="宋体" w:cs="宋体"/>
                <w:i w:val="0"/>
                <w:iCs w:val="0"/>
                <w:color w:val="000000"/>
                <w:sz w:val="24"/>
                <w:szCs w:val="24"/>
                <w:u w:val="none"/>
              </w:rPr>
            </w:pPr>
          </w:p>
        </w:tc>
      </w:tr>
      <w:tr w14:paraId="0F16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2A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超过定额1倍以上的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3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元/立方</w:t>
            </w:r>
            <w:r>
              <w:rPr>
                <w:rFonts w:hint="eastAsia" w:ascii="宋体" w:hAnsi="宋体" w:cs="宋体"/>
                <w:i w:val="0"/>
                <w:iCs w:val="0"/>
                <w:color w:val="000000"/>
                <w:kern w:val="0"/>
                <w:sz w:val="24"/>
                <w:szCs w:val="24"/>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1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0.2380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E911">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0.0207</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C3D5">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0.0407</w:t>
            </w:r>
          </w:p>
        </w:tc>
        <w:tc>
          <w:tcPr>
            <w:tcW w:w="6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57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超过部分按规定价格标准的2.5倍执行。</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883AE">
            <w:pPr>
              <w:jc w:val="center"/>
              <w:rPr>
                <w:rFonts w:hint="eastAsia" w:ascii="宋体" w:hAnsi="宋体" w:eastAsia="宋体" w:cs="宋体"/>
                <w:i w:val="0"/>
                <w:iCs w:val="0"/>
                <w:color w:val="000000"/>
                <w:sz w:val="24"/>
                <w:szCs w:val="24"/>
                <w:u w:val="none"/>
              </w:rPr>
            </w:pPr>
          </w:p>
        </w:tc>
      </w:tr>
      <w:tr w14:paraId="1A25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A04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2、经济作物用水</w:t>
            </w:r>
            <w:r>
              <w:rPr>
                <w:rFonts w:hint="eastAsia" w:ascii="宋体" w:hAnsi="宋体" w:cs="宋体"/>
                <w:b/>
                <w:bCs/>
                <w:i w:val="0"/>
                <w:iCs w:val="0"/>
                <w:color w:val="000000"/>
                <w:kern w:val="0"/>
                <w:sz w:val="24"/>
                <w:szCs w:val="24"/>
                <w:u w:val="none"/>
                <w:lang w:val="en-US" w:eastAsia="zh-CN" w:bidi="ar"/>
              </w:rPr>
              <w:t>及</w:t>
            </w:r>
            <w:r>
              <w:rPr>
                <w:rFonts w:hint="eastAsia" w:ascii="宋体" w:hAnsi="宋体" w:eastAsia="宋体" w:cs="宋体"/>
                <w:b/>
                <w:bCs/>
                <w:i w:val="0"/>
                <w:iCs w:val="0"/>
                <w:color w:val="000000"/>
                <w:kern w:val="0"/>
                <w:sz w:val="24"/>
                <w:szCs w:val="24"/>
                <w:u w:val="none"/>
                <w:lang w:val="en-US" w:eastAsia="zh-CN" w:bidi="ar"/>
              </w:rPr>
              <w:t>水产养殖用水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D709">
            <w:pPr>
              <w:jc w:val="center"/>
              <w:rPr>
                <w:rFonts w:hint="eastAsia" w:ascii="宋体" w:hAnsi="宋体" w:eastAsia="宋体" w:cs="宋体"/>
                <w:i w:val="0"/>
                <w:iCs w:val="0"/>
                <w:color w:val="000000"/>
                <w:sz w:val="24"/>
                <w:szCs w:val="24"/>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0129">
            <w:pPr>
              <w:jc w:val="center"/>
              <w:rPr>
                <w:rFonts w:hint="eastAsia" w:ascii="宋体" w:hAnsi="宋体" w:eastAsia="宋体" w:cs="宋体"/>
                <w:i w:val="0"/>
                <w:iCs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43B5">
            <w:pPr>
              <w:jc w:val="center"/>
              <w:rPr>
                <w:rFonts w:hint="eastAsia" w:ascii="宋体" w:hAnsi="宋体" w:eastAsia="宋体" w:cs="宋体"/>
                <w:i w:val="0"/>
                <w:iCs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89A7">
            <w:pPr>
              <w:jc w:val="center"/>
              <w:rPr>
                <w:rFonts w:hint="eastAsia" w:ascii="宋体" w:hAnsi="宋体" w:eastAsia="宋体" w:cs="宋体"/>
                <w:i w:val="0"/>
                <w:iCs w:val="0"/>
                <w:color w:val="000000"/>
                <w:sz w:val="24"/>
                <w:szCs w:val="24"/>
                <w:u w:val="none"/>
              </w:rPr>
            </w:pPr>
          </w:p>
        </w:tc>
        <w:tc>
          <w:tcPr>
            <w:tcW w:w="6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DB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包括；棉花、油料、瓜果、经济林等经济作物</w:t>
            </w:r>
            <w:r>
              <w:rPr>
                <w:rFonts w:hint="eastAsia" w:ascii="宋体" w:hAnsi="宋体" w:cs="宋体"/>
                <w:i w:val="0"/>
                <w:iCs w:val="0"/>
                <w:color w:val="000000"/>
                <w:kern w:val="0"/>
                <w:sz w:val="24"/>
                <w:szCs w:val="24"/>
                <w:u w:val="none"/>
                <w:lang w:val="en-US" w:eastAsia="zh-CN" w:bidi="ar"/>
              </w:rPr>
              <w:t>及内陆养殖</w:t>
            </w:r>
            <w:r>
              <w:rPr>
                <w:rFonts w:hint="eastAsia" w:ascii="宋体" w:hAnsi="宋体" w:eastAsia="宋体" w:cs="宋体"/>
                <w:i w:val="0"/>
                <w:iCs w:val="0"/>
                <w:color w:val="000000"/>
                <w:kern w:val="0"/>
                <w:sz w:val="24"/>
                <w:szCs w:val="24"/>
                <w:u w:val="none"/>
                <w:lang w:val="en-US" w:eastAsia="zh-CN" w:bidi="ar"/>
              </w:rPr>
              <w:t>。</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D3EBC">
            <w:pPr>
              <w:jc w:val="center"/>
              <w:rPr>
                <w:rFonts w:hint="eastAsia" w:ascii="宋体" w:hAnsi="宋体" w:eastAsia="宋体" w:cs="宋体"/>
                <w:i w:val="0"/>
                <w:iCs w:val="0"/>
                <w:color w:val="000000"/>
                <w:sz w:val="24"/>
                <w:szCs w:val="24"/>
                <w:u w:val="none"/>
              </w:rPr>
            </w:pPr>
          </w:p>
        </w:tc>
      </w:tr>
      <w:tr w14:paraId="4D22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D9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定额用水量内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B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元/立方</w:t>
            </w:r>
            <w:r>
              <w:rPr>
                <w:rFonts w:hint="eastAsia" w:ascii="宋体" w:hAnsi="宋体" w:cs="宋体"/>
                <w:i w:val="0"/>
                <w:iCs w:val="0"/>
                <w:color w:val="000000"/>
                <w:kern w:val="0"/>
                <w:sz w:val="24"/>
                <w:szCs w:val="24"/>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8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r>
              <w:rPr>
                <w:rFonts w:hint="eastAsia" w:ascii="宋体" w:hAnsi="宋体" w:cs="宋体"/>
                <w:i w:val="0"/>
                <w:iCs w:val="0"/>
                <w:color w:val="000000"/>
                <w:kern w:val="0"/>
                <w:sz w:val="24"/>
                <w:szCs w:val="24"/>
                <w:u w:val="none"/>
                <w:lang w:val="en-US" w:eastAsia="zh-CN" w:bidi="ar"/>
              </w:rPr>
              <w:t>142</w:t>
            </w:r>
            <w:r>
              <w:rPr>
                <w:rFonts w:hint="eastAsia" w:ascii="宋体" w:hAnsi="宋体" w:eastAsia="宋体" w:cs="宋体"/>
                <w:i w:val="0"/>
                <w:iCs w:val="0"/>
                <w:color w:val="000000"/>
                <w:kern w:val="0"/>
                <w:sz w:val="24"/>
                <w:szCs w:val="24"/>
                <w:u w:val="none"/>
                <w:lang w:val="en-US" w:eastAsia="zh-CN" w:bidi="ar"/>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20A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0.0207</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209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0.0407</w:t>
            </w:r>
          </w:p>
        </w:tc>
        <w:tc>
          <w:tcPr>
            <w:tcW w:w="6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9A48">
            <w:pP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3421F">
            <w:pPr>
              <w:jc w:val="center"/>
              <w:rPr>
                <w:rFonts w:hint="eastAsia" w:ascii="宋体" w:hAnsi="宋体" w:eastAsia="宋体" w:cs="宋体"/>
                <w:i w:val="0"/>
                <w:iCs w:val="0"/>
                <w:color w:val="000000"/>
                <w:sz w:val="24"/>
                <w:szCs w:val="24"/>
                <w:u w:val="none"/>
              </w:rPr>
            </w:pPr>
          </w:p>
        </w:tc>
      </w:tr>
      <w:tr w14:paraId="044A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18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超过定额不足50%（含50%）以内的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C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元/立方</w:t>
            </w:r>
            <w:r>
              <w:rPr>
                <w:rFonts w:hint="eastAsia" w:ascii="宋体" w:hAnsi="宋体" w:cs="宋体"/>
                <w:i w:val="0"/>
                <w:iCs w:val="0"/>
                <w:color w:val="000000"/>
                <w:kern w:val="0"/>
                <w:sz w:val="24"/>
                <w:szCs w:val="24"/>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2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r>
              <w:rPr>
                <w:rFonts w:hint="eastAsia" w:ascii="宋体" w:hAnsi="宋体" w:cs="宋体"/>
                <w:i w:val="0"/>
                <w:iCs w:val="0"/>
                <w:color w:val="000000"/>
                <w:kern w:val="0"/>
                <w:sz w:val="24"/>
                <w:szCs w:val="24"/>
                <w:u w:val="none"/>
                <w:lang w:val="en-US" w:eastAsia="zh-CN" w:bidi="ar"/>
              </w:rPr>
              <w:t>713</w:t>
            </w:r>
            <w:r>
              <w:rPr>
                <w:rFonts w:hint="eastAsia" w:ascii="宋体" w:hAnsi="宋体" w:eastAsia="宋体" w:cs="宋体"/>
                <w:i w:val="0"/>
                <w:iCs w:val="0"/>
                <w:color w:val="000000"/>
                <w:kern w:val="0"/>
                <w:sz w:val="24"/>
                <w:szCs w:val="24"/>
                <w:u w:val="none"/>
                <w:lang w:val="en-US" w:eastAsia="zh-CN" w:bidi="ar"/>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1D88">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0.0207</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250">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0.0407</w:t>
            </w:r>
          </w:p>
        </w:tc>
        <w:tc>
          <w:tcPr>
            <w:tcW w:w="6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BD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超过部分按规定价格标准的1.5倍执行；</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92F1B">
            <w:pPr>
              <w:jc w:val="center"/>
              <w:rPr>
                <w:rFonts w:hint="eastAsia" w:ascii="宋体" w:hAnsi="宋体" w:eastAsia="宋体" w:cs="宋体"/>
                <w:i w:val="0"/>
                <w:iCs w:val="0"/>
                <w:color w:val="000000"/>
                <w:sz w:val="24"/>
                <w:szCs w:val="24"/>
                <w:u w:val="none"/>
              </w:rPr>
            </w:pPr>
          </w:p>
        </w:tc>
      </w:tr>
      <w:tr w14:paraId="0A18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E0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超定额50%不足1倍（含1倍）的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8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元/立方</w:t>
            </w:r>
            <w:r>
              <w:rPr>
                <w:rFonts w:hint="eastAsia" w:ascii="宋体" w:hAnsi="宋体" w:cs="宋体"/>
                <w:i w:val="0"/>
                <w:iCs w:val="0"/>
                <w:color w:val="000000"/>
                <w:kern w:val="0"/>
                <w:sz w:val="24"/>
                <w:szCs w:val="24"/>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1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2284</w:t>
            </w:r>
            <w:r>
              <w:rPr>
                <w:rFonts w:hint="eastAsia" w:ascii="宋体" w:hAnsi="宋体" w:eastAsia="宋体" w:cs="宋体"/>
                <w:i w:val="0"/>
                <w:iCs w:val="0"/>
                <w:color w:val="000000"/>
                <w:kern w:val="0"/>
                <w:sz w:val="24"/>
                <w:szCs w:val="24"/>
                <w:u w:val="none"/>
                <w:lang w:val="en-US" w:eastAsia="zh-CN" w:bidi="ar"/>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195E">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0.0207</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05B0">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0.0407</w:t>
            </w:r>
          </w:p>
        </w:tc>
        <w:tc>
          <w:tcPr>
            <w:tcW w:w="6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53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超过部分按照定价格标准的2倍执行；</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D8F63">
            <w:pPr>
              <w:jc w:val="center"/>
              <w:rPr>
                <w:rFonts w:hint="eastAsia" w:ascii="宋体" w:hAnsi="宋体" w:eastAsia="宋体" w:cs="宋体"/>
                <w:i w:val="0"/>
                <w:iCs w:val="0"/>
                <w:color w:val="000000"/>
                <w:sz w:val="24"/>
                <w:szCs w:val="24"/>
                <w:u w:val="none"/>
              </w:rPr>
            </w:pPr>
          </w:p>
        </w:tc>
      </w:tr>
      <w:tr w14:paraId="4661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20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超过定额1倍以上的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E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元/立方</w:t>
            </w:r>
            <w:r>
              <w:rPr>
                <w:rFonts w:hint="eastAsia" w:ascii="宋体" w:hAnsi="宋体" w:cs="宋体"/>
                <w:i w:val="0"/>
                <w:iCs w:val="0"/>
                <w:color w:val="000000"/>
                <w:kern w:val="0"/>
                <w:sz w:val="24"/>
                <w:szCs w:val="24"/>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F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2855</w:t>
            </w:r>
            <w:r>
              <w:rPr>
                <w:rFonts w:hint="eastAsia" w:ascii="宋体" w:hAnsi="宋体" w:eastAsia="宋体" w:cs="宋体"/>
                <w:i w:val="0"/>
                <w:iCs w:val="0"/>
                <w:color w:val="000000"/>
                <w:kern w:val="0"/>
                <w:sz w:val="24"/>
                <w:szCs w:val="24"/>
                <w:u w:val="none"/>
                <w:lang w:val="en-US" w:eastAsia="zh-CN" w:bidi="ar"/>
              </w:rPr>
              <w:t xml:space="preserve">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724A">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0.0207</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4FF0">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0.0407</w:t>
            </w:r>
          </w:p>
        </w:tc>
        <w:tc>
          <w:tcPr>
            <w:tcW w:w="6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D6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超过部分按规定价格标准的2.5倍执行。</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DB880">
            <w:pPr>
              <w:jc w:val="center"/>
              <w:rPr>
                <w:rFonts w:hint="eastAsia" w:ascii="宋体" w:hAnsi="宋体" w:eastAsia="宋体" w:cs="宋体"/>
                <w:i w:val="0"/>
                <w:iCs w:val="0"/>
                <w:color w:val="000000"/>
                <w:sz w:val="24"/>
                <w:szCs w:val="24"/>
                <w:u w:val="none"/>
              </w:rPr>
            </w:pPr>
          </w:p>
        </w:tc>
      </w:tr>
      <w:tr w14:paraId="76F8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14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D21B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注：</w:t>
            </w:r>
            <w:r>
              <w:rPr>
                <w:rFonts w:hint="eastAsia" w:ascii="宋体" w:hAnsi="宋体" w:eastAsia="宋体" w:cs="宋体"/>
                <w:i w:val="0"/>
                <w:iCs w:val="0"/>
                <w:color w:val="000000"/>
                <w:sz w:val="24"/>
                <w:szCs w:val="24"/>
                <w:u w:val="none"/>
                <w:lang w:val="en-US" w:eastAsia="zh-CN"/>
              </w:rPr>
              <w:t>1</w:t>
            </w:r>
            <w:r>
              <w:rPr>
                <w:rFonts w:hint="eastAsia" w:ascii="宋体" w:hAnsi="宋体" w:eastAsia="宋体" w:cs="宋体"/>
                <w:i w:val="0"/>
                <w:iCs w:val="0"/>
                <w:color w:val="000000"/>
                <w:sz w:val="24"/>
                <w:szCs w:val="24"/>
                <w:u w:val="none"/>
              </w:rPr>
              <w:t>、水利工程供水实行按量计价，以产权分界点或交水断面的计量售水量作为计价点售水量。</w:t>
            </w:r>
            <w:r>
              <w:rPr>
                <w:rFonts w:hint="eastAsia" w:ascii="宋体" w:hAnsi="宋体" w:eastAsia="宋体" w:cs="宋体"/>
                <w:i w:val="0"/>
                <w:iCs w:val="0"/>
                <w:color w:val="000000"/>
                <w:sz w:val="24"/>
                <w:szCs w:val="24"/>
                <w:u w:val="none"/>
                <w:lang w:val="en-US" w:eastAsia="zh-CN"/>
              </w:rPr>
              <w:t>2</w:t>
            </w:r>
            <w:r>
              <w:rPr>
                <w:rFonts w:hint="eastAsia" w:ascii="宋体" w:hAnsi="宋体" w:eastAsia="宋体" w:cs="宋体"/>
                <w:i w:val="0"/>
                <w:iCs w:val="0"/>
                <w:color w:val="000000"/>
                <w:sz w:val="24"/>
                <w:szCs w:val="24"/>
                <w:u w:val="none"/>
              </w:rPr>
              <w:t>、除向水力发电、生态用水、城乡供水企业供水以外，水利工程向终端用水户直接供水的，应当实行定额管理，超定额用水实行累进加价。</w:t>
            </w:r>
            <w:r>
              <w:rPr>
                <w:rFonts w:hint="eastAsia" w:ascii="宋体" w:hAnsi="宋体" w:eastAsia="宋体" w:cs="宋体"/>
                <w:i w:val="0"/>
                <w:iCs w:val="0"/>
                <w:color w:val="000000"/>
                <w:sz w:val="24"/>
                <w:szCs w:val="24"/>
                <w:u w:val="none"/>
                <w:lang w:val="en-US" w:eastAsia="zh-CN"/>
              </w:rPr>
              <w:t>3</w:t>
            </w:r>
            <w:r>
              <w:rPr>
                <w:rFonts w:hint="eastAsia" w:ascii="宋体" w:hAnsi="宋体" w:eastAsia="宋体" w:cs="宋体"/>
                <w:i w:val="0"/>
                <w:iCs w:val="0"/>
                <w:color w:val="000000"/>
                <w:sz w:val="24"/>
                <w:szCs w:val="24"/>
                <w:u w:val="none"/>
              </w:rPr>
              <w:t>、生态用水价格由供需双方协商确定。</w:t>
            </w:r>
            <w:r>
              <w:rPr>
                <w:rFonts w:hint="eastAsia" w:ascii="宋体" w:hAnsi="宋体" w:eastAsia="宋体" w:cs="宋体"/>
                <w:i w:val="0"/>
                <w:iCs w:val="0"/>
                <w:color w:val="000000"/>
                <w:sz w:val="24"/>
                <w:szCs w:val="24"/>
                <w:u w:val="none"/>
                <w:lang w:val="en-US" w:eastAsia="zh-CN"/>
              </w:rPr>
              <w:t>4</w:t>
            </w:r>
            <w:r>
              <w:rPr>
                <w:rFonts w:hint="eastAsia" w:ascii="宋体" w:hAnsi="宋体" w:eastAsia="宋体" w:cs="宋体"/>
                <w:i w:val="0"/>
                <w:iCs w:val="0"/>
                <w:color w:val="000000"/>
                <w:sz w:val="24"/>
                <w:szCs w:val="24"/>
                <w:u w:val="none"/>
              </w:rPr>
              <w:t>、本县农业用水定额出台后，适用本县的，</w:t>
            </w:r>
            <w:r>
              <w:rPr>
                <w:rFonts w:hint="eastAsia" w:ascii="宋体" w:hAnsi="宋体" w:eastAsia="宋体" w:cs="宋体"/>
                <w:i w:val="0"/>
                <w:iCs w:val="0"/>
                <w:color w:val="000000"/>
                <w:sz w:val="24"/>
                <w:szCs w:val="24"/>
                <w:u w:val="none"/>
                <w:lang w:eastAsia="zh-CN"/>
              </w:rPr>
              <w:t>若</w:t>
            </w:r>
            <w:r>
              <w:rPr>
                <w:rFonts w:hint="eastAsia" w:ascii="宋体" w:hAnsi="宋体" w:eastAsia="宋体" w:cs="宋体"/>
                <w:i w:val="0"/>
                <w:iCs w:val="0"/>
                <w:color w:val="000000"/>
                <w:sz w:val="24"/>
                <w:szCs w:val="24"/>
                <w:u w:val="none"/>
              </w:rPr>
              <w:t>未出台参考《新疆维吾尔自治区农业用水定额》（</w:t>
            </w:r>
            <w:r>
              <w:rPr>
                <w:rFonts w:hint="eastAsia" w:ascii="宋体" w:hAnsi="宋体" w:eastAsia="宋体" w:cs="宋体"/>
                <w:i w:val="0"/>
                <w:iCs w:val="0"/>
                <w:color w:val="000000"/>
                <w:sz w:val="24"/>
                <w:szCs w:val="24"/>
                <w:u w:val="none"/>
                <w:lang w:eastAsia="zh-CN"/>
              </w:rPr>
              <w:t>新水厅</w:t>
            </w:r>
            <w:r>
              <w:rPr>
                <w:rFonts w:hint="eastAsia" w:ascii="宋体" w:hAnsi="宋体" w:eastAsia="宋体" w:cs="宋体"/>
                <w:i w:val="0"/>
                <w:iCs w:val="0"/>
                <w:color w:val="000000"/>
                <w:sz w:val="24"/>
                <w:szCs w:val="24"/>
                <w:u w:val="none"/>
              </w:rPr>
              <w:t>〔2023〕67号）要求</w:t>
            </w:r>
            <w:r>
              <w:rPr>
                <w:rFonts w:hint="default" w:ascii="宋体" w:hAnsi="宋体" w:cs="宋体"/>
                <w:i w:val="0"/>
                <w:iCs w:val="0"/>
                <w:color w:val="000000"/>
                <w:sz w:val="24"/>
                <w:szCs w:val="24"/>
                <w:u w:val="none"/>
                <w:lang w:eastAsia="zh-CN"/>
              </w:rPr>
              <w:t>执行</w:t>
            </w:r>
            <w:r>
              <w:rPr>
                <w:rFonts w:hint="eastAsia" w:ascii="宋体" w:hAnsi="宋体" w:eastAsia="宋体" w:cs="宋体"/>
                <w:i w:val="0"/>
                <w:iCs w:val="0"/>
                <w:color w:val="000000"/>
                <w:sz w:val="24"/>
                <w:szCs w:val="24"/>
                <w:u w:val="none"/>
              </w:rPr>
              <w:t>。</w:t>
            </w:r>
          </w:p>
        </w:tc>
      </w:tr>
    </w:tbl>
    <w:p w14:paraId="7B19E160">
      <w:pPr>
        <w:rPr>
          <w:rFonts w:hint="eastAsia" w:ascii="方正小标宋简体" w:hAnsi="方正小标宋简体" w:eastAsia="方正小标宋简体" w:cs="方正小标宋简体"/>
          <w:i w:val="0"/>
          <w:caps w:val="0"/>
          <w:color w:val="000000" w:themeColor="text1"/>
          <w:spacing w:val="0"/>
          <w:sz w:val="44"/>
          <w:szCs w:val="44"/>
          <w:highlight w:val="none"/>
          <w:shd w:val="clear" w:fill="FFFFFF"/>
          <w:lang w:eastAsia="zh-CN"/>
          <w14:textFill>
            <w14:solidFill>
              <w14:schemeClr w14:val="tx1"/>
            </w14:solidFill>
          </w14:textFill>
        </w:rPr>
        <w:sectPr>
          <w:pgSz w:w="16838" w:h="11906" w:orient="landscape"/>
          <w:pgMar w:top="567" w:right="794" w:bottom="567" w:left="850" w:header="851" w:footer="1701" w:gutter="0"/>
          <w:pgNumType w:fmt="decimal"/>
          <w:cols w:space="425" w:num="1"/>
          <w:docGrid w:type="lines" w:linePitch="312" w:charSpace="0"/>
        </w:sectPr>
      </w:pPr>
    </w:p>
    <w:p w14:paraId="39D60717">
      <w:pPr>
        <w:rPr>
          <w:rFonts w:hint="eastAsia" w:ascii="方正小标宋简体" w:hAnsi="方正小标宋简体" w:eastAsia="方正小标宋简体" w:cs="方正小标宋简体"/>
          <w:i w:val="0"/>
          <w:caps w:val="0"/>
          <w:color w:val="000000" w:themeColor="text1"/>
          <w:spacing w:val="0"/>
          <w:sz w:val="44"/>
          <w:szCs w:val="44"/>
          <w:highlight w:val="none"/>
          <w:shd w:val="clear" w:fill="FFFFFF"/>
          <w:lang w:eastAsia="zh-CN"/>
          <w14:textFill>
            <w14:solidFill>
              <w14:schemeClr w14:val="tx1"/>
            </w14:solidFill>
          </w14:textFill>
        </w:rPr>
      </w:pPr>
    </w:p>
    <w:p w14:paraId="2392D717">
      <w:pPr>
        <w:rPr>
          <w:rFonts w:hint="eastAsia" w:ascii="方正小标宋简体" w:hAnsi="方正小标宋简体" w:eastAsia="方正小标宋简体" w:cs="方正小标宋简体"/>
          <w:i w:val="0"/>
          <w:caps w:val="0"/>
          <w:color w:val="000000" w:themeColor="text1"/>
          <w:spacing w:val="0"/>
          <w:sz w:val="44"/>
          <w:szCs w:val="44"/>
          <w:highlight w:val="none"/>
          <w:shd w:val="clear" w:fill="FFFFFF"/>
          <w:lang w:eastAsia="zh-CN"/>
          <w14:textFill>
            <w14:solidFill>
              <w14:schemeClr w14:val="tx1"/>
            </w14:solidFill>
          </w14:textFill>
        </w:rPr>
      </w:pPr>
    </w:p>
    <w:p w14:paraId="3429D768">
      <w:pPr>
        <w:rPr>
          <w:rFonts w:hint="eastAsia" w:ascii="方正小标宋简体" w:hAnsi="方正小标宋简体" w:eastAsia="方正小标宋简体" w:cs="方正小标宋简体"/>
          <w:i w:val="0"/>
          <w:caps w:val="0"/>
          <w:color w:val="000000" w:themeColor="text1"/>
          <w:spacing w:val="0"/>
          <w:sz w:val="44"/>
          <w:szCs w:val="44"/>
          <w:highlight w:val="none"/>
          <w:shd w:val="clear" w:fill="FFFFFF"/>
          <w:lang w:eastAsia="zh-CN"/>
          <w14:textFill>
            <w14:solidFill>
              <w14:schemeClr w14:val="tx1"/>
            </w14:solidFill>
          </w14:textFill>
        </w:rPr>
      </w:pPr>
    </w:p>
    <w:p w14:paraId="4A285407">
      <w:pPr>
        <w:rPr>
          <w:rFonts w:hint="eastAsia" w:ascii="方正小标宋简体" w:hAnsi="方正小标宋简体" w:eastAsia="方正小标宋简体" w:cs="方正小标宋简体"/>
          <w:i w:val="0"/>
          <w:caps w:val="0"/>
          <w:color w:val="000000" w:themeColor="text1"/>
          <w:spacing w:val="0"/>
          <w:sz w:val="44"/>
          <w:szCs w:val="44"/>
          <w:highlight w:val="none"/>
          <w:shd w:val="clear" w:fill="FFFFFF"/>
          <w:lang w:eastAsia="zh-CN"/>
          <w14:textFill>
            <w14:solidFill>
              <w14:schemeClr w14:val="tx1"/>
            </w14:solidFill>
          </w14:textFill>
        </w:rPr>
      </w:pPr>
    </w:p>
    <w:sectPr>
      <w:pgSz w:w="11906" w:h="16838"/>
      <w:pgMar w:top="2098" w:right="1531" w:bottom="2098" w:left="1531" w:header="851"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754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13692">
                          <w:pPr>
                            <w:pStyle w:val="9"/>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513692">
                    <w:pPr>
                      <w:pStyle w:val="9"/>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B5BBD"/>
    <w:rsid w:val="015772A4"/>
    <w:rsid w:val="01805469"/>
    <w:rsid w:val="02F93399"/>
    <w:rsid w:val="035960BC"/>
    <w:rsid w:val="03D254E1"/>
    <w:rsid w:val="03DF3005"/>
    <w:rsid w:val="0428220C"/>
    <w:rsid w:val="046C3B0D"/>
    <w:rsid w:val="04F05C4F"/>
    <w:rsid w:val="055A53F6"/>
    <w:rsid w:val="05796ED2"/>
    <w:rsid w:val="078B414B"/>
    <w:rsid w:val="07A904D6"/>
    <w:rsid w:val="08CC3D1D"/>
    <w:rsid w:val="09687854"/>
    <w:rsid w:val="0A2F26A3"/>
    <w:rsid w:val="0A4A3278"/>
    <w:rsid w:val="0D154302"/>
    <w:rsid w:val="0D6254A3"/>
    <w:rsid w:val="0D6F2DE7"/>
    <w:rsid w:val="0F954E0D"/>
    <w:rsid w:val="10134CDE"/>
    <w:rsid w:val="11275912"/>
    <w:rsid w:val="11D9336A"/>
    <w:rsid w:val="12A066D7"/>
    <w:rsid w:val="13800064"/>
    <w:rsid w:val="14766EFE"/>
    <w:rsid w:val="1588545C"/>
    <w:rsid w:val="15E16C7B"/>
    <w:rsid w:val="16DC468E"/>
    <w:rsid w:val="183D0B4A"/>
    <w:rsid w:val="1B1B2104"/>
    <w:rsid w:val="1C361C1C"/>
    <w:rsid w:val="1C6C5C1A"/>
    <w:rsid w:val="1C7E1A1D"/>
    <w:rsid w:val="1C82698E"/>
    <w:rsid w:val="1C8F684B"/>
    <w:rsid w:val="1C946BB8"/>
    <w:rsid w:val="1CF665ED"/>
    <w:rsid w:val="1D6B074B"/>
    <w:rsid w:val="1DB47313"/>
    <w:rsid w:val="1E685B38"/>
    <w:rsid w:val="1E815F91"/>
    <w:rsid w:val="1EDB71D8"/>
    <w:rsid w:val="1F3D20BF"/>
    <w:rsid w:val="20B62C5B"/>
    <w:rsid w:val="20DC4029"/>
    <w:rsid w:val="22235689"/>
    <w:rsid w:val="22ED4455"/>
    <w:rsid w:val="23174ABA"/>
    <w:rsid w:val="23885E87"/>
    <w:rsid w:val="26E87362"/>
    <w:rsid w:val="272D1909"/>
    <w:rsid w:val="29BC4B0E"/>
    <w:rsid w:val="2B1E71B6"/>
    <w:rsid w:val="2B370E6C"/>
    <w:rsid w:val="2B5E1825"/>
    <w:rsid w:val="2CFC5DE5"/>
    <w:rsid w:val="2CFD02C3"/>
    <w:rsid w:val="2E86327E"/>
    <w:rsid w:val="2F512A34"/>
    <w:rsid w:val="2F946632"/>
    <w:rsid w:val="30A96A66"/>
    <w:rsid w:val="30C92BD1"/>
    <w:rsid w:val="30F728ED"/>
    <w:rsid w:val="31B83553"/>
    <w:rsid w:val="31D46A7E"/>
    <w:rsid w:val="344C0E58"/>
    <w:rsid w:val="35D16432"/>
    <w:rsid w:val="38810760"/>
    <w:rsid w:val="38A82FB5"/>
    <w:rsid w:val="3B49510E"/>
    <w:rsid w:val="3C5D51E5"/>
    <w:rsid w:val="3CB01DEE"/>
    <w:rsid w:val="3DA74758"/>
    <w:rsid w:val="3DB37268"/>
    <w:rsid w:val="3EF160B1"/>
    <w:rsid w:val="3F78292B"/>
    <w:rsid w:val="3F870779"/>
    <w:rsid w:val="3FB156A3"/>
    <w:rsid w:val="40BB5BBD"/>
    <w:rsid w:val="416D2F26"/>
    <w:rsid w:val="41B8286B"/>
    <w:rsid w:val="4284574D"/>
    <w:rsid w:val="432B29D4"/>
    <w:rsid w:val="44ED245E"/>
    <w:rsid w:val="46691ECC"/>
    <w:rsid w:val="47353AD8"/>
    <w:rsid w:val="474074AC"/>
    <w:rsid w:val="47C25CDB"/>
    <w:rsid w:val="48AF26F3"/>
    <w:rsid w:val="48B44744"/>
    <w:rsid w:val="48DF2BF7"/>
    <w:rsid w:val="493F1590"/>
    <w:rsid w:val="49B764FC"/>
    <w:rsid w:val="4C040885"/>
    <w:rsid w:val="4E5341D9"/>
    <w:rsid w:val="4F686E9B"/>
    <w:rsid w:val="50562C3E"/>
    <w:rsid w:val="52957F98"/>
    <w:rsid w:val="52A87C27"/>
    <w:rsid w:val="52B5003D"/>
    <w:rsid w:val="533B1B4E"/>
    <w:rsid w:val="549A1149"/>
    <w:rsid w:val="54D950DA"/>
    <w:rsid w:val="54E83A39"/>
    <w:rsid w:val="55416BBA"/>
    <w:rsid w:val="559D1C76"/>
    <w:rsid w:val="55DE12B0"/>
    <w:rsid w:val="568D7CE3"/>
    <w:rsid w:val="5B40124A"/>
    <w:rsid w:val="5C564D8D"/>
    <w:rsid w:val="5E165B35"/>
    <w:rsid w:val="5F26281D"/>
    <w:rsid w:val="5F7E223B"/>
    <w:rsid w:val="61F72063"/>
    <w:rsid w:val="62F7280D"/>
    <w:rsid w:val="632D7E1D"/>
    <w:rsid w:val="63DF2257"/>
    <w:rsid w:val="63EB4FF7"/>
    <w:rsid w:val="64F02128"/>
    <w:rsid w:val="657E7E46"/>
    <w:rsid w:val="65BC0A5E"/>
    <w:rsid w:val="66E51FC0"/>
    <w:rsid w:val="679E503A"/>
    <w:rsid w:val="67DF5403"/>
    <w:rsid w:val="6A565402"/>
    <w:rsid w:val="6C44291D"/>
    <w:rsid w:val="6CE0318A"/>
    <w:rsid w:val="6E436ACB"/>
    <w:rsid w:val="6E6A4604"/>
    <w:rsid w:val="6EDB5B6B"/>
    <w:rsid w:val="6EF3244E"/>
    <w:rsid w:val="70891607"/>
    <w:rsid w:val="71535E5D"/>
    <w:rsid w:val="76675F6E"/>
    <w:rsid w:val="77CC7E59"/>
    <w:rsid w:val="780D21BF"/>
    <w:rsid w:val="79A054DC"/>
    <w:rsid w:val="7A8C5308"/>
    <w:rsid w:val="7BEE0299"/>
    <w:rsid w:val="7C683570"/>
    <w:rsid w:val="7CD50D7C"/>
    <w:rsid w:val="7D581993"/>
    <w:rsid w:val="7EC43F3A"/>
    <w:rsid w:val="7F0C4773"/>
    <w:rsid w:val="7F6609CF"/>
    <w:rsid w:val="7F996648"/>
    <w:rsid w:val="7FFB2432"/>
    <w:rsid w:val="C3FD962C"/>
    <w:rsid w:val="EA6BE163"/>
    <w:rsid w:val="FFA7A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qFormat/>
    <w:uiPriority w:val="0"/>
    <w:pPr>
      <w:keepNext/>
      <w:keepLines/>
      <w:widowControl w:val="0"/>
      <w:spacing w:before="260" w:after="260" w:line="413" w:lineRule="auto"/>
      <w:jc w:val="both"/>
      <w:outlineLvl w:val="2"/>
    </w:pPr>
    <w:rPr>
      <w:rFonts w:ascii="Calibri" w:hAnsi="Calibri" w:eastAsia="宋体" w:cs="Times New Roman"/>
      <w:b/>
      <w:kern w:val="2"/>
      <w:sz w:val="32"/>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 Spacing"/>
    <w:qFormat/>
    <w:uiPriority w:val="1"/>
    <w:rPr>
      <w:rFonts w:ascii="Times New Roman" w:hAnsi="Times New Roman" w:eastAsia="宋体" w:cs="Times New Roman"/>
      <w:sz w:val="22"/>
      <w:szCs w:val="22"/>
      <w:lang w:val="en-US" w:eastAsia="zh-CN" w:bidi="ar-SA"/>
    </w:rPr>
  </w:style>
  <w:style w:type="paragraph" w:styleId="6">
    <w:name w:val="index 8"/>
    <w:basedOn w:val="1"/>
    <w:next w:val="1"/>
    <w:unhideWhenUsed/>
    <w:qFormat/>
    <w:uiPriority w:val="0"/>
    <w:pPr>
      <w:ind w:left="1400" w:leftChars="1400"/>
    </w:pPr>
    <w:rPr>
      <w:rFonts w:hint="eastAsia"/>
      <w:sz w:val="21"/>
    </w:rPr>
  </w:style>
  <w:style w:type="paragraph" w:styleId="7">
    <w:name w:val="annotation text"/>
    <w:basedOn w:val="1"/>
    <w:qFormat/>
    <w:uiPriority w:val="0"/>
    <w:pPr>
      <w:jc w:val="left"/>
    </w:pPr>
  </w:style>
  <w:style w:type="paragraph" w:styleId="8">
    <w:name w:val="Body Text"/>
    <w:basedOn w:val="1"/>
    <w:next w:val="1"/>
    <w:unhideWhenUsed/>
    <w:qFormat/>
    <w:uiPriority w:val="99"/>
    <w:pPr>
      <w:spacing w:before="100" w:beforeAutospacing="1"/>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paragraph" w:customStyle="1" w:styleId="14">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character" w:customStyle="1" w:styleId="15">
    <w:name w:val="font31"/>
    <w:basedOn w:val="12"/>
    <w:qFormat/>
    <w:uiPriority w:val="0"/>
    <w:rPr>
      <w:rFonts w:hint="eastAsia" w:ascii="宋体" w:hAnsi="宋体" w:eastAsia="宋体" w:cs="宋体"/>
      <w:color w:val="000000"/>
      <w:sz w:val="18"/>
      <w:szCs w:val="18"/>
      <w:u w:val="none"/>
    </w:rPr>
  </w:style>
  <w:style w:type="character" w:customStyle="1" w:styleId="16">
    <w:name w:val="font11"/>
    <w:basedOn w:val="12"/>
    <w:qFormat/>
    <w:uiPriority w:val="0"/>
    <w:rPr>
      <w:rFonts w:ascii="Wingdings" w:hAnsi="Wingdings" w:cs="Wingdings"/>
      <w:color w:val="000000"/>
      <w:sz w:val="18"/>
      <w:szCs w:val="18"/>
      <w:u w:val="none"/>
    </w:rPr>
  </w:style>
  <w:style w:type="paragraph" w:customStyle="1" w:styleId="17">
    <w:name w:val="样式1"/>
    <w:basedOn w:val="6"/>
    <w:qFormat/>
    <w:uiPriority w:val="0"/>
  </w:style>
  <w:style w:type="character" w:customStyle="1" w:styleId="18">
    <w:name w:val="font4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2245</Words>
  <Characters>2468</Characters>
  <Lines>0</Lines>
  <Paragraphs>0</Paragraphs>
  <TotalTime>92</TotalTime>
  <ScaleCrop>false</ScaleCrop>
  <LinksUpToDate>false</LinksUpToDate>
  <CharactersWithSpaces>2533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2023-10-31T05:44:00Z</dcterms:created>
  <dc:creator>Administrator</dc:creator>
  <cp:lastModifiedBy>如果_见或不见</cp:lastModifiedBy>
  <cp:lastPrinted>2025-09-08T04:05:00Z</cp:lastPrinted>
  <dcterms:modified xsi:type="dcterms:W3CDTF">2025-10-09T08:36:33Z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95D978AB629B4CC084E8DDB132A1404A_13</vt:lpwstr>
  </property>
  <property fmtid="{D5CDD505-2E9C-101B-9397-08002B2CF9AE}" pid="4" name="KSOTemplateDocerSaveRecord">
    <vt:lpwstr>eyJoZGlkIjoiMWZhNjI1MTE2MjcwNzhiZTRjMjFkZjExZjVmNjlkZGMiLCJ1c2VySWQiOiIzOTg2MTgwNzQifQ==</vt:lpwstr>
  </property>
</Properties>
</file>