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315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洛浦县图书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馆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</w:t>
      </w:r>
      <w:r>
        <w:rPr>
          <w:rFonts w:hint="eastAsia" w:ascii="黑体" w:hAnsi="黑体" w:eastAsia="黑体" w:cs="黑体"/>
          <w:spacing w:val="-1"/>
          <w:position w:val="11"/>
          <w:sz w:val="34"/>
          <w:szCs w:val="34"/>
          <w:lang w:eastAsia="zh-CN"/>
        </w:rPr>
        <w:t>图书馆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3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3" w:line="220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2" w:line="277" w:lineRule="auto"/>
        <w:ind w:left="13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于洛浦县图书馆2022年收支预算情况的总体说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二、关于洛浦县图书</w:t>
      </w:r>
      <w:r>
        <w:rPr>
          <w:rFonts w:ascii="仿宋" w:hAnsi="仿宋" w:eastAsia="仿宋" w:cs="仿宋"/>
          <w:spacing w:val="-1"/>
          <w:sz w:val="34"/>
          <w:szCs w:val="34"/>
        </w:rPr>
        <w:t>馆2022年收入预算情况说明</w:t>
      </w:r>
    </w:p>
    <w:p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三、关于洛浦县图</w:t>
      </w:r>
      <w:r>
        <w:rPr>
          <w:rFonts w:ascii="仿宋" w:hAnsi="仿宋" w:eastAsia="仿宋" w:cs="仿宋"/>
          <w:spacing w:val="-1"/>
          <w:sz w:val="34"/>
          <w:szCs w:val="34"/>
        </w:rPr>
        <w:t>书馆2022年支出预算情况说明</w:t>
      </w:r>
    </w:p>
    <w:p>
      <w:pPr>
        <w:spacing w:before="102" w:line="277" w:lineRule="auto"/>
        <w:ind w:left="11" w:right="95" w:firstLine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图书馆2022年财政拨款收支预算情况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于洛浦县图书馆2022年一般公共预算当年拨款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、关于洛浦县图书馆2022年一般公共预算基本支出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1" w:line="289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浦县图书馆2022年一般公共预算项目支出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ectPr>
          <w:pgSz w:w="11900" w:h="16840"/>
          <w:pgMar w:top="903" w:right="1785" w:bottom="0" w:left="1750" w:header="0" w:footer="0" w:gutter="0"/>
          <w:cols w:space="720" w:num="1"/>
        </w:sectPr>
      </w:pPr>
    </w:p>
    <w:p>
      <w:pPr>
        <w:spacing w:before="69" w:line="277" w:lineRule="auto"/>
        <w:ind w:left="21" w:right="43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八、关于洛浦县图书馆2022年一般公共预算“</w:t>
      </w:r>
      <w:r>
        <w:rPr>
          <w:rFonts w:ascii="仿宋" w:hAnsi="仿宋" w:eastAsia="仿宋" w:cs="仿宋"/>
          <w:sz w:val="34"/>
          <w:szCs w:val="34"/>
        </w:rPr>
        <w:t xml:space="preserve">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九、关于洛浦县图书馆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4" w:line="221" w:lineRule="auto"/>
        <w:ind w:left="142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</w:t>
      </w:r>
      <w:r>
        <w:rPr>
          <w:rFonts w:ascii="黑体" w:hAnsi="黑体" w:eastAsia="黑体" w:cs="黑体"/>
          <w:spacing w:val="-1"/>
          <w:sz w:val="42"/>
          <w:szCs w:val="42"/>
        </w:rPr>
        <w:t>一部分 洛浦县图书馆单位概况</w:t>
      </w:r>
    </w:p>
    <w:p>
      <w:pPr>
        <w:spacing w:before="276" w:line="222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9" w:line="277" w:lineRule="auto"/>
        <w:ind w:right="65" w:firstLine="6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1、做好图书资料的采集、整理、</w:t>
      </w:r>
      <w:r>
        <w:rPr>
          <w:rFonts w:ascii="仿宋" w:hAnsi="仿宋" w:eastAsia="仿宋" w:cs="仿宋"/>
          <w:spacing w:val="-1"/>
          <w:sz w:val="34"/>
          <w:szCs w:val="34"/>
        </w:rPr>
        <w:t>典藏、复制、推荐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新</w:t>
      </w:r>
      <w:r>
        <w:rPr>
          <w:rFonts w:ascii="仿宋" w:hAnsi="仿宋" w:eastAsia="仿宋" w:cs="仿宋"/>
          <w:spacing w:val="-11"/>
          <w:sz w:val="34"/>
          <w:szCs w:val="34"/>
        </w:rPr>
        <w:t>书和咨询工作；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</w:t>
      </w:r>
      <w:r>
        <w:rPr>
          <w:rFonts w:ascii="仿宋" w:hAnsi="仿宋" w:eastAsia="仿宋" w:cs="仿宋"/>
          <w:spacing w:val="-4"/>
          <w:sz w:val="34"/>
          <w:szCs w:val="34"/>
        </w:rPr>
        <w:t>2、做好读者</w:t>
      </w:r>
      <w:r>
        <w:rPr>
          <w:rFonts w:ascii="仿宋" w:hAnsi="仿宋" w:eastAsia="仿宋" w:cs="仿宋"/>
          <w:spacing w:val="-2"/>
          <w:sz w:val="34"/>
          <w:szCs w:val="34"/>
        </w:rPr>
        <w:t>图书出借工作。经常检查图书的借阅情况。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不断改进工作方法，定期追回超期借</w:t>
      </w:r>
      <w:r>
        <w:rPr>
          <w:rFonts w:ascii="仿宋" w:hAnsi="仿宋" w:eastAsia="仿宋" w:cs="仿宋"/>
          <w:sz w:val="34"/>
          <w:szCs w:val="34"/>
        </w:rPr>
        <w:t xml:space="preserve">书，提高图书流通 </w:t>
      </w:r>
      <w:r>
        <w:rPr>
          <w:rFonts w:ascii="仿宋" w:hAnsi="仿宋" w:eastAsia="仿宋" w:cs="仿宋"/>
          <w:spacing w:val="-12"/>
          <w:sz w:val="34"/>
          <w:szCs w:val="34"/>
        </w:rPr>
        <w:t>率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完善图书馆社会服务功能；</w:t>
      </w:r>
      <w:r>
        <w:rPr>
          <w:rFonts w:ascii="仿宋" w:hAnsi="仿宋" w:eastAsia="仿宋" w:cs="仿宋"/>
          <w:sz w:val="34"/>
          <w:szCs w:val="34"/>
        </w:rPr>
        <w:t xml:space="preserve">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3、进行图书馆专业知识的理论研究</w:t>
      </w:r>
      <w:r>
        <w:rPr>
          <w:rFonts w:ascii="仿宋" w:hAnsi="仿宋" w:eastAsia="仿宋" w:cs="仿宋"/>
          <w:sz w:val="34"/>
          <w:szCs w:val="34"/>
        </w:rPr>
        <w:t xml:space="preserve">，努力创造条件，应 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6"/>
          <w:sz w:val="34"/>
          <w:szCs w:val="34"/>
        </w:rPr>
        <w:t>新</w:t>
      </w:r>
      <w:r>
        <w:rPr>
          <w:rFonts w:ascii="仿宋" w:hAnsi="仿宋" w:eastAsia="仿宋" w:cs="仿宋"/>
          <w:spacing w:val="-4"/>
          <w:sz w:val="34"/>
          <w:szCs w:val="34"/>
        </w:rPr>
        <w:t>的技术手段，争取实现图书馆的现代化；</w:t>
      </w:r>
    </w:p>
    <w:p>
      <w:pPr>
        <w:spacing w:line="220" w:lineRule="auto"/>
        <w:ind w:left="6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5"/>
          <w:sz w:val="34"/>
          <w:szCs w:val="34"/>
        </w:rPr>
        <w:t>、积极开展馆际协作交流活动；</w:t>
      </w:r>
    </w:p>
    <w:p>
      <w:pPr>
        <w:spacing w:before="106" w:line="289" w:lineRule="auto"/>
        <w:ind w:left="26" w:right="65" w:firstLine="6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5、加强图书馆职工队伍的建设，不断提高</w:t>
      </w:r>
      <w:r>
        <w:rPr>
          <w:rFonts w:ascii="仿宋" w:hAnsi="仿宋" w:eastAsia="仿宋" w:cs="仿宋"/>
          <w:sz w:val="34"/>
          <w:szCs w:val="34"/>
        </w:rPr>
        <w:t xml:space="preserve">工作人员 </w:t>
      </w:r>
      <w:r>
        <w:rPr>
          <w:rFonts w:ascii="仿宋" w:hAnsi="仿宋" w:eastAsia="仿宋" w:cs="仿宋"/>
          <w:spacing w:val="-16"/>
          <w:sz w:val="34"/>
          <w:szCs w:val="34"/>
        </w:rPr>
        <w:t>的</w:t>
      </w:r>
      <w:r>
        <w:rPr>
          <w:rFonts w:ascii="仿宋" w:hAnsi="仿宋" w:eastAsia="仿宋" w:cs="仿宋"/>
          <w:spacing w:val="-11"/>
          <w:sz w:val="34"/>
          <w:szCs w:val="34"/>
        </w:rPr>
        <w:t>政治、业务素质；</w:t>
      </w:r>
    </w:p>
    <w:p>
      <w:pPr>
        <w:spacing w:before="154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30" w:right="60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洛浦县图</w:t>
      </w:r>
      <w:r>
        <w:rPr>
          <w:rFonts w:ascii="仿宋" w:hAnsi="仿宋" w:eastAsia="仿宋" w:cs="仿宋"/>
          <w:spacing w:val="-1"/>
          <w:sz w:val="34"/>
          <w:szCs w:val="34"/>
        </w:rPr>
        <w:t>书馆单位无下属预算单位，下设0个处室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分别是：0。</w:t>
      </w:r>
    </w:p>
    <w:p>
      <w:pPr>
        <w:spacing w:before="3" w:line="276" w:lineRule="auto"/>
        <w:ind w:left="31" w:right="98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县图书馆单位编制数6人，实有人数13人，其中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：</w:t>
      </w:r>
      <w:r>
        <w:rPr>
          <w:rFonts w:ascii="仿宋" w:hAnsi="仿宋" w:eastAsia="仿宋" w:cs="仿宋"/>
          <w:spacing w:val="-3"/>
          <w:sz w:val="34"/>
          <w:szCs w:val="34"/>
        </w:rPr>
        <w:t>在职6人，增加0人；退休7人，增加0人；离休0人，增</w:t>
      </w:r>
    </w:p>
    <w:p>
      <w:pPr>
        <w:spacing w:before="2" w:line="226" w:lineRule="auto"/>
        <w:ind w:left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加0人。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位：洛浦县图书馆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位：洛浦县图书馆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146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文化旅游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体育与传媒支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图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书馆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位：洛浦县图书馆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化旅游体育与传媒支出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图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书馆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位：洛浦县图书馆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0" o:spid="_x0000_s1030" o:spt="202" type="#_x0000_t202" style="position:absolute;left:0pt;margin-left:372.1pt;margin-top:2.25pt;height:14pt;width:46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位：洛浦县图书馆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化旅游体育与传媒支出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图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书馆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1" o:spid="_x0000_s1031" o:spt="202" type="#_x0000_t202" style="position:absolute;left:0pt;margin-left:372.1pt;margin-top:2.25pt;height:14pt;width:46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位：洛浦县图书馆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22.7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22.7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20.41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2" o:spid="_x0000_s1032" o:spt="202" type="#_x0000_t202" style="position:absolute;left:0pt;margin-left:372.1pt;margin-top:2.25pt;height:14pt;width:46.1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位：洛浦县图书馆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2"/>
        <w:gridCol w:w="447"/>
        <w:gridCol w:w="447"/>
        <w:gridCol w:w="1607"/>
        <w:gridCol w:w="520"/>
        <w:gridCol w:w="448"/>
        <w:gridCol w:w="447"/>
        <w:gridCol w:w="448"/>
        <w:gridCol w:w="447"/>
        <w:gridCol w:w="447"/>
        <w:gridCol w:w="447"/>
        <w:gridCol w:w="448"/>
        <w:gridCol w:w="447"/>
        <w:gridCol w:w="448"/>
        <w:gridCol w:w="447"/>
        <w:gridCol w:w="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7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6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3" w:right="55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4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5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6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8" w:right="164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文化旅游体育与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传媒支出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化和旅游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07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1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图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书馆</w:t>
            </w: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6" w:lineRule="auto"/>
              <w:ind w:left="49" w:right="75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9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位：洛浦县图书馆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3" o:spid="_x0000_s1033" o:spt="202" type="#_x0000_t202" style="position:absolute;left:0pt;margin-left:372.1pt;margin-top:2.25pt;height:14pt;width:46.1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位：洛浦县图书馆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5" w:lineRule="auto"/>
        <w:rPr>
          <w:rFonts w:ascii="Arial"/>
          <w:sz w:val="21"/>
        </w:rPr>
      </w:pPr>
    </w:p>
    <w:p>
      <w:pPr>
        <w:spacing w:before="65" w:line="205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洛浦县图书馆2022年没有使用</w:t>
      </w:r>
      <w:r>
        <w:rPr>
          <w:rFonts w:ascii="仿宋" w:hAnsi="仿宋" w:eastAsia="仿宋" w:cs="仿宋"/>
          <w:sz w:val="20"/>
          <w:szCs w:val="20"/>
        </w:rPr>
        <w:t xml:space="preserve">政府性基金预算拨款安排的支出，政府性基金预算支出情况表为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3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一、关于洛浦县图书馆2022年收支预算</w:t>
      </w:r>
      <w:r>
        <w:rPr>
          <w:rFonts w:ascii="黑体" w:hAnsi="黑体" w:eastAsia="黑体" w:cs="黑体"/>
          <w:sz w:val="34"/>
          <w:szCs w:val="34"/>
        </w:rPr>
        <w:t>情况的总体说 明</w:t>
      </w:r>
    </w:p>
    <w:p>
      <w:pPr>
        <w:spacing w:before="1" w:line="288" w:lineRule="auto"/>
        <w:ind w:left="6" w:right="95" w:firstLine="480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按照全口径预算的原则，洛浦县图书馆2022年所</w:t>
      </w:r>
      <w:r>
        <w:rPr>
          <w:rFonts w:ascii="仿宋" w:hAnsi="仿宋" w:eastAsia="仿宋" w:cs="仿宋"/>
          <w:sz w:val="34"/>
          <w:szCs w:val="34"/>
        </w:rPr>
        <w:t xml:space="preserve">有收 </w:t>
      </w:r>
      <w:r>
        <w:rPr>
          <w:rFonts w:ascii="仿宋" w:hAnsi="仿宋" w:eastAsia="仿宋" w:cs="仿宋"/>
          <w:spacing w:val="-12"/>
          <w:sz w:val="34"/>
          <w:szCs w:val="34"/>
        </w:rPr>
        <w:t>入和支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均纳入单位预算管理。收支总预算123.6万元</w:t>
      </w:r>
    </w:p>
    <w:p>
      <w:pPr>
        <w:spacing w:before="188"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0"/>
          <w:sz w:val="34"/>
          <w:szCs w:val="34"/>
        </w:rPr>
        <w:t>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10"/>
          <w:sz w:val="34"/>
          <w:szCs w:val="34"/>
        </w:rPr>
        <w:t>预算包括：文化旅游体育与传媒支出等。</w:t>
      </w:r>
    </w:p>
    <w:p>
      <w:pPr>
        <w:spacing w:before="302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二、关于洛浦县图书馆2022年收入预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9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浦县图书馆收入预算123.6万元，其中：一般公共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预算123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6万元，占100.00%，比上年预算增加22.30万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元，增长22.</w:t>
      </w:r>
      <w:r>
        <w:rPr>
          <w:rFonts w:ascii="仿宋" w:hAnsi="仿宋" w:eastAsia="仿宋" w:cs="仿宋"/>
          <w:spacing w:val="-2"/>
          <w:sz w:val="34"/>
          <w:szCs w:val="34"/>
        </w:rPr>
        <w:t>01%，主要原因是单位职工工资福利增加。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489" w:right="68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三、关于洛浦县图书馆2022年支出预算情况</w:t>
      </w:r>
      <w:r>
        <w:rPr>
          <w:rFonts w:ascii="黑体" w:hAnsi="黑体" w:eastAsia="黑体" w:cs="黑体"/>
          <w:sz w:val="34"/>
          <w:szCs w:val="34"/>
        </w:rPr>
        <w:t xml:space="preserve">说明 </w:t>
      </w:r>
      <w:r>
        <w:rPr>
          <w:rFonts w:ascii="仿宋" w:hAnsi="仿宋" w:eastAsia="仿宋" w:cs="仿宋"/>
          <w:spacing w:val="-4"/>
          <w:sz w:val="34"/>
          <w:szCs w:val="34"/>
        </w:rPr>
        <w:t>洛浦县图书馆2022年支出预算123.6万元，其中</w:t>
      </w:r>
      <w:r>
        <w:rPr>
          <w:rFonts w:ascii="仿宋" w:hAnsi="仿宋" w:eastAsia="仿宋" w:cs="仿宋"/>
          <w:spacing w:val="-1"/>
          <w:sz w:val="34"/>
          <w:szCs w:val="34"/>
        </w:rPr>
        <w:t>：</w:t>
      </w:r>
    </w:p>
    <w:p>
      <w:pPr>
        <w:spacing w:before="5" w:line="276" w:lineRule="auto"/>
        <w:ind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121.7万元，占98.46%，比上年预算增加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20.40万元，增长20.14%</w:t>
      </w:r>
      <w:r>
        <w:rPr>
          <w:rFonts w:ascii="仿宋" w:hAnsi="仿宋" w:eastAsia="仿宋" w:cs="仿宋"/>
          <w:sz w:val="34"/>
          <w:szCs w:val="34"/>
        </w:rPr>
        <w:t xml:space="preserve">，主要原因是单位职工工资福 </w:t>
      </w:r>
      <w:r>
        <w:rPr>
          <w:rFonts w:ascii="仿宋" w:hAnsi="仿宋" w:eastAsia="仿宋" w:cs="仿宋"/>
          <w:spacing w:val="-13"/>
          <w:sz w:val="34"/>
          <w:szCs w:val="34"/>
        </w:rPr>
        <w:t>利</w:t>
      </w:r>
      <w:r>
        <w:rPr>
          <w:rFonts w:ascii="仿宋" w:hAnsi="仿宋" w:eastAsia="仿宋" w:cs="仿宋"/>
          <w:spacing w:val="-11"/>
          <w:sz w:val="34"/>
          <w:szCs w:val="34"/>
        </w:rPr>
        <w:t>增加。</w:t>
      </w:r>
    </w:p>
    <w:p>
      <w:pPr>
        <w:spacing w:before="5" w:line="286" w:lineRule="auto"/>
        <w:ind w:left="30" w:right="95" w:firstLine="45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1.9万元，占1.54%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比上年预算增加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1.9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万元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增长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lang w:val="en-US" w:eastAsia="zh-CN"/>
        </w:rPr>
        <w:t>10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0%，主要原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因是2021年预算未将车辆纳入项目支</w:t>
      </w:r>
      <w:r>
        <w:rPr>
          <w:rFonts w:ascii="仿宋" w:hAnsi="仿宋" w:eastAsia="仿宋" w:cs="仿宋"/>
          <w:color w:val="auto"/>
          <w:spacing w:val="-23"/>
          <w:sz w:val="34"/>
          <w:szCs w:val="34"/>
        </w:rPr>
        <w:t>出</w:t>
      </w:r>
      <w:r>
        <w:rPr>
          <w:rFonts w:hint="eastAsia" w:ascii="仿宋" w:hAnsi="仿宋" w:eastAsia="仿宋" w:cs="仿宋"/>
          <w:color w:val="auto"/>
          <w:spacing w:val="-23"/>
          <w:sz w:val="34"/>
          <w:szCs w:val="34"/>
          <w:lang w:eastAsia="zh-CN"/>
        </w:rPr>
        <w:t>。</w:t>
      </w:r>
    </w:p>
    <w:p>
      <w:pPr>
        <w:spacing w:before="145" w:line="277" w:lineRule="auto"/>
        <w:ind w:left="15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四、关于洛浦县图书</w:t>
      </w:r>
      <w:r>
        <w:rPr>
          <w:rFonts w:ascii="黑体" w:hAnsi="黑体" w:eastAsia="黑体" w:cs="黑体"/>
          <w:spacing w:val="-1"/>
          <w:sz w:val="34"/>
          <w:szCs w:val="34"/>
        </w:rPr>
        <w:t>馆2022年财政拨款收支预算情况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022年财政拨款收支总预算123.6万元。</w:t>
      </w:r>
    </w:p>
    <w:p>
      <w:pPr>
        <w:spacing w:before="101" w:line="289" w:lineRule="auto"/>
        <w:ind w:left="5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算包括：一般公共预算123.6万元。</w:t>
      </w:r>
    </w:p>
    <w:p>
      <w:pPr>
        <w:spacing w:before="99" w:line="283" w:lineRule="auto"/>
        <w:ind w:left="9" w:right="65" w:firstLine="485"/>
        <w:rPr>
          <w:rFonts w:ascii="Arial"/>
          <w:sz w:val="21"/>
        </w:rPr>
      </w:pPr>
      <w:r>
        <w:rPr>
          <w:rFonts w:ascii="仿宋" w:hAnsi="仿宋" w:eastAsia="仿宋" w:cs="仿宋"/>
          <w:spacing w:val="-8"/>
          <w:sz w:val="34"/>
          <w:szCs w:val="34"/>
        </w:rPr>
        <w:t>一般公共预算支出包括：文化旅游体育与传媒支</w:t>
      </w:r>
      <w:r>
        <w:rPr>
          <w:rFonts w:ascii="仿宋" w:hAnsi="仿宋" w:eastAsia="仿宋" w:cs="仿宋"/>
          <w:spacing w:val="-6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123.6万元，主要用于主要用于人员经费、本单</w:t>
      </w:r>
      <w:r>
        <w:rPr>
          <w:rFonts w:ascii="仿宋" w:hAnsi="仿宋" w:eastAsia="仿宋" w:cs="仿宋"/>
          <w:sz w:val="34"/>
          <w:szCs w:val="34"/>
        </w:rPr>
        <w:t xml:space="preserve">位日常运 </w:t>
      </w:r>
      <w:r>
        <w:rPr>
          <w:rFonts w:ascii="仿宋" w:hAnsi="仿宋" w:eastAsia="仿宋" w:cs="仿宋"/>
          <w:spacing w:val="-1"/>
          <w:sz w:val="34"/>
          <w:szCs w:val="34"/>
        </w:rPr>
        <w:t>转、项目支出等。社会保障和就业支出及单位职工机</w:t>
      </w:r>
      <w:r>
        <w:rPr>
          <w:rFonts w:ascii="仿宋" w:hAnsi="仿宋" w:eastAsia="仿宋" w:cs="仿宋"/>
          <w:sz w:val="34"/>
          <w:szCs w:val="34"/>
        </w:rPr>
        <w:t xml:space="preserve">关 </w:t>
      </w:r>
      <w:r>
        <w:rPr>
          <w:rFonts w:ascii="仿宋" w:hAnsi="仿宋" w:eastAsia="仿宋" w:cs="仿宋"/>
          <w:spacing w:val="-4"/>
          <w:sz w:val="34"/>
          <w:szCs w:val="34"/>
        </w:rPr>
        <w:t>事业单位养老保险和职业年金支出。</w:t>
      </w:r>
    </w:p>
    <w:p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五、关于洛浦县图书馆2022年一般公共预算当年</w:t>
      </w:r>
      <w:r>
        <w:rPr>
          <w:rFonts w:ascii="黑体" w:hAnsi="黑体" w:eastAsia="黑体" w:cs="黑体"/>
          <w:sz w:val="34"/>
          <w:szCs w:val="34"/>
        </w:rPr>
        <w:t xml:space="preserve">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4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洛浦县图书馆2022年一般公共预算拨款合计123.6</w:t>
      </w:r>
      <w:r>
        <w:rPr>
          <w:rFonts w:ascii="仿宋" w:hAnsi="仿宋" w:eastAsia="仿宋" w:cs="仿宋"/>
          <w:sz w:val="34"/>
          <w:szCs w:val="34"/>
        </w:rPr>
        <w:t xml:space="preserve">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4" w:line="276" w:lineRule="auto"/>
        <w:ind w:left="9" w:right="3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本支出121.7万元，比上年预算增加20.40万元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增长20.1</w:t>
      </w:r>
      <w:r>
        <w:rPr>
          <w:rFonts w:ascii="仿宋" w:hAnsi="仿宋" w:eastAsia="仿宋" w:cs="仿宋"/>
          <w:spacing w:val="-2"/>
          <w:sz w:val="34"/>
          <w:szCs w:val="34"/>
        </w:rPr>
        <w:t>4%。主要原因是：单位职工工资福利增加。</w:t>
      </w:r>
    </w:p>
    <w:p>
      <w:pPr>
        <w:spacing w:before="3" w:line="285" w:lineRule="auto"/>
        <w:ind w:left="9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4"/>
          <w:sz w:val="34"/>
          <w:szCs w:val="34"/>
        </w:rPr>
        <w:t>项</w:t>
      </w:r>
      <w:r>
        <w:rPr>
          <w:rFonts w:ascii="仿宋" w:hAnsi="仿宋" w:eastAsia="仿宋" w:cs="仿宋"/>
          <w:spacing w:val="-16"/>
          <w:sz w:val="34"/>
          <w:szCs w:val="34"/>
        </w:rPr>
        <w:t>目</w:t>
      </w:r>
      <w:r>
        <w:rPr>
          <w:rFonts w:ascii="仿宋" w:hAnsi="仿宋" w:eastAsia="仿宋" w:cs="仿宋"/>
          <w:spacing w:val="-12"/>
          <w:sz w:val="34"/>
          <w:szCs w:val="34"/>
        </w:rPr>
        <w:t>支出1.9万元，比上年预算增加1.90万元，增</w:t>
      </w:r>
      <w:r>
        <w:rPr>
          <w:rFonts w:ascii="仿宋" w:hAnsi="仿宋" w:eastAsia="仿宋" w:cs="仿宋"/>
          <w:spacing w:val="-1"/>
          <w:sz w:val="34"/>
          <w:szCs w:val="34"/>
        </w:rPr>
        <w:t>长100.00%。主要原因是：2021年预算未</w:t>
      </w:r>
      <w:r>
        <w:rPr>
          <w:rFonts w:ascii="仿宋" w:hAnsi="仿宋" w:eastAsia="仿宋" w:cs="仿宋"/>
          <w:sz w:val="34"/>
          <w:szCs w:val="34"/>
        </w:rPr>
        <w:t xml:space="preserve">将车辆纳入项目 </w:t>
      </w:r>
      <w:r>
        <w:rPr>
          <w:rFonts w:ascii="仿宋" w:hAnsi="仿宋" w:eastAsia="仿宋" w:cs="仿宋"/>
          <w:spacing w:val="-16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出。</w:t>
      </w:r>
    </w:p>
    <w:p>
      <w:pPr>
        <w:spacing w:before="152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2" w:line="301" w:lineRule="auto"/>
        <w:ind w:left="23" w:right="4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1</w:t>
      </w:r>
      <w:r>
        <w:rPr>
          <w:rFonts w:ascii="仿宋" w:hAnsi="仿宋" w:eastAsia="仿宋" w:cs="仿宋"/>
          <w:spacing w:val="16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文化旅游体育与传媒支出(类)123.6万元，占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00.00%。</w:t>
      </w:r>
    </w:p>
    <w:p>
      <w:pPr>
        <w:spacing w:before="112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4" w:line="283" w:lineRule="auto"/>
        <w:ind w:left="8" w:right="6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2"/>
          <w:sz w:val="34"/>
          <w:szCs w:val="34"/>
        </w:rPr>
        <w:t>1</w:t>
      </w:r>
      <w:r>
        <w:rPr>
          <w:rFonts w:ascii="仿宋" w:hAnsi="仿宋" w:eastAsia="仿宋" w:cs="仿宋"/>
          <w:spacing w:val="20"/>
          <w:sz w:val="34"/>
          <w:szCs w:val="34"/>
        </w:rPr>
        <w:t>.文化旅游体育与传媒支出(类)文化和旅游(款</w:t>
      </w:r>
      <w:r>
        <w:rPr>
          <w:rFonts w:ascii="仿宋" w:hAnsi="仿宋" w:eastAsia="仿宋" w:cs="仿宋"/>
          <w:spacing w:val="18"/>
          <w:sz w:val="34"/>
          <w:szCs w:val="34"/>
        </w:rPr>
        <w:t>)</w:t>
      </w:r>
      <w:r>
        <w:rPr>
          <w:rFonts w:ascii="仿宋" w:hAnsi="仿宋" w:eastAsia="仿宋" w:cs="仿宋"/>
          <w:spacing w:val="10"/>
          <w:sz w:val="34"/>
          <w:szCs w:val="34"/>
        </w:rPr>
        <w:t>图书馆(项):2022年预算数为123.6万元，比上年预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数增加22.30万元，增长22.01%，主要原因是：单位</w:t>
      </w:r>
      <w:r>
        <w:rPr>
          <w:rFonts w:ascii="仿宋" w:hAnsi="仿宋" w:eastAsia="仿宋" w:cs="仿宋"/>
          <w:spacing w:val="-12"/>
          <w:sz w:val="34"/>
          <w:szCs w:val="34"/>
        </w:rPr>
        <w:t>职</w:t>
      </w:r>
      <w:r>
        <w:rPr>
          <w:rFonts w:ascii="仿宋" w:hAnsi="仿宋" w:eastAsia="仿宋" w:cs="仿宋"/>
          <w:spacing w:val="-6"/>
          <w:sz w:val="34"/>
          <w:szCs w:val="34"/>
        </w:rPr>
        <w:t>工工资福利增加。</w:t>
      </w:r>
    </w:p>
    <w:p>
      <w:pPr>
        <w:spacing w:before="154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六、关于洛浦县图书馆2022年一般公共预算基本支</w:t>
      </w:r>
      <w:r>
        <w:rPr>
          <w:rFonts w:ascii="黑体" w:hAnsi="黑体" w:eastAsia="黑体" w:cs="黑体"/>
          <w:sz w:val="34"/>
          <w:szCs w:val="34"/>
        </w:rPr>
        <w:t xml:space="preserve">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洛浦县图书馆2022年一</w:t>
      </w:r>
      <w:r>
        <w:rPr>
          <w:rFonts w:ascii="仿宋" w:hAnsi="仿宋" w:eastAsia="仿宋" w:cs="仿宋"/>
          <w:sz w:val="34"/>
          <w:szCs w:val="34"/>
        </w:rPr>
        <w:t>般公共预算基本支出121.7万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70" w:line="222" w:lineRule="auto"/>
        <w:ind w:left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99" w:line="277" w:lineRule="auto"/>
        <w:ind w:left="10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经费120.41万元，主要包括：基本工资、津贴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补贴、奖金、绩效工资、机关事业单位基本养老保险缴费、职业年金缴费、城镇职工基本医疗保险缴费、公务员医疗补助缴费、其他社会保障缴费、住房公积金、其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用经费1.29万元，主要包括：工会经费。</w:t>
      </w:r>
    </w:p>
    <w:p>
      <w:pPr>
        <w:spacing w:before="297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七、关于洛浦县图书馆20</w:t>
      </w:r>
      <w:r>
        <w:rPr>
          <w:rFonts w:ascii="黑体" w:hAnsi="黑体" w:eastAsia="黑体" w:cs="黑体"/>
          <w:sz w:val="34"/>
          <w:szCs w:val="34"/>
        </w:rPr>
        <w:t xml:space="preserve">22年一般公共预算项目支出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.项目名称：车辆运行维护费。</w:t>
      </w:r>
    </w:p>
    <w:p>
      <w:pPr>
        <w:spacing w:before="64" w:line="510" w:lineRule="exact"/>
        <w:ind w:left="48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策依</w:t>
      </w:r>
      <w:r>
        <w:rPr>
          <w:rFonts w:ascii="仿宋" w:hAnsi="仿宋" w:eastAsia="仿宋" w:cs="仿宋"/>
          <w:color w:val="auto"/>
          <w:spacing w:val="-3"/>
          <w:position w:val="11"/>
          <w:sz w:val="34"/>
          <w:szCs w:val="34"/>
        </w:rPr>
        <w:t>据：人大常委会议决定。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担单位：洛浦县图书馆。</w:t>
      </w:r>
    </w:p>
    <w:p>
      <w:pPr>
        <w:spacing w:before="103" w:line="277" w:lineRule="auto"/>
        <w:ind w:left="8" w:right="9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资金分配情况：用于车辆正常运行中的</w:t>
      </w:r>
      <w:r>
        <w:rPr>
          <w:rFonts w:ascii="仿宋" w:hAnsi="仿宋" w:eastAsia="仿宋" w:cs="仿宋"/>
          <w:spacing w:val="-1"/>
          <w:sz w:val="34"/>
          <w:szCs w:val="34"/>
        </w:rPr>
        <w:t>油费、维修维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护</w:t>
      </w:r>
      <w:r>
        <w:rPr>
          <w:rFonts w:ascii="仿宋" w:hAnsi="仿宋" w:eastAsia="仿宋" w:cs="仿宋"/>
          <w:spacing w:val="-12"/>
          <w:sz w:val="34"/>
          <w:szCs w:val="34"/>
        </w:rPr>
        <w:t>费等。</w:t>
      </w:r>
    </w:p>
    <w:p>
      <w:pPr>
        <w:spacing w:before="1" w:line="220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资金执行时间：2022年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1月至12月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303" w:line="277" w:lineRule="auto"/>
        <w:ind w:left="14" w:right="43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八、关于洛浦县图书馆2022</w:t>
      </w:r>
      <w:r>
        <w:rPr>
          <w:rFonts w:ascii="黑体" w:hAnsi="黑体" w:eastAsia="黑体" w:cs="黑体"/>
          <w:sz w:val="34"/>
          <w:szCs w:val="34"/>
        </w:rPr>
        <w:t xml:space="preserve">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1" w:line="284" w:lineRule="auto"/>
        <w:ind w:left="10" w:right="65" w:firstLine="481"/>
        <w:rPr>
          <w:rFonts w:ascii="仿宋" w:hAnsi="仿宋" w:eastAsia="仿宋" w:cs="仿宋"/>
          <w:color w:val="auto"/>
          <w:sz w:val="7"/>
          <w:szCs w:val="7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浦县图书馆2022年一般公共预算“三公”经费数为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.9万元，其中：因公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出国(境)费0万元，公务用车购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置费0万元，公务用车运行费1.9万元，公务接待费</w:t>
      </w:r>
      <w:r>
        <w:rPr>
          <w:rFonts w:ascii="仿宋" w:hAnsi="仿宋" w:eastAsia="仿宋" w:cs="仿宋"/>
          <w:color w:val="auto"/>
          <w:sz w:val="34"/>
          <w:szCs w:val="34"/>
        </w:rPr>
        <w:t>0万元</w:t>
      </w:r>
    </w:p>
    <w:p>
      <w:pPr>
        <w:spacing w:before="188" w:line="277" w:lineRule="auto"/>
        <w:ind w:left="23" w:right="945" w:firstLine="45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费 比上年增加 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万元，增长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%，其中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：</w:t>
      </w:r>
    </w:p>
    <w:p>
      <w:pPr>
        <w:spacing w:before="2" w:line="282" w:lineRule="auto"/>
        <w:ind w:left="9" w:right="65" w:firstLine="514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color w:val="auto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color w:val="auto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我单位未安排出国经费。公务用车购置费增加0万元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，增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长0%，主要原因是我单位未安排购置车辆费。公务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用车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运行费增加0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万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元，增长0%，主要原因是车辆未有变化。</w:t>
      </w:r>
    </w:p>
    <w:p>
      <w:pPr>
        <w:rPr>
          <w:color w:val="auto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89" w:lineRule="auto"/>
        <w:ind w:left="4" w:right="65" w:firstLine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公务接待</w:t>
      </w:r>
      <w:r>
        <w:rPr>
          <w:rFonts w:ascii="仿宋" w:hAnsi="仿宋" w:eastAsia="仿宋" w:cs="仿宋"/>
          <w:spacing w:val="-1"/>
          <w:sz w:val="34"/>
          <w:szCs w:val="34"/>
        </w:rPr>
        <w:t>费增加0万元，增长0%，主要原因是我单位未安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排公务接待费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55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九、关于洛浦县图书馆2022年政府性基金预算</w:t>
      </w:r>
      <w:r>
        <w:rPr>
          <w:rFonts w:ascii="黑体" w:hAnsi="黑体" w:eastAsia="黑体" w:cs="黑体"/>
          <w:sz w:val="34"/>
          <w:szCs w:val="34"/>
        </w:rPr>
        <w:t xml:space="preserve">拨款情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line="288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浦县图书馆2022年没有使用政府性基金预算拨款安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49" w:lineRule="auto"/>
        <w:ind w:left="481" w:right="265" w:firstLine="19"/>
        <w:rPr>
          <w:rFonts w:hint="eastAsia" w:ascii="仿宋" w:hAnsi="仿宋" w:eastAsia="仿宋" w:cs="仿宋"/>
          <w:sz w:val="34"/>
          <w:szCs w:val="34"/>
          <w:lang w:val="en-US" w:eastAsia="zh-CN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2022年，洛浦县图书馆本级及下</w:t>
      </w:r>
      <w:r>
        <w:rPr>
          <w:rFonts w:ascii="仿宋" w:hAnsi="仿宋" w:eastAsia="仿宋" w:cs="仿宋"/>
          <w:sz w:val="34"/>
          <w:szCs w:val="34"/>
        </w:rPr>
        <w:t>属0家行政单位和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0</w:t>
      </w:r>
    </w:p>
    <w:p>
      <w:pPr>
        <w:spacing w:before="103" w:line="221" w:lineRule="auto"/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>家事业</w:t>
      </w:r>
      <w:r>
        <w:rPr>
          <w:rFonts w:ascii="仿宋" w:hAnsi="仿宋" w:eastAsia="仿宋" w:cs="仿宋"/>
          <w:spacing w:val="-2"/>
          <w:sz w:val="34"/>
          <w:szCs w:val="34"/>
        </w:rPr>
        <w:t>单位的机关运行经费财政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拨款预算1.29万元，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lang w:val="en-US" w:eastAsia="zh-CN"/>
        </w:rPr>
        <w:t>比</w:t>
      </w:r>
    </w:p>
    <w:p>
      <w:pPr>
        <w:spacing w:before="102" w:line="289" w:lineRule="auto"/>
        <w:ind w:left="6" w:right="65" w:firstLine="3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上年预算减少1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lang w:val="en-US" w:eastAsia="zh-CN"/>
        </w:rPr>
        <w:t>.9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万元，下降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lang w:val="en-US" w:eastAsia="zh-CN"/>
        </w:rPr>
        <w:t>59.56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%。主要原因是车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辆运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行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维护费纳入项目支出。</w:t>
      </w:r>
      <w:bookmarkStart w:id="0" w:name="_GoBack"/>
      <w:bookmarkEnd w:id="0"/>
    </w:p>
    <w:p>
      <w:pPr>
        <w:spacing w:before="157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604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2022年，洛浦县图书馆政府采购</w:t>
      </w:r>
      <w:r>
        <w:rPr>
          <w:rFonts w:ascii="仿宋" w:hAnsi="仿宋" w:eastAsia="仿宋" w:cs="仿宋"/>
          <w:sz w:val="34"/>
          <w:szCs w:val="34"/>
        </w:rPr>
        <w:t xml:space="preserve">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截至2021年底，洛浦县图书馆及下属各预算单位</w:t>
      </w:r>
      <w:r>
        <w:rPr>
          <w:rFonts w:ascii="仿宋" w:hAnsi="仿宋" w:eastAsia="仿宋" w:cs="仿宋"/>
          <w:sz w:val="34"/>
          <w:szCs w:val="34"/>
        </w:rPr>
        <w:t xml:space="preserve">占用 </w:t>
      </w:r>
      <w:r>
        <w:rPr>
          <w:rFonts w:ascii="仿宋" w:hAnsi="仿宋" w:eastAsia="仿宋" w:cs="仿宋"/>
          <w:spacing w:val="-2"/>
          <w:sz w:val="34"/>
          <w:szCs w:val="34"/>
        </w:rPr>
        <w:t>使用国有资产总体情况为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房屋750平方米，价值50万元。</w:t>
      </w:r>
    </w:p>
    <w:p>
      <w:pPr>
        <w:spacing w:before="63" w:line="277" w:lineRule="auto"/>
        <w:ind w:left="22" w:right="2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23.27万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23.</w:t>
      </w:r>
      <w:r>
        <w:rPr>
          <w:rFonts w:ascii="仿宋" w:hAnsi="仿宋" w:eastAsia="仿宋" w:cs="仿宋"/>
          <w:spacing w:val="-1"/>
          <w:sz w:val="34"/>
          <w:szCs w:val="34"/>
        </w:rPr>
        <w:t>27万元；执法执勤用车0辆，价值0万元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；其他车辆0辆，价值0万元。</w:t>
      </w:r>
    </w:p>
    <w:p>
      <w:pPr>
        <w:spacing w:before="1"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3.办公家</w:t>
      </w:r>
      <w:r>
        <w:rPr>
          <w:rFonts w:ascii="仿宋" w:hAnsi="仿宋" w:eastAsia="仿宋" w:cs="仿宋"/>
          <w:spacing w:val="-2"/>
          <w:sz w:val="34"/>
          <w:szCs w:val="34"/>
        </w:rPr>
        <w:t>具价值 94.16万元。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447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.其他资产价值138.17万元。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235" w:firstLine="469"/>
        <w:sectPr>
          <w:pgSz w:w="11900" w:h="16840"/>
          <w:pgMar w:top="868" w:right="1785" w:bottom="0" w:left="1738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1个 </w:t>
      </w:r>
      <w:r>
        <w:rPr>
          <w:rFonts w:ascii="仿宋" w:hAnsi="仿宋" w:eastAsia="仿宋" w:cs="仿宋"/>
          <w:spacing w:val="10"/>
          <w:sz w:val="34"/>
          <w:szCs w:val="34"/>
        </w:rPr>
        <w:t>，涉</w:t>
      </w:r>
      <w:r>
        <w:rPr>
          <w:rFonts w:ascii="仿宋" w:hAnsi="仿宋" w:eastAsia="仿宋" w:cs="仿宋"/>
          <w:spacing w:val="8"/>
          <w:sz w:val="34"/>
          <w:szCs w:val="34"/>
        </w:rPr>
        <w:t>及</w:t>
      </w:r>
      <w:r>
        <w:rPr>
          <w:rFonts w:ascii="仿宋" w:hAnsi="仿宋" w:eastAsia="仿宋" w:cs="仿宋"/>
          <w:spacing w:val="5"/>
          <w:sz w:val="34"/>
          <w:szCs w:val="34"/>
        </w:rPr>
        <w:t>预算金额 1.9万元。具体情况见下表(按项目分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tbl>
      <w:tblPr>
        <w:tblStyle w:val="2"/>
        <w:tblW w:w="86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157"/>
        <w:gridCol w:w="197"/>
        <w:gridCol w:w="1059"/>
        <w:gridCol w:w="711"/>
        <w:gridCol w:w="882"/>
        <w:gridCol w:w="1068"/>
        <w:gridCol w:w="1096"/>
        <w:gridCol w:w="16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626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洛浦县图书馆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车辆运行维护费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1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78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车辆正常运行数为1辆，保障运行12个月，于2022年12月完成，项目总投资1.9万元，其中车辆平均运行维护费用为1.9万元/辆。通过实施本项目可有效提高业务保障能力，持续保障办公室车辆正常运转，使受益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保障车辆正常运行数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保障车辆运行月数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车辆平均运行维护费用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≤1.9万元/辆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保障办公室车辆正常运转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4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3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浦县图书馆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16B539C"/>
    <w:rsid w:val="0E8C7460"/>
    <w:rsid w:val="2C954ABE"/>
    <w:rsid w:val="65CB6AA4"/>
    <w:rsid w:val="7E2B74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5399</Words>
  <Characters>6300</Characters>
  <TotalTime>27</TotalTime>
  <ScaleCrop>false</ScaleCrop>
  <LinksUpToDate>false</LinksUpToDate>
  <CharactersWithSpaces>6631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Administrator</dc:creator>
  <cp:lastModifiedBy>qzuser</cp:lastModifiedBy>
  <dcterms:modified xsi:type="dcterms:W3CDTF">2022-08-17T12:53:08Z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2022-07-31T12:08:53Z</vt:filetime>
  </property>
  <property fmtid="{D5CDD505-2E9C-101B-9397-08002B2CF9AE}" pid="4" name="KSOProductBuildVer">
    <vt:lpwstr>2052-11.1.0.12313</vt:lpwstr>
  </property>
  <property fmtid="{D5CDD505-2E9C-101B-9397-08002B2CF9AE}" pid="5" name="ICV">
    <vt:lpwstr>A2A00FDA6684408B98F200F6B81AD3CF</vt:lpwstr>
  </property>
</Properties>
</file>