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315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洛浦县文工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团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洛浦县文工团单位</w:t>
      </w:r>
      <w:r>
        <w:rPr>
          <w:rFonts w:ascii="黑体" w:hAnsi="黑体" w:eastAsia="黑体" w:cs="黑体"/>
          <w:position w:val="11"/>
          <w:sz w:val="34"/>
          <w:szCs w:val="34"/>
        </w:rPr>
        <w:t>概况</w:t>
      </w:r>
    </w:p>
    <w:p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3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于洛浦县文工团2022年收支预算情况的总体说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二、关于洛浦县文工</w:t>
      </w:r>
      <w:r>
        <w:rPr>
          <w:rFonts w:ascii="仿宋" w:hAnsi="仿宋" w:eastAsia="仿宋" w:cs="仿宋"/>
          <w:spacing w:val="-1"/>
          <w:sz w:val="34"/>
          <w:szCs w:val="34"/>
        </w:rPr>
        <w:t>团2022年收入预算情况说明</w:t>
      </w:r>
    </w:p>
    <w:p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三、关于洛浦县文</w:t>
      </w:r>
      <w:r>
        <w:rPr>
          <w:rFonts w:ascii="仿宋" w:hAnsi="仿宋" w:eastAsia="仿宋" w:cs="仿宋"/>
          <w:spacing w:val="-1"/>
          <w:sz w:val="34"/>
          <w:szCs w:val="34"/>
        </w:rPr>
        <w:t>工团2022年支出预算情况说明</w:t>
      </w:r>
    </w:p>
    <w:p>
      <w:pPr>
        <w:spacing w:before="102" w:line="277" w:lineRule="auto"/>
        <w:ind w:left="11" w:right="95" w:firstLine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文工团2022年财政拨款收支预算情况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于洛浦县文工团2022年一般公共预算当年拨款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、关于洛浦县文工团2022年一般公共预算基本支出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1" w:line="289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浦县文工团2022年一般公共预算项目支出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>
      <w:pPr>
        <w:spacing w:before="69" w:line="277" w:lineRule="auto"/>
        <w:ind w:left="21" w:right="43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八、关于洛浦县文工团2022年一般公共预算“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九、关于洛浦县文工团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4" w:line="221" w:lineRule="auto"/>
        <w:ind w:left="141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洛浦县文工团单位概况</w:t>
      </w:r>
    </w:p>
    <w:p>
      <w:pPr>
        <w:spacing w:before="276" w:line="222" w:lineRule="auto"/>
        <w:ind w:left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7" w:line="283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洛</w:t>
      </w:r>
      <w:r>
        <w:rPr>
          <w:rFonts w:ascii="仿宋" w:hAnsi="仿宋" w:eastAsia="仿宋" w:cs="仿宋"/>
          <w:spacing w:val="6"/>
          <w:sz w:val="34"/>
          <w:szCs w:val="34"/>
        </w:rPr>
        <w:t>浦县文工团的主要职能创作演出(民族歌舞/文艺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节</w:t>
      </w:r>
      <w:r>
        <w:rPr>
          <w:rFonts w:ascii="仿宋" w:hAnsi="仿宋" w:eastAsia="仿宋" w:cs="仿宋"/>
          <w:spacing w:val="6"/>
          <w:sz w:val="34"/>
          <w:szCs w:val="34"/>
        </w:rPr>
        <w:t>目)剧目，为各族群众服务。舞台艺术作品创作，传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统艺术整理加工与保护，国内外舞台艺术作品演出，艺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术普及及</w:t>
      </w:r>
      <w:r>
        <w:rPr>
          <w:rFonts w:ascii="仿宋" w:hAnsi="仿宋" w:eastAsia="仿宋" w:cs="仿宋"/>
          <w:spacing w:val="-3"/>
          <w:sz w:val="34"/>
          <w:szCs w:val="34"/>
        </w:rPr>
        <w:t>推广，艺术创作表演人才培养。</w:t>
      </w:r>
    </w:p>
    <w:p>
      <w:pPr>
        <w:spacing w:before="158" w:line="221" w:lineRule="auto"/>
        <w:ind w:left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2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洛浦县文</w:t>
      </w:r>
      <w:r>
        <w:rPr>
          <w:rFonts w:ascii="仿宋" w:hAnsi="仿宋" w:eastAsia="仿宋" w:cs="仿宋"/>
          <w:spacing w:val="-1"/>
          <w:sz w:val="34"/>
          <w:szCs w:val="34"/>
        </w:rPr>
        <w:t>工团单位无下属预算单位，下设0个处室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分别是：0。</w:t>
      </w:r>
    </w:p>
    <w:p>
      <w:pPr>
        <w:spacing w:before="2" w:line="285" w:lineRule="auto"/>
        <w:ind w:left="22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浦县文工团单位编制数40人，实有人数41人，其中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：在职37人，增</w:t>
      </w:r>
      <w:r>
        <w:rPr>
          <w:rFonts w:ascii="仿宋" w:hAnsi="仿宋" w:eastAsia="仿宋" w:cs="仿宋"/>
          <w:spacing w:val="-2"/>
          <w:sz w:val="34"/>
          <w:szCs w:val="34"/>
        </w:rPr>
        <w:t>加0人；退休4人，增加0人；离休0人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903" w:right="1785" w:bottom="0" w:left="1743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146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文化旅游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体育与传媒支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艺术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演团体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化旅游体育与传媒支出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艺术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演团体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化旅游体育与传媒支出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艺术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演团体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658.5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574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574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601.1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586</w:t>
            </w:r>
            <w:r>
              <w:rPr>
                <w:rFonts w:ascii="黑体" w:hAnsi="黑体" w:eastAsia="黑体" w:cs="黑体"/>
                <w:sz w:val="16"/>
                <w:szCs w:val="16"/>
              </w:rPr>
              <w:t>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4.77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4"/>
        <w:gridCol w:w="1589"/>
        <w:gridCol w:w="587"/>
        <w:gridCol w:w="443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5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6" w:right="89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46" w:right="147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文化旅游体育与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传媒支出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  <w:highlight w:val="yellow"/>
              </w:rPr>
            </w:pPr>
          </w:p>
          <w:p>
            <w:pPr>
              <w:spacing w:before="65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艺术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yellow"/>
              </w:rPr>
              <w:t>演团体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属</w:t>
            </w:r>
          </w:p>
          <w:p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yellow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员</w:t>
            </w:r>
          </w:p>
          <w:p>
            <w:pPr>
              <w:spacing w:line="184" w:lineRule="auto"/>
              <w:ind w:left="58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yellow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yellow"/>
              </w:rPr>
              <w:t>活</w:t>
            </w:r>
          </w:p>
          <w:p>
            <w:pPr>
              <w:spacing w:line="186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yellow"/>
              </w:rPr>
              <w:t>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贴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艺术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yellow"/>
              </w:rPr>
              <w:t>演团体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取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暖</w:t>
            </w:r>
          </w:p>
          <w:p>
            <w:pPr>
              <w:spacing w:line="186" w:lineRule="auto"/>
              <w:ind w:left="53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yellow"/>
              </w:rPr>
              <w:t>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艺术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yellow"/>
              </w:rPr>
              <w:t>演团体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用</w:t>
            </w:r>
          </w:p>
          <w:p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yellow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员</w:t>
            </w:r>
          </w:p>
          <w:p>
            <w:pPr>
              <w:spacing w:line="185" w:lineRule="auto"/>
              <w:ind w:left="51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yellow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资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艺术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yellow"/>
              </w:rPr>
              <w:t>演团体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1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yellow"/>
              </w:rPr>
              <w:t>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辆</w:t>
            </w:r>
          </w:p>
          <w:p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yellow"/>
              </w:rPr>
              <w:t>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修</w:t>
            </w:r>
          </w:p>
          <w:p>
            <w:pPr>
              <w:spacing w:line="184" w:lineRule="auto"/>
              <w:ind w:left="53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yellow"/>
              </w:rPr>
              <w:t>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艺术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yellow"/>
              </w:rPr>
              <w:t>演团体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yellow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yellow"/>
              </w:rPr>
              <w:t>电</w:t>
            </w:r>
          </w:p>
          <w:p>
            <w:pPr>
              <w:spacing w:line="184" w:lineRule="auto"/>
              <w:ind w:left="53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yellow"/>
              </w:rPr>
              <w:t>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  <w:highlight w:val="yellow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位：洛浦县文工团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5" w:lineRule="auto"/>
        <w:rPr>
          <w:rFonts w:ascii="Arial"/>
          <w:sz w:val="21"/>
        </w:rPr>
      </w:pPr>
    </w:p>
    <w:p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洛浦县文工团2022年没有使用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0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一、关于洛浦县文工团2022年收支预算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>
      <w:pPr>
        <w:spacing w:before="1" w:line="288" w:lineRule="auto"/>
        <w:ind w:left="3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按照全口径预算的原则，洛浦县文工团2022年所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均纳入单位预算管理。收支总预算658.56万元</w:t>
      </w:r>
    </w:p>
    <w:p>
      <w:pPr>
        <w:spacing w:before="184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2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10"/>
          <w:sz w:val="34"/>
          <w:szCs w:val="34"/>
        </w:rPr>
        <w:t>预算包括：  文化旅游体育与传媒支出等。</w:t>
      </w:r>
    </w:p>
    <w:p>
      <w:pPr>
        <w:spacing w:before="302" w:line="221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二、关于洛浦县文工团2022年收入预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6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洛浦县文工团收入预算658.56万元，其中：一般公共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预算65</w:t>
      </w:r>
      <w:r>
        <w:rPr>
          <w:rFonts w:ascii="仿宋" w:hAnsi="仿宋" w:eastAsia="仿宋" w:cs="仿宋"/>
          <w:spacing w:val="-6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.56万元，占100.00%，比上年预算增加95.14万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元，增长16.89%，主要原因是工资基数，养老社保住</w:t>
      </w:r>
      <w:r>
        <w:rPr>
          <w:rFonts w:ascii="仿宋" w:hAnsi="仿宋" w:eastAsia="仿宋" w:cs="仿宋"/>
          <w:sz w:val="34"/>
          <w:szCs w:val="34"/>
        </w:rPr>
        <w:t xml:space="preserve">房 </w:t>
      </w:r>
      <w:r>
        <w:rPr>
          <w:rFonts w:ascii="仿宋" w:hAnsi="仿宋" w:eastAsia="仿宋" w:cs="仿宋"/>
          <w:spacing w:val="-13"/>
          <w:sz w:val="34"/>
          <w:szCs w:val="34"/>
        </w:rPr>
        <w:t>公</w:t>
      </w:r>
      <w:r>
        <w:rPr>
          <w:rFonts w:ascii="仿宋" w:hAnsi="仿宋" w:eastAsia="仿宋" w:cs="仿宋"/>
          <w:spacing w:val="-7"/>
          <w:sz w:val="34"/>
          <w:szCs w:val="34"/>
        </w:rPr>
        <w:t>积金基数调整。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486" w:right="51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三、关于洛浦县文工团2022年支出预算情况</w:t>
      </w:r>
      <w:r>
        <w:rPr>
          <w:rFonts w:ascii="黑体" w:hAnsi="黑体" w:eastAsia="黑体" w:cs="黑体"/>
          <w:sz w:val="34"/>
          <w:szCs w:val="34"/>
        </w:rPr>
        <w:t xml:space="preserve">说明 </w:t>
      </w:r>
      <w:r>
        <w:rPr>
          <w:rFonts w:ascii="仿宋" w:hAnsi="仿宋" w:eastAsia="仿宋" w:cs="仿宋"/>
          <w:spacing w:val="-6"/>
          <w:sz w:val="34"/>
          <w:szCs w:val="34"/>
        </w:rPr>
        <w:t>洛浦县文工团</w:t>
      </w: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022年支出预算658.56万元，其中：</w:t>
      </w:r>
    </w:p>
    <w:p>
      <w:pPr>
        <w:spacing w:before="5" w:line="276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出601.16万元，占91.28%，比上年预算增加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37.74万元，增长6.70%，主要原</w:t>
      </w:r>
      <w:r>
        <w:rPr>
          <w:rFonts w:ascii="仿宋" w:hAnsi="仿宋" w:eastAsia="仿宋" w:cs="仿宋"/>
          <w:sz w:val="34"/>
          <w:szCs w:val="34"/>
        </w:rPr>
        <w:t xml:space="preserve">因是 工资基数，养老社 </w:t>
      </w:r>
      <w:r>
        <w:rPr>
          <w:rFonts w:ascii="仿宋" w:hAnsi="仿宋" w:eastAsia="仿宋" w:cs="仿宋"/>
          <w:spacing w:val="-9"/>
          <w:sz w:val="34"/>
          <w:szCs w:val="34"/>
        </w:rPr>
        <w:t>保</w:t>
      </w:r>
      <w:r>
        <w:rPr>
          <w:rFonts w:ascii="仿宋" w:hAnsi="仿宋" w:eastAsia="仿宋" w:cs="仿宋"/>
          <w:spacing w:val="-5"/>
          <w:sz w:val="34"/>
          <w:szCs w:val="34"/>
        </w:rPr>
        <w:t>住房公积金基数调整。</w:t>
      </w:r>
    </w:p>
    <w:p>
      <w:pPr>
        <w:spacing w:before="2" w:line="298" w:lineRule="auto"/>
        <w:ind w:right="77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目支出57.4万元，占8.72%，比上年预算增加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5</w:t>
      </w:r>
      <w:r>
        <w:rPr>
          <w:rFonts w:ascii="仿宋" w:hAnsi="仿宋" w:eastAsia="仿宋" w:cs="仿宋"/>
          <w:spacing w:val="-2"/>
          <w:sz w:val="34"/>
          <w:szCs w:val="34"/>
        </w:rPr>
        <w:t>3.30万元，增长1300.00%，主要原因是新增项目。</w:t>
      </w:r>
    </w:p>
    <w:p>
      <w:pPr>
        <w:spacing w:before="120" w:line="277" w:lineRule="auto"/>
        <w:ind w:left="13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四、关于洛浦县文工</w:t>
      </w:r>
      <w:r>
        <w:rPr>
          <w:rFonts w:ascii="黑体" w:hAnsi="黑体" w:eastAsia="黑体" w:cs="黑体"/>
          <w:spacing w:val="-1"/>
          <w:sz w:val="34"/>
          <w:szCs w:val="34"/>
        </w:rPr>
        <w:t>团2022年财政拨款收支预算情况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2022年财政拨款收支总预算658.56万元。</w:t>
      </w:r>
    </w:p>
    <w:p>
      <w:pPr>
        <w:spacing w:before="102" w:line="289" w:lineRule="auto"/>
        <w:ind w:left="2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68" w:line="222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预算包括：一般公共预算658.56万元。</w:t>
      </w:r>
    </w:p>
    <w:p>
      <w:pPr>
        <w:spacing w:before="99" w:line="286" w:lineRule="auto"/>
        <w:ind w:left="1"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一般公共预算支出包括：文化旅游体育与传媒支</w:t>
      </w:r>
      <w:r>
        <w:rPr>
          <w:rFonts w:ascii="仿宋" w:hAnsi="仿宋" w:eastAsia="仿宋" w:cs="仿宋"/>
          <w:spacing w:val="-6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658.56万元，主要用于人员</w:t>
      </w:r>
      <w:r>
        <w:rPr>
          <w:rFonts w:ascii="仿宋" w:hAnsi="仿宋" w:eastAsia="仿宋" w:cs="仿宋"/>
          <w:sz w:val="34"/>
          <w:szCs w:val="34"/>
        </w:rPr>
        <w:t xml:space="preserve">经费、本单位日常运转、项 </w:t>
      </w:r>
      <w:r>
        <w:rPr>
          <w:rFonts w:ascii="仿宋" w:hAnsi="仿宋" w:eastAsia="仿宋" w:cs="仿宋"/>
          <w:spacing w:val="-12"/>
          <w:sz w:val="34"/>
          <w:szCs w:val="34"/>
        </w:rPr>
        <w:t>目</w:t>
      </w:r>
      <w:r>
        <w:rPr>
          <w:rFonts w:ascii="仿宋" w:hAnsi="仿宋" w:eastAsia="仿宋" w:cs="仿宋"/>
          <w:spacing w:val="-9"/>
          <w:sz w:val="34"/>
          <w:szCs w:val="34"/>
        </w:rPr>
        <w:t>支出等。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五、关于洛浦县文工团2022年一般公共预算当年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洛浦县文工团2022年一般公共预算拨款合计658.5</w:t>
      </w:r>
      <w:r>
        <w:rPr>
          <w:rFonts w:ascii="仿宋" w:hAnsi="仿宋" w:eastAsia="仿宋" w:cs="仿宋"/>
          <w:sz w:val="34"/>
          <w:szCs w:val="34"/>
        </w:rPr>
        <w:t xml:space="preserve">6万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5" w:line="276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出601.16万元，  比上年预算增加37.74万元，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增长6.70%。主要原因是：工资基数，养老社保</w:t>
      </w:r>
      <w:r>
        <w:rPr>
          <w:rFonts w:ascii="仿宋" w:hAnsi="仿宋" w:eastAsia="仿宋" w:cs="仿宋"/>
          <w:sz w:val="34"/>
          <w:szCs w:val="34"/>
        </w:rPr>
        <w:t xml:space="preserve">住房公积 </w:t>
      </w:r>
      <w:r>
        <w:rPr>
          <w:rFonts w:ascii="仿宋" w:hAnsi="仿宋" w:eastAsia="仿宋" w:cs="仿宋"/>
          <w:spacing w:val="-12"/>
          <w:sz w:val="34"/>
          <w:szCs w:val="34"/>
        </w:rPr>
        <w:t>金</w:t>
      </w:r>
      <w:r>
        <w:rPr>
          <w:rFonts w:ascii="仿宋" w:hAnsi="仿宋" w:eastAsia="仿宋" w:cs="仿宋"/>
          <w:spacing w:val="-9"/>
          <w:sz w:val="34"/>
          <w:szCs w:val="34"/>
        </w:rPr>
        <w:t>基数调整。</w:t>
      </w:r>
    </w:p>
    <w:p>
      <w:pPr>
        <w:spacing w:before="2" w:line="289" w:lineRule="auto"/>
        <w:ind w:left="9" w:right="50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</w:t>
      </w:r>
      <w:r>
        <w:rPr>
          <w:rFonts w:ascii="仿宋" w:hAnsi="仿宋" w:eastAsia="仿宋" w:cs="仿宋"/>
          <w:spacing w:val="-9"/>
          <w:sz w:val="34"/>
          <w:szCs w:val="34"/>
        </w:rPr>
        <w:t>支出57.4万元，  比上年预算增加53.30万元，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增长1300.00%。主要原因是：新增项目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301" w:lineRule="auto"/>
        <w:ind w:left="23" w:right="2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1"/>
          <w:sz w:val="34"/>
          <w:szCs w:val="34"/>
        </w:rPr>
        <w:t>. 文化旅游体育与传媒支出(类)658.56万元，占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>
      <w:pPr>
        <w:spacing w:before="11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1" w:line="283" w:lineRule="auto"/>
        <w:ind w:left="10" w:right="23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2"/>
          <w:sz w:val="34"/>
          <w:szCs w:val="34"/>
        </w:rPr>
        <w:t>1</w:t>
      </w:r>
      <w:r>
        <w:rPr>
          <w:rFonts w:ascii="仿宋" w:hAnsi="仿宋" w:eastAsia="仿宋" w:cs="仿宋"/>
          <w:spacing w:val="20"/>
          <w:sz w:val="34"/>
          <w:szCs w:val="34"/>
        </w:rPr>
        <w:t>.文化旅游体育与传媒支出(类)文化和旅游(款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)</w:t>
      </w:r>
      <w:r>
        <w:rPr>
          <w:rFonts w:ascii="仿宋" w:hAnsi="仿宋" w:eastAsia="仿宋" w:cs="仿宋"/>
          <w:spacing w:val="14"/>
          <w:sz w:val="34"/>
          <w:szCs w:val="34"/>
        </w:rPr>
        <w:t>艺术表演团体(项):2022年预算数为658.56万元，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比</w:t>
      </w:r>
      <w:r>
        <w:rPr>
          <w:rFonts w:ascii="仿宋" w:hAnsi="仿宋" w:eastAsia="仿宋" w:cs="仿宋"/>
          <w:spacing w:val="-8"/>
          <w:sz w:val="34"/>
          <w:szCs w:val="34"/>
        </w:rPr>
        <w:t>上</w:t>
      </w:r>
      <w:r>
        <w:rPr>
          <w:rFonts w:ascii="仿宋" w:hAnsi="仿宋" w:eastAsia="仿宋" w:cs="仿宋"/>
          <w:spacing w:val="-6"/>
          <w:sz w:val="34"/>
          <w:szCs w:val="34"/>
        </w:rPr>
        <w:t>年预算数增加95.14万元，  增长16.89%，主要原因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是</w:t>
      </w:r>
      <w:r>
        <w:rPr>
          <w:rFonts w:ascii="仿宋" w:hAnsi="仿宋" w:eastAsia="仿宋" w:cs="仿宋"/>
          <w:spacing w:val="-3"/>
          <w:sz w:val="34"/>
          <w:szCs w:val="34"/>
        </w:rPr>
        <w:t>：工资基数，养老社保住房公积金基数调整。</w:t>
      </w:r>
    </w:p>
    <w:p>
      <w:pPr>
        <w:spacing w:before="157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六、关于洛浦县文工团2022年一般公共预算基本支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89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洛浦县文工团2022年一般公共预算基本支出601.1</w:t>
      </w:r>
      <w:r>
        <w:rPr>
          <w:rFonts w:ascii="仿宋" w:hAnsi="仿宋" w:eastAsia="仿宋" w:cs="仿宋"/>
          <w:sz w:val="34"/>
          <w:szCs w:val="34"/>
        </w:rPr>
        <w:t xml:space="preserve">6万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left="10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经费586.39万元，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经费14.77万元，  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七、关于洛浦县文工团20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项目名称：取暖费。</w:t>
      </w:r>
    </w:p>
    <w:p>
      <w:pPr>
        <w:spacing w:before="63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策依据：一般公共预算资金。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预算安排规模：4</w:t>
      </w:r>
      <w:r>
        <w:rPr>
          <w:rFonts w:ascii="仿宋" w:hAnsi="仿宋" w:eastAsia="仿宋" w:cs="仿宋"/>
          <w:spacing w:val="-1"/>
          <w:sz w:val="34"/>
          <w:szCs w:val="34"/>
        </w:rPr>
        <w:t>.6万元</w:t>
      </w:r>
    </w:p>
    <w:p>
      <w:pPr>
        <w:spacing w:before="102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担单位：洛浦县文工团。</w:t>
      </w:r>
    </w:p>
    <w:p>
      <w:pPr>
        <w:spacing w:line="220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金分配情况：取暖费一次性付款。</w:t>
      </w:r>
    </w:p>
    <w:p>
      <w:pPr>
        <w:spacing w:before="105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金执行时间：2022年1月。</w:t>
      </w:r>
    </w:p>
    <w:p>
      <w:pPr>
        <w:spacing w:before="103" w:line="447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2"/>
          <w:sz w:val="34"/>
          <w:szCs w:val="34"/>
        </w:rPr>
        <w:t>2.项目名称：水电费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。</w:t>
      </w:r>
    </w:p>
    <w:p>
      <w:pPr>
        <w:spacing w:before="63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立的政策依据：县人大常委会。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预算安排规模：4.1万</w:t>
      </w:r>
      <w:r>
        <w:rPr>
          <w:rFonts w:ascii="仿宋" w:hAnsi="仿宋" w:eastAsia="仿宋" w:cs="仿宋"/>
          <w:sz w:val="34"/>
          <w:szCs w:val="34"/>
        </w:rPr>
        <w:t>元</w:t>
      </w:r>
    </w:p>
    <w:p>
      <w:pPr>
        <w:spacing w:before="102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担单位：洛浦县文工团。</w:t>
      </w:r>
    </w:p>
    <w:p>
      <w:pPr>
        <w:spacing w:before="1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</w:t>
      </w:r>
      <w:r>
        <w:rPr>
          <w:rFonts w:ascii="仿宋" w:hAnsi="仿宋" w:eastAsia="仿宋" w:cs="仿宋"/>
          <w:spacing w:val="-5"/>
          <w:position w:val="2"/>
          <w:sz w:val="34"/>
          <w:szCs w:val="34"/>
        </w:rPr>
        <w:t>水电费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00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金执行时间：2022年1月。</w:t>
      </w:r>
    </w:p>
    <w:p>
      <w:pPr>
        <w:spacing w:before="103" w:line="24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项目名称：车辆维修费。</w:t>
      </w:r>
    </w:p>
    <w:p>
      <w:pPr>
        <w:spacing w:before="66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立的政策依据：县人大常委会。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预算安排规模：3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>
      <w:pPr>
        <w:spacing w:before="102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担单位：洛浦县文工团。</w:t>
      </w:r>
    </w:p>
    <w:p>
      <w:pPr>
        <w:spacing w:before="1" w:line="220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</w:t>
      </w:r>
      <w:r>
        <w:rPr>
          <w:rFonts w:ascii="仿宋" w:hAnsi="仿宋" w:eastAsia="仿宋" w:cs="仿宋"/>
          <w:spacing w:val="-4"/>
          <w:sz w:val="34"/>
          <w:szCs w:val="34"/>
        </w:rPr>
        <w:t>车辆维修费</w:t>
      </w:r>
      <w:r>
        <w:rPr>
          <w:rFonts w:ascii="仿宋" w:hAnsi="仿宋" w:eastAsia="仿宋" w:cs="仿宋"/>
          <w:spacing w:val="-6"/>
          <w:sz w:val="34"/>
          <w:szCs w:val="34"/>
        </w:rPr>
        <w:t>一次性付款。</w:t>
      </w:r>
    </w:p>
    <w:p>
      <w:pPr>
        <w:spacing w:before="104" w:line="510" w:lineRule="exact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金执行时间：2022年1月。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4</w:t>
      </w:r>
      <w:r>
        <w:rPr>
          <w:rFonts w:ascii="仿宋" w:hAnsi="仿宋" w:eastAsia="仿宋" w:cs="仿宋"/>
          <w:spacing w:val="-3"/>
          <w:sz w:val="34"/>
          <w:szCs w:val="34"/>
        </w:rPr>
        <w:t>.项目名称：遗属人员生活补贴。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立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的政策依据：人大常委会。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预算安排规模：4.1万</w:t>
      </w:r>
      <w:r>
        <w:rPr>
          <w:rFonts w:ascii="仿宋" w:hAnsi="仿宋" w:eastAsia="仿宋" w:cs="仿宋"/>
          <w:sz w:val="34"/>
          <w:szCs w:val="34"/>
        </w:rPr>
        <w:t>元</w:t>
      </w:r>
    </w:p>
    <w:p>
      <w:pPr>
        <w:spacing w:before="101"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项目承担单位：洛浦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县文工团 。</w:t>
      </w:r>
    </w:p>
    <w:p>
      <w:pPr>
        <w:spacing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金分配情况：按月发放</w:t>
      </w:r>
      <w:r>
        <w:rPr>
          <w:rFonts w:ascii="仿宋" w:hAnsi="仿宋" w:eastAsia="仿宋" w:cs="仿宋"/>
          <w:spacing w:val="-3"/>
          <w:sz w:val="34"/>
          <w:szCs w:val="34"/>
        </w:rPr>
        <w:t>遗属人员生活补贴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00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金执行时间：2022年1月。</w:t>
      </w:r>
    </w:p>
    <w:p>
      <w:pPr>
        <w:spacing w:before="103" w:line="510" w:lineRule="exact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资金来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源：当年预算-经费拨款。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补贴人数：4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贴标准：480。</w:t>
      </w:r>
    </w:p>
    <w:p>
      <w:pPr>
        <w:spacing w:before="102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position w:val="11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贴范围：遗属人员。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补贴方式：打卡。</w:t>
      </w:r>
    </w:p>
    <w:p>
      <w:pPr>
        <w:spacing w:before="103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发放程序：按月发放。</w:t>
      </w:r>
    </w:p>
    <w:p>
      <w:pPr>
        <w:spacing w:before="100" w:line="277" w:lineRule="auto"/>
        <w:ind w:right="140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受益人群和</w:t>
      </w:r>
      <w:r>
        <w:rPr>
          <w:rFonts w:ascii="仿宋" w:hAnsi="仿宋" w:eastAsia="仿宋" w:cs="仿宋"/>
          <w:spacing w:val="-3"/>
          <w:sz w:val="34"/>
          <w:szCs w:val="34"/>
        </w:rPr>
        <w:t>社会效益：明显提高遗属人员生活保障。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.项目名称：聘用人员工资。</w:t>
      </w:r>
    </w:p>
    <w:p>
      <w:pPr>
        <w:spacing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立的政策依据：县人大常委会。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40.8万元</w:t>
      </w:r>
    </w:p>
    <w:p>
      <w:pPr>
        <w:spacing w:before="102"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担单位：洛浦县文工团。</w:t>
      </w:r>
    </w:p>
    <w:p>
      <w:pPr>
        <w:spacing w:before="1"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金分配情况：按月发放。</w:t>
      </w:r>
    </w:p>
    <w:p>
      <w:pPr>
        <w:spacing w:before="100" w:line="510" w:lineRule="exact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金执行时间：2022年1月。</w:t>
      </w:r>
    </w:p>
    <w:p>
      <w:pPr>
        <w:spacing w:before="1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金来源：年预算-经费拨款。</w:t>
      </w:r>
    </w:p>
    <w:p>
      <w:pPr>
        <w:spacing w:before="102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补贴人数：16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贴标准：800。</w:t>
      </w:r>
    </w:p>
    <w:p>
      <w:pPr>
        <w:spacing w:before="102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position w:val="11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贴范围：聘用人员。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补贴方式：打卡。</w:t>
      </w:r>
    </w:p>
    <w:p>
      <w:pPr>
        <w:spacing w:before="102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发放程序：按月发放。</w:t>
      </w:r>
    </w:p>
    <w:p>
      <w:pPr>
        <w:spacing w:before="101" w:line="221" w:lineRule="auto"/>
        <w:ind w:left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受益人群和</w:t>
      </w:r>
      <w:r>
        <w:rPr>
          <w:rFonts w:ascii="仿宋" w:hAnsi="仿宋" w:eastAsia="仿宋" w:cs="仿宋"/>
          <w:spacing w:val="-5"/>
          <w:sz w:val="34"/>
          <w:szCs w:val="34"/>
        </w:rPr>
        <w:t>社</w:t>
      </w:r>
      <w:r>
        <w:rPr>
          <w:rFonts w:ascii="仿宋" w:hAnsi="仿宋" w:eastAsia="仿宋" w:cs="仿宋"/>
          <w:spacing w:val="-3"/>
          <w:sz w:val="34"/>
          <w:szCs w:val="34"/>
        </w:rPr>
        <w:t>会效益：保障聘用人员发放工资。</w:t>
      </w:r>
    </w:p>
    <w:p>
      <w:pPr>
        <w:spacing w:before="302" w:line="277" w:lineRule="auto"/>
        <w:ind w:left="9" w:right="43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八、关于洛浦县文工团2022</w:t>
      </w:r>
      <w:r>
        <w:rPr>
          <w:rFonts w:ascii="黑体" w:hAnsi="黑体" w:eastAsia="黑体" w:cs="黑体"/>
          <w:sz w:val="34"/>
          <w:szCs w:val="34"/>
        </w:rPr>
        <w:t xml:space="preserve">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洛浦县文工团2022年一般公共预算“三公”经费数为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68" w:line="288" w:lineRule="auto"/>
        <w:ind w:left="9" w:right="65" w:hanging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3</w:t>
      </w:r>
      <w:r>
        <w:rPr>
          <w:rFonts w:ascii="仿宋" w:hAnsi="仿宋" w:eastAsia="仿宋" w:cs="仿宋"/>
          <w:spacing w:val="12"/>
          <w:sz w:val="34"/>
          <w:szCs w:val="34"/>
        </w:rPr>
        <w:t>.8万元，其中：因公出国(境)费0万元，公务用车购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置费0万元，公务用车运行费3.8万元，公务接待费</w:t>
      </w:r>
      <w:r>
        <w:rPr>
          <w:rFonts w:ascii="仿宋" w:hAnsi="仿宋" w:eastAsia="仿宋" w:cs="仿宋"/>
          <w:sz w:val="34"/>
          <w:szCs w:val="34"/>
        </w:rPr>
        <w:t>0万元</w:t>
      </w:r>
    </w:p>
    <w:p>
      <w:pPr>
        <w:spacing w:before="187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无因公出国。公务用车购置费增加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原因是无公用车辆购买。公务用车</w:t>
      </w:r>
      <w:r>
        <w:rPr>
          <w:rFonts w:ascii="仿宋" w:hAnsi="仿宋" w:eastAsia="仿宋" w:cs="仿宋"/>
          <w:sz w:val="34"/>
          <w:szCs w:val="34"/>
        </w:rPr>
        <w:t xml:space="preserve">运行费增加0万元，增 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长0%，主要原因是无变动。公务</w:t>
      </w:r>
      <w:r>
        <w:rPr>
          <w:rFonts w:ascii="仿宋" w:hAnsi="仿宋" w:eastAsia="仿宋" w:cs="仿宋"/>
          <w:sz w:val="34"/>
          <w:szCs w:val="34"/>
        </w:rPr>
        <w:t xml:space="preserve">接待费增加0万元，增长 </w:t>
      </w:r>
      <w:r>
        <w:rPr>
          <w:rFonts w:ascii="仿宋" w:hAnsi="仿宋" w:eastAsia="仿宋" w:cs="仿宋"/>
          <w:spacing w:val="-4"/>
          <w:sz w:val="34"/>
          <w:szCs w:val="34"/>
        </w:rPr>
        <w:t>0%，主要原因是无公务接待。</w:t>
      </w:r>
    </w:p>
    <w:p>
      <w:pPr>
        <w:spacing w:before="155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九、关于洛浦县文工团2022年政府性基金预算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1" w:line="288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浦县文工团2022年没有使用政府性基金预算拨款安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5" w:line="283" w:lineRule="auto"/>
        <w:ind w:right="1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2022年，洛浦县文工团本级及下</w:t>
      </w:r>
      <w:r>
        <w:rPr>
          <w:rFonts w:ascii="仿宋" w:hAnsi="仿宋" w:eastAsia="仿宋" w:cs="仿宋"/>
          <w:sz w:val="34"/>
          <w:szCs w:val="34"/>
        </w:rPr>
        <w:t xml:space="preserve">属 0 家行政单位和 </w:t>
      </w:r>
      <w:r>
        <w:rPr>
          <w:rFonts w:ascii="仿宋" w:hAnsi="仿宋" w:eastAsia="仿宋" w:cs="仿宋"/>
          <w:spacing w:val="-4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 xml:space="preserve"> 家事业单位的机关运行经费财政拨款预算14.77万元，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比上年预算减少21.08万元，</w:t>
      </w:r>
      <w:r>
        <w:rPr>
          <w:rFonts w:ascii="仿宋" w:hAnsi="仿宋" w:eastAsia="仿宋" w:cs="仿宋"/>
          <w:sz w:val="34"/>
          <w:szCs w:val="34"/>
        </w:rPr>
        <w:t xml:space="preserve">下降58.8%。主要原因是人 </w:t>
      </w:r>
      <w:r>
        <w:rPr>
          <w:rFonts w:ascii="仿宋" w:hAnsi="仿宋" w:eastAsia="仿宋" w:cs="仿宋"/>
          <w:spacing w:val="-12"/>
          <w:sz w:val="34"/>
          <w:szCs w:val="34"/>
        </w:rPr>
        <w:t>员</w:t>
      </w:r>
      <w:r>
        <w:rPr>
          <w:rFonts w:hint="eastAsia" w:ascii="仿宋" w:hAnsi="仿宋" w:eastAsia="仿宋" w:cs="仿宋"/>
          <w:spacing w:val="-12"/>
          <w:sz w:val="34"/>
          <w:szCs w:val="34"/>
          <w:lang w:val="en-US" w:eastAsia="zh-CN"/>
        </w:rPr>
        <w:t>经费</w:t>
      </w:r>
      <w:bookmarkStart w:id="0" w:name="_GoBack"/>
      <w:bookmarkEnd w:id="0"/>
      <w:r>
        <w:rPr>
          <w:rFonts w:ascii="仿宋" w:hAnsi="仿宋" w:eastAsia="仿宋" w:cs="仿宋"/>
          <w:spacing w:val="-11"/>
          <w:sz w:val="34"/>
          <w:szCs w:val="34"/>
        </w:rPr>
        <w:t>变动。</w:t>
      </w:r>
    </w:p>
    <w:p>
      <w:pPr>
        <w:spacing w:before="152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604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2022年，洛浦县文工团政府采购</w:t>
      </w:r>
      <w:r>
        <w:rPr>
          <w:rFonts w:ascii="仿宋" w:hAnsi="仿宋" w:eastAsia="仿宋" w:cs="仿宋"/>
          <w:sz w:val="34"/>
          <w:szCs w:val="34"/>
        </w:rPr>
        <w:t xml:space="preserve">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截至2021年底，洛浦县文工团及下属各预算单位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1.房屋1009平方米，价值33.14万</w:t>
      </w:r>
      <w:r>
        <w:rPr>
          <w:rFonts w:ascii="仿宋" w:hAnsi="仿宋" w:eastAsia="仿宋" w:cs="仿宋"/>
          <w:spacing w:val="-2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81.94万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4"/>
          <w:sz w:val="34"/>
          <w:szCs w:val="34"/>
        </w:rPr>
        <w:t>他车辆 2辆</w:t>
      </w:r>
      <w:r>
        <w:rPr>
          <w:rFonts w:ascii="仿宋" w:hAnsi="仿宋" w:eastAsia="仿宋" w:cs="仿宋"/>
          <w:spacing w:val="-2"/>
          <w:sz w:val="34"/>
          <w:szCs w:val="34"/>
        </w:rPr>
        <w:t>，价值81.94万元。</w:t>
      </w:r>
    </w:p>
    <w:p>
      <w:pPr>
        <w:spacing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3.办公家具价</w:t>
      </w:r>
      <w:r>
        <w:rPr>
          <w:rFonts w:ascii="仿宋" w:hAnsi="仿宋" w:eastAsia="仿宋" w:cs="仿宋"/>
          <w:spacing w:val="-2"/>
          <w:sz w:val="34"/>
          <w:szCs w:val="34"/>
        </w:rPr>
        <w:t>值 13.77万元。</w:t>
      </w:r>
    </w:p>
    <w:p>
      <w:pPr>
        <w:spacing w:before="66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4.其他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产价值59.09万元。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9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3.8万元，安排购 </w:t>
      </w:r>
      <w:r>
        <w:rPr>
          <w:rFonts w:ascii="仿宋" w:hAnsi="仿宋" w:eastAsia="仿宋" w:cs="仿宋"/>
          <w:spacing w:val="22"/>
          <w:sz w:val="34"/>
          <w:szCs w:val="34"/>
        </w:rPr>
        <w:t>置</w:t>
      </w:r>
      <w:r>
        <w:rPr>
          <w:rFonts w:ascii="仿宋" w:hAnsi="仿宋" w:eastAsia="仿宋" w:cs="仿宋"/>
          <w:spacing w:val="19"/>
          <w:sz w:val="34"/>
          <w:szCs w:val="34"/>
        </w:rPr>
        <w:t>5</w:t>
      </w:r>
      <w:r>
        <w:rPr>
          <w:rFonts w:ascii="仿宋" w:hAnsi="仿宋" w:eastAsia="仿宋" w:cs="仿宋"/>
          <w:spacing w:val="11"/>
          <w:sz w:val="34"/>
          <w:szCs w:val="34"/>
        </w:rPr>
        <w:t>0万元以上大型设备0台(套)，单位价值100万元以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0"/>
          <w:sz w:val="34"/>
          <w:szCs w:val="34"/>
        </w:rPr>
        <w:t>上</w:t>
      </w:r>
      <w:r>
        <w:rPr>
          <w:rFonts w:ascii="仿宋" w:hAnsi="仿宋" w:eastAsia="仿宋" w:cs="仿宋"/>
          <w:spacing w:val="24"/>
          <w:sz w:val="34"/>
          <w:szCs w:val="34"/>
        </w:rPr>
        <w:t>大型设备0台(套)。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pacing w:val="13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5个 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57.4万元。具体情况见下表(按项目分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pacing w:val="13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object>
          <v:shape id="_x0000_i1025" o:spt="75" type="#_x0000_t75" style="height:307.65pt;width:393.45pt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  <o:OLEObject Type="Embed" ProgID="Excel.Sheet.12" ShapeID="_x0000_i1025" DrawAspect="Content" ObjectID="_1468075725" r:id="rId6">
            <o:LockedField>false</o:LockedField>
          </o:OLEObject>
        </w:object>
      </w: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spacing w:before="104" w:line="285" w:lineRule="auto"/>
        <w:ind w:left="11" w:right="65" w:firstLine="469"/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object>
          <v:shape id="_x0000_i1026" o:spt="75" type="#_x0000_t75" style="height:339.5pt;width:421.05pt;" o:ole="t" filled="f" o:preferrelative="t" stroked="f" coordsize="21600,21600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  <o:OLEObject Type="Embed" ProgID="Excel.Sheet.12" ShapeID="_x0000_i1026" DrawAspect="Content" ObjectID="_1468075726" r:id="rId8">
            <o:LockedField>false</o:LockedField>
          </o:OLEObject>
        </w:object>
      </w: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object>
          <v:shape id="_x0000_i1027" o:spt="75" type="#_x0000_t75" style="height:323.65pt;width:42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Excel.Sheet.12" ShapeID="_x0000_i1027" DrawAspect="Content" ObjectID="_1468075727" r:id="rId10">
            <o:LockedField>false</o:LockedField>
          </o:OLEObject>
        </w:object>
      </w: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object>
          <v:shape id="_x0000_i1028" o:spt="75" type="#_x0000_t75" style="height:335pt;width:427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f"/>
            <w10:wrap type="none"/>
            <w10:anchorlock/>
          </v:shape>
          <o:OLEObject Type="Embed" ProgID="Excel.Sheet.12" ShapeID="_x0000_i1028" DrawAspect="Content" ObjectID="_1468075728" r:id="rId12">
            <o:LockedField>false</o:LockedField>
          </o:OLEObject>
        </w:object>
      </w: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仿宋" w:hAnsi="仿宋" w:eastAsia="仿宋" w:cs="仿宋"/>
          <w:spacing w:val="13"/>
          <w:sz w:val="34"/>
          <w:szCs w:val="34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  <w:r>
        <w:rPr>
          <w:rFonts w:ascii="Arial"/>
          <w:sz w:val="21"/>
        </w:rPr>
        <w:object>
          <v:shape id="_x0000_i1029" o:spt="75" type="#_x0000_t75" style="height:334.75pt;width:42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f"/>
            <w10:wrap type="none"/>
            <w10:anchorlock/>
          </v:shape>
          <o:OLEObject Type="Embed" ProgID="Excel.Sheet.12" ShapeID="_x0000_i1029" DrawAspect="Content" ObjectID="_1468075729" r:id="rId14">
            <o:LockedField>false</o:LockedField>
          </o:OLEObject>
        </w:objec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浦县文工团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50516AB"/>
    <w:rsid w:val="06395702"/>
    <w:rsid w:val="06570D76"/>
    <w:rsid w:val="12F21D7D"/>
    <w:rsid w:val="25D34E1F"/>
    <w:rsid w:val="296C2008"/>
    <w:rsid w:val="2DDB1064"/>
    <w:rsid w:val="2EA450A1"/>
    <w:rsid w:val="46367C23"/>
    <w:rsid w:val="4F061E69"/>
    <w:rsid w:val="58B8680B"/>
    <w:rsid w:val="65F52E5D"/>
    <w:rsid w:val="677770EF"/>
    <w:rsid w:val="726D30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oleObject" Target="embeddings/oleObject2.bin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5.emf"/><Relationship Id="rId14" Type="http://schemas.openxmlformats.org/officeDocument/2006/relationships/oleObject" Target="embeddings/oleObject5.bin"/><Relationship Id="rId13" Type="http://schemas.openxmlformats.org/officeDocument/2006/relationships/image" Target="media/image4.emf"/><Relationship Id="rId12" Type="http://schemas.openxmlformats.org/officeDocument/2006/relationships/oleObject" Target="embeddings/oleObject4.bin"/><Relationship Id="rId11" Type="http://schemas.openxmlformats.org/officeDocument/2006/relationships/image" Target="media/image3.e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5404</Words>
  <Characters>6422</Characters>
  <TotalTime>2</TotalTime>
  <ScaleCrop>false</ScaleCrop>
  <LinksUpToDate>false</LinksUpToDate>
  <CharactersWithSpaces>6699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Administrator</dc:creator>
  <cp:lastModifiedBy>Garrett·Leo</cp:lastModifiedBy>
  <dcterms:modified xsi:type="dcterms:W3CDTF">2022-08-15T05:50:30Z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2022-07-31T12:08:58Z</vt:filetime>
  </property>
  <property fmtid="{D5CDD505-2E9C-101B-9397-08002B2CF9AE}" pid="4" name="KSOProductBuildVer">
    <vt:lpwstr>2052-11.1.0.12302</vt:lpwstr>
  </property>
  <property fmtid="{D5CDD505-2E9C-101B-9397-08002B2CF9AE}" pid="5" name="ICV">
    <vt:lpwstr>A591B11B40FE4456B7415412E6910ECA</vt:lpwstr>
  </property>
</Properties>
</file>