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4" w:lineRule="auto"/>
      </w:pPr>
    </w:p>
    <w:p>
      <w:pPr>
        <w:spacing w:line="254" w:lineRule="auto"/>
      </w:pPr>
    </w:p>
    <w:p>
      <w:pPr>
        <w:spacing w:before="137" w:line="900" w:lineRule="exact"/>
        <w:ind w:left="231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县市场监督管理局</w:t>
      </w:r>
    </w:p>
    <w:p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277" w:lineRule="auto"/>
        <w:ind w:left="484" w:right="1624" w:hanging="14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第一部分 洛浦县市场监督管理</w:t>
      </w:r>
      <w:r>
        <w:rPr>
          <w:rFonts w:ascii="黑体" w:hAnsi="黑体" w:eastAsia="黑体" w:cs="黑体"/>
          <w:sz w:val="34"/>
          <w:szCs w:val="34"/>
        </w:rPr>
        <w:t xml:space="preserve">局单位概况 </w:t>
      </w: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3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1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5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20" w:right="9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于洛浦县市场监督管理局2022年收支预算情况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的</w:t>
      </w:r>
      <w:r>
        <w:rPr>
          <w:rFonts w:ascii="仿宋" w:hAnsi="仿宋" w:eastAsia="仿宋" w:cs="仿宋"/>
          <w:spacing w:val="-6"/>
          <w:sz w:val="34"/>
          <w:szCs w:val="34"/>
        </w:rPr>
        <w:t>总体说明</w:t>
      </w:r>
    </w:p>
    <w:p>
      <w:pPr>
        <w:spacing w:before="3" w:line="276" w:lineRule="auto"/>
        <w:ind w:left="1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二、关于洛浦县市场</w:t>
      </w:r>
      <w:r>
        <w:rPr>
          <w:rFonts w:ascii="仿宋" w:hAnsi="仿宋" w:eastAsia="仿宋" w:cs="仿宋"/>
          <w:spacing w:val="-1"/>
          <w:sz w:val="34"/>
          <w:szCs w:val="34"/>
        </w:rPr>
        <w:t>监督管理局2022年收入预算情况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说明</w:t>
      </w:r>
    </w:p>
    <w:p>
      <w:pPr>
        <w:spacing w:before="4" w:line="276" w:lineRule="auto"/>
        <w:ind w:left="1" w:right="95" w:firstLine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市场监督管理局2022年支出预算情况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说明</w:t>
      </w:r>
    </w:p>
    <w:p>
      <w:pPr>
        <w:spacing w:before="3" w:line="276" w:lineRule="auto"/>
        <w:ind w:left="2" w:right="95" w:firstLine="51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市场监督管理局2022年财政拨款收支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预算</w:t>
      </w:r>
      <w:r>
        <w:rPr>
          <w:rFonts w:ascii="仿宋" w:hAnsi="仿宋" w:eastAsia="仿宋" w:cs="仿宋"/>
          <w:spacing w:val="-3"/>
          <w:sz w:val="34"/>
          <w:szCs w:val="34"/>
        </w:rPr>
        <w:t>情</w:t>
      </w:r>
      <w:r>
        <w:rPr>
          <w:rFonts w:ascii="仿宋" w:hAnsi="仿宋" w:eastAsia="仿宋" w:cs="仿宋"/>
          <w:spacing w:val="-2"/>
          <w:sz w:val="34"/>
          <w:szCs w:val="34"/>
        </w:rPr>
        <w:t>况的总体说明</w:t>
      </w:r>
    </w:p>
    <w:p>
      <w:pPr>
        <w:spacing w:before="3" w:line="276" w:lineRule="auto"/>
        <w:ind w:left="36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于洛浦县市场监督管理局2022年一般公共预算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当</w:t>
      </w:r>
      <w:r>
        <w:rPr>
          <w:rFonts w:ascii="仿宋" w:hAnsi="仿宋" w:eastAsia="仿宋" w:cs="仿宋"/>
          <w:spacing w:val="-6"/>
          <w:sz w:val="34"/>
          <w:szCs w:val="34"/>
        </w:rPr>
        <w:t>年拨款情况说明</w:t>
      </w:r>
    </w:p>
    <w:p>
      <w:pPr>
        <w:spacing w:before="1" w:line="289" w:lineRule="auto"/>
        <w:ind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、关于洛浦县市场监督管理局2022年一般公共预算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基本</w:t>
      </w:r>
      <w:r>
        <w:rPr>
          <w:rFonts w:ascii="仿宋" w:hAnsi="仿宋" w:eastAsia="仿宋" w:cs="仿宋"/>
          <w:spacing w:val="-2"/>
          <w:sz w:val="34"/>
          <w:szCs w:val="34"/>
        </w:rPr>
        <w:t>支出情况说明</w:t>
      </w:r>
    </w:p>
    <w:p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69" w:line="277" w:lineRule="auto"/>
        <w:ind w:left="37"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浦县市场监督管理局2022年一般公共预算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项目</w:t>
      </w:r>
      <w:r>
        <w:rPr>
          <w:rFonts w:ascii="仿宋" w:hAnsi="仿宋" w:eastAsia="仿宋" w:cs="仿宋"/>
          <w:spacing w:val="-3"/>
          <w:sz w:val="34"/>
          <w:szCs w:val="34"/>
        </w:rPr>
        <w:t>支</w:t>
      </w:r>
      <w:r>
        <w:rPr>
          <w:rFonts w:ascii="仿宋" w:hAnsi="仿宋" w:eastAsia="仿宋" w:cs="仿宋"/>
          <w:spacing w:val="-2"/>
          <w:sz w:val="34"/>
          <w:szCs w:val="34"/>
        </w:rPr>
        <w:t>出情况说明</w:t>
      </w:r>
    </w:p>
    <w:p>
      <w:pPr>
        <w:spacing w:before="3" w:line="276" w:lineRule="auto"/>
        <w:ind w:right="95" w:firstLine="5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八、关于洛浦县市场监督管理局2022年一般公</w:t>
      </w:r>
      <w:r>
        <w:rPr>
          <w:rFonts w:ascii="仿宋" w:hAnsi="仿宋" w:eastAsia="仿宋" w:cs="仿宋"/>
          <w:sz w:val="34"/>
          <w:szCs w:val="34"/>
        </w:rPr>
        <w:t xml:space="preserve">共预算 </w:t>
      </w:r>
      <w:r>
        <w:rPr>
          <w:rFonts w:ascii="仿宋" w:hAnsi="仿宋" w:eastAsia="仿宋" w:cs="仿宋"/>
          <w:spacing w:val="2"/>
          <w:sz w:val="34"/>
          <w:szCs w:val="34"/>
        </w:rPr>
        <w:t>“</w:t>
      </w:r>
      <w:r>
        <w:rPr>
          <w:rFonts w:ascii="仿宋" w:hAnsi="仿宋" w:eastAsia="仿宋" w:cs="仿宋"/>
          <w:spacing w:val="1"/>
          <w:sz w:val="34"/>
          <w:szCs w:val="34"/>
        </w:rPr>
        <w:t>三公”经费预算情况说明</w:t>
      </w:r>
    </w:p>
    <w:p>
      <w:pPr>
        <w:spacing w:before="3" w:line="276" w:lineRule="auto"/>
        <w:ind w:left="35" w:right="95" w:firstLine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九、关于洛浦县市场监</w:t>
      </w:r>
      <w:r>
        <w:rPr>
          <w:rFonts w:ascii="仿宋" w:hAnsi="仿宋" w:eastAsia="仿宋" w:cs="仿宋"/>
          <w:spacing w:val="-1"/>
          <w:sz w:val="34"/>
          <w:szCs w:val="34"/>
        </w:rPr>
        <w:t>督管理局2022年政府性基金预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算拨款</w:t>
      </w:r>
      <w:r>
        <w:rPr>
          <w:rFonts w:ascii="仿宋" w:hAnsi="仿宋" w:eastAsia="仿宋" w:cs="仿宋"/>
          <w:spacing w:val="-2"/>
          <w:sz w:val="34"/>
          <w:szCs w:val="34"/>
        </w:rPr>
        <w:t>情况说明</w:t>
      </w:r>
    </w:p>
    <w:p>
      <w:pPr>
        <w:spacing w:line="710" w:lineRule="exact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50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06" w:header="0" w:footer="0" w:gutter="0"/>
          <w:cols w:space="720" w:num="1"/>
        </w:sectPr>
      </w:pPr>
    </w:p>
    <w:p>
      <w:pPr>
        <w:spacing w:before="84" w:line="221" w:lineRule="auto"/>
        <w:ind w:left="579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洛浦县市场监督管理局单</w:t>
      </w:r>
      <w:r>
        <w:rPr>
          <w:rFonts w:ascii="黑体" w:hAnsi="黑体" w:eastAsia="黑体" w:cs="黑体"/>
          <w:sz w:val="42"/>
          <w:szCs w:val="42"/>
        </w:rPr>
        <w:t>位概况</w:t>
      </w:r>
    </w:p>
    <w:p>
      <w:pPr>
        <w:spacing w:before="276" w:line="222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100" w:line="277" w:lineRule="auto"/>
        <w:ind w:right="12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一)负责市场综合监督管理和知识产权管理。贯彻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执行国家市场监督管理和知识产权管理有关法律和</w:t>
      </w:r>
      <w:r>
        <w:rPr>
          <w:rFonts w:ascii="仿宋" w:hAnsi="仿宋" w:eastAsia="仿宋" w:cs="仿宋"/>
          <w:sz w:val="34"/>
          <w:szCs w:val="34"/>
        </w:rPr>
        <w:t xml:space="preserve">规章 </w:t>
      </w:r>
      <w:r>
        <w:rPr>
          <w:rFonts w:ascii="仿宋" w:hAnsi="仿宋" w:eastAsia="仿宋" w:cs="仿宋"/>
          <w:spacing w:val="-4"/>
          <w:sz w:val="34"/>
          <w:szCs w:val="34"/>
        </w:rPr>
        <w:t>，组</w:t>
      </w:r>
      <w:r>
        <w:rPr>
          <w:rFonts w:ascii="仿宋" w:hAnsi="仿宋" w:eastAsia="仿宋" w:cs="仿宋"/>
          <w:spacing w:val="-3"/>
          <w:sz w:val="34"/>
          <w:szCs w:val="34"/>
        </w:rPr>
        <w:t>织</w:t>
      </w:r>
      <w:r>
        <w:rPr>
          <w:rFonts w:ascii="仿宋" w:hAnsi="仿宋" w:eastAsia="仿宋" w:cs="仿宋"/>
          <w:spacing w:val="-2"/>
          <w:sz w:val="34"/>
          <w:szCs w:val="34"/>
        </w:rPr>
        <w:t>实施有关规划，规范和维护市场秩序，营造诚实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守信</w:t>
      </w:r>
      <w:r>
        <w:rPr>
          <w:rFonts w:ascii="仿宋" w:hAnsi="仿宋" w:eastAsia="仿宋" w:cs="仿宋"/>
          <w:spacing w:val="-6"/>
          <w:sz w:val="34"/>
          <w:szCs w:val="34"/>
        </w:rPr>
        <w:t>、</w:t>
      </w:r>
      <w:r>
        <w:rPr>
          <w:rFonts w:ascii="仿宋" w:hAnsi="仿宋" w:eastAsia="仿宋" w:cs="仿宋"/>
          <w:spacing w:val="-4"/>
          <w:sz w:val="34"/>
          <w:szCs w:val="34"/>
        </w:rPr>
        <w:t>公平竞争的市场环境。</w:t>
      </w:r>
    </w:p>
    <w:p>
      <w:pPr>
        <w:spacing w:line="268" w:lineRule="auto"/>
        <w:ind w:right="235" w:firstLine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1"/>
          <w:sz w:val="34"/>
          <w:szCs w:val="34"/>
        </w:rPr>
        <w:t>(二)负责市场主体的统一登记注册。指导各类企业</w:t>
      </w:r>
      <w:r>
        <w:rPr>
          <w:rFonts w:ascii="仿宋" w:hAnsi="仿宋" w:eastAsia="仿宋" w:cs="仿宋"/>
          <w:spacing w:val="10"/>
          <w:sz w:val="34"/>
          <w:szCs w:val="34"/>
        </w:rPr>
        <w:t>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农民专业合作社和从事经营活动的单位、个体工商</w:t>
      </w:r>
      <w:r>
        <w:rPr>
          <w:rFonts w:ascii="仿宋" w:hAnsi="仿宋" w:eastAsia="仿宋" w:cs="仿宋"/>
          <w:sz w:val="34"/>
          <w:szCs w:val="34"/>
        </w:rPr>
        <w:t xml:space="preserve">户以 </w:t>
      </w:r>
      <w:r>
        <w:rPr>
          <w:rFonts w:ascii="仿宋" w:hAnsi="仿宋" w:eastAsia="仿宋" w:cs="仿宋"/>
          <w:spacing w:val="19"/>
          <w:sz w:val="34"/>
          <w:szCs w:val="34"/>
        </w:rPr>
        <w:t>及</w:t>
      </w:r>
      <w:r>
        <w:rPr>
          <w:rFonts w:ascii="仿宋" w:hAnsi="仿宋" w:eastAsia="仿宋" w:cs="仿宋"/>
          <w:spacing w:val="13"/>
          <w:sz w:val="34"/>
          <w:szCs w:val="34"/>
        </w:rPr>
        <w:t>外国(地区)企业常驻代表机构等市场主体的登记注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册。建立市场主体信息公示和共享机制，依法公示</w:t>
      </w:r>
      <w:r>
        <w:rPr>
          <w:rFonts w:ascii="仿宋" w:hAnsi="仿宋" w:eastAsia="仿宋" w:cs="仿宋"/>
          <w:sz w:val="34"/>
          <w:szCs w:val="34"/>
        </w:rPr>
        <w:t xml:space="preserve">和共 </w:t>
      </w:r>
      <w:r>
        <w:rPr>
          <w:rFonts w:ascii="仿宋" w:hAnsi="仿宋" w:eastAsia="仿宋" w:cs="仿宋"/>
          <w:spacing w:val="-1"/>
          <w:sz w:val="34"/>
          <w:szCs w:val="34"/>
        </w:rPr>
        <w:t>享有关信息，加强信用监管，推动市场主体信用体</w:t>
      </w:r>
      <w:r>
        <w:rPr>
          <w:rFonts w:ascii="仿宋" w:hAnsi="仿宋" w:eastAsia="仿宋" w:cs="仿宋"/>
          <w:sz w:val="34"/>
          <w:szCs w:val="34"/>
        </w:rPr>
        <w:t xml:space="preserve">系建 </w:t>
      </w:r>
      <w:r>
        <w:rPr>
          <w:rFonts w:ascii="仿宋" w:hAnsi="仿宋" w:eastAsia="仿宋" w:cs="仿宋"/>
          <w:spacing w:val="-18"/>
          <w:sz w:val="34"/>
          <w:szCs w:val="34"/>
        </w:rPr>
        <w:t>设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97" w:line="263" w:lineRule="auto"/>
        <w:ind w:left="3" w:right="235" w:hanging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9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三)负责组织和指导市场监管和知识产权综合执法工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作。</w:t>
      </w:r>
      <w:r>
        <w:rPr>
          <w:rFonts w:ascii="仿宋" w:hAnsi="仿宋" w:eastAsia="仿宋" w:cs="仿宋"/>
          <w:spacing w:val="-1"/>
          <w:sz w:val="34"/>
          <w:szCs w:val="34"/>
        </w:rPr>
        <w:t>指导县市场监管综合执法队伍整合和建设，推动实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行统</w:t>
      </w:r>
      <w:r>
        <w:rPr>
          <w:rFonts w:ascii="仿宋" w:hAnsi="仿宋" w:eastAsia="仿宋" w:cs="仿宋"/>
          <w:spacing w:val="-1"/>
          <w:sz w:val="34"/>
          <w:szCs w:val="34"/>
        </w:rPr>
        <w:t>一的市场监管。组织查处重大违法案件。规范市场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监管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4"/>
          <w:sz w:val="34"/>
          <w:szCs w:val="34"/>
        </w:rPr>
        <w:t>知识产权行政执法行为。</w:t>
      </w:r>
    </w:p>
    <w:p>
      <w:pPr>
        <w:spacing w:before="106" w:line="267" w:lineRule="auto"/>
        <w:ind w:left="2" w:right="235" w:hanging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(</w:t>
      </w:r>
      <w:r>
        <w:rPr>
          <w:rFonts w:ascii="仿宋" w:hAnsi="仿宋" w:eastAsia="仿宋" w:cs="仿宋"/>
          <w:spacing w:val="15"/>
          <w:sz w:val="34"/>
          <w:szCs w:val="34"/>
        </w:rPr>
        <w:t>四</w:t>
      </w:r>
      <w:r>
        <w:rPr>
          <w:rFonts w:ascii="仿宋" w:hAnsi="仿宋" w:eastAsia="仿宋" w:cs="仿宋"/>
          <w:spacing w:val="12"/>
          <w:sz w:val="34"/>
          <w:szCs w:val="34"/>
        </w:rPr>
        <w:t>)负责反垄断统一执法。统筹推进竞争政策实施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2"/>
          <w:sz w:val="34"/>
          <w:szCs w:val="34"/>
        </w:rPr>
        <w:t>，指导实施公平竞争审查制度。依据授权负责垄断协</w:t>
      </w:r>
      <w:r>
        <w:rPr>
          <w:rFonts w:ascii="仿宋" w:hAnsi="仿宋" w:eastAsia="仿宋" w:cs="仿宋"/>
          <w:spacing w:val="-1"/>
          <w:sz w:val="34"/>
          <w:szCs w:val="34"/>
        </w:rPr>
        <w:t>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、滥用市</w:t>
      </w:r>
      <w:r>
        <w:rPr>
          <w:rFonts w:ascii="仿宋" w:hAnsi="仿宋" w:eastAsia="仿宋" w:cs="仿宋"/>
          <w:spacing w:val="-2"/>
          <w:sz w:val="34"/>
          <w:szCs w:val="34"/>
        </w:rPr>
        <w:t>场支配地位和滥用行政权力排除、限制竞争等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反垄断执法工作。依法对经营者集中行为进行反垄断审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8"/>
          <w:sz w:val="34"/>
          <w:szCs w:val="34"/>
        </w:rPr>
        <w:t>查</w:t>
      </w:r>
      <w:r>
        <w:rPr>
          <w:rFonts w:ascii="仿宋" w:hAnsi="仿宋" w:eastAsia="仿宋" w:cs="仿宋"/>
          <w:spacing w:val="-17"/>
          <w:sz w:val="34"/>
          <w:szCs w:val="34"/>
        </w:rPr>
        <w:t>。</w:t>
      </w:r>
    </w:p>
    <w:p>
      <w:pPr>
        <w:spacing w:before="86" w:line="269" w:lineRule="auto"/>
        <w:ind w:right="235" w:firstLine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(</w:t>
      </w:r>
      <w:r>
        <w:rPr>
          <w:rFonts w:ascii="仿宋" w:hAnsi="仿宋" w:eastAsia="仿宋" w:cs="仿宋"/>
          <w:spacing w:val="11"/>
          <w:sz w:val="34"/>
          <w:szCs w:val="34"/>
        </w:rPr>
        <w:t>五)负责监督管理市场秩序。依法监督管理市场交易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，网络商品交易及有关服务的行为。组织指</w:t>
      </w:r>
      <w:r>
        <w:rPr>
          <w:rFonts w:ascii="仿宋" w:hAnsi="仿宋" w:eastAsia="仿宋" w:cs="仿宋"/>
          <w:spacing w:val="-1"/>
          <w:sz w:val="34"/>
          <w:szCs w:val="34"/>
        </w:rPr>
        <w:t>导查处价格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收费违法违规、不正当竞争、违法直销、传销、侵</w:t>
      </w:r>
      <w:r>
        <w:rPr>
          <w:rFonts w:ascii="仿宋" w:hAnsi="仿宋" w:eastAsia="仿宋" w:cs="仿宋"/>
          <w:sz w:val="34"/>
          <w:szCs w:val="34"/>
        </w:rPr>
        <w:t xml:space="preserve">犯商 </w:t>
      </w:r>
      <w:r>
        <w:rPr>
          <w:rFonts w:ascii="仿宋" w:hAnsi="仿宋" w:eastAsia="仿宋" w:cs="仿宋"/>
          <w:spacing w:val="-1"/>
          <w:sz w:val="34"/>
          <w:szCs w:val="34"/>
        </w:rPr>
        <w:t>标专利知识产权和制售假冒伪劣商品行为。指导广</w:t>
      </w:r>
      <w:r>
        <w:rPr>
          <w:rFonts w:ascii="仿宋" w:hAnsi="仿宋" w:eastAsia="仿宋" w:cs="仿宋"/>
          <w:sz w:val="34"/>
          <w:szCs w:val="34"/>
        </w:rPr>
        <w:t xml:space="preserve">告业 </w:t>
      </w:r>
      <w:r>
        <w:rPr>
          <w:rFonts w:ascii="仿宋" w:hAnsi="仿宋" w:eastAsia="仿宋" w:cs="仿宋"/>
          <w:spacing w:val="-1"/>
          <w:sz w:val="34"/>
          <w:szCs w:val="34"/>
        </w:rPr>
        <w:t>发展，监督管理广告活动。指导查处无照生产经营</w:t>
      </w:r>
      <w:r>
        <w:rPr>
          <w:rFonts w:ascii="仿宋" w:hAnsi="仿宋" w:eastAsia="仿宋" w:cs="仿宋"/>
          <w:sz w:val="34"/>
          <w:szCs w:val="34"/>
        </w:rPr>
        <w:t xml:space="preserve">和相 </w:t>
      </w:r>
      <w:r>
        <w:rPr>
          <w:rFonts w:ascii="仿宋" w:hAnsi="仿宋" w:eastAsia="仿宋" w:cs="仿宋"/>
          <w:spacing w:val="-1"/>
          <w:sz w:val="34"/>
          <w:szCs w:val="34"/>
        </w:rPr>
        <w:t>关无证生产经营行为。指导洛浦县消费者协会开展</w:t>
      </w:r>
      <w:r>
        <w:rPr>
          <w:rFonts w:ascii="仿宋" w:hAnsi="仿宋" w:eastAsia="仿宋" w:cs="仿宋"/>
          <w:sz w:val="34"/>
          <w:szCs w:val="34"/>
        </w:rPr>
        <w:t xml:space="preserve">消费 </w:t>
      </w:r>
      <w:r>
        <w:rPr>
          <w:rFonts w:ascii="仿宋" w:hAnsi="仿宋" w:eastAsia="仿宋" w:cs="仿宋"/>
          <w:spacing w:val="-14"/>
          <w:sz w:val="34"/>
          <w:szCs w:val="34"/>
        </w:rPr>
        <w:t>维</w:t>
      </w:r>
      <w:r>
        <w:rPr>
          <w:rFonts w:ascii="仿宋" w:hAnsi="仿宋" w:eastAsia="仿宋" w:cs="仿宋"/>
          <w:spacing w:val="-10"/>
          <w:sz w:val="34"/>
          <w:szCs w:val="34"/>
        </w:rPr>
        <w:t>权工作。</w:t>
      </w:r>
    </w:p>
    <w:p>
      <w:pPr>
        <w:sectPr>
          <w:pgSz w:w="11900" w:h="16840"/>
          <w:pgMar w:top="903" w:right="1785" w:bottom="0" w:left="1741" w:header="0" w:footer="0" w:gutter="0"/>
          <w:cols w:space="720" w:num="1"/>
        </w:sectPr>
      </w:pPr>
    </w:p>
    <w:p>
      <w:pPr>
        <w:spacing w:before="65" w:line="266" w:lineRule="auto"/>
        <w:ind w:right="23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2"/>
          <w:sz w:val="34"/>
          <w:szCs w:val="34"/>
        </w:rPr>
        <w:t>(六)负责宏观质量管理。拟订并实施质量发展的制度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措施。统筹质量基础设施建设与应用，会同有关部门</w:t>
      </w:r>
      <w:r>
        <w:rPr>
          <w:rFonts w:ascii="仿宋" w:hAnsi="仿宋" w:eastAsia="仿宋" w:cs="仿宋"/>
          <w:sz w:val="34"/>
          <w:szCs w:val="34"/>
        </w:rPr>
        <w:t xml:space="preserve">组 </w:t>
      </w:r>
      <w:r>
        <w:rPr>
          <w:rFonts w:ascii="仿宋" w:hAnsi="仿宋" w:eastAsia="仿宋" w:cs="仿宋"/>
          <w:spacing w:val="-1"/>
          <w:sz w:val="34"/>
          <w:szCs w:val="34"/>
        </w:rPr>
        <w:t>织实施重大工程设备质量监理制度，组织重大质量事</w:t>
      </w:r>
      <w:r>
        <w:rPr>
          <w:rFonts w:ascii="仿宋" w:hAnsi="仿宋" w:eastAsia="仿宋" w:cs="仿宋"/>
          <w:sz w:val="34"/>
          <w:szCs w:val="34"/>
        </w:rPr>
        <w:t xml:space="preserve">故 </w:t>
      </w:r>
      <w:r>
        <w:rPr>
          <w:rFonts w:ascii="仿宋" w:hAnsi="仿宋" w:eastAsia="仿宋" w:cs="仿宋"/>
          <w:spacing w:val="-1"/>
          <w:sz w:val="34"/>
          <w:szCs w:val="34"/>
        </w:rPr>
        <w:t>调查，组织实施缺陷产品召回制度，监督管理产品防</w:t>
      </w:r>
      <w:r>
        <w:rPr>
          <w:rFonts w:ascii="仿宋" w:hAnsi="仿宋" w:eastAsia="仿宋" w:cs="仿宋"/>
          <w:sz w:val="34"/>
          <w:szCs w:val="34"/>
        </w:rPr>
        <w:t xml:space="preserve">伪 </w:t>
      </w:r>
      <w:r>
        <w:rPr>
          <w:rFonts w:ascii="仿宋" w:hAnsi="仿宋" w:eastAsia="仿宋" w:cs="仿宋"/>
          <w:spacing w:val="-16"/>
          <w:sz w:val="34"/>
          <w:szCs w:val="34"/>
        </w:rPr>
        <w:t>工</w:t>
      </w:r>
      <w:r>
        <w:rPr>
          <w:rFonts w:ascii="仿宋" w:hAnsi="仿宋" w:eastAsia="仿宋" w:cs="仿宋"/>
          <w:spacing w:val="-15"/>
          <w:sz w:val="34"/>
          <w:szCs w:val="34"/>
        </w:rPr>
        <w:t>作。</w:t>
      </w:r>
    </w:p>
    <w:p>
      <w:pPr>
        <w:spacing w:before="102" w:line="263" w:lineRule="auto"/>
        <w:ind w:left="5" w:right="235" w:hanging="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1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七)负责产品质量安全监督管理。负责产品质量安全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监督管理</w:t>
      </w:r>
      <w:r>
        <w:rPr>
          <w:rFonts w:ascii="仿宋" w:hAnsi="仿宋" w:eastAsia="仿宋" w:cs="仿宋"/>
          <w:spacing w:val="-1"/>
          <w:sz w:val="34"/>
          <w:szCs w:val="34"/>
        </w:rPr>
        <w:t>。管理产品质量监督抽查、风险监控工作。组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织实施质</w:t>
      </w:r>
      <w:r>
        <w:rPr>
          <w:rFonts w:ascii="仿宋" w:hAnsi="仿宋" w:eastAsia="仿宋" w:cs="仿宋"/>
          <w:spacing w:val="-1"/>
          <w:sz w:val="34"/>
          <w:szCs w:val="34"/>
        </w:rPr>
        <w:t>量分级制度、质量安全追溯制度。指导工业产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品生产许</w:t>
      </w:r>
      <w:r>
        <w:rPr>
          <w:rFonts w:ascii="仿宋" w:hAnsi="仿宋" w:eastAsia="仿宋" w:cs="仿宋"/>
          <w:spacing w:val="-4"/>
          <w:sz w:val="34"/>
          <w:szCs w:val="34"/>
        </w:rPr>
        <w:t>可</w:t>
      </w:r>
      <w:r>
        <w:rPr>
          <w:rFonts w:ascii="仿宋" w:hAnsi="仿宋" w:eastAsia="仿宋" w:cs="仿宋"/>
          <w:spacing w:val="-3"/>
          <w:sz w:val="34"/>
          <w:szCs w:val="34"/>
        </w:rPr>
        <w:t>管理。负责纤维质量监督工作。</w:t>
      </w:r>
    </w:p>
    <w:p>
      <w:pPr>
        <w:spacing w:before="105" w:line="258" w:lineRule="auto"/>
        <w:ind w:left="4" w:right="235" w:hanging="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7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八)负责特种设备安全监督管理。综合管理特种设备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安全监</w:t>
      </w:r>
      <w:r>
        <w:rPr>
          <w:rFonts w:ascii="仿宋" w:hAnsi="仿宋" w:eastAsia="仿宋" w:cs="仿宋"/>
          <w:spacing w:val="-1"/>
          <w:sz w:val="34"/>
          <w:szCs w:val="34"/>
        </w:rPr>
        <w:t>察、监督工作，监督检查高耗能特种设备节能标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准</w:t>
      </w:r>
      <w:r>
        <w:rPr>
          <w:rFonts w:ascii="仿宋" w:hAnsi="仿宋" w:eastAsia="仿宋" w:cs="仿宋"/>
          <w:spacing w:val="-4"/>
          <w:sz w:val="34"/>
          <w:szCs w:val="34"/>
        </w:rPr>
        <w:t>和锅炉环境保护标准的执行情况。</w:t>
      </w:r>
    </w:p>
    <w:p>
      <w:pPr>
        <w:spacing w:before="103" w:line="263" w:lineRule="auto"/>
        <w:ind w:left="4" w:right="235" w:hanging="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1"/>
          <w:sz w:val="34"/>
          <w:szCs w:val="34"/>
        </w:rPr>
        <w:t>(九)负责食品安全监督管理综合协调。组织制定食</w:t>
      </w:r>
      <w:r>
        <w:rPr>
          <w:rFonts w:ascii="仿宋" w:hAnsi="仿宋" w:eastAsia="仿宋" w:cs="仿宋"/>
          <w:spacing w:val="8"/>
          <w:sz w:val="34"/>
          <w:szCs w:val="34"/>
        </w:rPr>
        <w:t>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安全重</w:t>
      </w:r>
      <w:r>
        <w:rPr>
          <w:rFonts w:ascii="仿宋" w:hAnsi="仿宋" w:eastAsia="仿宋" w:cs="仿宋"/>
          <w:spacing w:val="-1"/>
          <w:sz w:val="34"/>
          <w:szCs w:val="34"/>
        </w:rPr>
        <w:t>大政策并组织实施。负责食品安全应急体系建设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，组织指</w:t>
      </w:r>
      <w:r>
        <w:rPr>
          <w:rFonts w:ascii="仿宋" w:hAnsi="仿宋" w:eastAsia="仿宋" w:cs="仿宋"/>
          <w:spacing w:val="-2"/>
          <w:sz w:val="34"/>
          <w:szCs w:val="34"/>
        </w:rPr>
        <w:t>导重大食品安全事件应急处置和调查处理工作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。建立健</w:t>
      </w:r>
      <w:r>
        <w:rPr>
          <w:rFonts w:ascii="仿宋" w:hAnsi="仿宋" w:eastAsia="仿宋" w:cs="仿宋"/>
          <w:spacing w:val="-5"/>
          <w:sz w:val="34"/>
          <w:szCs w:val="34"/>
        </w:rPr>
        <w:t>全</w:t>
      </w:r>
      <w:r>
        <w:rPr>
          <w:rFonts w:ascii="仿宋" w:hAnsi="仿宋" w:eastAsia="仿宋" w:cs="仿宋"/>
          <w:spacing w:val="-3"/>
          <w:sz w:val="34"/>
          <w:szCs w:val="34"/>
        </w:rPr>
        <w:t>食品安全重要信息直报制度。</w:t>
      </w:r>
    </w:p>
    <w:p>
      <w:pPr>
        <w:spacing w:before="104" w:line="269" w:lineRule="auto"/>
        <w:ind w:left="1" w:right="235" w:hanging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7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十)负责食品安全监督管理。建立覆盖食品生产、流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通、消费全过程的监督检查制度和隐患排查治理机制并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组织实施，防范区域性、系统性食品安全风险。推动建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立食品生产经营者落实主体责任的机制，健全食品安全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追溯体系。组织开展食品安全监督抽检、风险监测、检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查处置和风险预警、风险交流工作。组织实施特殊食品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注册核查、备案和监督管理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</w:p>
    <w:p>
      <w:pPr>
        <w:spacing w:before="97" w:line="281" w:lineRule="auto"/>
        <w:ind w:right="23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十一)负责统一管理计量工作。执行国家计量制度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3"/>
          <w:sz w:val="34"/>
          <w:szCs w:val="34"/>
        </w:rPr>
        <w:t>，</w:t>
      </w:r>
      <w:r>
        <w:rPr>
          <w:rFonts w:ascii="仿宋" w:hAnsi="仿宋" w:eastAsia="仿宋" w:cs="仿宋"/>
          <w:spacing w:val="-2"/>
          <w:sz w:val="34"/>
          <w:szCs w:val="34"/>
        </w:rPr>
        <w:t>推行国家法定计量单位，依法管理计量器具及量值传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递和比对工作。规范、监督商品量和市场计量行为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十二)负责统一管理标准化工作。依法承担地方标准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的立项、编号、制定和发布等工作。依法协调指导和</w:t>
      </w:r>
      <w:r>
        <w:rPr>
          <w:rFonts w:ascii="仿宋" w:hAnsi="仿宋" w:eastAsia="仿宋" w:cs="仿宋"/>
          <w:sz w:val="34"/>
          <w:szCs w:val="34"/>
        </w:rPr>
        <w:t xml:space="preserve">监 </w:t>
      </w:r>
      <w:r>
        <w:rPr>
          <w:rFonts w:ascii="仿宋" w:hAnsi="仿宋" w:eastAsia="仿宋" w:cs="仿宋"/>
          <w:spacing w:val="-8"/>
          <w:sz w:val="34"/>
          <w:szCs w:val="34"/>
        </w:rPr>
        <w:t>督</w:t>
      </w:r>
      <w:r>
        <w:rPr>
          <w:rFonts w:ascii="仿宋" w:hAnsi="仿宋" w:eastAsia="仿宋" w:cs="仿宋"/>
          <w:spacing w:val="-4"/>
          <w:sz w:val="34"/>
          <w:szCs w:val="34"/>
        </w:rPr>
        <w:t>团体标准、企业标准制定工作。</w:t>
      </w:r>
    </w:p>
    <w:p>
      <w:pPr>
        <w:sectPr>
          <w:pgSz w:w="11900" w:h="16840"/>
          <w:pgMar w:top="868" w:right="1785" w:bottom="0" w:left="1742" w:header="0" w:footer="0" w:gutter="0"/>
          <w:cols w:space="720" w:num="1"/>
        </w:sectPr>
      </w:pPr>
    </w:p>
    <w:p>
      <w:pPr>
        <w:spacing w:before="69" w:line="277" w:lineRule="auto"/>
        <w:ind w:left="6" w:right="235" w:firstLine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十三)负责统一管理检验检测工作。推进检验检测机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构改革，规范检验检测市场，完善检验检测体系，</w:t>
      </w:r>
      <w:r>
        <w:rPr>
          <w:rFonts w:ascii="仿宋" w:hAnsi="仿宋" w:eastAsia="仿宋" w:cs="仿宋"/>
          <w:sz w:val="34"/>
          <w:szCs w:val="34"/>
        </w:rPr>
        <w:t xml:space="preserve">指导 </w:t>
      </w:r>
      <w:r>
        <w:rPr>
          <w:rFonts w:ascii="仿宋" w:hAnsi="仿宋" w:eastAsia="仿宋" w:cs="仿宋"/>
          <w:spacing w:val="-10"/>
          <w:sz w:val="34"/>
          <w:szCs w:val="34"/>
        </w:rPr>
        <w:t>协</w:t>
      </w:r>
      <w:r>
        <w:rPr>
          <w:rFonts w:ascii="仿宋" w:hAnsi="仿宋" w:eastAsia="仿宋" w:cs="仿宋"/>
          <w:spacing w:val="-6"/>
          <w:sz w:val="34"/>
          <w:szCs w:val="34"/>
        </w:rPr>
        <w:t>调</w:t>
      </w:r>
      <w:r>
        <w:rPr>
          <w:rFonts w:ascii="仿宋" w:hAnsi="仿宋" w:eastAsia="仿宋" w:cs="仿宋"/>
          <w:spacing w:val="-5"/>
          <w:sz w:val="34"/>
          <w:szCs w:val="34"/>
        </w:rPr>
        <w:t>检验检测行业发展。</w:t>
      </w:r>
    </w:p>
    <w:p>
      <w:pPr>
        <w:spacing w:before="5" w:line="276" w:lineRule="auto"/>
        <w:ind w:left="8" w:right="256" w:hanging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2"/>
          <w:sz w:val="34"/>
          <w:szCs w:val="34"/>
        </w:rPr>
        <w:t>(十四)负责统一管理、监督和综合协调认证认可工作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。建立并组织实施统一的认证认可和合格评定监督</w:t>
      </w:r>
      <w:r>
        <w:rPr>
          <w:rFonts w:ascii="仿宋" w:hAnsi="仿宋" w:eastAsia="仿宋" w:cs="仿宋"/>
          <w:spacing w:val="-1"/>
          <w:sz w:val="34"/>
          <w:szCs w:val="34"/>
        </w:rPr>
        <w:t>管</w:t>
      </w:r>
      <w:r>
        <w:rPr>
          <w:rFonts w:ascii="仿宋" w:hAnsi="仿宋" w:eastAsia="仿宋" w:cs="仿宋"/>
          <w:sz w:val="34"/>
          <w:szCs w:val="34"/>
        </w:rPr>
        <w:t xml:space="preserve">理 </w:t>
      </w:r>
      <w:r>
        <w:rPr>
          <w:rFonts w:ascii="仿宋" w:hAnsi="仿宋" w:eastAsia="仿宋" w:cs="仿宋"/>
          <w:spacing w:val="-17"/>
          <w:sz w:val="34"/>
          <w:szCs w:val="34"/>
        </w:rPr>
        <w:t>制</w:t>
      </w:r>
      <w:r>
        <w:rPr>
          <w:rFonts w:ascii="仿宋" w:hAnsi="仿宋" w:eastAsia="仿宋" w:cs="仿宋"/>
          <w:spacing w:val="-15"/>
          <w:sz w:val="34"/>
          <w:szCs w:val="34"/>
        </w:rPr>
        <w:t>度。</w:t>
      </w:r>
    </w:p>
    <w:p>
      <w:pPr>
        <w:spacing w:before="5" w:line="276" w:lineRule="auto"/>
        <w:ind w:left="6" w:right="235" w:firstLine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7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十五)负责市场监督管理和知识产权科技与信息化建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设、新闻宣传，以及对外交流合作。按规定承担技</w:t>
      </w:r>
      <w:r>
        <w:rPr>
          <w:rFonts w:ascii="仿宋" w:hAnsi="仿宋" w:eastAsia="仿宋" w:cs="仿宋"/>
          <w:sz w:val="34"/>
          <w:szCs w:val="34"/>
        </w:rPr>
        <w:t xml:space="preserve">术性 </w:t>
      </w:r>
      <w:r>
        <w:rPr>
          <w:rFonts w:ascii="仿宋" w:hAnsi="仿宋" w:eastAsia="仿宋" w:cs="仿宋"/>
          <w:spacing w:val="-12"/>
          <w:sz w:val="34"/>
          <w:szCs w:val="34"/>
        </w:rPr>
        <w:t>贸</w:t>
      </w:r>
      <w:r>
        <w:rPr>
          <w:rFonts w:ascii="仿宋" w:hAnsi="仿宋" w:eastAsia="仿宋" w:cs="仿宋"/>
          <w:spacing w:val="-6"/>
          <w:sz w:val="34"/>
          <w:szCs w:val="34"/>
        </w:rPr>
        <w:t>易措施有关工作。</w:t>
      </w:r>
    </w:p>
    <w:p>
      <w:pPr>
        <w:spacing w:before="11" w:line="276" w:lineRule="auto"/>
        <w:ind w:left="6" w:right="235" w:firstLine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十六)负责促进知识产权运用。拟订实施知识产权激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励奖励制度、知识产</w:t>
      </w:r>
      <w:r>
        <w:rPr>
          <w:rFonts w:ascii="仿宋" w:hAnsi="仿宋" w:eastAsia="仿宋" w:cs="仿宋"/>
          <w:spacing w:val="-3"/>
          <w:sz w:val="34"/>
          <w:szCs w:val="34"/>
        </w:rPr>
        <w:t>权</w:t>
      </w:r>
      <w:r>
        <w:rPr>
          <w:rFonts w:ascii="仿宋" w:hAnsi="仿宋" w:eastAsia="仿宋" w:cs="仿宋"/>
          <w:spacing w:val="-2"/>
          <w:sz w:val="34"/>
          <w:szCs w:val="34"/>
        </w:rPr>
        <w:t>转化运用和交易运营政策措施。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指导落实商标、专利、原产地地理标志申请的审查</w:t>
      </w:r>
      <w:r>
        <w:rPr>
          <w:rFonts w:ascii="仿宋" w:hAnsi="仿宋" w:eastAsia="仿宋" w:cs="仿宋"/>
          <w:sz w:val="34"/>
          <w:szCs w:val="34"/>
        </w:rPr>
        <w:t xml:space="preserve">、确 </w:t>
      </w:r>
      <w:r>
        <w:rPr>
          <w:rFonts w:ascii="仿宋" w:hAnsi="仿宋" w:eastAsia="仿宋" w:cs="仿宋"/>
          <w:spacing w:val="-1"/>
          <w:sz w:val="34"/>
          <w:szCs w:val="34"/>
        </w:rPr>
        <w:t>权相关前置服务工作。指导知识产权无形资产评估</w:t>
      </w:r>
      <w:r>
        <w:rPr>
          <w:rFonts w:ascii="仿宋" w:hAnsi="仿宋" w:eastAsia="仿宋" w:cs="仿宋"/>
          <w:sz w:val="34"/>
          <w:szCs w:val="34"/>
        </w:rPr>
        <w:t xml:space="preserve">、审 </w:t>
      </w:r>
      <w:r>
        <w:rPr>
          <w:rFonts w:ascii="仿宋" w:hAnsi="仿宋" w:eastAsia="仿宋" w:cs="仿宋"/>
          <w:spacing w:val="-1"/>
          <w:sz w:val="34"/>
          <w:szCs w:val="34"/>
        </w:rPr>
        <w:t>查评议工作。指导和促进知识产权服务业发展。统</w:t>
      </w:r>
      <w:r>
        <w:rPr>
          <w:rFonts w:ascii="仿宋" w:hAnsi="仿宋" w:eastAsia="仿宋" w:cs="仿宋"/>
          <w:sz w:val="34"/>
          <w:szCs w:val="34"/>
        </w:rPr>
        <w:t xml:space="preserve">筹指 </w:t>
      </w:r>
      <w:r>
        <w:rPr>
          <w:rFonts w:ascii="仿宋" w:hAnsi="仿宋" w:eastAsia="仿宋" w:cs="仿宋"/>
          <w:spacing w:val="-1"/>
          <w:sz w:val="34"/>
          <w:szCs w:val="34"/>
        </w:rPr>
        <w:t>导知识产权公共服务体系建设，推动知识产权信息</w:t>
      </w:r>
      <w:r>
        <w:rPr>
          <w:rFonts w:ascii="仿宋" w:hAnsi="仿宋" w:eastAsia="仿宋" w:cs="仿宋"/>
          <w:sz w:val="34"/>
          <w:szCs w:val="34"/>
        </w:rPr>
        <w:t xml:space="preserve">传播 </w:t>
      </w:r>
      <w:r>
        <w:rPr>
          <w:rFonts w:ascii="仿宋" w:hAnsi="仿宋" w:eastAsia="仿宋" w:cs="仿宋"/>
          <w:spacing w:val="-15"/>
          <w:sz w:val="34"/>
          <w:szCs w:val="34"/>
        </w:rPr>
        <w:t>利用。</w:t>
      </w:r>
    </w:p>
    <w:p>
      <w:pPr>
        <w:spacing w:before="8" w:line="276" w:lineRule="auto"/>
        <w:ind w:left="6" w:right="235" w:firstLine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7"/>
          <w:sz w:val="34"/>
          <w:szCs w:val="34"/>
        </w:rPr>
        <w:t>(</w:t>
      </w:r>
      <w:r>
        <w:rPr>
          <w:rFonts w:ascii="仿宋" w:hAnsi="仿宋" w:eastAsia="仿宋" w:cs="仿宋"/>
          <w:spacing w:val="11"/>
          <w:sz w:val="34"/>
          <w:szCs w:val="34"/>
        </w:rPr>
        <w:t>十七)负责保护知识产权。负责组织指导商标、专利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执法工作，指导知识产权争议处理、维权援助和纠</w:t>
      </w:r>
      <w:r>
        <w:rPr>
          <w:rFonts w:ascii="仿宋" w:hAnsi="仿宋" w:eastAsia="仿宋" w:cs="仿宋"/>
          <w:sz w:val="34"/>
          <w:szCs w:val="34"/>
        </w:rPr>
        <w:t xml:space="preserve">纷调 </w:t>
      </w:r>
      <w:r>
        <w:rPr>
          <w:rFonts w:ascii="仿宋" w:hAnsi="仿宋" w:eastAsia="仿宋" w:cs="仿宋"/>
          <w:spacing w:val="-1"/>
          <w:sz w:val="34"/>
          <w:szCs w:val="34"/>
        </w:rPr>
        <w:t>处。组织指导知识产权预警和涉外保护工作。拟订</w:t>
      </w:r>
      <w:r>
        <w:rPr>
          <w:rFonts w:ascii="仿宋" w:hAnsi="仿宋" w:eastAsia="仿宋" w:cs="仿宋"/>
          <w:sz w:val="34"/>
          <w:szCs w:val="34"/>
        </w:rPr>
        <w:t xml:space="preserve">实施 </w:t>
      </w:r>
      <w:r>
        <w:rPr>
          <w:rFonts w:ascii="仿宋" w:hAnsi="仿宋" w:eastAsia="仿宋" w:cs="仿宋"/>
          <w:spacing w:val="-1"/>
          <w:sz w:val="34"/>
          <w:szCs w:val="34"/>
        </w:rPr>
        <w:t>鼓励新领域、新业态、新模式创新的知识产权保护</w:t>
      </w:r>
      <w:r>
        <w:rPr>
          <w:rFonts w:ascii="仿宋" w:hAnsi="仿宋" w:eastAsia="仿宋" w:cs="仿宋"/>
          <w:sz w:val="34"/>
          <w:szCs w:val="34"/>
        </w:rPr>
        <w:t xml:space="preserve">、管 </w:t>
      </w:r>
      <w:r>
        <w:rPr>
          <w:rFonts w:ascii="仿宋" w:hAnsi="仿宋" w:eastAsia="仿宋" w:cs="仿宋"/>
          <w:spacing w:val="-10"/>
          <w:sz w:val="34"/>
          <w:szCs w:val="34"/>
        </w:rPr>
        <w:t>理</w:t>
      </w:r>
      <w:r>
        <w:rPr>
          <w:rFonts w:ascii="仿宋" w:hAnsi="仿宋" w:eastAsia="仿宋" w:cs="仿宋"/>
          <w:spacing w:val="-8"/>
          <w:sz w:val="34"/>
          <w:szCs w:val="34"/>
        </w:rPr>
        <w:t>和服务政策。</w:t>
      </w:r>
    </w:p>
    <w:p>
      <w:pPr>
        <w:spacing w:before="3" w:line="288" w:lineRule="auto"/>
        <w:ind w:left="56" w:right="960" w:hanging="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十八)承担洛浦县食品安全委员会的具体工作。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4"/>
          <w:sz w:val="34"/>
          <w:szCs w:val="34"/>
        </w:rPr>
        <w:t>(十九)</w:t>
      </w:r>
      <w:r>
        <w:rPr>
          <w:rFonts w:ascii="仿宋" w:hAnsi="仿宋" w:eastAsia="仿宋" w:cs="仿宋"/>
          <w:spacing w:val="3"/>
          <w:sz w:val="34"/>
          <w:szCs w:val="34"/>
        </w:rPr>
        <w:t>完</w:t>
      </w:r>
      <w:r>
        <w:rPr>
          <w:rFonts w:ascii="仿宋" w:hAnsi="仿宋" w:eastAsia="仿宋" w:cs="仿宋"/>
          <w:spacing w:val="2"/>
          <w:sz w:val="34"/>
          <w:szCs w:val="34"/>
        </w:rPr>
        <w:t>成县委、县人民政府交办的其他任务。</w:t>
      </w:r>
    </w:p>
    <w:p>
      <w:pPr>
        <w:spacing w:before="155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3" w:line="277" w:lineRule="auto"/>
        <w:ind w:right="6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洛浦县市</w:t>
      </w:r>
      <w:r>
        <w:rPr>
          <w:rFonts w:ascii="仿宋" w:hAnsi="仿宋" w:eastAsia="仿宋" w:cs="仿宋"/>
          <w:spacing w:val="-1"/>
          <w:sz w:val="34"/>
          <w:szCs w:val="34"/>
        </w:rPr>
        <w:t>场监督管理局单位无下属预算单位，下设6个处室，分别是：办公室、食品</w:t>
      </w:r>
      <w:r>
        <w:rPr>
          <w:rFonts w:ascii="仿宋" w:hAnsi="仿宋" w:eastAsia="仿宋" w:cs="仿宋"/>
          <w:sz w:val="34"/>
          <w:szCs w:val="34"/>
        </w:rPr>
        <w:t xml:space="preserve">科、药品科、工商综合 </w:t>
      </w:r>
      <w:r>
        <w:rPr>
          <w:rFonts w:ascii="仿宋" w:hAnsi="仿宋" w:eastAsia="仿宋" w:cs="仿宋"/>
          <w:spacing w:val="-8"/>
          <w:sz w:val="34"/>
          <w:szCs w:val="34"/>
        </w:rPr>
        <w:t>业</w:t>
      </w: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4"/>
          <w:sz w:val="34"/>
          <w:szCs w:val="34"/>
        </w:rPr>
        <w:t>科、注册科、财务室。</w:t>
      </w:r>
    </w:p>
    <w:p>
      <w:pPr>
        <w:spacing w:before="2" w:line="220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县市场监督管理局单位编制数62人，实有人数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70" w:line="288" w:lineRule="auto"/>
        <w:ind w:left="8" w:right="65" w:hanging="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116人，其中：在</w:t>
      </w:r>
      <w:r>
        <w:rPr>
          <w:rFonts w:ascii="仿宋" w:hAnsi="仿宋" w:eastAsia="仿宋" w:cs="仿宋"/>
          <w:spacing w:val="-1"/>
          <w:sz w:val="34"/>
          <w:szCs w:val="34"/>
        </w:rPr>
        <w:t>职74人，增加4人；退休42人，增加0人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；</w:t>
      </w:r>
      <w:r>
        <w:rPr>
          <w:rFonts w:ascii="仿宋" w:hAnsi="仿宋" w:eastAsia="仿宋" w:cs="仿宋"/>
          <w:spacing w:val="-7"/>
          <w:sz w:val="34"/>
          <w:szCs w:val="34"/>
        </w:rPr>
        <w:t>离休0人，增加0人。</w:t>
      </w:r>
    </w:p>
    <w:p>
      <w:pPr>
        <w:sectPr>
          <w:pgSz w:w="11900" w:h="16840"/>
          <w:pgMar w:top="868" w:right="1785" w:bottom="0" w:left="1757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</w:pPr>
    </w:p>
    <w:p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eastAsia="Arial"/>
        </w:rPr>
        <w:pict>
          <v:shape id="_x0000_s1026" o:spid="_x0000_s1026" o:spt="202" type="#_x0000_t202" style="position:absolute;left:0pt;margin-left:372.1pt;margin-top:40pt;height:14pt;width:46.15pt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编制单位：洛浦县市场监督管理</w:t>
      </w:r>
      <w:r>
        <w:rPr>
          <w:rFonts w:ascii="仿宋" w:hAnsi="仿宋" w:eastAsia="仿宋" w:cs="仿宋"/>
          <w:sz w:val="20"/>
          <w:szCs w:val="20"/>
        </w:rPr>
        <w:t>局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7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1552.7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5" w:lineRule="auto"/>
              <w:ind w:left="2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1360.7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7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1552.7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2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91.97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1552.7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2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1552.7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</w:tr>
    </w:tbl>
    <w:p/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编制单位：洛浦县市场监督管理</w:t>
      </w:r>
      <w:r>
        <w:rPr>
          <w:rFonts w:ascii="仿宋" w:hAnsi="仿宋" w:eastAsia="仿宋" w:cs="仿宋"/>
          <w:sz w:val="20"/>
          <w:szCs w:val="20"/>
        </w:rPr>
        <w:t>局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420" w:lineRule="auto"/>
            </w:pPr>
          </w:p>
          <w:p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5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3" w:line="179" w:lineRule="auto"/>
              <w:ind w:left="442" w:right="34" w:hanging="3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60.7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3" w:line="179" w:lineRule="auto"/>
              <w:ind w:left="443" w:right="34" w:hanging="3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60.7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5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0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6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市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场监督管理事务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3" w:line="179" w:lineRule="auto"/>
              <w:ind w:left="442" w:right="34" w:hanging="3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60.7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3" w:line="179" w:lineRule="auto"/>
              <w:ind w:left="443" w:right="34" w:hanging="3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60.7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1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0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4" w:line="179" w:lineRule="auto"/>
              <w:ind w:left="440" w:right="34" w:hanging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14.6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4" w:line="179" w:lineRule="auto"/>
              <w:ind w:left="441" w:right="34" w:hanging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14.6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市场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秩序执法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6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6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1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食品安全监管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37.69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37.69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91.97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91.97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91.97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91.97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7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27.98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7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27.98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8" w:line="187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7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63.99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7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63.99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9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7" w:line="180" w:lineRule="auto"/>
              <w:ind w:left="441" w:right="34" w:hanging="3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52.7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7" w:line="180" w:lineRule="auto"/>
              <w:ind w:left="442" w:right="34" w:hanging="3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52.7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编制单位：洛浦县市场监督管理</w:t>
      </w:r>
      <w:r>
        <w:rPr>
          <w:rFonts w:ascii="仿宋" w:hAnsi="仿宋" w:eastAsia="仿宋" w:cs="仿宋"/>
          <w:sz w:val="20"/>
          <w:szCs w:val="20"/>
        </w:rPr>
        <w:t>局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5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1360.7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7" w:lineRule="auto"/>
              <w:ind w:left="2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1271.5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89.2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市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场监督管理事务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5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1360.7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2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1271.5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89.2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1314.6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2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1271.5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.17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市场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秩序执法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6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6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4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食品安全监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37.69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37.69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91.97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91.97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91.97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91.97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27.98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27.98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63.99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63.99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1552.7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2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1463.4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89.2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编制单位：洛浦县市场监督管理</w:t>
      </w:r>
      <w:r>
        <w:rPr>
          <w:rFonts w:ascii="仿宋" w:hAnsi="仿宋" w:eastAsia="仿宋" w:cs="仿宋"/>
          <w:sz w:val="20"/>
          <w:szCs w:val="20"/>
        </w:rPr>
        <w:t>局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7" w:lineRule="auto"/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7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1552.7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5" w:lineRule="auto"/>
              <w:ind w:left="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1360.7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5" w:lineRule="auto"/>
              <w:ind w:left="5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1360.7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7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1552.7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1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91.97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13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91.97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1552.7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1552.7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5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1552.7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编制单位：洛浦县市场监督管理</w:t>
      </w:r>
      <w:r>
        <w:rPr>
          <w:rFonts w:ascii="仿宋" w:hAnsi="仿宋" w:eastAsia="仿宋" w:cs="仿宋"/>
          <w:sz w:val="20"/>
          <w:szCs w:val="20"/>
        </w:rPr>
        <w:t>局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5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1360.7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7" w:lineRule="auto"/>
              <w:ind w:left="2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1271.5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89.2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市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场监督管理事务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5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1360.7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2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1271.5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89.2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1314.6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2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1271.5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.17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市场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秩序执法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6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6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4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食品安全监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37.69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37.69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91.97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91.97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91.97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91.97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27.98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27.98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63.99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63.99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1552.7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2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1463.4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89.2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编制单位：洛浦县市场监督管理</w:t>
      </w:r>
      <w:r>
        <w:rPr>
          <w:rFonts w:ascii="仿宋" w:hAnsi="仿宋" w:eastAsia="仿宋" w:cs="仿宋"/>
          <w:sz w:val="20"/>
          <w:szCs w:val="20"/>
        </w:rPr>
        <w:t>局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1348.9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1348.9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317.23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317.23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7.28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7.28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90</w:t>
            </w:r>
            <w:r>
              <w:rPr>
                <w:rFonts w:ascii="黑体" w:hAnsi="黑体" w:eastAsia="黑体" w:cs="黑体"/>
                <w:sz w:val="16"/>
                <w:szCs w:val="16"/>
              </w:rPr>
              <w:t>.36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90</w:t>
            </w:r>
            <w:r>
              <w:rPr>
                <w:rFonts w:ascii="黑体" w:hAnsi="黑体" w:eastAsia="黑体" w:cs="黑体"/>
                <w:sz w:val="16"/>
                <w:szCs w:val="16"/>
              </w:rPr>
              <w:t>.36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27.98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27.98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63.99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63.99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6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51.</w:t>
            </w:r>
            <w:r>
              <w:rPr>
                <w:rFonts w:ascii="黑体" w:hAnsi="黑体" w:eastAsia="黑体" w:cs="黑体"/>
                <w:sz w:val="16"/>
                <w:szCs w:val="16"/>
              </w:rPr>
              <w:t>99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6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51.</w:t>
            </w:r>
            <w:r>
              <w:rPr>
                <w:rFonts w:ascii="黑体" w:hAnsi="黑体" w:eastAsia="黑体" w:cs="黑体"/>
                <w:sz w:val="16"/>
                <w:szCs w:val="16"/>
              </w:rPr>
              <w:t>99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35.76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35.76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8.34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8.34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6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95</w:t>
            </w:r>
            <w:r>
              <w:rPr>
                <w:rFonts w:ascii="黑体" w:hAnsi="黑体" w:eastAsia="黑体" w:cs="黑体"/>
                <w:sz w:val="16"/>
                <w:szCs w:val="16"/>
              </w:rPr>
              <w:t>.98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6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95</w:t>
            </w:r>
            <w:r>
              <w:rPr>
                <w:rFonts w:ascii="黑体" w:hAnsi="黑体" w:eastAsia="黑体" w:cs="黑体"/>
                <w:sz w:val="16"/>
                <w:szCs w:val="16"/>
              </w:rPr>
              <w:t>.98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38.29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6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38.29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9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22.2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9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22.2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6.09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6.09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6.29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6.29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5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68.81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5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68.81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03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.45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.45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1463.4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425.2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6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38.29</w:t>
            </w:r>
          </w:p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编制单位：洛浦县市场监督管理</w:t>
      </w:r>
      <w:r>
        <w:rPr>
          <w:rFonts w:ascii="仿宋" w:hAnsi="仿宋" w:eastAsia="仿宋" w:cs="仿宋"/>
          <w:sz w:val="20"/>
          <w:szCs w:val="20"/>
        </w:rPr>
        <w:t>局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3"/>
        <w:gridCol w:w="508"/>
        <w:gridCol w:w="508"/>
        <w:gridCol w:w="683"/>
        <w:gridCol w:w="595"/>
        <w:gridCol w:w="508"/>
        <w:gridCol w:w="508"/>
        <w:gridCol w:w="508"/>
        <w:gridCol w:w="507"/>
        <w:gridCol w:w="508"/>
        <w:gridCol w:w="508"/>
        <w:gridCol w:w="508"/>
        <w:gridCol w:w="508"/>
        <w:gridCol w:w="508"/>
        <w:gridCol w:w="508"/>
        <w:gridCol w:w="5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529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36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68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4" w:lineRule="auto"/>
            </w:pPr>
          </w:p>
          <w:p>
            <w:pPr>
              <w:spacing w:line="254" w:lineRule="auto"/>
            </w:pPr>
          </w:p>
          <w:p>
            <w:pPr>
              <w:spacing w:line="254" w:lineRule="auto"/>
            </w:pPr>
          </w:p>
          <w:p>
            <w:pPr>
              <w:spacing w:line="255" w:lineRule="auto"/>
            </w:pPr>
          </w:p>
          <w:p>
            <w:pPr>
              <w:spacing w:before="65" w:line="222" w:lineRule="auto"/>
              <w:ind w:left="14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9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05" w:lineRule="auto"/>
            </w:pPr>
          </w:p>
          <w:p>
            <w:pPr>
              <w:spacing w:line="306" w:lineRule="auto"/>
            </w:pPr>
          </w:p>
          <w:p>
            <w:pPr>
              <w:spacing w:line="306" w:lineRule="auto"/>
            </w:pPr>
          </w:p>
          <w:p>
            <w:pPr>
              <w:spacing w:before="65" w:line="203" w:lineRule="auto"/>
              <w:ind w:left="99" w:right="94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08" w:type="dxa"/>
            <w:vMerge w:val="restart"/>
            <w:tcBorders>
              <w:top w:val="single" w:color="000000" w:sz="2" w:space="0"/>
              <w:bottom w:val="nil"/>
            </w:tcBorders>
            <w:textDirection w:val="tbRlV"/>
          </w:tcPr>
          <w:p>
            <w:pPr>
              <w:spacing w:before="149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出合计</w:t>
            </w:r>
          </w:p>
        </w:tc>
        <w:tc>
          <w:tcPr>
            <w:tcW w:w="508" w:type="dxa"/>
            <w:vMerge w:val="restart"/>
            <w:tcBorders>
              <w:top w:val="single" w:color="000000" w:sz="2" w:space="0"/>
              <w:bottom w:val="nil"/>
            </w:tcBorders>
            <w:textDirection w:val="tbRlV"/>
          </w:tcPr>
          <w:p>
            <w:pPr>
              <w:spacing w:before="149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</w:rPr>
              <w:t>利支出</w:t>
            </w:r>
          </w:p>
        </w:tc>
        <w:tc>
          <w:tcPr>
            <w:tcW w:w="508" w:type="dxa"/>
            <w:vMerge w:val="restart"/>
            <w:tcBorders>
              <w:top w:val="single" w:color="000000" w:sz="2" w:space="0"/>
              <w:bottom w:val="nil"/>
            </w:tcBorders>
            <w:textDirection w:val="tbRlV"/>
          </w:tcPr>
          <w:p>
            <w:pPr>
              <w:spacing w:before="148" w:line="207" w:lineRule="auto"/>
              <w:ind w:left="4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</w:rPr>
              <w:t>服务支出</w:t>
            </w:r>
          </w:p>
        </w:tc>
        <w:tc>
          <w:tcPr>
            <w:tcW w:w="507" w:type="dxa"/>
            <w:vMerge w:val="restart"/>
            <w:tcBorders>
              <w:top w:val="single" w:color="000000" w:sz="2" w:space="0"/>
              <w:bottom w:val="nil"/>
            </w:tcBorders>
            <w:textDirection w:val="tbRlV"/>
          </w:tcPr>
          <w:p>
            <w:pPr>
              <w:spacing w:before="146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>和家庭的补助</w:t>
            </w:r>
          </w:p>
        </w:tc>
        <w:tc>
          <w:tcPr>
            <w:tcW w:w="508" w:type="dxa"/>
            <w:vMerge w:val="restart"/>
            <w:tcBorders>
              <w:top w:val="single" w:color="000000" w:sz="2" w:space="0"/>
              <w:bottom w:val="nil"/>
            </w:tcBorders>
            <w:textDirection w:val="tbRlV"/>
          </w:tcPr>
          <w:p>
            <w:pPr>
              <w:spacing w:before="146" w:line="206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</w:rPr>
              <w:t>息及费用支出</w:t>
            </w:r>
          </w:p>
        </w:tc>
        <w:tc>
          <w:tcPr>
            <w:tcW w:w="508" w:type="dxa"/>
            <w:vMerge w:val="restart"/>
            <w:tcBorders>
              <w:top w:val="single" w:color="000000" w:sz="2" w:space="0"/>
              <w:bottom w:val="nil"/>
            </w:tcBorders>
            <w:textDirection w:val="tbRlV"/>
          </w:tcPr>
          <w:p>
            <w:pPr>
              <w:spacing w:before="95" w:line="292" w:lineRule="exact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5"/>
                <w:position w:val="2"/>
                <w:sz w:val="20"/>
                <w:szCs w:val="20"/>
              </w:rPr>
              <w:t>资本性支出(基本建设</w:t>
            </w:r>
            <w:r>
              <w:rPr>
                <w:rFonts w:ascii="黑体" w:hAnsi="黑体" w:eastAsia="黑体" w:cs="黑体"/>
                <w:spacing w:val="-14"/>
                <w:position w:val="2"/>
                <w:sz w:val="20"/>
                <w:szCs w:val="20"/>
              </w:rPr>
              <w:t>)</w:t>
            </w:r>
          </w:p>
        </w:tc>
        <w:tc>
          <w:tcPr>
            <w:tcW w:w="508" w:type="dxa"/>
            <w:vMerge w:val="restart"/>
            <w:tcBorders>
              <w:top w:val="single" w:color="000000" w:sz="2" w:space="0"/>
              <w:bottom w:val="nil"/>
            </w:tcBorders>
            <w:textDirection w:val="tbRlV"/>
          </w:tcPr>
          <w:p>
            <w:pPr>
              <w:spacing w:before="145" w:line="207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</w:rPr>
              <w:t>支出</w:t>
            </w:r>
          </w:p>
        </w:tc>
        <w:tc>
          <w:tcPr>
            <w:tcW w:w="508" w:type="dxa"/>
            <w:vMerge w:val="restart"/>
            <w:tcBorders>
              <w:top w:val="single" w:color="000000" w:sz="2" w:space="0"/>
              <w:bottom w:val="nil"/>
            </w:tcBorders>
            <w:textDirection w:val="tbRlV"/>
          </w:tcPr>
          <w:p>
            <w:pPr>
              <w:spacing w:before="144" w:line="237" w:lineRule="exact"/>
              <w:ind w:left="8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3"/>
                <w:position w:val="1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</w:rPr>
              <w:t>)</w:t>
            </w:r>
          </w:p>
        </w:tc>
        <w:tc>
          <w:tcPr>
            <w:tcW w:w="508" w:type="dxa"/>
            <w:vMerge w:val="restart"/>
            <w:tcBorders>
              <w:top w:val="single" w:color="000000" w:sz="2" w:space="0"/>
              <w:bottom w:val="nil"/>
            </w:tcBorders>
            <w:textDirection w:val="tbRlV"/>
          </w:tcPr>
          <w:p>
            <w:pPr>
              <w:spacing w:before="144" w:line="209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</w:rPr>
              <w:t>补助</w:t>
            </w:r>
          </w:p>
        </w:tc>
        <w:tc>
          <w:tcPr>
            <w:tcW w:w="508" w:type="dxa"/>
            <w:vMerge w:val="restart"/>
            <w:tcBorders>
              <w:top w:val="single" w:color="000000" w:sz="2" w:space="0"/>
              <w:bottom w:val="nil"/>
            </w:tcBorders>
            <w:textDirection w:val="tbRlV"/>
          </w:tcPr>
          <w:p>
            <w:pPr>
              <w:spacing w:before="144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</w:rPr>
              <w:t>保障基金补助</w:t>
            </w:r>
          </w:p>
        </w:tc>
        <w:tc>
          <w:tcPr>
            <w:tcW w:w="513" w:type="dxa"/>
            <w:vMerge w:val="restart"/>
            <w:tcBorders>
              <w:top w:val="single" w:color="000000" w:sz="2" w:space="0"/>
              <w:bottom w:val="nil"/>
            </w:tcBorders>
            <w:textDirection w:val="tbRlV"/>
          </w:tcPr>
          <w:p>
            <w:pPr>
              <w:spacing w:before="148" w:line="206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4" w:hRule="atLeast"/>
        </w:trPr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71" w:lineRule="auto"/>
            </w:pPr>
          </w:p>
          <w:p>
            <w:pPr>
              <w:spacing w:line="271" w:lineRule="auto"/>
            </w:pPr>
          </w:p>
          <w:p>
            <w:pPr>
              <w:spacing w:line="271" w:lineRule="auto"/>
            </w:pPr>
          </w:p>
          <w:p>
            <w:pPr>
              <w:spacing w:before="65" w:line="221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71" w:lineRule="auto"/>
            </w:pPr>
          </w:p>
          <w:p>
            <w:pPr>
              <w:spacing w:line="271" w:lineRule="auto"/>
            </w:pPr>
          </w:p>
          <w:p>
            <w:pPr>
              <w:spacing w:line="271" w:lineRule="auto"/>
            </w:pPr>
          </w:p>
          <w:p>
            <w:pPr>
              <w:spacing w:before="65" w:line="223" w:lineRule="auto"/>
              <w:ind w:left="15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70" w:lineRule="auto"/>
            </w:pPr>
          </w:p>
          <w:p>
            <w:pPr>
              <w:spacing w:line="271" w:lineRule="auto"/>
            </w:pPr>
          </w:p>
          <w:p>
            <w:pPr>
              <w:spacing w:line="271" w:lineRule="auto"/>
            </w:pPr>
          </w:p>
          <w:p>
            <w:pPr>
              <w:spacing w:before="65" w:line="222" w:lineRule="auto"/>
              <w:ind w:left="15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68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9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08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</w:tcPr>
          <w:p/>
        </w:tc>
        <w:tc>
          <w:tcPr>
            <w:tcW w:w="508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</w:tcPr>
          <w:p/>
        </w:tc>
        <w:tc>
          <w:tcPr>
            <w:tcW w:w="508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</w:tcPr>
          <w:p/>
        </w:tc>
        <w:tc>
          <w:tcPr>
            <w:tcW w:w="507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</w:tcPr>
          <w:p/>
        </w:tc>
        <w:tc>
          <w:tcPr>
            <w:tcW w:w="508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</w:tcPr>
          <w:p/>
        </w:tc>
        <w:tc>
          <w:tcPr>
            <w:tcW w:w="508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</w:tcPr>
          <w:p/>
        </w:tc>
        <w:tc>
          <w:tcPr>
            <w:tcW w:w="508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</w:tcPr>
          <w:p/>
        </w:tc>
        <w:tc>
          <w:tcPr>
            <w:tcW w:w="508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</w:tcPr>
          <w:p/>
        </w:tc>
        <w:tc>
          <w:tcPr>
            <w:tcW w:w="508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</w:tcPr>
          <w:p/>
        </w:tc>
        <w:tc>
          <w:tcPr>
            <w:tcW w:w="508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</w:tcPr>
          <w:p/>
        </w:tc>
        <w:tc>
          <w:tcPr>
            <w:tcW w:w="513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97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8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3" w:line="188" w:lineRule="auto"/>
              <w:ind w:left="44" w:right="4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般公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服务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59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48" w:lineRule="auto"/>
            </w:pPr>
          </w:p>
          <w:p>
            <w:pPr>
              <w:spacing w:before="52" w:line="187" w:lineRule="auto"/>
              <w:ind w:left="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89.2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49" w:lineRule="auto"/>
            </w:pPr>
          </w:p>
          <w:p>
            <w:pPr>
              <w:spacing w:before="52" w:line="184" w:lineRule="auto"/>
              <w:ind w:left="3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48" w:lineRule="auto"/>
            </w:pPr>
          </w:p>
          <w:p>
            <w:pPr>
              <w:spacing w:before="52" w:line="187" w:lineRule="auto"/>
              <w:ind w:left="6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89.2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5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49" w:lineRule="auto"/>
            </w:pPr>
          </w:p>
          <w:p>
            <w:pPr>
              <w:spacing w:before="52" w:line="184" w:lineRule="auto"/>
              <w:ind w:left="3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49" w:lineRule="auto"/>
            </w:pPr>
          </w:p>
          <w:p>
            <w:pPr>
              <w:spacing w:before="52" w:line="184" w:lineRule="auto"/>
              <w:ind w:left="3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49" w:lineRule="auto"/>
            </w:pPr>
          </w:p>
          <w:p>
            <w:pPr>
              <w:spacing w:before="52" w:line="184" w:lineRule="auto"/>
              <w:ind w:left="3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49" w:lineRule="auto"/>
            </w:pPr>
          </w:p>
          <w:p>
            <w:pPr>
              <w:spacing w:before="52" w:line="184" w:lineRule="auto"/>
              <w:ind w:left="3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49" w:lineRule="auto"/>
            </w:pPr>
          </w:p>
          <w:p>
            <w:pPr>
              <w:spacing w:before="52" w:line="184" w:lineRule="auto"/>
              <w:ind w:left="39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49" w:lineRule="auto"/>
            </w:pPr>
          </w:p>
          <w:p>
            <w:pPr>
              <w:spacing w:before="52" w:line="184" w:lineRule="auto"/>
              <w:ind w:left="39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49" w:lineRule="auto"/>
            </w:pPr>
          </w:p>
          <w:p>
            <w:pPr>
              <w:spacing w:before="52" w:line="184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49" w:lineRule="auto"/>
            </w:pPr>
          </w:p>
          <w:p>
            <w:pPr>
              <w:spacing w:before="52" w:line="184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9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99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8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7" w:lineRule="auto"/>
              <w:ind w:left="44" w:right="41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市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场监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督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管理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务</w:t>
            </w:r>
          </w:p>
        </w:tc>
        <w:tc>
          <w:tcPr>
            <w:tcW w:w="59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49" w:lineRule="auto"/>
            </w:pPr>
          </w:p>
          <w:p>
            <w:pPr>
              <w:spacing w:before="52" w:line="187" w:lineRule="auto"/>
              <w:ind w:left="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89.2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50" w:lineRule="auto"/>
            </w:pPr>
          </w:p>
          <w:p>
            <w:pPr>
              <w:spacing w:before="52" w:line="184" w:lineRule="auto"/>
              <w:ind w:left="3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49" w:lineRule="auto"/>
            </w:pPr>
          </w:p>
          <w:p>
            <w:pPr>
              <w:spacing w:before="52" w:line="187" w:lineRule="auto"/>
              <w:ind w:left="6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89.2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5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50" w:lineRule="auto"/>
            </w:pPr>
          </w:p>
          <w:p>
            <w:pPr>
              <w:spacing w:before="52" w:line="184" w:lineRule="auto"/>
              <w:ind w:left="3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50" w:lineRule="auto"/>
            </w:pPr>
          </w:p>
          <w:p>
            <w:pPr>
              <w:spacing w:before="52" w:line="184" w:lineRule="auto"/>
              <w:ind w:left="3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50" w:lineRule="auto"/>
            </w:pPr>
          </w:p>
          <w:p>
            <w:pPr>
              <w:spacing w:before="52" w:line="184" w:lineRule="auto"/>
              <w:ind w:left="3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50" w:lineRule="auto"/>
            </w:pPr>
          </w:p>
          <w:p>
            <w:pPr>
              <w:spacing w:before="52" w:line="184" w:lineRule="auto"/>
              <w:ind w:left="3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50" w:lineRule="auto"/>
            </w:pPr>
          </w:p>
          <w:p>
            <w:pPr>
              <w:spacing w:before="52" w:line="184" w:lineRule="auto"/>
              <w:ind w:left="39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50" w:lineRule="auto"/>
            </w:pPr>
          </w:p>
          <w:p>
            <w:pPr>
              <w:spacing w:before="52" w:line="184" w:lineRule="auto"/>
              <w:ind w:left="39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50" w:lineRule="auto"/>
            </w:pPr>
          </w:p>
          <w:p>
            <w:pPr>
              <w:spacing w:before="52" w:line="184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50" w:lineRule="auto"/>
            </w:pPr>
          </w:p>
          <w:p>
            <w:pPr>
              <w:spacing w:before="52" w:line="184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9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300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99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68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5" w:line="203" w:lineRule="auto"/>
              <w:ind w:left="46" w:righ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行政运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行</w:t>
            </w:r>
          </w:p>
        </w:tc>
        <w:tc>
          <w:tcPr>
            <w:tcW w:w="59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信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息</w:t>
            </w:r>
          </w:p>
          <w:p>
            <w:pPr>
              <w:spacing w:line="18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化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建</w:t>
            </w:r>
          </w:p>
          <w:p>
            <w:pPr>
              <w:spacing w:line="185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设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51" w:lineRule="auto"/>
            </w:pPr>
          </w:p>
          <w:p>
            <w:pPr>
              <w:spacing w:before="52" w:line="185" w:lineRule="auto"/>
              <w:ind w:left="3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51" w:lineRule="auto"/>
            </w:pPr>
          </w:p>
          <w:p>
            <w:pPr>
              <w:spacing w:before="52" w:line="185" w:lineRule="auto"/>
              <w:ind w:left="3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507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33" w:lineRule="auto"/>
            </w:pPr>
          </w:p>
          <w:p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34" w:lineRule="auto"/>
            </w:pPr>
          </w:p>
          <w:p>
            <w:pPr>
              <w:spacing w:before="65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33" w:lineRule="auto"/>
            </w:pPr>
          </w:p>
          <w:p>
            <w:pPr>
              <w:spacing w:before="65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68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66" w:line="203" w:lineRule="auto"/>
              <w:ind w:left="46" w:righ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行政运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行</w:t>
            </w:r>
          </w:p>
        </w:tc>
        <w:tc>
          <w:tcPr>
            <w:tcW w:w="59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7" w:line="191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车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辆</w:t>
            </w:r>
          </w:p>
          <w:p>
            <w:pPr>
              <w:spacing w:line="184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  <w:p>
            <w:pPr>
              <w:spacing w:line="184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维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护</w:t>
            </w:r>
          </w:p>
          <w:p>
            <w:pPr>
              <w:spacing w:line="184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50" w:lineRule="auto"/>
            </w:pPr>
          </w:p>
          <w:p>
            <w:pPr>
              <w:spacing w:before="52" w:line="189" w:lineRule="auto"/>
              <w:ind w:left="1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24.7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50" w:lineRule="auto"/>
            </w:pPr>
          </w:p>
          <w:p>
            <w:pPr>
              <w:spacing w:before="52" w:line="189" w:lineRule="auto"/>
              <w:ind w:left="1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24.7</w:t>
            </w:r>
          </w:p>
        </w:tc>
        <w:tc>
          <w:tcPr>
            <w:tcW w:w="507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34" w:lineRule="auto"/>
            </w:pPr>
          </w:p>
          <w:p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35" w:lineRule="auto"/>
            </w:pPr>
          </w:p>
          <w:p>
            <w:pPr>
              <w:spacing w:before="65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34" w:lineRule="auto"/>
            </w:pPr>
          </w:p>
          <w:p>
            <w:pPr>
              <w:spacing w:before="65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68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67" w:line="203" w:lineRule="auto"/>
              <w:ind w:left="46" w:righ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行政运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行</w:t>
            </w:r>
          </w:p>
        </w:tc>
        <w:tc>
          <w:tcPr>
            <w:tcW w:w="59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8" w:line="19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办公</w:t>
            </w:r>
          </w:p>
          <w:p>
            <w:pPr>
              <w:spacing w:line="18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房</w:t>
            </w:r>
          </w:p>
          <w:p>
            <w:pPr>
              <w:spacing w:line="18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取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暖</w:t>
            </w:r>
          </w:p>
          <w:p>
            <w:pPr>
              <w:spacing w:line="183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53" w:lineRule="auto"/>
            </w:pPr>
          </w:p>
          <w:p>
            <w:pPr>
              <w:spacing w:before="52" w:line="185" w:lineRule="auto"/>
              <w:ind w:left="1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.47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53" w:lineRule="auto"/>
            </w:pPr>
          </w:p>
          <w:p>
            <w:pPr>
              <w:spacing w:before="52" w:line="185" w:lineRule="auto"/>
              <w:ind w:left="14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.47</w:t>
            </w:r>
          </w:p>
        </w:tc>
        <w:tc>
          <w:tcPr>
            <w:tcW w:w="507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30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30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30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68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8" w:line="203" w:lineRule="auto"/>
              <w:ind w:left="46" w:righ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行政运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行</w:t>
            </w:r>
          </w:p>
        </w:tc>
        <w:tc>
          <w:tcPr>
            <w:tcW w:w="59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9" w:line="19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办公</w:t>
            </w:r>
          </w:p>
          <w:p>
            <w:pPr>
              <w:spacing w:line="18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电</w:t>
            </w:r>
          </w:p>
          <w:p>
            <w:pPr>
              <w:spacing w:line="18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54" w:lineRule="auto"/>
            </w:pPr>
          </w:p>
          <w:p>
            <w:pPr>
              <w:spacing w:before="52" w:line="185" w:lineRule="auto"/>
              <w:ind w:left="3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54" w:lineRule="auto"/>
            </w:pPr>
          </w:p>
          <w:p>
            <w:pPr>
              <w:spacing w:before="52" w:line="185" w:lineRule="auto"/>
              <w:ind w:left="3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507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303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304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304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71" w:line="203" w:lineRule="auto"/>
              <w:ind w:left="44" w:right="41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市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场秩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执法</w:t>
            </w:r>
          </w:p>
        </w:tc>
        <w:tc>
          <w:tcPr>
            <w:tcW w:w="59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70" w:line="19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专项</w:t>
            </w:r>
          </w:p>
          <w:p>
            <w:pPr>
              <w:spacing w:line="18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执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法</w:t>
            </w:r>
          </w:p>
          <w:p>
            <w:pPr>
              <w:spacing w:line="18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55" w:lineRule="auto"/>
            </w:pPr>
          </w:p>
          <w:p>
            <w:pPr>
              <w:spacing w:before="52" w:line="185" w:lineRule="auto"/>
              <w:ind w:left="3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55" w:lineRule="auto"/>
            </w:pPr>
          </w:p>
          <w:p>
            <w:pPr>
              <w:spacing w:before="52" w:line="185" w:lineRule="auto"/>
              <w:ind w:left="3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507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68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9" w:line="187" w:lineRule="auto"/>
              <w:ind w:left="44" w:right="41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市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场秩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执法</w:t>
            </w:r>
          </w:p>
        </w:tc>
        <w:tc>
          <w:tcPr>
            <w:tcW w:w="59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70" w:line="191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消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费</w:t>
            </w:r>
          </w:p>
          <w:p>
            <w:pPr>
              <w:spacing w:line="18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维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权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7" w:line="189" w:lineRule="auto"/>
              <w:ind w:left="2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.4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7" w:line="189" w:lineRule="auto"/>
              <w:ind w:left="2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.4</w:t>
            </w:r>
          </w:p>
        </w:tc>
        <w:tc>
          <w:tcPr>
            <w:tcW w:w="507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303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304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30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6</w:t>
            </w:r>
          </w:p>
        </w:tc>
        <w:tc>
          <w:tcPr>
            <w:tcW w:w="68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70" w:line="204" w:lineRule="auto"/>
              <w:ind w:left="48" w:right="41" w:hanging="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品安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全监管</w:t>
            </w:r>
          </w:p>
        </w:tc>
        <w:tc>
          <w:tcPr>
            <w:tcW w:w="59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70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食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品</w:t>
            </w:r>
          </w:p>
          <w:p>
            <w:pPr>
              <w:spacing w:line="18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抽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检</w:t>
            </w:r>
          </w:p>
          <w:p>
            <w:pPr>
              <w:spacing w:line="18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54" w:lineRule="auto"/>
            </w:pPr>
          </w:p>
          <w:p>
            <w:pPr>
              <w:spacing w:before="52" w:line="187" w:lineRule="auto"/>
              <w:ind w:left="6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37.69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54" w:lineRule="auto"/>
            </w:pPr>
          </w:p>
          <w:p>
            <w:pPr>
              <w:spacing w:before="52" w:line="187" w:lineRule="auto"/>
              <w:ind w:left="7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37.69</w:t>
            </w:r>
          </w:p>
        </w:tc>
        <w:tc>
          <w:tcPr>
            <w:tcW w:w="507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8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9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70" w:line="191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合</w:t>
            </w:r>
          </w:p>
          <w:p>
            <w:pPr>
              <w:spacing w:line="187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计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7" w:line="187" w:lineRule="auto"/>
              <w:ind w:left="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89.2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8" w:line="184" w:lineRule="auto"/>
              <w:ind w:left="3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7" w:line="187" w:lineRule="auto"/>
              <w:ind w:left="6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89.2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5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8" w:line="184" w:lineRule="auto"/>
              <w:ind w:left="3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8" w:line="184" w:lineRule="auto"/>
              <w:ind w:left="3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8" w:line="184" w:lineRule="auto"/>
              <w:ind w:left="3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8" w:line="184" w:lineRule="auto"/>
              <w:ind w:left="3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8" w:line="184" w:lineRule="auto"/>
              <w:ind w:left="39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8" w:line="184" w:lineRule="auto"/>
              <w:ind w:left="39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8" w:line="184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8" w:line="184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编制单位：洛浦县市场监督管理</w:t>
      </w:r>
      <w:r>
        <w:rPr>
          <w:rFonts w:ascii="仿宋" w:hAnsi="仿宋" w:eastAsia="仿宋" w:cs="仿宋"/>
          <w:sz w:val="20"/>
          <w:szCs w:val="20"/>
        </w:rPr>
        <w:t>局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1" w:lineRule="auto"/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5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5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95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28.6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95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28.6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9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28.6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编制单位：洛浦县市场监督管理</w:t>
      </w:r>
      <w:r>
        <w:rPr>
          <w:rFonts w:ascii="仿宋" w:hAnsi="仿宋" w:eastAsia="仿宋" w:cs="仿宋"/>
          <w:sz w:val="20"/>
          <w:szCs w:val="20"/>
        </w:rPr>
        <w:t>局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</w:tbl>
    <w:p>
      <w:pPr>
        <w:spacing w:line="256" w:lineRule="auto"/>
      </w:pPr>
    </w:p>
    <w:p>
      <w:pPr>
        <w:spacing w:before="65" w:line="187" w:lineRule="auto"/>
        <w:ind w:left="82" w:right="145" w:hanging="3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洛浦县市场监督管理局2022年</w:t>
      </w:r>
      <w:r>
        <w:rPr>
          <w:rFonts w:ascii="仿宋" w:hAnsi="仿宋" w:eastAsia="仿宋" w:cs="仿宋"/>
          <w:sz w:val="20"/>
          <w:szCs w:val="20"/>
        </w:rPr>
        <w:t xml:space="preserve">没有使用政府性基金预算拨款安排的支出，政府性基金预算支出 </w:t>
      </w:r>
      <w:r>
        <w:rPr>
          <w:rFonts w:ascii="仿宋" w:hAnsi="仿宋" w:eastAsia="仿宋" w:cs="仿宋"/>
          <w:spacing w:val="-9"/>
          <w:sz w:val="20"/>
          <w:szCs w:val="20"/>
        </w:rPr>
        <w:t>情</w:t>
      </w:r>
      <w:r>
        <w:rPr>
          <w:rFonts w:ascii="仿宋" w:hAnsi="仿宋" w:eastAsia="仿宋" w:cs="仿宋"/>
          <w:spacing w:val="-5"/>
          <w:sz w:val="20"/>
          <w:szCs w:val="20"/>
        </w:rPr>
        <w:t>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15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left="15" w:right="95" w:firstLine="46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一、关于洛浦县市场监督管理局2022年</w:t>
      </w:r>
      <w:r>
        <w:rPr>
          <w:rFonts w:ascii="黑体" w:hAnsi="黑体" w:eastAsia="黑体" w:cs="黑体"/>
          <w:sz w:val="34"/>
          <w:szCs w:val="34"/>
        </w:rPr>
        <w:t xml:space="preserve">收支预算情况 </w:t>
      </w:r>
      <w:r>
        <w:rPr>
          <w:rFonts w:ascii="黑体" w:hAnsi="黑体" w:eastAsia="黑体" w:cs="黑体"/>
          <w:spacing w:val="-6"/>
          <w:sz w:val="34"/>
          <w:szCs w:val="34"/>
        </w:rPr>
        <w:t>的</w:t>
      </w:r>
      <w:r>
        <w:rPr>
          <w:rFonts w:ascii="黑体" w:hAnsi="黑体" w:eastAsia="黑体" w:cs="黑体"/>
          <w:spacing w:val="-5"/>
          <w:sz w:val="34"/>
          <w:szCs w:val="34"/>
        </w:rPr>
        <w:t>总体说明</w:t>
      </w:r>
    </w:p>
    <w:p>
      <w:pPr>
        <w:spacing w:before="5" w:line="276" w:lineRule="auto"/>
        <w:ind w:right="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按照</w:t>
      </w:r>
      <w:r>
        <w:rPr>
          <w:rFonts w:ascii="仿宋" w:hAnsi="仿宋" w:eastAsia="仿宋" w:cs="仿宋"/>
          <w:spacing w:val="-1"/>
          <w:sz w:val="34"/>
          <w:szCs w:val="34"/>
        </w:rPr>
        <w:t>全口径预算的原则，洛浦县市场监督管理局</w:t>
      </w:r>
      <w:r>
        <w:rPr>
          <w:rFonts w:ascii="仿宋" w:hAnsi="仿宋" w:eastAsia="仿宋" w:cs="仿宋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-12"/>
          <w:sz w:val="34"/>
          <w:szCs w:val="34"/>
        </w:rPr>
        <w:t>202</w:t>
      </w:r>
      <w:r>
        <w:rPr>
          <w:rFonts w:ascii="仿宋" w:hAnsi="仿宋" w:eastAsia="仿宋" w:cs="仿宋"/>
          <w:spacing w:val="-6"/>
          <w:sz w:val="34"/>
          <w:szCs w:val="34"/>
        </w:rPr>
        <w:t>2年所有收入和支出均纳入单位预算管理。收支总预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算</w:t>
      </w:r>
      <w:r>
        <w:rPr>
          <w:rFonts w:ascii="仿宋" w:hAnsi="仿宋" w:eastAsia="仿宋" w:cs="仿宋"/>
          <w:spacing w:val="-4"/>
          <w:sz w:val="34"/>
          <w:szCs w:val="34"/>
        </w:rPr>
        <w:t>1552.75万元。</w:t>
      </w:r>
    </w:p>
    <w:p>
      <w:pPr>
        <w:spacing w:before="1" w:line="221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>
      <w:pPr>
        <w:spacing w:before="101" w:line="290" w:lineRule="auto"/>
        <w:ind w:left="6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支出预算包括：一般公共服务支出、社会保障和</w:t>
      </w:r>
      <w:r>
        <w:rPr>
          <w:rFonts w:ascii="仿宋" w:hAnsi="仿宋" w:eastAsia="仿宋" w:cs="仿宋"/>
          <w:spacing w:val="-13"/>
          <w:sz w:val="34"/>
          <w:szCs w:val="34"/>
        </w:rPr>
        <w:t>就</w:t>
      </w:r>
      <w:r>
        <w:rPr>
          <w:rFonts w:ascii="仿宋" w:hAnsi="仿宋" w:eastAsia="仿宋" w:cs="仿宋"/>
          <w:spacing w:val="-11"/>
          <w:sz w:val="34"/>
          <w:szCs w:val="34"/>
        </w:rPr>
        <w:t>业支出等。</w:t>
      </w:r>
    </w:p>
    <w:p>
      <w:pPr>
        <w:spacing w:before="151" w:line="277" w:lineRule="auto"/>
        <w:ind w:left="2"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二、关于洛浦县市场监督管理局2022年</w:t>
      </w:r>
      <w:r>
        <w:rPr>
          <w:rFonts w:ascii="黑体" w:hAnsi="黑体" w:eastAsia="黑体" w:cs="黑体"/>
          <w:sz w:val="34"/>
          <w:szCs w:val="34"/>
        </w:rPr>
        <w:t xml:space="preserve">收入预算情况 </w:t>
      </w:r>
      <w:r>
        <w:rPr>
          <w:rFonts w:ascii="黑体" w:hAnsi="黑体" w:eastAsia="黑体" w:cs="黑体"/>
          <w:spacing w:val="-6"/>
          <w:sz w:val="34"/>
          <w:szCs w:val="34"/>
        </w:rPr>
        <w:t>说</w:t>
      </w:r>
      <w:r>
        <w:rPr>
          <w:rFonts w:ascii="黑体" w:hAnsi="黑体" w:eastAsia="黑体" w:cs="黑体"/>
          <w:spacing w:val="-4"/>
          <w:sz w:val="34"/>
          <w:szCs w:val="34"/>
        </w:rPr>
        <w:t>明</w:t>
      </w:r>
    </w:p>
    <w:p>
      <w:pPr>
        <w:spacing w:before="7" w:line="276" w:lineRule="auto"/>
        <w:ind w:left="6" w:right="6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洛浦县市场监督管理局收入预算1552.75万元，其中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：一般公共预算1552.75万元，占100.00%，比上年预</w:t>
      </w:r>
      <w:r>
        <w:rPr>
          <w:rFonts w:ascii="仿宋" w:hAnsi="仿宋" w:eastAsia="仿宋" w:cs="仿宋"/>
          <w:spacing w:val="-1"/>
          <w:sz w:val="34"/>
          <w:szCs w:val="34"/>
        </w:rPr>
        <w:t>算增加228.43万元，增长17.25%，主要原</w:t>
      </w:r>
      <w:r>
        <w:rPr>
          <w:rFonts w:ascii="仿宋" w:hAnsi="仿宋" w:eastAsia="仿宋" w:cs="仿宋"/>
          <w:sz w:val="34"/>
          <w:szCs w:val="34"/>
        </w:rPr>
        <w:t xml:space="preserve">因是人员增加 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人</w:t>
      </w:r>
      <w:r>
        <w:rPr>
          <w:rFonts w:ascii="仿宋" w:hAnsi="仿宋" w:eastAsia="仿宋" w:cs="仿宋"/>
          <w:spacing w:val="-6"/>
          <w:sz w:val="34"/>
          <w:szCs w:val="34"/>
        </w:rPr>
        <w:t>员经费也增加。</w:t>
      </w:r>
    </w:p>
    <w:p>
      <w:pPr>
        <w:spacing w:line="510" w:lineRule="exact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2" w:line="277" w:lineRule="auto"/>
        <w:ind w:left="2" w:right="95" w:firstLine="48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三、关于洛浦县市场监督管理局2022年支出</w:t>
      </w:r>
      <w:r>
        <w:rPr>
          <w:rFonts w:ascii="黑体" w:hAnsi="黑体" w:eastAsia="黑体" w:cs="黑体"/>
          <w:sz w:val="34"/>
          <w:szCs w:val="34"/>
        </w:rPr>
        <w:t xml:space="preserve">预算情况 </w:t>
      </w:r>
      <w:r>
        <w:rPr>
          <w:rFonts w:ascii="黑体" w:hAnsi="黑体" w:eastAsia="黑体" w:cs="黑体"/>
          <w:spacing w:val="-6"/>
          <w:sz w:val="34"/>
          <w:szCs w:val="34"/>
        </w:rPr>
        <w:t>说</w:t>
      </w:r>
      <w:r>
        <w:rPr>
          <w:rFonts w:ascii="黑体" w:hAnsi="黑体" w:eastAsia="黑体" w:cs="黑体"/>
          <w:spacing w:val="-4"/>
          <w:sz w:val="34"/>
          <w:szCs w:val="34"/>
        </w:rPr>
        <w:t>明</w:t>
      </w:r>
    </w:p>
    <w:p>
      <w:pPr>
        <w:spacing w:before="3" w:line="276" w:lineRule="auto"/>
        <w:ind w:left="30" w:right="26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洛浦县市场监督管理局2022年支出预算1552.75</w:t>
      </w:r>
      <w:r>
        <w:rPr>
          <w:rFonts w:ascii="仿宋" w:hAnsi="仿宋" w:eastAsia="仿宋" w:cs="仿宋"/>
          <w:sz w:val="34"/>
          <w:szCs w:val="34"/>
        </w:rPr>
        <w:t xml:space="preserve">万元 </w:t>
      </w:r>
      <w:r>
        <w:rPr>
          <w:rFonts w:ascii="仿宋" w:hAnsi="仿宋" w:eastAsia="仿宋" w:cs="仿宋"/>
          <w:spacing w:val="-23"/>
          <w:sz w:val="34"/>
          <w:szCs w:val="34"/>
        </w:rPr>
        <w:t>，其中：</w:t>
      </w:r>
    </w:p>
    <w:p>
      <w:pPr>
        <w:spacing w:before="5" w:line="276" w:lineRule="auto"/>
        <w:ind w:left="6" w:right="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支出1463.49万元，占94.25%，比上年预算增加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197.66万元，增长15.62%，主要原因是</w:t>
      </w:r>
      <w:r>
        <w:rPr>
          <w:rFonts w:ascii="仿宋" w:hAnsi="仿宋" w:eastAsia="仿宋" w:cs="仿宋"/>
          <w:sz w:val="34"/>
          <w:szCs w:val="34"/>
        </w:rPr>
        <w:t xml:space="preserve">人员增加，人员 </w:t>
      </w:r>
      <w:r>
        <w:rPr>
          <w:rFonts w:ascii="仿宋" w:hAnsi="仿宋" w:eastAsia="仿宋" w:cs="仿宋"/>
          <w:spacing w:val="-12"/>
          <w:sz w:val="34"/>
          <w:szCs w:val="34"/>
        </w:rPr>
        <w:t>经</w:t>
      </w:r>
      <w:r>
        <w:rPr>
          <w:rFonts w:ascii="仿宋" w:hAnsi="仿宋" w:eastAsia="仿宋" w:cs="仿宋"/>
          <w:spacing w:val="-9"/>
          <w:sz w:val="34"/>
          <w:szCs w:val="34"/>
        </w:rPr>
        <w:t>费也增加。</w:t>
      </w:r>
    </w:p>
    <w:p>
      <w:pPr>
        <w:spacing w:before="4" w:line="284" w:lineRule="auto"/>
        <w:ind w:left="2" w:right="6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项目支出89.26万元，占5.75%，比上年预算增</w:t>
      </w:r>
      <w:r>
        <w:rPr>
          <w:rFonts w:ascii="仿宋" w:hAnsi="仿宋" w:eastAsia="仿宋" w:cs="仿宋"/>
          <w:spacing w:val="-5"/>
          <w:sz w:val="34"/>
          <w:szCs w:val="34"/>
        </w:rPr>
        <w:t>加</w:t>
      </w:r>
      <w:r>
        <w:rPr>
          <w:rFonts w:ascii="仿宋" w:hAnsi="仿宋" w:eastAsia="仿宋" w:cs="仿宋"/>
          <w:spacing w:val="-1"/>
          <w:sz w:val="34"/>
          <w:szCs w:val="34"/>
        </w:rPr>
        <w:t>30.77万元，增长52.61%，主要</w:t>
      </w:r>
      <w:r>
        <w:rPr>
          <w:rFonts w:ascii="仿宋" w:hAnsi="仿宋" w:eastAsia="仿宋" w:cs="仿宋"/>
          <w:sz w:val="34"/>
          <w:szCs w:val="34"/>
        </w:rPr>
        <w:t>原因是2022年预算将车辆</w:t>
      </w:r>
      <w:r>
        <w:rPr>
          <w:rFonts w:ascii="仿宋" w:hAnsi="仿宋" w:eastAsia="仿宋" w:cs="仿宋"/>
          <w:spacing w:val="-4"/>
          <w:sz w:val="34"/>
          <w:szCs w:val="34"/>
        </w:rPr>
        <w:t>运</w:t>
      </w:r>
      <w:r>
        <w:rPr>
          <w:rFonts w:ascii="仿宋" w:hAnsi="仿宋" w:eastAsia="仿宋" w:cs="仿宋"/>
          <w:spacing w:val="-3"/>
          <w:sz w:val="34"/>
          <w:szCs w:val="34"/>
        </w:rPr>
        <w:t>行维护费和办公用房取暖费做项目支出里。</w:t>
      </w:r>
    </w:p>
    <w:p>
      <w:pPr>
        <w:sectPr>
          <w:pgSz w:w="11900" w:h="16840"/>
          <w:pgMar w:top="903" w:right="1785" w:bottom="0" w:left="1735" w:header="0" w:footer="0" w:gutter="0"/>
          <w:cols w:space="720" w:num="1"/>
        </w:sectPr>
      </w:pPr>
    </w:p>
    <w:p>
      <w:pPr>
        <w:spacing w:before="68" w:line="277" w:lineRule="auto"/>
        <w:ind w:left="5" w:right="95" w:firstLine="49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四、关于洛浦县市场</w:t>
      </w:r>
      <w:r>
        <w:rPr>
          <w:rFonts w:ascii="黑体" w:hAnsi="黑体" w:eastAsia="黑体" w:cs="黑体"/>
          <w:spacing w:val="-1"/>
          <w:sz w:val="34"/>
          <w:szCs w:val="34"/>
        </w:rPr>
        <w:t>监督管理局2022年财政拨款收支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2"/>
          <w:sz w:val="34"/>
          <w:szCs w:val="34"/>
        </w:rPr>
        <w:t>预算情况的总体说</w:t>
      </w:r>
      <w:r>
        <w:rPr>
          <w:rFonts w:ascii="黑体" w:hAnsi="黑体" w:eastAsia="黑体" w:cs="黑体"/>
          <w:spacing w:val="-1"/>
          <w:sz w:val="34"/>
          <w:szCs w:val="34"/>
        </w:rPr>
        <w:t>明</w:t>
      </w:r>
    </w:p>
    <w:p>
      <w:pPr>
        <w:spacing w:before="1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2022年财政拨款收支总预算1552.75万</w:t>
      </w:r>
      <w:r>
        <w:rPr>
          <w:rFonts w:ascii="仿宋" w:hAnsi="仿宋" w:eastAsia="仿宋" w:cs="仿宋"/>
          <w:spacing w:val="-1"/>
          <w:sz w:val="34"/>
          <w:szCs w:val="34"/>
        </w:rPr>
        <w:t>元</w:t>
      </w:r>
      <w:r>
        <w:rPr>
          <w:rFonts w:ascii="仿宋" w:hAnsi="仿宋" w:eastAsia="仿宋" w:cs="仿宋"/>
          <w:sz w:val="34"/>
          <w:szCs w:val="34"/>
        </w:rPr>
        <w:t>。</w:t>
      </w:r>
    </w:p>
    <w:p>
      <w:pPr>
        <w:spacing w:before="101" w:line="277" w:lineRule="auto"/>
        <w:ind w:left="8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0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收</w:t>
      </w:r>
      <w:r>
        <w:rPr>
          <w:rFonts w:ascii="仿宋" w:hAnsi="仿宋" w:eastAsia="仿宋" w:cs="仿宋"/>
          <w:spacing w:val="-3"/>
          <w:sz w:val="34"/>
          <w:szCs w:val="34"/>
        </w:rPr>
        <w:t>入预算包括：一般公共预算1552.75万元。</w:t>
      </w:r>
    </w:p>
    <w:p>
      <w:pPr>
        <w:spacing w:before="101" w:line="277" w:lineRule="auto"/>
        <w:ind w:left="23" w:right="6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一般公共预算支出包括：一般公共服务支出</w:t>
      </w:r>
      <w:r>
        <w:rPr>
          <w:rFonts w:ascii="仿宋" w:hAnsi="仿宋" w:eastAsia="仿宋" w:cs="仿宋"/>
          <w:spacing w:val="-2"/>
          <w:sz w:val="34"/>
          <w:szCs w:val="34"/>
        </w:rPr>
        <w:t>1360.78万元，</w:t>
      </w:r>
      <w:r>
        <w:rPr>
          <w:rFonts w:ascii="仿宋" w:hAnsi="仿宋" w:eastAsia="仿宋" w:cs="仿宋"/>
          <w:spacing w:val="-1"/>
          <w:sz w:val="34"/>
          <w:szCs w:val="34"/>
        </w:rPr>
        <w:t>主要用于人员经费、本单位日常运转、项</w:t>
      </w:r>
      <w:r>
        <w:rPr>
          <w:rFonts w:ascii="仿宋" w:hAnsi="仿宋" w:eastAsia="仿宋" w:cs="仿宋"/>
          <w:spacing w:val="-14"/>
          <w:sz w:val="34"/>
          <w:szCs w:val="34"/>
        </w:rPr>
        <w:t>目</w:t>
      </w:r>
      <w:r>
        <w:rPr>
          <w:rFonts w:ascii="仿宋" w:hAnsi="仿宋" w:eastAsia="仿宋" w:cs="仿宋"/>
          <w:spacing w:val="-13"/>
          <w:sz w:val="34"/>
          <w:szCs w:val="34"/>
        </w:rPr>
        <w:t>支出等。</w:t>
      </w:r>
    </w:p>
    <w:p>
      <w:pPr>
        <w:spacing w:before="3" w:line="285" w:lineRule="auto"/>
        <w:ind w:left="9" w:right="235" w:firstLine="650"/>
      </w:pPr>
      <w:r>
        <w:rPr>
          <w:rFonts w:ascii="仿宋" w:hAnsi="仿宋" w:eastAsia="仿宋" w:cs="仿宋"/>
          <w:spacing w:val="-1"/>
          <w:sz w:val="34"/>
          <w:szCs w:val="34"/>
        </w:rPr>
        <w:t>社会保障和就业支出191.97万元，主要用于保</w:t>
      </w:r>
      <w:r>
        <w:rPr>
          <w:rFonts w:ascii="仿宋" w:hAnsi="仿宋" w:eastAsia="仿宋" w:cs="仿宋"/>
          <w:sz w:val="34"/>
          <w:szCs w:val="34"/>
        </w:rPr>
        <w:t xml:space="preserve">障单 </w:t>
      </w:r>
      <w:r>
        <w:rPr>
          <w:rFonts w:ascii="仿宋" w:hAnsi="仿宋" w:eastAsia="仿宋" w:cs="仿宋"/>
          <w:spacing w:val="-1"/>
          <w:sz w:val="34"/>
          <w:szCs w:val="34"/>
        </w:rPr>
        <w:t>位职工机关事业单位基本养老保险缴费和职业年金缴</w:t>
      </w:r>
      <w:r>
        <w:rPr>
          <w:rFonts w:ascii="仿宋" w:hAnsi="仿宋" w:eastAsia="仿宋" w:cs="仿宋"/>
          <w:sz w:val="34"/>
          <w:szCs w:val="34"/>
        </w:rPr>
        <w:t xml:space="preserve">费 </w:t>
      </w:r>
      <w:r>
        <w:rPr>
          <w:rFonts w:ascii="仿宋" w:hAnsi="仿宋" w:eastAsia="仿宋" w:cs="仿宋"/>
          <w:spacing w:val="-16"/>
          <w:sz w:val="34"/>
          <w:szCs w:val="34"/>
        </w:rPr>
        <w:t>支</w:t>
      </w:r>
      <w:r>
        <w:rPr>
          <w:rFonts w:ascii="仿宋" w:hAnsi="仿宋" w:eastAsia="仿宋" w:cs="仿宋"/>
          <w:spacing w:val="-15"/>
          <w:sz w:val="34"/>
          <w:szCs w:val="34"/>
        </w:rPr>
        <w:t>出。</w:t>
      </w:r>
    </w:p>
    <w:p>
      <w:pPr>
        <w:spacing w:before="111" w:line="289" w:lineRule="auto"/>
        <w:ind w:left="22" w:right="95" w:firstLine="46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五、关于洛浦县市场监督管理局2022年一般公共</w:t>
      </w:r>
      <w:r>
        <w:rPr>
          <w:rFonts w:ascii="黑体" w:hAnsi="黑体" w:eastAsia="黑体" w:cs="黑体"/>
          <w:sz w:val="34"/>
          <w:szCs w:val="34"/>
        </w:rPr>
        <w:t xml:space="preserve">预算 </w:t>
      </w:r>
      <w:r>
        <w:rPr>
          <w:rFonts w:ascii="黑体" w:hAnsi="黑体" w:eastAsia="黑体" w:cs="黑体"/>
          <w:spacing w:val="-4"/>
          <w:sz w:val="34"/>
          <w:szCs w:val="34"/>
        </w:rPr>
        <w:t>当年拨款情况说明</w:t>
      </w:r>
    </w:p>
    <w:p>
      <w:pPr>
        <w:spacing w:before="155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23" w:right="9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浦县市场监督管理局2022年一般公共预算拨款合计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1</w:t>
      </w:r>
      <w:r>
        <w:rPr>
          <w:rFonts w:ascii="仿宋" w:hAnsi="仿宋" w:eastAsia="仿宋" w:cs="仿宋"/>
          <w:spacing w:val="-9"/>
          <w:sz w:val="34"/>
          <w:szCs w:val="34"/>
        </w:rPr>
        <w:t>5</w:t>
      </w:r>
      <w:r>
        <w:rPr>
          <w:rFonts w:ascii="仿宋" w:hAnsi="仿宋" w:eastAsia="仿宋" w:cs="仿宋"/>
          <w:spacing w:val="-7"/>
          <w:sz w:val="34"/>
          <w:szCs w:val="34"/>
        </w:rPr>
        <w:t>52.75万元，其中：</w:t>
      </w:r>
    </w:p>
    <w:p>
      <w:pPr>
        <w:spacing w:before="1" w:line="221" w:lineRule="auto"/>
        <w:ind w:left="489"/>
        <w:rPr>
          <w:rFonts w:hint="eastAsia" w:ascii="仿宋" w:hAnsi="仿宋" w:eastAsia="仿宋" w:cs="仿宋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-8"/>
          <w:sz w:val="34"/>
          <w:szCs w:val="34"/>
        </w:rPr>
        <w:t>基</w:t>
      </w:r>
      <w:r>
        <w:rPr>
          <w:rFonts w:ascii="仿宋" w:hAnsi="仿宋" w:eastAsia="仿宋" w:cs="仿宋"/>
          <w:spacing w:val="-6"/>
          <w:sz w:val="34"/>
          <w:szCs w:val="34"/>
        </w:rPr>
        <w:t>本支出1463.49万元，比上年预算增加197.66万元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，</w:t>
      </w:r>
    </w:p>
    <w:p>
      <w:pPr>
        <w:spacing w:before="101" w:line="277" w:lineRule="auto"/>
        <w:ind w:right="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增长15.62%。主要原因是：人员增加，人员经费也增</w:t>
      </w:r>
      <w:r>
        <w:rPr>
          <w:rFonts w:ascii="仿宋" w:hAnsi="仿宋" w:eastAsia="仿宋" w:cs="仿宋"/>
          <w:spacing w:val="-18"/>
          <w:sz w:val="34"/>
          <w:szCs w:val="34"/>
        </w:rPr>
        <w:t>加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1" w:line="285" w:lineRule="auto"/>
        <w:ind w:left="9"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3"/>
          <w:sz w:val="34"/>
          <w:szCs w:val="34"/>
        </w:rPr>
        <w:t>项</w:t>
      </w:r>
      <w:r>
        <w:rPr>
          <w:rFonts w:ascii="仿宋" w:hAnsi="仿宋" w:eastAsia="仿宋" w:cs="仿宋"/>
          <w:spacing w:val="-9"/>
          <w:sz w:val="34"/>
          <w:szCs w:val="34"/>
        </w:rPr>
        <w:t>目支出89.26万元，比上年预算增加30.77万元，</w:t>
      </w:r>
      <w:r>
        <w:rPr>
          <w:rFonts w:ascii="仿宋" w:hAnsi="仿宋" w:eastAsia="仿宋" w:cs="仿宋"/>
          <w:spacing w:val="-1"/>
          <w:sz w:val="34"/>
          <w:szCs w:val="34"/>
        </w:rPr>
        <w:t>增长52.61%。主要原因是：2022年预算将</w:t>
      </w:r>
      <w:r>
        <w:rPr>
          <w:rFonts w:ascii="仿宋" w:hAnsi="仿宋" w:eastAsia="仿宋" w:cs="仿宋"/>
          <w:sz w:val="34"/>
          <w:szCs w:val="34"/>
        </w:rPr>
        <w:t>车辆运行维护</w:t>
      </w:r>
      <w:r>
        <w:rPr>
          <w:rFonts w:ascii="仿宋" w:hAnsi="仿宋" w:eastAsia="仿宋" w:cs="仿宋"/>
          <w:spacing w:val="-4"/>
          <w:sz w:val="34"/>
          <w:szCs w:val="34"/>
        </w:rPr>
        <w:t>费和办公用房取暖费做项目支出里。</w:t>
      </w:r>
    </w:p>
    <w:p>
      <w:pPr>
        <w:spacing w:before="155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3" w:line="277" w:lineRule="auto"/>
        <w:ind w:right="1115" w:firstLine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4"/>
          <w:sz w:val="34"/>
          <w:szCs w:val="34"/>
        </w:rPr>
        <w:t>1</w:t>
      </w:r>
      <w:r>
        <w:rPr>
          <w:rFonts w:ascii="仿宋" w:hAnsi="仿宋" w:eastAsia="仿宋" w:cs="仿宋"/>
          <w:spacing w:val="12"/>
          <w:sz w:val="34"/>
          <w:szCs w:val="34"/>
        </w:rPr>
        <w:t>. 一般公共服务支出(类)1360.78万元，占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87.64%。</w:t>
      </w:r>
    </w:p>
    <w:p>
      <w:pPr>
        <w:spacing w:before="1" w:line="220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4"/>
          <w:sz w:val="34"/>
          <w:szCs w:val="34"/>
        </w:rPr>
        <w:t>2</w:t>
      </w:r>
      <w:r>
        <w:rPr>
          <w:rFonts w:ascii="仿宋" w:hAnsi="仿宋" w:eastAsia="仿宋" w:cs="仿宋"/>
          <w:spacing w:val="13"/>
          <w:sz w:val="34"/>
          <w:szCs w:val="34"/>
        </w:rPr>
        <w:t>. 社会保障和就业支出(类)191.97万元，占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49" w:line="187" w:lineRule="auto"/>
        <w:ind w:left="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1</w:t>
      </w:r>
      <w:r>
        <w:rPr>
          <w:rFonts w:ascii="仿宋" w:hAnsi="仿宋" w:eastAsia="仿宋" w:cs="仿宋"/>
          <w:spacing w:val="-8"/>
          <w:sz w:val="34"/>
          <w:szCs w:val="34"/>
        </w:rPr>
        <w:t>2.36%。</w:t>
      </w:r>
    </w:p>
    <w:p>
      <w:pPr>
        <w:spacing w:before="307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>
      <w:pPr>
        <w:spacing w:before="102" w:line="277" w:lineRule="auto"/>
        <w:ind w:left="14" w:right="65" w:firstLine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32"/>
          <w:sz w:val="34"/>
          <w:szCs w:val="34"/>
        </w:rPr>
        <w:t>1</w:t>
      </w:r>
      <w:r>
        <w:rPr>
          <w:rFonts w:ascii="仿宋" w:hAnsi="仿宋" w:eastAsia="仿宋" w:cs="仿宋"/>
          <w:spacing w:val="20"/>
          <w:sz w:val="34"/>
          <w:szCs w:val="34"/>
        </w:rPr>
        <w:t>.一般公共服务支出(类)市场监督管理事务(款</w:t>
      </w:r>
      <w:r>
        <w:rPr>
          <w:rFonts w:ascii="仿宋" w:hAnsi="仿宋" w:eastAsia="仿宋" w:cs="仿宋"/>
          <w:spacing w:val="18"/>
          <w:sz w:val="34"/>
          <w:szCs w:val="34"/>
        </w:rPr>
        <w:t>)行</w:t>
      </w:r>
      <w:r>
        <w:rPr>
          <w:rFonts w:ascii="仿宋" w:hAnsi="仿宋" w:eastAsia="仿宋" w:cs="仿宋"/>
          <w:spacing w:val="13"/>
          <w:sz w:val="34"/>
          <w:szCs w:val="34"/>
        </w:rPr>
        <w:t>政</w:t>
      </w:r>
      <w:r>
        <w:rPr>
          <w:rFonts w:ascii="仿宋" w:hAnsi="仿宋" w:eastAsia="仿宋" w:cs="仿宋"/>
          <w:spacing w:val="9"/>
          <w:sz w:val="34"/>
          <w:szCs w:val="34"/>
        </w:rPr>
        <w:t>运行(项):2022年预算数为1314.69万元，比上</w:t>
      </w:r>
      <w:r>
        <w:rPr>
          <w:rFonts w:ascii="仿宋" w:hAnsi="仿宋" w:eastAsia="仿宋" w:cs="仿宋"/>
          <w:spacing w:val="-12"/>
          <w:sz w:val="34"/>
          <w:szCs w:val="34"/>
        </w:rPr>
        <w:t>年预</w:t>
      </w:r>
      <w:r>
        <w:rPr>
          <w:rFonts w:ascii="仿宋" w:hAnsi="仿宋" w:eastAsia="仿宋" w:cs="仿宋"/>
          <w:spacing w:val="-8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数增加22</w:t>
      </w:r>
      <w:r>
        <w:rPr>
          <w:rFonts w:hint="eastAsia" w:ascii="仿宋" w:hAnsi="仿宋" w:eastAsia="仿宋" w:cs="仿宋"/>
          <w:spacing w:val="-6"/>
          <w:sz w:val="34"/>
          <w:szCs w:val="34"/>
          <w:lang w:val="en-US" w:eastAsia="zh-CN"/>
        </w:rPr>
        <w:t>1</w:t>
      </w:r>
      <w:r>
        <w:rPr>
          <w:rFonts w:ascii="仿宋" w:hAnsi="仿宋" w:eastAsia="仿宋" w:cs="仿宋"/>
          <w:spacing w:val="-6"/>
          <w:sz w:val="34"/>
          <w:szCs w:val="34"/>
        </w:rPr>
        <w:t>.17万元，增长20.89%，主要原因是</w:t>
      </w:r>
      <w:r>
        <w:rPr>
          <w:rFonts w:ascii="仿宋" w:hAnsi="仿宋" w:eastAsia="仿宋" w:cs="仿宋"/>
          <w:spacing w:val="-5"/>
          <w:sz w:val="34"/>
          <w:szCs w:val="34"/>
        </w:rPr>
        <w:t>：人员增加，人员经费也增加。</w:t>
      </w:r>
    </w:p>
    <w:p>
      <w:pPr>
        <w:spacing w:before="5" w:line="276" w:lineRule="auto"/>
        <w:ind w:left="14" w:right="65" w:firstLine="46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32"/>
          <w:sz w:val="34"/>
          <w:szCs w:val="34"/>
        </w:rPr>
        <w:t>2</w:t>
      </w:r>
      <w:r>
        <w:rPr>
          <w:rFonts w:ascii="仿宋" w:hAnsi="仿宋" w:eastAsia="仿宋" w:cs="仿宋"/>
          <w:spacing w:val="21"/>
          <w:sz w:val="34"/>
          <w:szCs w:val="34"/>
        </w:rPr>
        <w:t>.一般公共服务支出(类)市场监督管理事务(款</w:t>
      </w:r>
      <w:r>
        <w:rPr>
          <w:rFonts w:ascii="仿宋" w:hAnsi="仿宋" w:eastAsia="仿宋" w:cs="仿宋"/>
          <w:spacing w:val="20"/>
          <w:sz w:val="34"/>
          <w:szCs w:val="34"/>
        </w:rPr>
        <w:t>)</w:t>
      </w:r>
      <w:r>
        <w:rPr>
          <w:rFonts w:ascii="仿宋" w:hAnsi="仿宋" w:eastAsia="仿宋" w:cs="仿宋"/>
          <w:spacing w:val="10"/>
          <w:sz w:val="34"/>
          <w:szCs w:val="34"/>
        </w:rPr>
        <w:t>市场秩序执法(项):2022年预算数为8.4万元，比上</w:t>
      </w:r>
      <w:r>
        <w:rPr>
          <w:rFonts w:ascii="仿宋" w:hAnsi="仿宋" w:eastAsia="仿宋" w:cs="仿宋"/>
          <w:spacing w:val="-18"/>
          <w:sz w:val="34"/>
          <w:szCs w:val="34"/>
        </w:rPr>
        <w:t>年</w:t>
      </w:r>
      <w:r>
        <w:rPr>
          <w:rFonts w:ascii="仿宋" w:hAnsi="仿宋" w:eastAsia="仿宋" w:cs="仿宋"/>
          <w:spacing w:val="-14"/>
          <w:sz w:val="34"/>
          <w:szCs w:val="34"/>
        </w:rPr>
        <w:t>预</w:t>
      </w:r>
      <w:r>
        <w:rPr>
          <w:rFonts w:ascii="仿宋" w:hAnsi="仿宋" w:eastAsia="仿宋" w:cs="仿宋"/>
          <w:spacing w:val="-9"/>
          <w:sz w:val="34"/>
          <w:szCs w:val="34"/>
        </w:rPr>
        <w:t>算数增加0万元，增长0%，主要原因是：无。</w:t>
      </w:r>
    </w:p>
    <w:p>
      <w:pPr>
        <w:spacing w:before="5" w:line="276" w:lineRule="auto"/>
        <w:ind w:left="10" w:right="6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9"/>
          <w:sz w:val="34"/>
          <w:szCs w:val="34"/>
        </w:rPr>
        <w:t>3</w:t>
      </w:r>
      <w:r>
        <w:rPr>
          <w:rFonts w:ascii="仿宋" w:hAnsi="仿宋" w:eastAsia="仿宋" w:cs="仿宋"/>
          <w:spacing w:val="21"/>
          <w:sz w:val="34"/>
          <w:szCs w:val="34"/>
        </w:rPr>
        <w:t>.一般公共服务支出(类)市场监督管理事务(款</w:t>
      </w:r>
      <w:r>
        <w:rPr>
          <w:rFonts w:ascii="仿宋" w:hAnsi="仿宋" w:eastAsia="仿宋" w:cs="仿宋"/>
          <w:spacing w:val="14"/>
          <w:sz w:val="34"/>
          <w:szCs w:val="34"/>
        </w:rPr>
        <w:t>)</w:t>
      </w:r>
      <w:r>
        <w:rPr>
          <w:rFonts w:ascii="仿宋" w:hAnsi="仿宋" w:eastAsia="仿宋" w:cs="仿宋"/>
          <w:spacing w:val="10"/>
          <w:sz w:val="34"/>
          <w:szCs w:val="34"/>
        </w:rPr>
        <w:t>食品安全监管(项):2022年预算数为37.69万元，比</w:t>
      </w:r>
      <w:r>
        <w:rPr>
          <w:rFonts w:ascii="仿宋" w:hAnsi="仿宋" w:eastAsia="仿宋" w:cs="仿宋"/>
          <w:spacing w:val="-10"/>
          <w:sz w:val="34"/>
          <w:szCs w:val="34"/>
        </w:rPr>
        <w:t>上</w:t>
      </w:r>
      <w:r>
        <w:rPr>
          <w:rFonts w:ascii="仿宋" w:hAnsi="仿宋" w:eastAsia="仿宋" w:cs="仿宋"/>
          <w:spacing w:val="-9"/>
          <w:sz w:val="34"/>
          <w:szCs w:val="34"/>
        </w:rPr>
        <w:t>年预算数增加0万元，增长0%，主要原因是：无。</w:t>
      </w:r>
    </w:p>
    <w:p>
      <w:pPr>
        <w:tabs>
          <w:tab w:val="left" w:pos="177"/>
        </w:tabs>
        <w:spacing w:before="6" w:line="276" w:lineRule="auto"/>
        <w:ind w:left="4" w:right="435" w:firstLine="471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spacing w:val="21"/>
          <w:sz w:val="34"/>
          <w:szCs w:val="34"/>
        </w:rPr>
        <w:t>4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14"/>
          <w:sz w:val="34"/>
          <w:szCs w:val="34"/>
        </w:rPr>
        <w:t>(款)机关事业单位基本养老保险缴费支出(</w:t>
      </w:r>
      <w:r>
        <w:rPr>
          <w:rFonts w:ascii="仿宋" w:hAnsi="仿宋" w:eastAsia="仿宋" w:cs="仿宋"/>
          <w:spacing w:val="13"/>
          <w:sz w:val="34"/>
          <w:szCs w:val="34"/>
        </w:rPr>
        <w:t>项</w:t>
      </w:r>
      <w:r>
        <w:rPr>
          <w:rFonts w:hint="eastAsia" w:ascii="仿宋" w:hAnsi="仿宋" w:eastAsia="仿宋" w:cs="仿宋"/>
          <w:spacing w:val="13"/>
          <w:sz w:val="34"/>
          <w:szCs w:val="34"/>
          <w:lang w:eastAsia="zh-CN"/>
        </w:rPr>
        <w:t>）：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-1"/>
          <w:sz w:val="34"/>
          <w:szCs w:val="34"/>
        </w:rPr>
        <w:t>2022年预算数为127.98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万元</w:t>
      </w:r>
      <w:r>
        <w:rPr>
          <w:rFonts w:ascii="仿宋" w:hAnsi="仿宋" w:eastAsia="仿宋" w:cs="仿宋"/>
          <w:color w:val="auto"/>
          <w:sz w:val="34"/>
          <w:szCs w:val="34"/>
        </w:rPr>
        <w:t>，比上年预算数减少</w:t>
      </w:r>
      <w:r>
        <w:rPr>
          <w:rFonts w:ascii="仿宋" w:hAnsi="仿宋" w:eastAsia="仿宋" w:cs="仿宋"/>
          <w:color w:val="auto"/>
          <w:spacing w:val="-18"/>
          <w:sz w:val="34"/>
          <w:szCs w:val="34"/>
        </w:rPr>
        <w:t>3</w:t>
      </w:r>
      <w:r>
        <w:rPr>
          <w:rFonts w:ascii="仿宋" w:hAnsi="仿宋" w:eastAsia="仿宋" w:cs="仿宋"/>
          <w:color w:val="auto"/>
          <w:spacing w:val="-10"/>
          <w:sz w:val="34"/>
          <w:szCs w:val="34"/>
        </w:rPr>
        <w:t>.96万元，下降3%，主要原因是：无。</w:t>
      </w:r>
      <w:bookmarkStart w:id="0" w:name="_GoBack"/>
      <w:bookmarkEnd w:id="0"/>
    </w:p>
    <w:p>
      <w:pPr>
        <w:spacing w:before="6" w:line="283" w:lineRule="auto"/>
        <w:ind w:left="7" w:right="90" w:firstLine="47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color w:val="auto"/>
          <w:spacing w:val="14"/>
          <w:sz w:val="34"/>
          <w:szCs w:val="34"/>
        </w:rPr>
        <w:t>5.社会保障和就业支出(类)行政事</w:t>
      </w:r>
      <w:r>
        <w:rPr>
          <w:rFonts w:ascii="仿宋" w:hAnsi="仿宋" w:eastAsia="仿宋" w:cs="仿宋"/>
          <w:spacing w:val="14"/>
          <w:sz w:val="34"/>
          <w:szCs w:val="34"/>
        </w:rPr>
        <w:t>业单位离退</w:t>
      </w:r>
      <w:r>
        <w:rPr>
          <w:rFonts w:ascii="仿宋" w:hAnsi="仿宋" w:eastAsia="仿宋" w:cs="仿宋"/>
          <w:spacing w:val="13"/>
          <w:sz w:val="34"/>
          <w:szCs w:val="34"/>
        </w:rPr>
        <w:t>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34"/>
          <w:sz w:val="34"/>
          <w:szCs w:val="34"/>
        </w:rPr>
        <w:t>(</w:t>
      </w:r>
      <w:r>
        <w:rPr>
          <w:rFonts w:ascii="仿宋" w:hAnsi="仿宋" w:eastAsia="仿宋" w:cs="仿宋"/>
          <w:spacing w:val="23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2"/>
          <w:sz w:val="34"/>
          <w:szCs w:val="34"/>
        </w:rPr>
        <w:t>算</w:t>
      </w:r>
      <w:r>
        <w:rPr>
          <w:rFonts w:ascii="仿宋" w:hAnsi="仿宋" w:eastAsia="仿宋" w:cs="仿宋"/>
          <w:spacing w:val="-11"/>
          <w:sz w:val="34"/>
          <w:szCs w:val="34"/>
        </w:rPr>
        <w:t>数为63.99万元，比上年预算数增加11.22万元，增</w:t>
      </w:r>
      <w:r>
        <w:rPr>
          <w:rFonts w:ascii="仿宋" w:hAnsi="仿宋" w:eastAsia="仿宋" w:cs="仿宋"/>
          <w:spacing w:val="-4"/>
          <w:sz w:val="34"/>
          <w:szCs w:val="34"/>
        </w:rPr>
        <w:t>长21.2</w:t>
      </w:r>
      <w:r>
        <w:rPr>
          <w:rFonts w:ascii="仿宋" w:hAnsi="仿宋" w:eastAsia="仿宋" w:cs="仿宋"/>
          <w:spacing w:val="-3"/>
          <w:sz w:val="34"/>
          <w:szCs w:val="34"/>
        </w:rPr>
        <w:t>6</w:t>
      </w:r>
      <w:r>
        <w:rPr>
          <w:rFonts w:ascii="仿宋" w:hAnsi="仿宋" w:eastAsia="仿宋" w:cs="仿宋"/>
          <w:spacing w:val="-2"/>
          <w:sz w:val="34"/>
          <w:szCs w:val="34"/>
        </w:rPr>
        <w:t>%，主要原因是：人员增加，人员经费也增加。</w:t>
      </w:r>
    </w:p>
    <w:p>
      <w:pPr>
        <w:spacing w:before="149" w:line="277" w:lineRule="auto"/>
        <w:ind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六、关于洛浦县市场监督管理局2022年一般公共预</w:t>
      </w:r>
      <w:r>
        <w:rPr>
          <w:rFonts w:ascii="黑体" w:hAnsi="黑体" w:eastAsia="黑体" w:cs="黑体"/>
          <w:sz w:val="34"/>
          <w:szCs w:val="34"/>
        </w:rPr>
        <w:t xml:space="preserve">算 </w:t>
      </w:r>
      <w:r>
        <w:rPr>
          <w:rFonts w:ascii="黑体" w:hAnsi="黑体" w:eastAsia="黑体" w:cs="黑体"/>
          <w:spacing w:val="-2"/>
          <w:sz w:val="34"/>
          <w:szCs w:val="34"/>
        </w:rPr>
        <w:t>基本支出情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>
      <w:pPr>
        <w:spacing w:before="4" w:line="276" w:lineRule="auto"/>
        <w:ind w:left="22" w:right="9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浦县市场监督管理局2022年一般公共预算基本支出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1</w:t>
      </w:r>
      <w:r>
        <w:rPr>
          <w:rFonts w:ascii="仿宋" w:hAnsi="仿宋" w:eastAsia="仿宋" w:cs="仿宋"/>
          <w:spacing w:val="-10"/>
          <w:sz w:val="34"/>
          <w:szCs w:val="34"/>
        </w:rPr>
        <w:t>4</w:t>
      </w:r>
      <w:r>
        <w:rPr>
          <w:rFonts w:ascii="仿宋" w:hAnsi="仿宋" w:eastAsia="仿宋" w:cs="仿宋"/>
          <w:spacing w:val="-7"/>
          <w:sz w:val="34"/>
          <w:szCs w:val="34"/>
        </w:rPr>
        <w:t>63.49万元，其中：</w:t>
      </w:r>
    </w:p>
    <w:p>
      <w:pPr>
        <w:spacing w:before="4" w:line="282" w:lineRule="auto"/>
        <w:ind w:left="7" w:right="235" w:firstLine="485"/>
        <w:rPr>
          <w:rFonts w:hint="eastAsia" w:eastAsia="仿宋"/>
          <w:lang w:val="en-US" w:eastAsia="zh-CN"/>
        </w:rPr>
        <w:sectPr>
          <w:pgSz w:w="11900" w:h="16840"/>
          <w:pgMar w:top="946" w:right="1785" w:bottom="0" w:left="1734" w:header="0" w:footer="0" w:gutter="0"/>
          <w:cols w:space="720" w:num="1"/>
        </w:sect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经费1425.2万元，主要包括：基本工资、津贴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补贴、奖金、机关事业单位基本养老保险缴费、职业</w:t>
      </w:r>
      <w:r>
        <w:rPr>
          <w:rFonts w:ascii="仿宋" w:hAnsi="仿宋" w:eastAsia="仿宋" w:cs="仿宋"/>
          <w:sz w:val="34"/>
          <w:szCs w:val="34"/>
        </w:rPr>
        <w:t>年</w:t>
      </w:r>
      <w:r>
        <w:rPr>
          <w:rFonts w:ascii="仿宋" w:hAnsi="仿宋" w:eastAsia="仿宋" w:cs="仿宋"/>
          <w:spacing w:val="-1"/>
          <w:sz w:val="34"/>
          <w:szCs w:val="34"/>
        </w:rPr>
        <w:t>金缴费、城镇职工基本医疗保险缴费、公务员医疗补</w:t>
      </w:r>
      <w:r>
        <w:rPr>
          <w:rFonts w:ascii="仿宋" w:hAnsi="仿宋" w:eastAsia="仿宋" w:cs="仿宋"/>
          <w:sz w:val="34"/>
          <w:szCs w:val="34"/>
        </w:rPr>
        <w:t>助</w:t>
      </w:r>
      <w:r>
        <w:rPr>
          <w:rFonts w:ascii="仿宋" w:hAnsi="仿宋" w:eastAsia="仿宋" w:cs="仿宋"/>
          <w:spacing w:val="-1"/>
          <w:sz w:val="34"/>
          <w:szCs w:val="34"/>
        </w:rPr>
        <w:t>缴费、其他社会保障缴费、住房公积金、退休费、生</w:t>
      </w:r>
      <w:r>
        <w:rPr>
          <w:rFonts w:ascii="仿宋" w:hAnsi="仿宋" w:eastAsia="仿宋" w:cs="仿宋"/>
          <w:sz w:val="34"/>
          <w:szCs w:val="34"/>
        </w:rPr>
        <w:t>活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补</w:t>
      </w:r>
    </w:p>
    <w:p>
      <w:pPr>
        <w:spacing w:before="68" w:line="222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助、医疗费补助。</w:t>
      </w:r>
    </w:p>
    <w:p>
      <w:pPr>
        <w:spacing w:before="101" w:line="224" w:lineRule="auto"/>
        <w:ind w:left="495"/>
      </w:pPr>
      <w:r>
        <w:rPr>
          <w:rFonts w:ascii="仿宋" w:hAnsi="仿宋" w:eastAsia="仿宋" w:cs="仿宋"/>
          <w:spacing w:val="-14"/>
          <w:sz w:val="34"/>
          <w:szCs w:val="34"/>
        </w:rPr>
        <w:t>公</w:t>
      </w:r>
      <w:r>
        <w:rPr>
          <w:rFonts w:ascii="仿宋" w:hAnsi="仿宋" w:eastAsia="仿宋" w:cs="仿宋"/>
          <w:spacing w:val="-8"/>
          <w:sz w:val="34"/>
          <w:szCs w:val="34"/>
        </w:rPr>
        <w:t>用</w:t>
      </w:r>
      <w:r>
        <w:rPr>
          <w:rFonts w:ascii="仿宋" w:hAnsi="仿宋" w:eastAsia="仿宋" w:cs="仿宋"/>
          <w:spacing w:val="-7"/>
          <w:sz w:val="34"/>
          <w:szCs w:val="34"/>
        </w:rPr>
        <w:t>经费38.29万元，主要包括：办公费、工会经费</w:t>
      </w:r>
    </w:p>
    <w:p>
      <w:pPr>
        <w:spacing w:before="23" w:line="94" w:lineRule="exact"/>
        <w:ind w:left="34"/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before="110" w:line="277" w:lineRule="auto"/>
        <w:ind w:right="95" w:firstLine="47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七、关于洛浦县市场监督管</w:t>
      </w:r>
      <w:r>
        <w:rPr>
          <w:rFonts w:ascii="黑体" w:hAnsi="黑体" w:eastAsia="黑体" w:cs="黑体"/>
          <w:sz w:val="34"/>
          <w:szCs w:val="34"/>
        </w:rPr>
        <w:t>理局2022年一般公共预算</w:t>
      </w:r>
      <w:r>
        <w:rPr>
          <w:rFonts w:ascii="黑体" w:hAnsi="黑体" w:eastAsia="黑体" w:cs="黑体"/>
          <w:spacing w:val="-2"/>
          <w:sz w:val="34"/>
          <w:szCs w:val="34"/>
        </w:rPr>
        <w:t>项目支出</w:t>
      </w:r>
      <w:r>
        <w:rPr>
          <w:rFonts w:ascii="黑体" w:hAnsi="黑体" w:eastAsia="黑体" w:cs="黑体"/>
          <w:spacing w:val="-1"/>
          <w:sz w:val="34"/>
          <w:szCs w:val="34"/>
        </w:rPr>
        <w:t>情况说明</w:t>
      </w:r>
    </w:p>
    <w:p>
      <w:pPr>
        <w:spacing w:before="1" w:line="242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1</w:t>
      </w:r>
      <w:r>
        <w:rPr>
          <w:rFonts w:ascii="仿宋" w:hAnsi="仿宋" w:eastAsia="仿宋" w:cs="仿宋"/>
          <w:spacing w:val="-7"/>
          <w:sz w:val="34"/>
          <w:szCs w:val="34"/>
        </w:rPr>
        <w:t>.</w:t>
      </w:r>
      <w:r>
        <w:rPr>
          <w:rFonts w:ascii="仿宋" w:hAnsi="仿宋" w:eastAsia="仿宋" w:cs="仿宋"/>
          <w:spacing w:val="-5"/>
          <w:sz w:val="34"/>
          <w:szCs w:val="34"/>
        </w:rPr>
        <w:t>项目名称：专项执法经费。</w:t>
      </w:r>
    </w:p>
    <w:p>
      <w:pPr>
        <w:spacing w:before="63" w:line="277" w:lineRule="auto"/>
        <w:ind w:left="15" w:right="126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设立的政策依据：新政发[2015]34号</w:t>
      </w:r>
    </w:p>
    <w:p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安排规模：6万元</w:t>
      </w:r>
    </w:p>
    <w:p>
      <w:pPr>
        <w:spacing w:before="101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项目承担</w:t>
      </w:r>
      <w:r>
        <w:rPr>
          <w:rFonts w:ascii="仿宋" w:hAnsi="仿宋" w:eastAsia="仿宋" w:cs="仿宋"/>
          <w:spacing w:val="-3"/>
          <w:sz w:val="34"/>
          <w:szCs w:val="34"/>
        </w:rPr>
        <w:t>单位：洛浦县市场监督管理局。</w:t>
      </w:r>
    </w:p>
    <w:p>
      <w:pPr>
        <w:spacing w:before="103" w:line="277" w:lineRule="auto"/>
        <w:ind w:left="20" w:right="2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资金分配情况：印刷费0.6万元，</w:t>
      </w:r>
      <w:r>
        <w:rPr>
          <w:rFonts w:ascii="仿宋" w:hAnsi="仿宋" w:eastAsia="仿宋" w:cs="仿宋"/>
          <w:spacing w:val="-1"/>
          <w:sz w:val="34"/>
          <w:szCs w:val="34"/>
        </w:rPr>
        <w:t>公务用车运行维护</w:t>
      </w:r>
      <w:r>
        <w:rPr>
          <w:rFonts w:ascii="仿宋" w:hAnsi="仿宋" w:eastAsia="仿宋" w:cs="仿宋"/>
          <w:spacing w:val="-6"/>
          <w:sz w:val="34"/>
          <w:szCs w:val="34"/>
        </w:rPr>
        <w:t>费</w:t>
      </w:r>
      <w:r>
        <w:rPr>
          <w:rFonts w:ascii="仿宋" w:hAnsi="仿宋" w:eastAsia="仿宋" w:cs="仿宋"/>
          <w:spacing w:val="-5"/>
          <w:sz w:val="34"/>
          <w:szCs w:val="34"/>
        </w:rPr>
        <w:t>3</w:t>
      </w:r>
      <w:r>
        <w:rPr>
          <w:rFonts w:ascii="仿宋" w:hAnsi="仿宋" w:eastAsia="仿宋" w:cs="仿宋"/>
          <w:spacing w:val="-3"/>
          <w:sz w:val="34"/>
          <w:szCs w:val="34"/>
        </w:rPr>
        <w:t>.95万元，办公用品费1.45万元。</w:t>
      </w:r>
    </w:p>
    <w:p>
      <w:pPr>
        <w:spacing w:before="2" w:line="220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sz w:val="34"/>
          <w:szCs w:val="34"/>
        </w:rPr>
        <w:t>金执行时间：2022年1月-12月。</w:t>
      </w:r>
    </w:p>
    <w:p>
      <w:pPr>
        <w:spacing w:before="103" w:line="447" w:lineRule="exact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position w:val="2"/>
          <w:sz w:val="34"/>
          <w:szCs w:val="34"/>
        </w:rPr>
        <w:t>2</w:t>
      </w:r>
      <w:r>
        <w:rPr>
          <w:rFonts w:ascii="仿宋" w:hAnsi="仿宋" w:eastAsia="仿宋" w:cs="仿宋"/>
          <w:spacing w:val="-7"/>
          <w:position w:val="2"/>
          <w:sz w:val="34"/>
          <w:szCs w:val="34"/>
        </w:rPr>
        <w:t>.</w:t>
      </w:r>
      <w:r>
        <w:rPr>
          <w:rFonts w:ascii="仿宋" w:hAnsi="仿宋" w:eastAsia="仿宋" w:cs="仿宋"/>
          <w:spacing w:val="-4"/>
          <w:position w:val="2"/>
          <w:sz w:val="34"/>
          <w:szCs w:val="34"/>
        </w:rPr>
        <w:t>项目名称：消费维权。</w:t>
      </w:r>
    </w:p>
    <w:p>
      <w:pPr>
        <w:spacing w:before="63" w:line="277" w:lineRule="auto"/>
        <w:ind w:left="17" w:right="65" w:firstLine="470"/>
        <w:rPr>
          <w:rFonts w:hint="eastAsia" w:ascii="仿宋" w:hAnsi="仿宋" w:eastAsia="仿宋" w:cs="仿宋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设立的政策依据：根据《和田地区2021年3.</w:t>
      </w:r>
      <w:r>
        <w:rPr>
          <w:rFonts w:ascii="仿宋" w:hAnsi="仿宋" w:eastAsia="仿宋" w:cs="仿宋"/>
          <w:sz w:val="34"/>
          <w:szCs w:val="34"/>
        </w:rPr>
        <w:t xml:space="preserve">15国际消 </w:t>
      </w:r>
      <w:r>
        <w:rPr>
          <w:rFonts w:ascii="仿宋" w:hAnsi="仿宋" w:eastAsia="仿宋" w:cs="仿宋"/>
          <w:spacing w:val="-2"/>
          <w:sz w:val="34"/>
          <w:szCs w:val="34"/>
        </w:rPr>
        <w:t>费者权益纪念日</w:t>
      </w:r>
      <w:r>
        <w:rPr>
          <w:rFonts w:ascii="仿宋" w:hAnsi="仿宋" w:eastAsia="仿宋" w:cs="仿宋"/>
          <w:spacing w:val="-1"/>
          <w:sz w:val="34"/>
          <w:szCs w:val="34"/>
        </w:rPr>
        <w:t>活动实施方案》的文件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。</w:t>
      </w:r>
    </w:p>
    <w:p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预算安排规模：2.</w:t>
      </w:r>
      <w:r>
        <w:rPr>
          <w:rFonts w:ascii="仿宋" w:hAnsi="仿宋" w:eastAsia="仿宋" w:cs="仿宋"/>
          <w:spacing w:val="-1"/>
          <w:sz w:val="34"/>
          <w:szCs w:val="34"/>
        </w:rPr>
        <w:t>4万元</w:t>
      </w:r>
    </w:p>
    <w:p>
      <w:pPr>
        <w:spacing w:before="101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项目承担</w:t>
      </w:r>
      <w:r>
        <w:rPr>
          <w:rFonts w:ascii="仿宋" w:hAnsi="仿宋" w:eastAsia="仿宋" w:cs="仿宋"/>
          <w:spacing w:val="-3"/>
          <w:sz w:val="34"/>
          <w:szCs w:val="34"/>
        </w:rPr>
        <w:t>单位：洛浦县市场监督管理局。</w:t>
      </w:r>
    </w:p>
    <w:p>
      <w:pPr>
        <w:spacing w:before="103" w:line="222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</w:t>
      </w:r>
      <w:r>
        <w:rPr>
          <w:rFonts w:ascii="仿宋" w:hAnsi="仿宋" w:eastAsia="仿宋" w:cs="仿宋"/>
          <w:spacing w:val="-6"/>
          <w:sz w:val="34"/>
          <w:szCs w:val="34"/>
        </w:rPr>
        <w:t>金</w:t>
      </w:r>
      <w:r>
        <w:rPr>
          <w:rFonts w:ascii="仿宋" w:hAnsi="仿宋" w:eastAsia="仿宋" w:cs="仿宋"/>
          <w:spacing w:val="-4"/>
          <w:sz w:val="34"/>
          <w:szCs w:val="34"/>
        </w:rPr>
        <w:t>分配情况：印刷费2.4万元。</w:t>
      </w:r>
    </w:p>
    <w:p>
      <w:pPr>
        <w:spacing w:before="101" w:line="221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sz w:val="34"/>
          <w:szCs w:val="34"/>
        </w:rPr>
        <w:t>金执行时间：2022年1月-12月。</w:t>
      </w:r>
    </w:p>
    <w:p>
      <w:pPr>
        <w:spacing w:before="104" w:line="24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3</w:t>
      </w:r>
      <w:r>
        <w:rPr>
          <w:rFonts w:ascii="仿宋" w:hAnsi="仿宋" w:eastAsia="仿宋" w:cs="仿宋"/>
          <w:spacing w:val="-6"/>
          <w:sz w:val="34"/>
          <w:szCs w:val="34"/>
        </w:rPr>
        <w:t>.</w:t>
      </w:r>
      <w:r>
        <w:rPr>
          <w:rFonts w:ascii="仿宋" w:hAnsi="仿宋" w:eastAsia="仿宋" w:cs="仿宋"/>
          <w:spacing w:val="-4"/>
          <w:sz w:val="34"/>
          <w:szCs w:val="34"/>
        </w:rPr>
        <w:t>项目名称：信息化建设。</w:t>
      </w:r>
    </w:p>
    <w:p>
      <w:pPr>
        <w:spacing w:before="69" w:line="223" w:lineRule="auto"/>
        <w:ind w:left="9" w:firstLine="338" w:firstLineChars="1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设立的政策依据：新政发[2015]34号</w:t>
      </w:r>
      <w:r>
        <w:rPr>
          <w:rFonts w:ascii="仿宋" w:hAnsi="仿宋" w:eastAsia="仿宋" w:cs="仿宋"/>
          <w:spacing w:val="-13"/>
          <w:sz w:val="34"/>
          <w:szCs w:val="34"/>
        </w:rPr>
        <w:t>。</w:t>
      </w:r>
    </w:p>
    <w:p>
      <w:pPr>
        <w:spacing w:before="98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安排规模：6万元</w:t>
      </w:r>
    </w:p>
    <w:p>
      <w:pPr>
        <w:spacing w:before="10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项目承担</w:t>
      </w:r>
      <w:r>
        <w:rPr>
          <w:rFonts w:ascii="仿宋" w:hAnsi="仿宋" w:eastAsia="仿宋" w:cs="仿宋"/>
          <w:spacing w:val="-3"/>
          <w:sz w:val="34"/>
          <w:szCs w:val="34"/>
        </w:rPr>
        <w:t>单位：洛浦县市场监督管理局。</w:t>
      </w:r>
    </w:p>
    <w:p>
      <w:pPr>
        <w:spacing w:before="103" w:line="510" w:lineRule="exact"/>
        <w:ind w:left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资金分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配情况：维修(护)费6万元。</w:t>
      </w:r>
    </w:p>
    <w:p>
      <w:pPr>
        <w:spacing w:before="1" w:line="220" w:lineRule="auto"/>
        <w:ind w:left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sz w:val="34"/>
          <w:szCs w:val="34"/>
        </w:rPr>
        <w:t>金执行时间：2022年1月-12月。</w:t>
      </w:r>
    </w:p>
    <w:p>
      <w:pPr>
        <w:spacing w:before="103" w:line="447" w:lineRule="exact"/>
        <w:ind w:left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"/>
          <w:sz w:val="34"/>
          <w:szCs w:val="34"/>
        </w:rPr>
        <w:t>4.项目名称：办公水电费</w:t>
      </w:r>
      <w:r>
        <w:rPr>
          <w:rFonts w:ascii="仿宋" w:hAnsi="仿宋" w:eastAsia="仿宋" w:cs="仿宋"/>
          <w:spacing w:val="-2"/>
          <w:position w:val="2"/>
          <w:sz w:val="34"/>
          <w:szCs w:val="34"/>
        </w:rPr>
        <w:t>。</w:t>
      </w:r>
    </w:p>
    <w:p>
      <w:pPr>
        <w:spacing w:before="63" w:line="277" w:lineRule="auto"/>
        <w:ind w:left="18" w:right="265" w:firstLine="46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设立的政策依据：办公用水电费6万元，其中：水</w:t>
      </w:r>
      <w:r>
        <w:rPr>
          <w:rFonts w:ascii="仿宋" w:hAnsi="仿宋" w:eastAsia="仿宋" w:cs="仿宋"/>
          <w:sz w:val="34"/>
          <w:szCs w:val="34"/>
        </w:rPr>
        <w:t xml:space="preserve">费 </w:t>
      </w:r>
      <w:r>
        <w:rPr>
          <w:rFonts w:ascii="仿宋" w:hAnsi="仿宋" w:eastAsia="仿宋" w:cs="仿宋"/>
          <w:spacing w:val="18"/>
          <w:sz w:val="34"/>
          <w:szCs w:val="34"/>
        </w:rPr>
        <w:t>1</w:t>
      </w:r>
      <w:r>
        <w:rPr>
          <w:rFonts w:ascii="仿宋" w:hAnsi="仿宋" w:eastAsia="仿宋" w:cs="仿宋"/>
          <w:spacing w:val="14"/>
          <w:sz w:val="34"/>
          <w:szCs w:val="34"/>
        </w:rPr>
        <w:t>.</w:t>
      </w:r>
      <w:r>
        <w:rPr>
          <w:rFonts w:ascii="仿宋" w:hAnsi="仿宋" w:eastAsia="仿宋" w:cs="仿宋"/>
          <w:spacing w:val="9"/>
          <w:sz w:val="34"/>
          <w:szCs w:val="34"/>
        </w:rPr>
        <w:t>8万元、电费4.2万元(根据2021年实际预测)。</w:t>
      </w:r>
    </w:p>
    <w:p>
      <w:pPr>
        <w:spacing w:before="1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安排规模：6万元</w:t>
      </w:r>
    </w:p>
    <w:p>
      <w:pPr>
        <w:spacing w:before="102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项目承担</w:t>
      </w:r>
      <w:r>
        <w:rPr>
          <w:rFonts w:ascii="仿宋" w:hAnsi="仿宋" w:eastAsia="仿宋" w:cs="仿宋"/>
          <w:spacing w:val="-3"/>
          <w:sz w:val="34"/>
          <w:szCs w:val="34"/>
        </w:rPr>
        <w:t>单位：洛浦县市场监督管理局。</w:t>
      </w:r>
    </w:p>
    <w:p>
      <w:pPr>
        <w:spacing w:before="103" w:line="277" w:lineRule="auto"/>
        <w:ind w:left="480" w:right="1160" w:firstLine="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资金分配情</w:t>
      </w:r>
      <w:r>
        <w:rPr>
          <w:rFonts w:ascii="仿宋" w:hAnsi="仿宋" w:eastAsia="仿宋" w:cs="仿宋"/>
          <w:spacing w:val="-5"/>
          <w:sz w:val="34"/>
          <w:szCs w:val="34"/>
        </w:rPr>
        <w:t>况</w:t>
      </w:r>
      <w:r>
        <w:rPr>
          <w:rFonts w:ascii="仿宋" w:hAnsi="仿宋" w:eastAsia="仿宋" w:cs="仿宋"/>
          <w:spacing w:val="-3"/>
          <w:sz w:val="34"/>
          <w:szCs w:val="34"/>
        </w:rPr>
        <w:t>：水费1.8万元、电费4.2万元。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资金</w:t>
      </w:r>
      <w:r>
        <w:rPr>
          <w:rFonts w:ascii="仿宋" w:hAnsi="仿宋" w:eastAsia="仿宋" w:cs="仿宋"/>
          <w:spacing w:val="-4"/>
          <w:sz w:val="34"/>
          <w:szCs w:val="34"/>
        </w:rPr>
        <w:t>执</w:t>
      </w:r>
      <w:r>
        <w:rPr>
          <w:rFonts w:ascii="仿宋" w:hAnsi="仿宋" w:eastAsia="仿宋" w:cs="仿宋"/>
          <w:spacing w:val="-3"/>
          <w:sz w:val="34"/>
          <w:szCs w:val="34"/>
        </w:rPr>
        <w:t>行时间：2022年1月-12月。</w:t>
      </w:r>
      <w:r>
        <w:rPr>
          <w:rFonts w:ascii="仿宋" w:hAnsi="仿宋" w:eastAsia="仿宋" w:cs="仿宋"/>
          <w:sz w:val="34"/>
          <w:szCs w:val="34"/>
        </w:rPr>
        <w:t xml:space="preserve">        </w:t>
      </w:r>
      <w:r>
        <w:rPr>
          <w:rFonts w:hint="eastAsia" w:ascii="仿宋" w:hAnsi="仿宋" w:cs="仿宋"/>
          <w:sz w:val="34"/>
          <w:szCs w:val="34"/>
        </w:rPr>
        <w:t xml:space="preserve">         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8"/>
          <w:sz w:val="34"/>
          <w:szCs w:val="34"/>
        </w:rPr>
        <w:t>5</w:t>
      </w:r>
      <w:r>
        <w:rPr>
          <w:rFonts w:ascii="仿宋" w:hAnsi="仿宋" w:eastAsia="仿宋" w:cs="仿宋"/>
          <w:spacing w:val="-6"/>
          <w:sz w:val="34"/>
          <w:szCs w:val="34"/>
        </w:rPr>
        <w:t>.</w:t>
      </w:r>
      <w:r>
        <w:rPr>
          <w:rFonts w:ascii="仿宋" w:hAnsi="仿宋" w:eastAsia="仿宋" w:cs="仿宋"/>
          <w:spacing w:val="-4"/>
          <w:sz w:val="34"/>
          <w:szCs w:val="34"/>
        </w:rPr>
        <w:t>项目名称：食品抽检费。</w:t>
      </w:r>
    </w:p>
    <w:p>
      <w:pPr>
        <w:spacing w:before="8" w:line="276" w:lineRule="auto"/>
        <w:ind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设立的政策依据：根据《中华人民共和国食品安全</w:t>
      </w:r>
      <w:r>
        <w:rPr>
          <w:rFonts w:ascii="仿宋" w:hAnsi="仿宋" w:eastAsia="仿宋" w:cs="仿宋"/>
          <w:sz w:val="34"/>
          <w:szCs w:val="34"/>
        </w:rPr>
        <w:t xml:space="preserve">法 </w:t>
      </w:r>
      <w:r>
        <w:rPr>
          <w:rFonts w:ascii="仿宋" w:hAnsi="仿宋" w:eastAsia="仿宋" w:cs="仿宋"/>
          <w:spacing w:val="-2"/>
          <w:sz w:val="34"/>
          <w:szCs w:val="34"/>
        </w:rPr>
        <w:t>》第八条及《</w:t>
      </w:r>
      <w:r>
        <w:rPr>
          <w:rFonts w:ascii="仿宋" w:hAnsi="仿宋" w:eastAsia="仿宋" w:cs="仿宋"/>
          <w:spacing w:val="-1"/>
          <w:sz w:val="34"/>
          <w:szCs w:val="34"/>
        </w:rPr>
        <w:t>和田地区2021年食品安全监督抽检计划》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文件要求，结合单位实际，制定2022年</w:t>
      </w:r>
      <w:r>
        <w:rPr>
          <w:rFonts w:ascii="仿宋" w:hAnsi="仿宋" w:eastAsia="仿宋" w:cs="仿宋"/>
          <w:sz w:val="34"/>
          <w:szCs w:val="34"/>
        </w:rPr>
        <w:t>预算经费</w:t>
      </w:r>
      <w:r>
        <w:rPr>
          <w:rFonts w:ascii="仿宋" w:hAnsi="仿宋" w:eastAsia="仿宋" w:cs="仿宋"/>
          <w:spacing w:val="-1"/>
          <w:sz w:val="34"/>
          <w:szCs w:val="34"/>
        </w:rPr>
        <w:t>376870元，实际抽检经费按照202</w:t>
      </w:r>
      <w:r>
        <w:rPr>
          <w:rFonts w:ascii="仿宋" w:hAnsi="仿宋" w:eastAsia="仿宋" w:cs="仿宋"/>
          <w:sz w:val="34"/>
          <w:szCs w:val="34"/>
        </w:rPr>
        <w:t>2年实际计划执行。</w:t>
      </w:r>
    </w:p>
    <w:p>
      <w:pPr>
        <w:spacing w:before="1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</w:t>
      </w:r>
      <w:r>
        <w:rPr>
          <w:rFonts w:ascii="仿宋" w:hAnsi="仿宋" w:eastAsia="仿宋" w:cs="仿宋"/>
          <w:spacing w:val="-1"/>
          <w:sz w:val="34"/>
          <w:szCs w:val="34"/>
        </w:rPr>
        <w:t>37.69万元</w:t>
      </w:r>
    </w:p>
    <w:p>
      <w:pPr>
        <w:spacing w:before="102" w:line="510" w:lineRule="exact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项目承担</w:t>
      </w: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单位：洛浦县市场监督管理局。</w:t>
      </w:r>
    </w:p>
    <w:p>
      <w:pPr>
        <w:spacing w:before="1" w:line="222" w:lineRule="auto"/>
        <w:ind w:left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资金分</w:t>
      </w:r>
      <w:r>
        <w:rPr>
          <w:rFonts w:ascii="仿宋" w:hAnsi="仿宋" w:eastAsia="仿宋" w:cs="仿宋"/>
          <w:spacing w:val="-5"/>
          <w:sz w:val="34"/>
          <w:szCs w:val="34"/>
        </w:rPr>
        <w:t>配</w:t>
      </w:r>
      <w:r>
        <w:rPr>
          <w:rFonts w:ascii="仿宋" w:hAnsi="仿宋" w:eastAsia="仿宋" w:cs="仿宋"/>
          <w:spacing w:val="-3"/>
          <w:sz w:val="34"/>
          <w:szCs w:val="34"/>
        </w:rPr>
        <w:t>情况：委托业务费37.69万元。</w:t>
      </w:r>
    </w:p>
    <w:p>
      <w:pPr>
        <w:spacing w:before="100" w:line="221" w:lineRule="auto"/>
        <w:ind w:left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sz w:val="34"/>
          <w:szCs w:val="34"/>
        </w:rPr>
        <w:t>金执行时间：2022年1月-12月。</w:t>
      </w:r>
    </w:p>
    <w:p>
      <w:pPr>
        <w:spacing w:before="103" w:line="241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6.项</w:t>
      </w:r>
      <w:r>
        <w:rPr>
          <w:rFonts w:ascii="仿宋" w:hAnsi="仿宋" w:eastAsia="仿宋" w:cs="仿宋"/>
          <w:spacing w:val="-4"/>
          <w:sz w:val="34"/>
          <w:szCs w:val="34"/>
        </w:rPr>
        <w:t>目</w:t>
      </w:r>
      <w:r>
        <w:rPr>
          <w:rFonts w:ascii="仿宋" w:hAnsi="仿宋" w:eastAsia="仿宋" w:cs="仿宋"/>
          <w:spacing w:val="-3"/>
          <w:sz w:val="34"/>
          <w:szCs w:val="34"/>
        </w:rPr>
        <w:t>名称：办公用房取暖费。</w:t>
      </w:r>
    </w:p>
    <w:p>
      <w:pPr>
        <w:spacing w:before="66" w:line="510" w:lineRule="exact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设</w:t>
      </w: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立的政策依据：根据2021年实际预测。</w:t>
      </w:r>
    </w:p>
    <w:p>
      <w:pPr>
        <w:spacing w:before="2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预算安排规模：6.</w:t>
      </w:r>
      <w:r>
        <w:rPr>
          <w:rFonts w:ascii="仿宋" w:hAnsi="仿宋" w:eastAsia="仿宋" w:cs="仿宋"/>
          <w:spacing w:val="-1"/>
          <w:sz w:val="34"/>
          <w:szCs w:val="34"/>
        </w:rPr>
        <w:t>47万元</w:t>
      </w:r>
    </w:p>
    <w:p>
      <w:pPr>
        <w:spacing w:before="101" w:line="510" w:lineRule="exact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项目承担</w:t>
      </w: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单位：洛浦县市场监督管理局。</w:t>
      </w:r>
    </w:p>
    <w:p>
      <w:pPr>
        <w:spacing w:before="1" w:line="222" w:lineRule="auto"/>
        <w:ind w:left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</w:t>
      </w:r>
      <w:r>
        <w:rPr>
          <w:rFonts w:ascii="仿宋" w:hAnsi="仿宋" w:eastAsia="仿宋" w:cs="仿宋"/>
          <w:spacing w:val="-4"/>
          <w:sz w:val="34"/>
          <w:szCs w:val="34"/>
        </w:rPr>
        <w:t>金分配情况：取暖费6.47万元。</w:t>
      </w:r>
    </w:p>
    <w:p>
      <w:pPr>
        <w:spacing w:before="101" w:line="510" w:lineRule="exact"/>
        <w:ind w:left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金执行时间：2022年1月-12月。</w:t>
      </w:r>
    </w:p>
    <w:p>
      <w:pPr>
        <w:numPr>
          <w:ilvl w:val="0"/>
          <w:numId w:val="1"/>
        </w:numPr>
        <w:spacing w:before="69" w:line="277" w:lineRule="auto"/>
        <w:ind w:left="8" w:right="95" w:firstLine="480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项目名称：车辆运行维护费。</w:t>
      </w:r>
    </w:p>
    <w:p>
      <w:pPr>
        <w:numPr>
          <w:ilvl w:val="0"/>
          <w:numId w:val="0"/>
        </w:numPr>
        <w:spacing w:before="69" w:line="277" w:lineRule="auto"/>
        <w:ind w:left="488" w:leftChars="0" w:right="95" w:rightChars="0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单位车辆13辆，按标准每辆运</w:t>
      </w:r>
      <w:r>
        <w:rPr>
          <w:rFonts w:ascii="仿宋" w:hAnsi="仿宋" w:eastAsia="仿宋" w:cs="仿宋"/>
          <w:color w:val="auto"/>
          <w:sz w:val="34"/>
          <w:szCs w:val="34"/>
        </w:rPr>
        <w:t>行维</w:t>
      </w:r>
      <w:r>
        <w:rPr>
          <w:rFonts w:ascii="仿宋" w:hAnsi="仿宋" w:eastAsia="仿宋" w:cs="仿宋"/>
          <w:color w:val="auto"/>
          <w:spacing w:val="-8"/>
          <w:sz w:val="34"/>
          <w:szCs w:val="34"/>
        </w:rPr>
        <w:t>护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费1.9万元。</w:t>
      </w:r>
    </w:p>
    <w:p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</w:t>
      </w:r>
      <w:r>
        <w:rPr>
          <w:rFonts w:ascii="仿宋" w:hAnsi="仿宋" w:eastAsia="仿宋" w:cs="仿宋"/>
          <w:spacing w:val="-1"/>
          <w:sz w:val="34"/>
          <w:szCs w:val="34"/>
        </w:rPr>
        <w:t>模：24.7万元</w:t>
      </w:r>
    </w:p>
    <w:p>
      <w:pPr>
        <w:spacing w:before="101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项目承担</w:t>
      </w:r>
      <w:r>
        <w:rPr>
          <w:rFonts w:ascii="仿宋" w:hAnsi="仿宋" w:eastAsia="仿宋" w:cs="仿宋"/>
          <w:spacing w:val="-3"/>
          <w:sz w:val="34"/>
          <w:szCs w:val="34"/>
        </w:rPr>
        <w:t>单位：洛浦县市场监督管理局。</w:t>
      </w:r>
    </w:p>
    <w:p>
      <w:pPr>
        <w:spacing w:before="69" w:line="277" w:lineRule="auto"/>
        <w:ind w:left="8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资金分配情</w:t>
      </w:r>
      <w:r>
        <w:rPr>
          <w:rFonts w:ascii="仿宋" w:hAnsi="仿宋" w:eastAsia="仿宋" w:cs="仿宋"/>
          <w:spacing w:val="-5"/>
          <w:sz w:val="34"/>
          <w:szCs w:val="34"/>
        </w:rPr>
        <w:t>况</w:t>
      </w:r>
      <w:r>
        <w:rPr>
          <w:rFonts w:ascii="仿宋" w:hAnsi="仿宋" w:eastAsia="仿宋" w:cs="仿宋"/>
          <w:spacing w:val="-3"/>
          <w:sz w:val="34"/>
          <w:szCs w:val="34"/>
        </w:rPr>
        <w:t>：</w:t>
      </w:r>
      <w:r>
        <w:rPr>
          <w:rFonts w:ascii="仿宋" w:hAnsi="仿宋" w:eastAsia="仿宋" w:cs="仿宋"/>
          <w:spacing w:val="-1"/>
          <w:sz w:val="34"/>
          <w:szCs w:val="34"/>
        </w:rPr>
        <w:t>单位车辆13辆，按标准每辆运</w:t>
      </w:r>
      <w:r>
        <w:rPr>
          <w:rFonts w:ascii="仿宋" w:hAnsi="仿宋" w:eastAsia="仿宋" w:cs="仿宋"/>
          <w:sz w:val="34"/>
          <w:szCs w:val="34"/>
        </w:rPr>
        <w:t xml:space="preserve">行维 </w:t>
      </w:r>
      <w:r>
        <w:rPr>
          <w:rFonts w:ascii="仿宋" w:hAnsi="仿宋" w:eastAsia="仿宋" w:cs="仿宋"/>
          <w:spacing w:val="-8"/>
          <w:sz w:val="34"/>
          <w:szCs w:val="34"/>
        </w:rPr>
        <w:t>护</w:t>
      </w:r>
      <w:r>
        <w:rPr>
          <w:rFonts w:ascii="仿宋" w:hAnsi="仿宋" w:eastAsia="仿宋" w:cs="仿宋"/>
          <w:spacing w:val="-6"/>
          <w:sz w:val="34"/>
          <w:szCs w:val="34"/>
        </w:rPr>
        <w:t>费1.9万元。</w:t>
      </w:r>
    </w:p>
    <w:p>
      <w:pPr>
        <w:spacing w:before="101" w:line="289" w:lineRule="auto"/>
        <w:ind w:left="506" w:right="820"/>
        <w:rPr>
          <w:rFonts w:ascii="仿宋" w:hAnsi="仿宋" w:eastAsia="仿宋" w:cs="仿宋"/>
          <w:spacing w:val="-3"/>
          <w:sz w:val="34"/>
          <w:szCs w:val="34"/>
        </w:rPr>
      </w:pP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sz w:val="34"/>
          <w:szCs w:val="34"/>
        </w:rPr>
        <w:t>金执行时间：2022年1月-12月。</w:t>
      </w:r>
    </w:p>
    <w:p>
      <w:pPr>
        <w:spacing w:before="156" w:line="277" w:lineRule="auto"/>
        <w:ind w:left="8" w:right="95" w:firstLine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八、关于洛浦县市场监督管理局</w:t>
      </w:r>
      <w:r>
        <w:rPr>
          <w:rFonts w:ascii="黑体" w:hAnsi="黑体" w:eastAsia="黑体" w:cs="黑体"/>
          <w:sz w:val="34"/>
          <w:szCs w:val="34"/>
        </w:rPr>
        <w:t xml:space="preserve">2022年一般公共预算 </w:t>
      </w:r>
      <w:r>
        <w:rPr>
          <w:rFonts w:ascii="黑体" w:hAnsi="黑体" w:eastAsia="黑体" w:cs="黑体"/>
          <w:spacing w:val="-2"/>
          <w:sz w:val="34"/>
          <w:szCs w:val="34"/>
        </w:rPr>
        <w:t>“三公”经费预算</w:t>
      </w:r>
      <w:r>
        <w:rPr>
          <w:rFonts w:ascii="黑体" w:hAnsi="黑体" w:eastAsia="黑体" w:cs="黑体"/>
          <w:spacing w:val="-1"/>
          <w:sz w:val="34"/>
          <w:szCs w:val="34"/>
        </w:rPr>
        <w:t>情况说明</w:t>
      </w:r>
    </w:p>
    <w:p>
      <w:pPr>
        <w:spacing w:before="101" w:line="289" w:lineRule="auto"/>
        <w:ind w:left="506" w:right="820"/>
        <w:rPr>
          <w:rFonts w:ascii="仿宋" w:hAnsi="仿宋" w:eastAsia="仿宋" w:cs="仿宋"/>
          <w:spacing w:val="-3"/>
          <w:sz w:val="34"/>
          <w:szCs w:val="34"/>
        </w:rPr>
        <w:sectPr>
          <w:pgSz w:w="11900" w:h="16840"/>
          <w:pgMar w:top="868" w:right="1785" w:bottom="0" w:left="1738" w:header="0" w:footer="0" w:gutter="0"/>
          <w:cols w:space="720" w:num="1"/>
        </w:sectPr>
      </w:pPr>
    </w:p>
    <w:p>
      <w:pPr>
        <w:spacing w:before="7" w:line="276" w:lineRule="auto"/>
        <w:ind w:left="31" w:right="23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县市场监督管理局2022年一般公共预算“三公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1"/>
          <w:sz w:val="34"/>
          <w:szCs w:val="34"/>
        </w:rPr>
        <w:t>”经费数为28.64万元，其中：因公出国(境)费0万</w:t>
      </w:r>
      <w:r>
        <w:rPr>
          <w:rFonts w:ascii="仿宋" w:hAnsi="仿宋" w:eastAsia="仿宋" w:cs="仿宋"/>
          <w:spacing w:val="8"/>
          <w:sz w:val="34"/>
          <w:szCs w:val="34"/>
        </w:rPr>
        <w:t>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，公务用车购置费0万元，公务用车运行费2</w:t>
      </w:r>
      <w:r>
        <w:rPr>
          <w:rFonts w:ascii="仿宋" w:hAnsi="仿宋" w:eastAsia="仿宋" w:cs="仿宋"/>
          <w:spacing w:val="-1"/>
          <w:sz w:val="34"/>
          <w:szCs w:val="34"/>
        </w:rPr>
        <w:t>8.64万元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9"/>
          <w:sz w:val="34"/>
          <w:szCs w:val="34"/>
        </w:rPr>
        <w:t>，</w:t>
      </w:r>
      <w:r>
        <w:rPr>
          <w:rFonts w:ascii="仿宋" w:hAnsi="仿宋" w:eastAsia="仿宋" w:cs="仿宋"/>
          <w:spacing w:val="-8"/>
          <w:sz w:val="34"/>
          <w:szCs w:val="34"/>
        </w:rPr>
        <w:t>公务接待费0万元。</w:t>
      </w:r>
    </w:p>
    <w:p>
      <w:pPr>
        <w:spacing w:before="3" w:line="276" w:lineRule="auto"/>
        <w:ind w:left="2" w:right="94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>费比上年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减少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1.36</w:t>
      </w:r>
      <w:r>
        <w:rPr>
          <w:rFonts w:ascii="仿宋" w:hAnsi="仿宋" w:eastAsia="仿宋" w:cs="仿宋"/>
          <w:spacing w:val="-3"/>
          <w:sz w:val="34"/>
          <w:szCs w:val="34"/>
        </w:rPr>
        <w:t>万元，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下降4.53</w:t>
      </w:r>
      <w:r>
        <w:rPr>
          <w:rFonts w:ascii="仿宋" w:hAnsi="仿宋" w:eastAsia="仿宋" w:cs="仿宋"/>
          <w:spacing w:val="-3"/>
          <w:sz w:val="34"/>
          <w:szCs w:val="34"/>
        </w:rPr>
        <w:t>%，其中：</w:t>
      </w:r>
    </w:p>
    <w:p>
      <w:pPr>
        <w:spacing w:before="7" w:line="282" w:lineRule="auto"/>
        <w:ind w:left="10" w:right="65" w:firstLine="51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无。公务用车购置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费增加0万元，增长0%，主要原因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是无 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。公务用车运行费减少1.36万元，下降4.53%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，主要原因 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是</w:t>
      </w:r>
      <w:r>
        <w:rPr>
          <w:rFonts w:hint="eastAsia" w:ascii="仿宋" w:hAnsi="仿宋" w:eastAsia="仿宋" w:cs="仿宋"/>
          <w:color w:val="auto"/>
          <w:spacing w:val="-4"/>
          <w:sz w:val="34"/>
          <w:szCs w:val="34"/>
          <w:lang w:val="en-US" w:eastAsia="zh-CN"/>
        </w:rPr>
        <w:t>公务用车运行费标准降低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。公务</w:t>
      </w:r>
      <w:r>
        <w:rPr>
          <w:rFonts w:ascii="仿宋" w:hAnsi="仿宋" w:eastAsia="仿宋" w:cs="仿宋"/>
          <w:spacing w:val="-4"/>
          <w:sz w:val="34"/>
          <w:szCs w:val="34"/>
        </w:rPr>
        <w:t>接待</w:t>
      </w:r>
      <w:r>
        <w:rPr>
          <w:rFonts w:ascii="仿宋" w:hAnsi="仿宋" w:eastAsia="仿宋" w:cs="仿宋"/>
          <w:spacing w:val="-3"/>
          <w:sz w:val="34"/>
          <w:szCs w:val="34"/>
        </w:rPr>
        <w:t>费</w:t>
      </w:r>
      <w:r>
        <w:rPr>
          <w:rFonts w:ascii="仿宋" w:hAnsi="仿宋" w:eastAsia="仿宋" w:cs="仿宋"/>
          <w:spacing w:val="-2"/>
          <w:sz w:val="34"/>
          <w:szCs w:val="34"/>
        </w:rPr>
        <w:t>增加0万元，增长0%，主要原因是无。</w:t>
      </w:r>
    </w:p>
    <w:p>
      <w:pPr>
        <w:spacing w:before="156" w:line="277" w:lineRule="auto"/>
        <w:ind w:right="95" w:firstLine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九、关于洛浦县市场监督管理局2022年政府性</w:t>
      </w:r>
      <w:r>
        <w:rPr>
          <w:rFonts w:ascii="黑体" w:hAnsi="黑体" w:eastAsia="黑体" w:cs="黑体"/>
          <w:sz w:val="34"/>
          <w:szCs w:val="34"/>
        </w:rPr>
        <w:t xml:space="preserve">基金预 </w:t>
      </w:r>
      <w:r>
        <w:rPr>
          <w:rFonts w:ascii="黑体" w:hAnsi="黑体" w:eastAsia="黑体" w:cs="黑体"/>
          <w:spacing w:val="-2"/>
          <w:sz w:val="34"/>
          <w:szCs w:val="34"/>
        </w:rPr>
        <w:t>算拨款情况</w:t>
      </w:r>
      <w:r>
        <w:rPr>
          <w:rFonts w:ascii="黑体" w:hAnsi="黑体" w:eastAsia="黑体" w:cs="黑体"/>
          <w:spacing w:val="-1"/>
          <w:sz w:val="34"/>
          <w:szCs w:val="34"/>
        </w:rPr>
        <w:t>说明</w:t>
      </w:r>
    </w:p>
    <w:p>
      <w:pPr>
        <w:spacing w:line="288" w:lineRule="auto"/>
        <w:ind w:left="9" w:right="95" w:firstLine="482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浦县市场监督管理局2022年没有使用政府性基金预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算拨款安排的支出，政府性基金预算支出情况表为</w:t>
      </w:r>
      <w:r>
        <w:rPr>
          <w:rFonts w:ascii="仿宋" w:hAnsi="仿宋" w:eastAsia="仿宋" w:cs="仿宋"/>
          <w:sz w:val="34"/>
          <w:szCs w:val="34"/>
        </w:rPr>
        <w:t>空表</w:t>
      </w:r>
    </w:p>
    <w:p>
      <w:pPr>
        <w:spacing w:line="276" w:lineRule="auto"/>
      </w:pPr>
    </w:p>
    <w:p>
      <w:pPr>
        <w:spacing w:before="111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2" w:line="222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</w:p>
    <w:p>
      <w:pPr>
        <w:spacing w:before="71" w:line="285" w:lineRule="auto"/>
        <w:ind w:left="334" w:leftChars="159" w:right="235" w:firstLine="314" w:firstLineChars="93"/>
        <w:rPr>
          <w:rFonts w:ascii="仿宋" w:hAnsi="仿宋" w:eastAsia="仿宋" w:cs="仿宋"/>
          <w:spacing w:val="-7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2022年，洛浦县市场监督管理局</w:t>
      </w:r>
      <w:r>
        <w:rPr>
          <w:rFonts w:ascii="仿宋" w:hAnsi="仿宋" w:eastAsia="仿宋" w:cs="仿宋"/>
          <w:sz w:val="34"/>
          <w:szCs w:val="34"/>
        </w:rPr>
        <w:t xml:space="preserve">本级及下属0家行 </w:t>
      </w:r>
      <w:r>
        <w:rPr>
          <w:rFonts w:ascii="仿宋" w:hAnsi="仿宋" w:eastAsia="仿宋" w:cs="仿宋"/>
          <w:spacing w:val="-1"/>
          <w:sz w:val="34"/>
          <w:szCs w:val="34"/>
        </w:rPr>
        <w:t>政单位和0家事业单位的机关运行经费财政拨款</w:t>
      </w:r>
      <w:r>
        <w:rPr>
          <w:rFonts w:ascii="仿宋" w:hAnsi="仿宋" w:eastAsia="仿宋" w:cs="仿宋"/>
          <w:sz w:val="34"/>
          <w:szCs w:val="34"/>
        </w:rPr>
        <w:t>预算</w:t>
      </w:r>
      <w:r>
        <w:rPr>
          <w:rFonts w:ascii="仿宋" w:hAnsi="仿宋" w:eastAsia="仿宋" w:cs="仿宋"/>
          <w:spacing w:val="-10"/>
          <w:sz w:val="34"/>
          <w:szCs w:val="34"/>
        </w:rPr>
        <w:t>3</w:t>
      </w:r>
      <w:r>
        <w:rPr>
          <w:rFonts w:ascii="仿宋" w:hAnsi="仿宋" w:eastAsia="仿宋" w:cs="仿宋"/>
          <w:spacing w:val="-7"/>
          <w:sz w:val="34"/>
          <w:szCs w:val="34"/>
        </w:rPr>
        <w:t>8.29万元，比上年预算减少64.09万元，下降62.6%。</w:t>
      </w:r>
      <w:r>
        <w:rPr>
          <w:rFonts w:ascii="仿宋" w:hAnsi="仿宋" w:eastAsia="仿宋" w:cs="仿宋"/>
          <w:spacing w:val="-2"/>
          <w:sz w:val="34"/>
          <w:szCs w:val="34"/>
        </w:rPr>
        <w:t>主要原因是2</w:t>
      </w:r>
      <w:r>
        <w:rPr>
          <w:rFonts w:ascii="仿宋" w:hAnsi="仿宋" w:eastAsia="仿宋" w:cs="仿宋"/>
          <w:spacing w:val="-1"/>
          <w:sz w:val="34"/>
          <w:szCs w:val="34"/>
        </w:rPr>
        <w:t>022年预算将车辆运行维护费和办公用房取</w:t>
      </w:r>
      <w:r>
        <w:rPr>
          <w:rFonts w:ascii="仿宋" w:hAnsi="仿宋" w:eastAsia="仿宋" w:cs="仿宋"/>
          <w:spacing w:val="-13"/>
          <w:sz w:val="34"/>
          <w:szCs w:val="34"/>
        </w:rPr>
        <w:t>暖</w:t>
      </w:r>
      <w:r>
        <w:rPr>
          <w:rFonts w:ascii="仿宋" w:hAnsi="仿宋" w:eastAsia="仿宋" w:cs="仿宋"/>
          <w:spacing w:val="-7"/>
          <w:sz w:val="34"/>
          <w:szCs w:val="34"/>
        </w:rPr>
        <w:t>费做项目支出里。</w:t>
      </w:r>
    </w:p>
    <w:p>
      <w:pPr>
        <w:spacing w:before="153" w:line="223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8" w:line="277" w:lineRule="auto"/>
        <w:ind w:right="235" w:firstLine="477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2022年，洛浦县市场监督管理局</w:t>
      </w:r>
      <w:r>
        <w:rPr>
          <w:rFonts w:ascii="仿宋" w:hAnsi="仿宋" w:eastAsia="仿宋" w:cs="仿宋"/>
          <w:sz w:val="34"/>
          <w:szCs w:val="34"/>
        </w:rPr>
        <w:t xml:space="preserve">政府采购预算     </w:t>
      </w:r>
      <w:r>
        <w:rPr>
          <w:rFonts w:ascii="仿宋" w:hAnsi="仿宋" w:eastAsia="仿宋" w:cs="仿宋"/>
          <w:spacing w:val="-1"/>
          <w:sz w:val="34"/>
          <w:szCs w:val="34"/>
        </w:rPr>
        <w:t>37.69万元，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其中：政府采购货物预算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0万元，政府采购 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工</w:t>
      </w:r>
      <w:r>
        <w:rPr>
          <w:rFonts w:ascii="仿宋" w:hAnsi="仿宋" w:eastAsia="仿宋" w:cs="仿宋"/>
          <w:color w:val="auto"/>
          <w:spacing w:val="-2"/>
          <w:sz w:val="34"/>
          <w:szCs w:val="34"/>
        </w:rPr>
        <w:t>程预算0万元，政府采购服务预算37.69万元。</w:t>
      </w:r>
    </w:p>
    <w:p>
      <w:pPr>
        <w:spacing w:before="4" w:line="284" w:lineRule="auto"/>
        <w:ind w:left="3" w:right="95" w:firstLine="473"/>
        <w:rPr>
          <w:rFonts w:ascii="仿宋" w:hAnsi="仿宋" w:eastAsia="仿宋" w:cs="仿宋"/>
          <w:color w:val="auto"/>
          <w:spacing w:val="-7"/>
          <w:sz w:val="34"/>
          <w:szCs w:val="34"/>
        </w:rPr>
      </w:pPr>
      <w:r>
        <w:rPr>
          <w:rFonts w:ascii="仿宋" w:hAnsi="仿宋" w:eastAsia="仿宋" w:cs="仿宋"/>
          <w:color w:val="auto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目预 </w:t>
      </w:r>
      <w:r>
        <w:rPr>
          <w:rFonts w:ascii="仿宋" w:hAnsi="仿宋" w:eastAsia="仿宋" w:cs="仿宋"/>
          <w:color w:val="auto"/>
          <w:spacing w:val="-8"/>
          <w:sz w:val="34"/>
          <w:szCs w:val="34"/>
        </w:rPr>
        <w:t>算</w:t>
      </w:r>
      <w:r>
        <w:rPr>
          <w:rFonts w:ascii="仿宋" w:hAnsi="仿宋" w:eastAsia="仿宋" w:cs="仿宋"/>
          <w:color w:val="auto"/>
          <w:spacing w:val="-5"/>
          <w:sz w:val="34"/>
          <w:szCs w:val="34"/>
        </w:rPr>
        <w:t>金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额 37.69万元。</w:t>
      </w:r>
    </w:p>
    <w:p>
      <w:pPr>
        <w:spacing w:before="100" w:line="289" w:lineRule="auto"/>
        <w:ind w:left="10" w:right="265" w:firstLine="472"/>
        <w:rPr>
          <w:rFonts w:ascii="仿宋" w:hAnsi="仿宋" w:eastAsia="仿宋" w:cs="仿宋"/>
          <w:sz w:val="34"/>
          <w:szCs w:val="34"/>
        </w:rPr>
      </w:pP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155" w:line="222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2" w:line="277" w:lineRule="auto"/>
        <w:ind w:left="10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截至2021年底，洛浦县市场监督管理局及下属各</w:t>
      </w:r>
      <w:r>
        <w:rPr>
          <w:rFonts w:ascii="仿宋" w:hAnsi="仿宋" w:eastAsia="仿宋" w:cs="仿宋"/>
          <w:sz w:val="34"/>
          <w:szCs w:val="34"/>
        </w:rPr>
        <w:t xml:space="preserve">预算 </w:t>
      </w:r>
      <w:r>
        <w:rPr>
          <w:rFonts w:ascii="仿宋" w:hAnsi="仿宋" w:eastAsia="仿宋" w:cs="仿宋"/>
          <w:spacing w:val="-2"/>
          <w:sz w:val="34"/>
          <w:szCs w:val="34"/>
        </w:rPr>
        <w:t>单位占用使用国有资产总体情况</w:t>
      </w:r>
      <w:r>
        <w:rPr>
          <w:rFonts w:ascii="仿宋" w:hAnsi="仿宋" w:eastAsia="仿宋" w:cs="仿宋"/>
          <w:sz w:val="34"/>
          <w:szCs w:val="34"/>
        </w:rPr>
        <w:t>为</w:t>
      </w:r>
    </w:p>
    <w:p>
      <w:pPr>
        <w:spacing w:before="1" w:line="242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1.房屋1</w:t>
      </w:r>
      <w:r>
        <w:rPr>
          <w:rFonts w:ascii="仿宋" w:hAnsi="仿宋" w:eastAsia="仿宋" w:cs="仿宋"/>
          <w:spacing w:val="-3"/>
          <w:sz w:val="34"/>
          <w:szCs w:val="34"/>
        </w:rPr>
        <w:t>0</w:t>
      </w:r>
      <w:r>
        <w:rPr>
          <w:rFonts w:ascii="仿宋" w:hAnsi="仿宋" w:eastAsia="仿宋" w:cs="仿宋"/>
          <w:spacing w:val="-2"/>
          <w:sz w:val="34"/>
          <w:szCs w:val="34"/>
        </w:rPr>
        <w:t>220.46平方米，价值1104.50万元。</w:t>
      </w:r>
    </w:p>
    <w:p>
      <w:pPr>
        <w:spacing w:before="63" w:line="277" w:lineRule="auto"/>
        <w:ind w:left="11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2.车辆13辆，价值 238.4</w:t>
      </w:r>
      <w:r>
        <w:rPr>
          <w:rFonts w:ascii="仿宋" w:hAnsi="仿宋" w:eastAsia="仿宋" w:cs="仿宋"/>
          <w:sz w:val="34"/>
          <w:szCs w:val="34"/>
        </w:rPr>
        <w:t xml:space="preserve">4万元；其中：一般公务用 </w:t>
      </w:r>
      <w:r>
        <w:rPr>
          <w:rFonts w:ascii="仿宋" w:hAnsi="仿宋" w:eastAsia="仿宋" w:cs="仿宋"/>
          <w:spacing w:val="-2"/>
          <w:sz w:val="34"/>
          <w:szCs w:val="34"/>
        </w:rPr>
        <w:t>车2辆，</w:t>
      </w:r>
      <w:r>
        <w:rPr>
          <w:rFonts w:ascii="仿宋" w:hAnsi="仿宋" w:eastAsia="仿宋" w:cs="仿宋"/>
          <w:spacing w:val="-1"/>
          <w:sz w:val="34"/>
          <w:szCs w:val="34"/>
        </w:rPr>
        <w:t>价值 47.73万元；执法执勤用车10辆，价值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4"/>
          <w:sz w:val="34"/>
          <w:szCs w:val="34"/>
        </w:rPr>
        <w:t>109.</w:t>
      </w:r>
      <w:r>
        <w:rPr>
          <w:rFonts w:ascii="仿宋" w:hAnsi="仿宋" w:eastAsia="仿宋" w:cs="仿宋"/>
          <w:spacing w:val="-3"/>
          <w:sz w:val="34"/>
          <w:szCs w:val="34"/>
        </w:rPr>
        <w:t>5</w:t>
      </w:r>
      <w:r>
        <w:rPr>
          <w:rFonts w:ascii="仿宋" w:hAnsi="仿宋" w:eastAsia="仿宋" w:cs="仿宋"/>
          <w:spacing w:val="-2"/>
          <w:sz w:val="34"/>
          <w:szCs w:val="34"/>
        </w:rPr>
        <w:t>万元；其他车辆 1辆，价值81.21万元。</w:t>
      </w:r>
    </w:p>
    <w:p>
      <w:pPr>
        <w:spacing w:line="510" w:lineRule="exact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12"/>
          <w:sz w:val="34"/>
          <w:szCs w:val="34"/>
        </w:rPr>
        <w:t>3.办公家具</w:t>
      </w: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价</w:t>
      </w:r>
      <w:r>
        <w:rPr>
          <w:rFonts w:ascii="仿宋" w:hAnsi="仿宋" w:eastAsia="仿宋" w:cs="仿宋"/>
          <w:spacing w:val="-2"/>
          <w:position w:val="12"/>
          <w:sz w:val="34"/>
          <w:szCs w:val="34"/>
        </w:rPr>
        <w:t>值 191.09万元。</w:t>
      </w:r>
    </w:p>
    <w:p>
      <w:pPr>
        <w:spacing w:before="1" w:line="242" w:lineRule="auto"/>
        <w:ind w:left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4.其</w:t>
      </w:r>
      <w:r>
        <w:rPr>
          <w:rFonts w:ascii="仿宋" w:hAnsi="仿宋" w:eastAsia="仿宋" w:cs="仿宋"/>
          <w:spacing w:val="-2"/>
          <w:sz w:val="34"/>
          <w:szCs w:val="34"/>
        </w:rPr>
        <w:t>他资产价值114.37万元。</w:t>
      </w:r>
    </w:p>
    <w:p>
      <w:pPr>
        <w:spacing w:before="63" w:line="277" w:lineRule="auto"/>
        <w:ind w:left="18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4" w:line="284" w:lineRule="auto"/>
        <w:ind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7" w:line="221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left="7" w:right="23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7个 </w:t>
      </w:r>
      <w:r>
        <w:rPr>
          <w:rFonts w:ascii="仿宋" w:hAnsi="仿宋" w:eastAsia="仿宋" w:cs="仿宋"/>
          <w:spacing w:val="10"/>
          <w:sz w:val="34"/>
          <w:szCs w:val="34"/>
        </w:rPr>
        <w:t>，</w:t>
      </w:r>
      <w:r>
        <w:rPr>
          <w:rFonts w:ascii="仿宋" w:hAnsi="仿宋" w:eastAsia="仿宋" w:cs="仿宋"/>
          <w:spacing w:val="8"/>
          <w:sz w:val="34"/>
          <w:szCs w:val="34"/>
        </w:rPr>
        <w:t>涉</w:t>
      </w:r>
      <w:r>
        <w:rPr>
          <w:rFonts w:ascii="仿宋" w:hAnsi="仿宋" w:eastAsia="仿宋" w:cs="仿宋"/>
          <w:spacing w:val="5"/>
          <w:sz w:val="34"/>
          <w:szCs w:val="34"/>
        </w:rPr>
        <w:t>及预算金额 89.26万元。具体情况见下表(按项目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分</w:t>
      </w:r>
      <w:r>
        <w:rPr>
          <w:rFonts w:ascii="仿宋" w:hAnsi="仿宋" w:eastAsia="仿宋" w:cs="仿宋"/>
          <w:spacing w:val="11"/>
          <w:sz w:val="34"/>
          <w:szCs w:val="34"/>
        </w:rPr>
        <w:t>别填报)：</w:t>
      </w:r>
    </w:p>
    <w:p>
      <w:pPr>
        <w:sectPr>
          <w:pgSz w:w="11900" w:h="16840"/>
          <w:pgMar w:top="868" w:right="1785" w:bottom="0" w:left="1738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3"/>
        <w:gridCol w:w="763"/>
        <w:gridCol w:w="763"/>
        <w:gridCol w:w="1525"/>
        <w:gridCol w:w="762"/>
        <w:gridCol w:w="763"/>
        <w:gridCol w:w="763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4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3" w:line="222" w:lineRule="auto"/>
              <w:ind w:left="9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洛浦县市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场监督管理局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2" w:line="199" w:lineRule="auto"/>
              <w:ind w:left="290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3" w:line="220" w:lineRule="auto"/>
              <w:ind w:left="2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食品抽检费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52" w:lineRule="auto"/>
            </w:pPr>
          </w:p>
          <w:p>
            <w:pPr>
              <w:spacing w:before="65" w:line="180" w:lineRule="auto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37.6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9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52" w:lineRule="auto"/>
            </w:pPr>
          </w:p>
          <w:p>
            <w:pPr>
              <w:spacing w:before="65" w:line="180" w:lineRule="auto"/>
              <w:ind w:left="1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37.6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9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6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6" w:line="193" w:lineRule="auto"/>
              <w:ind w:left="66" w:right="170" w:hanging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本项目主要实施内容为：项目预算资金为37.69万元，开展次食品抽检工作446批次。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及时监测食品安全情况并向社会公开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，对反馈的问题及时处置。通过实施本项目可保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障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全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县食品安全。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7" w:line="197" w:lineRule="auto"/>
              <w:ind w:left="286" w:right="79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6" w:line="222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63" w:lineRule="auto"/>
            </w:pPr>
          </w:p>
          <w:p>
            <w:pPr>
              <w:spacing w:line="263" w:lineRule="auto"/>
            </w:pPr>
          </w:p>
          <w:p>
            <w:pPr>
              <w:spacing w:line="263" w:lineRule="auto"/>
            </w:pPr>
          </w:p>
          <w:p>
            <w:pPr>
              <w:spacing w:line="263" w:lineRule="auto"/>
            </w:pPr>
          </w:p>
          <w:p>
            <w:pPr>
              <w:spacing w:line="263" w:lineRule="auto"/>
            </w:pPr>
          </w:p>
          <w:p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7" w:line="197" w:lineRule="auto"/>
              <w:ind w:left="64" w:right="1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7" w:line="220" w:lineRule="auto"/>
              <w:ind w:left="16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食品抽检批次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7" w:line="223" w:lineRule="auto"/>
              <w:ind w:left="799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1"/>
                <w:sz w:val="20"/>
                <w:szCs w:val="20"/>
              </w:rPr>
              <w:t>446批次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8" w:line="197" w:lineRule="auto"/>
              <w:ind w:left="64" w:right="101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8" w:line="222" w:lineRule="auto"/>
              <w:ind w:left="16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问题处置率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22" w:line="181" w:lineRule="auto"/>
              <w:ind w:left="1115"/>
              <w:rPr>
                <w:rFonts w:hint="default" w:ascii="仿宋" w:hAnsi="仿宋" w:eastAsia="仿宋" w:cs="仿宋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/>
              </w:rPr>
              <w:t>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8" w:line="197" w:lineRule="auto"/>
              <w:ind w:left="64" w:right="101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8" w:line="220" w:lineRule="auto"/>
              <w:ind w:left="1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年度抽检任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务按时完成率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22" w:line="181" w:lineRule="auto"/>
              <w:ind w:left="1115"/>
              <w:rPr>
                <w:rFonts w:hint="default" w:ascii="仿宋" w:hAnsi="仿宋" w:eastAsia="仿宋" w:cs="仿宋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/>
              </w:rPr>
              <w:t>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8" w:line="197" w:lineRule="auto"/>
              <w:ind w:left="64" w:right="101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8" w:line="220" w:lineRule="auto"/>
              <w:ind w:left="16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资金拨付及时性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22" w:line="181" w:lineRule="auto"/>
              <w:ind w:left="1115"/>
              <w:rPr>
                <w:rFonts w:hint="default" w:ascii="仿宋" w:hAnsi="仿宋" w:eastAsia="仿宋" w:cs="仿宋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/>
              </w:rPr>
              <w:t>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8" w:line="197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8" w:line="220" w:lineRule="auto"/>
              <w:ind w:left="16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食品抽检经费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8"/>
              <w:ind w:left="615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7.69万元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8" w:line="197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99" w:lineRule="auto"/>
            </w:pPr>
          </w:p>
          <w:p>
            <w:pPr>
              <w:spacing w:line="299" w:lineRule="auto"/>
            </w:pPr>
          </w:p>
          <w:p>
            <w:pPr>
              <w:spacing w:line="300" w:lineRule="auto"/>
            </w:pPr>
          </w:p>
          <w:p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8" w:line="220" w:lineRule="auto"/>
              <w:ind w:left="15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抽检结果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公开率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22" w:line="181" w:lineRule="auto"/>
              <w:ind w:left="1115"/>
              <w:rPr>
                <w:rFonts w:hint="default" w:ascii="仿宋" w:hAnsi="仿宋" w:eastAsia="仿宋" w:cs="仿宋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/>
              </w:rPr>
              <w:t>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8" w:line="222" w:lineRule="auto"/>
              <w:ind w:left="9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净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化市场、营造安全食品环境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8" w:line="222" w:lineRule="auto"/>
              <w:ind w:left="760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果显著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8" w:line="194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88" w:line="222" w:lineRule="auto"/>
              <w:ind w:left="16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问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题整改落实率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43" w:lineRule="auto"/>
            </w:pPr>
          </w:p>
          <w:p>
            <w:pPr>
              <w:spacing w:before="65" w:line="19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90%</w:t>
            </w:r>
          </w:p>
        </w:tc>
      </w:tr>
    </w:tbl>
    <w:p/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2"/>
        <w:gridCol w:w="763"/>
        <w:gridCol w:w="763"/>
        <w:gridCol w:w="1525"/>
        <w:gridCol w:w="763"/>
        <w:gridCol w:w="763"/>
        <w:gridCol w:w="763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3" w:line="222" w:lineRule="auto"/>
              <w:ind w:left="9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洛浦县市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场监督管理局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2" w:line="199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2" w:line="222" w:lineRule="auto"/>
              <w:ind w:left="3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消费维权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52" w:lineRule="auto"/>
            </w:pPr>
          </w:p>
          <w:p>
            <w:pPr>
              <w:spacing w:before="65" w:line="180" w:lineRule="auto"/>
              <w:ind w:left="2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.4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52" w:lineRule="auto"/>
            </w:pPr>
          </w:p>
          <w:p>
            <w:pPr>
              <w:spacing w:before="65" w:line="180" w:lineRule="auto"/>
              <w:ind w:left="2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.4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86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6" w:line="191" w:lineRule="auto"/>
              <w:ind w:left="67" w:right="7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本项目主要实施内容为：开展消费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维权宣传活动1次，印制宣传册10000份,销毁假冒伪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劣产品。通过实施本项目完善和强化消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费维权网络服务平台和投诉热线的作用，加强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与部门的协作配合，提高消费者的法律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意识和维护自身权益的意识和能力，切实解决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人民群众在生活消费中遇到的实际困难和问题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64" w:lineRule="auto"/>
            </w:pPr>
          </w:p>
          <w:p>
            <w:pPr>
              <w:spacing w:line="264" w:lineRule="auto"/>
            </w:pPr>
          </w:p>
          <w:p>
            <w:pPr>
              <w:spacing w:line="264" w:lineRule="auto"/>
            </w:pPr>
          </w:p>
          <w:p>
            <w:pPr>
              <w:spacing w:line="264" w:lineRule="auto"/>
            </w:pPr>
          </w:p>
          <w:p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7" w:line="197" w:lineRule="auto"/>
              <w:ind w:left="64" w:right="1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6" w:line="222" w:lineRule="auto"/>
              <w:ind w:left="13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消费维权宣传活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动次数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7" w:line="223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8" w:line="197" w:lineRule="auto"/>
              <w:ind w:left="64" w:right="1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7" w:line="222" w:lineRule="auto"/>
              <w:ind w:left="161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宣传册数量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8" w:line="222" w:lineRule="auto"/>
              <w:ind w:left="7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10000份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8" w:line="197" w:lineRule="auto"/>
              <w:ind w:left="64" w:right="100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8" w:line="223" w:lineRule="auto"/>
              <w:ind w:left="18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宣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传覆盖率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9" w:line="19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50%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8" w:line="197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8" w:line="220" w:lineRule="auto"/>
              <w:ind w:left="1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资金拨付及时性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22" w:line="181" w:lineRule="auto"/>
              <w:ind w:left="1115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/>
              </w:rPr>
              <w:t>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8" w:line="197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7" w:line="222" w:lineRule="auto"/>
              <w:ind w:left="16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项目预算资金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8"/>
              <w:ind w:left="7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.4万元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line="320" w:lineRule="auto"/>
            </w:pPr>
          </w:p>
          <w:p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8" w:line="222" w:lineRule="auto"/>
              <w:ind w:left="16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宣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传政策知晓率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9" w:line="19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8" w:line="194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88" w:line="221" w:lineRule="auto"/>
              <w:ind w:left="1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持续保护消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费者权益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88" w:line="223" w:lineRule="auto"/>
              <w:ind w:left="9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长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期</w:t>
            </w:r>
          </w:p>
        </w:tc>
      </w:tr>
    </w:tbl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</w:pPr>
    </w:p>
    <w:p>
      <w:pPr>
        <w:spacing w:line="300" w:lineRule="auto"/>
      </w:pPr>
    </w:p>
    <w:tbl>
      <w:tblPr>
        <w:tblStyle w:val="2"/>
        <w:tblW w:w="88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418"/>
        <w:gridCol w:w="283"/>
        <w:gridCol w:w="709"/>
        <w:gridCol w:w="1817"/>
        <w:gridCol w:w="1015"/>
        <w:gridCol w:w="247"/>
        <w:gridCol w:w="992"/>
        <w:gridCol w:w="12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8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hAnsi="仿宋" w:eastAsia="仿宋" w:cs="宋体"/>
                <w:bCs/>
                <w:snapToGrid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Cs/>
                <w:snapToGrid/>
                <w:color w:val="auto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876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hAnsi="仿宋" w:eastAsia="仿宋" w:cs="宋体"/>
                <w:bCs/>
                <w:snapToGrid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Cs/>
                <w:snapToGrid/>
                <w:sz w:val="20"/>
                <w:szCs w:val="20"/>
              </w:rPr>
              <w:t>(2022年)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hAnsi="仿宋" w:eastAsia="仿宋" w:cs="宋体"/>
                <w:bCs/>
                <w:snapToGrid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Cs/>
                <w:snapToGrid/>
                <w:color w:val="auto"/>
                <w:sz w:val="20"/>
                <w:szCs w:val="20"/>
              </w:rPr>
              <w:t>预算单位</w:t>
            </w:r>
          </w:p>
        </w:tc>
        <w:tc>
          <w:tcPr>
            <w:tcW w:w="42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hAnsi="仿宋" w:eastAsia="仿宋" w:cs="宋体"/>
                <w:snapToGrid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snapToGrid/>
                <w:sz w:val="20"/>
                <w:szCs w:val="20"/>
              </w:rPr>
              <w:t>洛浦县市场监督管理局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hAnsi="仿宋" w:eastAsia="仿宋" w:cs="宋体"/>
                <w:bCs/>
                <w:snapToGrid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Cs/>
                <w:snapToGrid/>
                <w:sz w:val="20"/>
                <w:szCs w:val="20"/>
              </w:rPr>
              <w:t>项目名称</w:t>
            </w:r>
          </w:p>
        </w:tc>
        <w:tc>
          <w:tcPr>
            <w:tcW w:w="25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hAnsi="仿宋" w:eastAsia="仿宋" w:cs="宋体"/>
                <w:snapToGrid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snapToGrid/>
                <w:sz w:val="20"/>
                <w:szCs w:val="20"/>
              </w:rPr>
              <w:t>办公水电费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hAnsi="仿宋" w:eastAsia="仿宋" w:cs="宋体"/>
                <w:bCs/>
                <w:snapToGrid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Cs/>
                <w:snapToGrid/>
                <w:color w:val="auto"/>
                <w:sz w:val="20"/>
                <w:szCs w:val="20"/>
              </w:rPr>
              <w:t>项目资金（万元）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hAnsi="仿宋" w:eastAsia="仿宋" w:cs="宋体"/>
                <w:snapToGrid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snapToGrid/>
                <w:sz w:val="20"/>
                <w:szCs w:val="20"/>
              </w:rPr>
              <w:t>年度资金总额：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hAnsi="仿宋" w:eastAsia="仿宋" w:cs="宋体"/>
                <w:snapToGrid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snapToGrid/>
                <w:sz w:val="20"/>
                <w:szCs w:val="20"/>
              </w:rPr>
              <w:t>6</w:t>
            </w:r>
          </w:p>
        </w:tc>
        <w:tc>
          <w:tcPr>
            <w:tcW w:w="1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hAnsi="仿宋" w:eastAsia="仿宋" w:cs="宋体"/>
                <w:snapToGrid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snapToGrid/>
                <w:sz w:val="20"/>
                <w:szCs w:val="20"/>
              </w:rPr>
              <w:t>其中：财政拨款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hAnsi="仿宋" w:eastAsia="仿宋" w:cs="宋体"/>
                <w:snapToGrid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snapToGrid/>
                <w:sz w:val="20"/>
                <w:szCs w:val="20"/>
              </w:rPr>
              <w:t>6</w:t>
            </w: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hAnsi="仿宋" w:eastAsia="仿宋" w:cs="宋体"/>
                <w:snapToGrid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snapToGrid/>
                <w:sz w:val="20"/>
                <w:szCs w:val="20"/>
              </w:rPr>
              <w:t>其他资金</w:t>
            </w:r>
          </w:p>
        </w:tc>
        <w:tc>
          <w:tcPr>
            <w:tcW w:w="1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hAnsi="仿宋" w:eastAsia="仿宋" w:cs="宋体"/>
                <w:snapToGrid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snapToGrid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hAnsi="仿宋" w:eastAsia="仿宋" w:cs="宋体"/>
                <w:bCs/>
                <w:snapToGrid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Cs/>
                <w:snapToGrid/>
                <w:color w:val="auto"/>
                <w:sz w:val="20"/>
                <w:szCs w:val="20"/>
              </w:rPr>
              <w:t>项目总体目标</w:t>
            </w:r>
          </w:p>
        </w:tc>
        <w:tc>
          <w:tcPr>
            <w:tcW w:w="774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hAnsi="仿宋" w:eastAsia="仿宋" w:cs="宋体"/>
                <w:snapToGrid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snapToGrid/>
                <w:sz w:val="20"/>
                <w:szCs w:val="20"/>
              </w:rPr>
              <w:t>本项目主要实施内容为：支付单位7万度电费以及6600立方水费，维持办公楼及周围水电正常运转，保障单位全年水电正常供应，在此基础上确保各项工作的运转。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hAnsi="仿宋" w:eastAsia="仿宋" w:cs="宋体"/>
                <w:bCs/>
                <w:snapToGrid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Cs/>
                <w:snapToGrid/>
                <w:color w:val="auto"/>
                <w:sz w:val="20"/>
                <w:szCs w:val="20"/>
              </w:rPr>
              <w:t>一级指标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hAnsi="仿宋" w:eastAsia="仿宋" w:cs="宋体"/>
                <w:bCs/>
                <w:snapToGrid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Cs/>
                <w:snapToGrid/>
                <w:color w:val="auto"/>
                <w:sz w:val="20"/>
                <w:szCs w:val="20"/>
              </w:rPr>
              <w:t>二级指标</w:t>
            </w:r>
          </w:p>
        </w:tc>
        <w:tc>
          <w:tcPr>
            <w:tcW w:w="40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hAnsi="仿宋" w:eastAsia="仿宋" w:cs="宋体"/>
                <w:bCs/>
                <w:snapToGrid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Cs/>
                <w:snapToGrid/>
                <w:color w:val="auto"/>
                <w:sz w:val="20"/>
                <w:szCs w:val="20"/>
              </w:rPr>
              <w:t>三级指标</w:t>
            </w:r>
          </w:p>
        </w:tc>
        <w:tc>
          <w:tcPr>
            <w:tcW w:w="2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hAnsi="仿宋" w:eastAsia="仿宋" w:cs="宋体"/>
                <w:bCs/>
                <w:snapToGrid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Cs/>
                <w:snapToGrid/>
                <w:color w:val="auto"/>
                <w:sz w:val="20"/>
                <w:szCs w:val="20"/>
              </w:rPr>
              <w:t>指标值（包含数字及文字描述）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hAnsi="仿宋" w:eastAsia="仿宋" w:cs="宋体"/>
                <w:snapToGrid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snapToGrid/>
                <w:color w:val="auto"/>
                <w:sz w:val="20"/>
                <w:szCs w:val="20"/>
              </w:rPr>
              <w:t>产出指标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hAnsi="仿宋" w:eastAsia="仿宋" w:cs="宋体"/>
                <w:snapToGrid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snapToGrid/>
                <w:color w:val="auto"/>
                <w:sz w:val="20"/>
                <w:szCs w:val="20"/>
              </w:rPr>
              <w:t>数量指标</w:t>
            </w:r>
          </w:p>
        </w:tc>
        <w:tc>
          <w:tcPr>
            <w:tcW w:w="40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hAnsi="仿宋" w:eastAsia="仿宋" w:cs="宋体"/>
                <w:snapToGrid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snapToGrid/>
                <w:color w:val="auto"/>
                <w:sz w:val="20"/>
                <w:szCs w:val="20"/>
              </w:rPr>
              <w:t>年用电量</w:t>
            </w:r>
          </w:p>
        </w:tc>
        <w:tc>
          <w:tcPr>
            <w:tcW w:w="2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hAnsi="仿宋" w:eastAsia="仿宋" w:cs="宋体"/>
                <w:snapToGrid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snapToGrid/>
                <w:color w:val="auto"/>
                <w:sz w:val="20"/>
                <w:szCs w:val="20"/>
              </w:rPr>
              <w:t>≤70000度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hAnsi="仿宋" w:eastAsia="仿宋" w:cs="宋体"/>
                <w:snapToGrid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hAnsi="仿宋" w:eastAsia="仿宋" w:cs="宋体"/>
                <w:snapToGrid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snapToGrid/>
                <w:color w:val="auto"/>
                <w:sz w:val="20"/>
                <w:szCs w:val="20"/>
              </w:rPr>
              <w:t>数量指标</w:t>
            </w:r>
          </w:p>
        </w:tc>
        <w:tc>
          <w:tcPr>
            <w:tcW w:w="40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hAnsi="仿宋" w:eastAsia="仿宋" w:cs="宋体"/>
                <w:snapToGrid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snapToGrid/>
                <w:color w:val="auto"/>
                <w:sz w:val="20"/>
                <w:szCs w:val="20"/>
              </w:rPr>
              <w:t>年用水量</w:t>
            </w:r>
          </w:p>
        </w:tc>
        <w:tc>
          <w:tcPr>
            <w:tcW w:w="2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hAnsi="仿宋" w:eastAsia="仿宋" w:cs="宋体"/>
                <w:snapToGrid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snapToGrid/>
                <w:color w:val="auto"/>
                <w:sz w:val="20"/>
                <w:szCs w:val="20"/>
              </w:rPr>
              <w:t>≤6600立方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hAnsi="仿宋" w:eastAsia="仿宋" w:cs="宋体"/>
                <w:snapToGrid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hAnsi="仿宋" w:eastAsia="仿宋" w:cs="宋体"/>
                <w:snapToGrid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snapToGrid/>
                <w:color w:val="auto"/>
                <w:sz w:val="20"/>
                <w:szCs w:val="20"/>
              </w:rPr>
              <w:t>质量指标</w:t>
            </w:r>
          </w:p>
        </w:tc>
        <w:tc>
          <w:tcPr>
            <w:tcW w:w="40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hAnsi="仿宋" w:eastAsia="仿宋" w:cs="宋体"/>
                <w:snapToGrid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snapToGrid/>
                <w:color w:val="auto"/>
                <w:sz w:val="20"/>
                <w:szCs w:val="20"/>
              </w:rPr>
              <w:t>办公楼日常通电达标率</w:t>
            </w:r>
          </w:p>
        </w:tc>
        <w:tc>
          <w:tcPr>
            <w:tcW w:w="2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hAnsi="仿宋" w:eastAsia="仿宋" w:cs="宋体"/>
                <w:snapToGrid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snapToGrid/>
                <w:color w:val="auto"/>
                <w:sz w:val="20"/>
                <w:szCs w:val="20"/>
              </w:rPr>
              <w:t>≥98%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hAnsi="仿宋" w:eastAsia="仿宋" w:cs="宋体"/>
                <w:snapToGrid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hAnsi="仿宋" w:eastAsia="仿宋" w:cs="宋体"/>
                <w:snapToGrid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snapToGrid/>
                <w:color w:val="auto"/>
                <w:sz w:val="20"/>
                <w:szCs w:val="20"/>
              </w:rPr>
              <w:t>质量指标</w:t>
            </w:r>
          </w:p>
        </w:tc>
        <w:tc>
          <w:tcPr>
            <w:tcW w:w="40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hAnsi="仿宋" w:eastAsia="仿宋" w:cs="宋体"/>
                <w:snapToGrid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snapToGrid/>
                <w:color w:val="auto"/>
                <w:sz w:val="20"/>
                <w:szCs w:val="20"/>
              </w:rPr>
              <w:t>办公楼日常通水达标率</w:t>
            </w:r>
          </w:p>
        </w:tc>
        <w:tc>
          <w:tcPr>
            <w:tcW w:w="2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hAnsi="仿宋" w:eastAsia="仿宋" w:cs="宋体"/>
                <w:snapToGrid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snapToGrid/>
                <w:color w:val="auto"/>
                <w:sz w:val="20"/>
                <w:szCs w:val="20"/>
              </w:rPr>
              <w:t>≥98%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hAnsi="仿宋" w:eastAsia="仿宋" w:cs="宋体"/>
                <w:snapToGrid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hAnsi="仿宋" w:eastAsia="仿宋" w:cs="宋体"/>
                <w:snapToGrid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snapToGrid/>
                <w:color w:val="auto"/>
                <w:sz w:val="20"/>
                <w:szCs w:val="20"/>
              </w:rPr>
              <w:t>时效指标</w:t>
            </w:r>
          </w:p>
        </w:tc>
        <w:tc>
          <w:tcPr>
            <w:tcW w:w="40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hAnsi="仿宋" w:eastAsia="仿宋" w:cs="宋体"/>
                <w:snapToGrid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snapToGrid/>
                <w:color w:val="auto"/>
                <w:sz w:val="20"/>
                <w:szCs w:val="20"/>
              </w:rPr>
              <w:t>经费支付及时性</w:t>
            </w:r>
          </w:p>
        </w:tc>
        <w:tc>
          <w:tcPr>
            <w:tcW w:w="2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hAnsi="仿宋" w:eastAsia="仿宋" w:cs="宋体"/>
                <w:snapToGrid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snapToGrid/>
                <w:color w:val="auto"/>
                <w:sz w:val="20"/>
                <w:szCs w:val="20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hAnsi="仿宋" w:eastAsia="仿宋" w:cs="宋体"/>
                <w:snapToGrid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hAnsi="仿宋" w:eastAsia="仿宋" w:cs="宋体"/>
                <w:snapToGrid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snapToGrid/>
                <w:color w:val="auto"/>
                <w:sz w:val="20"/>
                <w:szCs w:val="20"/>
              </w:rPr>
              <w:t>成本指标</w:t>
            </w:r>
          </w:p>
        </w:tc>
        <w:tc>
          <w:tcPr>
            <w:tcW w:w="40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hAnsi="仿宋" w:eastAsia="仿宋" w:cs="宋体"/>
                <w:snapToGrid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snapToGrid/>
                <w:color w:val="auto"/>
                <w:sz w:val="20"/>
                <w:szCs w:val="20"/>
              </w:rPr>
              <w:t>单位水费</w:t>
            </w:r>
          </w:p>
        </w:tc>
        <w:tc>
          <w:tcPr>
            <w:tcW w:w="2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hAnsi="仿宋" w:eastAsia="仿宋" w:cs="宋体"/>
                <w:snapToGrid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snapToGrid/>
                <w:color w:val="auto"/>
                <w:sz w:val="20"/>
                <w:szCs w:val="20"/>
              </w:rPr>
              <w:t>≤1.8万元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hAnsi="仿宋" w:eastAsia="仿宋" w:cs="宋体"/>
                <w:snapToGrid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hAnsi="仿宋" w:eastAsia="仿宋" w:cs="宋体"/>
                <w:snapToGrid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snapToGrid/>
                <w:color w:val="auto"/>
                <w:sz w:val="20"/>
                <w:szCs w:val="20"/>
              </w:rPr>
              <w:t>成本指标</w:t>
            </w:r>
          </w:p>
        </w:tc>
        <w:tc>
          <w:tcPr>
            <w:tcW w:w="40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hAnsi="仿宋" w:eastAsia="仿宋" w:cs="宋体"/>
                <w:snapToGrid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snapToGrid/>
                <w:color w:val="auto"/>
                <w:sz w:val="20"/>
                <w:szCs w:val="20"/>
              </w:rPr>
              <w:t>单位电费</w:t>
            </w:r>
          </w:p>
        </w:tc>
        <w:tc>
          <w:tcPr>
            <w:tcW w:w="2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hAnsi="仿宋" w:eastAsia="仿宋" w:cs="宋体"/>
                <w:snapToGrid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snapToGrid/>
                <w:color w:val="auto"/>
                <w:sz w:val="20"/>
                <w:szCs w:val="20"/>
              </w:rPr>
              <w:t>≤4.2万元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3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宋体"/>
                <w:snapToGrid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snapToGrid/>
                <w:color w:val="auto"/>
                <w:sz w:val="20"/>
                <w:szCs w:val="20"/>
              </w:rPr>
              <w:t>效益指标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hAnsi="仿宋" w:eastAsia="仿宋" w:cs="宋体"/>
                <w:snapToGrid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0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hAnsi="仿宋" w:eastAsia="仿宋" w:cs="宋体"/>
                <w:snapToGrid/>
                <w:color w:val="auto"/>
                <w:sz w:val="20"/>
                <w:szCs w:val="20"/>
              </w:rPr>
            </w:pPr>
          </w:p>
        </w:tc>
        <w:tc>
          <w:tcPr>
            <w:tcW w:w="2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hAnsi="仿宋" w:eastAsia="仿宋" w:cs="宋体"/>
                <w:snapToGrid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hAnsi="仿宋" w:eastAsia="仿宋" w:cs="宋体"/>
                <w:snapToGrid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hAnsi="仿宋" w:eastAsia="仿宋" w:cs="宋体"/>
                <w:snapToGrid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snapToGrid/>
                <w:color w:val="auto"/>
                <w:sz w:val="20"/>
                <w:szCs w:val="20"/>
              </w:rPr>
              <w:t>社会效益指标</w:t>
            </w:r>
          </w:p>
        </w:tc>
        <w:tc>
          <w:tcPr>
            <w:tcW w:w="40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hAnsi="仿宋" w:eastAsia="仿宋" w:cs="宋体"/>
                <w:snapToGrid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snapToGrid/>
                <w:color w:val="auto"/>
                <w:sz w:val="20"/>
                <w:szCs w:val="20"/>
              </w:rPr>
              <w:t>业务保障能力</w:t>
            </w:r>
          </w:p>
        </w:tc>
        <w:tc>
          <w:tcPr>
            <w:tcW w:w="2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hAnsi="仿宋" w:eastAsia="仿宋" w:cs="宋体"/>
                <w:snapToGrid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snapToGrid/>
                <w:color w:val="auto"/>
                <w:sz w:val="20"/>
                <w:szCs w:val="20"/>
              </w:rPr>
              <w:t>显著提高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hAnsi="仿宋" w:eastAsia="仿宋" w:cs="宋体"/>
                <w:snapToGrid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hAnsi="仿宋" w:eastAsia="仿宋" w:cs="宋体"/>
                <w:snapToGrid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snapToGrid/>
                <w:color w:val="auto"/>
                <w:sz w:val="20"/>
                <w:szCs w:val="20"/>
              </w:rPr>
              <w:t>可持续影响指标</w:t>
            </w:r>
          </w:p>
        </w:tc>
        <w:tc>
          <w:tcPr>
            <w:tcW w:w="40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hAnsi="仿宋" w:eastAsia="仿宋" w:cs="宋体"/>
                <w:snapToGrid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snapToGrid/>
                <w:color w:val="auto"/>
                <w:sz w:val="20"/>
                <w:szCs w:val="20"/>
              </w:rPr>
              <w:t>项目开展年限</w:t>
            </w:r>
          </w:p>
        </w:tc>
        <w:tc>
          <w:tcPr>
            <w:tcW w:w="2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hAnsi="仿宋" w:eastAsia="仿宋" w:cs="宋体"/>
                <w:snapToGrid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snapToGrid/>
                <w:color w:val="auto"/>
                <w:sz w:val="20"/>
                <w:szCs w:val="20"/>
              </w:rPr>
              <w:t>1年</w:t>
            </w:r>
          </w:p>
        </w:tc>
      </w:tr>
    </w:tbl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  <w:r>
        <w:rPr>
          <w:rFonts w:hint="eastAsia" w:ascii="黑体" w:hAnsi="黑体" w:cs="黑体"/>
          <w:spacing w:val="33"/>
          <w:sz w:val="34"/>
          <w:szCs w:val="34"/>
        </w:rPr>
        <w:t xml:space="preserve">             </w:t>
      </w: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  <w:r>
        <w:rPr>
          <w:rFonts w:hint="eastAsia" w:ascii="黑体" w:hAnsi="黑体" w:cs="黑体"/>
          <w:spacing w:val="33"/>
          <w:sz w:val="34"/>
          <w:szCs w:val="34"/>
        </w:rPr>
        <w:t xml:space="preserve">        </w:t>
      </w:r>
    </w:p>
    <w:tbl>
      <w:tblPr>
        <w:tblStyle w:val="2"/>
        <w:tblW w:w="92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0"/>
        <w:gridCol w:w="1080"/>
        <w:gridCol w:w="1080"/>
        <w:gridCol w:w="1080"/>
        <w:gridCol w:w="880"/>
        <w:gridCol w:w="1080"/>
        <w:gridCol w:w="940"/>
        <w:gridCol w:w="580"/>
        <w:gridCol w:w="1080"/>
        <w:gridCol w:w="1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888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ind w:firstLine="1200" w:firstLineChars="600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888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ind w:firstLine="1800" w:firstLineChars="900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(2022年)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预算单 位</w:t>
            </w:r>
          </w:p>
        </w:tc>
        <w:tc>
          <w:tcPr>
            <w:tcW w:w="4120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ind w:firstLine="400" w:firstLineChars="200"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洛浦县市场监督管理局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项目名 称</w:t>
            </w:r>
          </w:p>
        </w:tc>
        <w:tc>
          <w:tcPr>
            <w:tcW w:w="2740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专项执法经费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sz w:val="19"/>
                <w:szCs w:val="19"/>
              </w:rPr>
            </w:pPr>
            <w:r>
              <w:rPr>
                <w:rFonts w:hint="eastAsia" w:ascii="宋体" w:hAnsi="宋体" w:eastAsia="宋体" w:cs="Times New Roman"/>
                <w:snapToGrid/>
                <w:sz w:val="19"/>
                <w:szCs w:val="19"/>
              </w:rPr>
              <w:t>项目资金</w:t>
            </w:r>
            <w:r>
              <w:rPr>
                <w:rFonts w:ascii="Times New Roman" w:hAnsi="Times New Roman" w:eastAsia="宋体" w:cs="Times New Roman"/>
                <w:snapToGrid/>
                <w:sz w:val="19"/>
                <w:szCs w:val="19"/>
              </w:rPr>
              <w:t>(</w:t>
            </w:r>
            <w:r>
              <w:rPr>
                <w:rFonts w:hint="eastAsia" w:ascii="宋体" w:hAnsi="宋体" w:eastAsia="宋体" w:cs="Times New Roman"/>
                <w:snapToGrid/>
                <w:sz w:val="19"/>
                <w:szCs w:val="19"/>
              </w:rPr>
              <w:t>万</w:t>
            </w:r>
            <w:r>
              <w:rPr>
                <w:rFonts w:ascii="Times New Roman" w:hAnsi="Times New Roman" w:eastAsia="宋体" w:cs="Times New Roman"/>
                <w:snapToGrid/>
                <w:sz w:val="19"/>
                <w:szCs w:val="19"/>
              </w:rPr>
              <w:t xml:space="preserve"> </w:t>
            </w:r>
            <w:r>
              <w:rPr>
                <w:rFonts w:hint="eastAsia" w:ascii="宋体" w:hAnsi="宋体" w:eastAsia="宋体" w:cs="Times New Roman"/>
                <w:snapToGrid/>
                <w:sz w:val="19"/>
                <w:szCs w:val="19"/>
              </w:rPr>
              <w:t>元</w:t>
            </w:r>
            <w:r>
              <w:rPr>
                <w:rFonts w:ascii="Times New Roman" w:hAnsi="Times New Roman" w:eastAsia="宋体" w:cs="Times New Roman"/>
                <w:snapToGrid/>
                <w:sz w:val="19"/>
                <w:szCs w:val="19"/>
              </w:rPr>
              <w:t>)</w:t>
            </w:r>
          </w:p>
        </w:tc>
        <w:tc>
          <w:tcPr>
            <w:tcW w:w="2160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年度资金总额：</w:t>
            </w:r>
          </w:p>
        </w:tc>
        <w:tc>
          <w:tcPr>
            <w:tcW w:w="88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6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其中：财政拨款</w:t>
            </w:r>
          </w:p>
        </w:tc>
        <w:tc>
          <w:tcPr>
            <w:tcW w:w="94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6</w:t>
            </w:r>
          </w:p>
        </w:tc>
        <w:tc>
          <w:tcPr>
            <w:tcW w:w="1660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其他资金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eastAsia="宋体"/>
                <w:snapToGrid/>
              </w:rPr>
            </w:pPr>
            <w:r>
              <w:rPr>
                <w:rFonts w:eastAsia="宋体"/>
                <w:snapToGrid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19"/>
                <w:szCs w:val="19"/>
              </w:rPr>
            </w:pPr>
          </w:p>
        </w:tc>
        <w:tc>
          <w:tcPr>
            <w:tcW w:w="2160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</w:p>
        </w:tc>
        <w:tc>
          <w:tcPr>
            <w:tcW w:w="8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eastAsia="宋体"/>
                <w:snapToGrid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项目总 体目标</w:t>
            </w:r>
          </w:p>
        </w:tc>
        <w:tc>
          <w:tcPr>
            <w:tcW w:w="7800" w:type="dxa"/>
            <w:gridSpan w:val="8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本项目主要实施内容为：项目预算资金为</w:t>
            </w: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6</w:t>
            </w: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万元，开展食品、药品、医疗器械、化妆品、质量、特种设备、计量器具、物价等专项执法检查</w:t>
            </w: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15</w:t>
            </w: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次，出动人员</w:t>
            </w: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180</w:t>
            </w: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人次，出动车辆</w:t>
            </w: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60</w:t>
            </w: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车次，依法查处案件</w:t>
            </w: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40</w:t>
            </w: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个，组织依法查处违反《消费者权益保护法》、《食品安全法》、《产品质量法》、《价格法》等的违法行为。通过实施本项目可确保市场秩序稳定。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一级指 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二级指 标</w:t>
            </w:r>
          </w:p>
        </w:tc>
        <w:tc>
          <w:tcPr>
            <w:tcW w:w="4560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ind w:firstLine="800" w:firstLineChars="400"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三级指标</w:t>
            </w:r>
          </w:p>
        </w:tc>
        <w:tc>
          <w:tcPr>
            <w:tcW w:w="216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ind w:firstLine="200" w:firstLineChars="100"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指标值(包含数字及文 字描述)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产出指 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数量指 标</w:t>
            </w:r>
          </w:p>
        </w:tc>
        <w:tc>
          <w:tcPr>
            <w:tcW w:w="4560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napToGrid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  <w:szCs w:val="20"/>
              </w:rPr>
              <w:t>专项检查次数</w:t>
            </w:r>
          </w:p>
        </w:tc>
        <w:tc>
          <w:tcPr>
            <w:tcW w:w="216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≥</w:t>
            </w: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15</w:t>
            </w: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数量指 标</w:t>
            </w:r>
          </w:p>
        </w:tc>
        <w:tc>
          <w:tcPr>
            <w:tcW w:w="4560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napToGrid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  <w:szCs w:val="20"/>
              </w:rPr>
              <w:t>专项执法检查出动人员数</w:t>
            </w:r>
          </w:p>
        </w:tc>
        <w:tc>
          <w:tcPr>
            <w:tcW w:w="216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≥</w:t>
            </w: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180</w:t>
            </w: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人次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数量指 标</w:t>
            </w:r>
          </w:p>
        </w:tc>
        <w:tc>
          <w:tcPr>
            <w:tcW w:w="4560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napToGrid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  <w:szCs w:val="20"/>
              </w:rPr>
              <w:t>专项执法出动车辆数</w:t>
            </w:r>
          </w:p>
        </w:tc>
        <w:tc>
          <w:tcPr>
            <w:tcW w:w="216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≥</w:t>
            </w: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60</w:t>
            </w: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车次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数量指 标</w:t>
            </w:r>
          </w:p>
        </w:tc>
        <w:tc>
          <w:tcPr>
            <w:tcW w:w="4560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napToGrid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  <w:szCs w:val="20"/>
              </w:rPr>
              <w:t>依法查处案件数</w:t>
            </w:r>
          </w:p>
        </w:tc>
        <w:tc>
          <w:tcPr>
            <w:tcW w:w="216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≥</w:t>
            </w: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40</w:t>
            </w: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质量指 标</w:t>
            </w:r>
          </w:p>
        </w:tc>
        <w:tc>
          <w:tcPr>
            <w:tcW w:w="4560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napToGrid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  <w:szCs w:val="20"/>
              </w:rPr>
              <w:t>专项检查的覆盖率</w:t>
            </w:r>
          </w:p>
        </w:tc>
        <w:tc>
          <w:tcPr>
            <w:tcW w:w="216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≥</w:t>
            </w: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90%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质量指 标</w:t>
            </w:r>
          </w:p>
        </w:tc>
        <w:tc>
          <w:tcPr>
            <w:tcW w:w="4560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napToGrid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  <w:szCs w:val="20"/>
              </w:rPr>
              <w:t>案件办结率</w:t>
            </w:r>
          </w:p>
        </w:tc>
        <w:tc>
          <w:tcPr>
            <w:tcW w:w="216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snapToGrid/>
                <w:color w:val="auto"/>
                <w:sz w:val="20"/>
                <w:szCs w:val="20"/>
              </w:rPr>
              <w:t>≥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sz w:val="20"/>
                <w:szCs w:val="20"/>
              </w:rPr>
              <w:t>90%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质量指 标</w:t>
            </w:r>
          </w:p>
        </w:tc>
        <w:tc>
          <w:tcPr>
            <w:tcW w:w="4560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napToGrid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  <w:szCs w:val="20"/>
              </w:rPr>
              <w:t>案件投诉率</w:t>
            </w:r>
          </w:p>
        </w:tc>
        <w:tc>
          <w:tcPr>
            <w:tcW w:w="216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snapToGrid/>
                <w:color w:val="auto"/>
                <w:sz w:val="20"/>
                <w:szCs w:val="20"/>
              </w:rPr>
              <w:t>≤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sz w:val="20"/>
                <w:szCs w:val="20"/>
              </w:rPr>
              <w:t>2%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时效指 标</w:t>
            </w:r>
          </w:p>
        </w:tc>
        <w:tc>
          <w:tcPr>
            <w:tcW w:w="4560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napToGrid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  <w:szCs w:val="20"/>
              </w:rPr>
              <w:t>资金支付及时率</w:t>
            </w:r>
          </w:p>
        </w:tc>
        <w:tc>
          <w:tcPr>
            <w:tcW w:w="216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sz w:val="20"/>
                <w:szCs w:val="20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时效指 标</w:t>
            </w:r>
          </w:p>
        </w:tc>
        <w:tc>
          <w:tcPr>
            <w:tcW w:w="4560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资金拨付及时性</w:t>
            </w:r>
          </w:p>
        </w:tc>
        <w:tc>
          <w:tcPr>
            <w:tcW w:w="216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sz w:val="20"/>
                <w:szCs w:val="20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成本指 标</w:t>
            </w:r>
          </w:p>
        </w:tc>
        <w:tc>
          <w:tcPr>
            <w:tcW w:w="4560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napToGrid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  <w:szCs w:val="20"/>
              </w:rPr>
              <w:t>专项执法经费经费</w:t>
            </w:r>
          </w:p>
        </w:tc>
        <w:tc>
          <w:tcPr>
            <w:tcW w:w="216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snapToGrid/>
                <w:color w:val="auto"/>
                <w:sz w:val="20"/>
                <w:szCs w:val="20"/>
              </w:rPr>
              <w:t>≤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sz w:val="20"/>
                <w:szCs w:val="20"/>
              </w:rPr>
              <w:t>6</w:t>
            </w:r>
            <w:r>
              <w:rPr>
                <w:rFonts w:hint="eastAsia" w:ascii="宋体" w:hAnsi="宋体" w:eastAsia="宋体" w:cs="Times New Roman"/>
                <w:snapToGrid/>
                <w:color w:val="auto"/>
                <w:sz w:val="20"/>
                <w:szCs w:val="20"/>
              </w:rPr>
              <w:t>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成本指 标</w:t>
            </w:r>
          </w:p>
        </w:tc>
        <w:tc>
          <w:tcPr>
            <w:tcW w:w="4560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eastAsia="宋体"/>
                <w:snapToGrid/>
              </w:rPr>
            </w:pPr>
            <w:r>
              <w:rPr>
                <w:rFonts w:eastAsia="宋体"/>
                <w:snapToGrid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eastAsia="宋体"/>
                <w:snapToGrid/>
                <w:color w:val="auto"/>
              </w:rPr>
            </w:pPr>
            <w:r>
              <w:rPr>
                <w:rFonts w:eastAsia="宋体"/>
                <w:snapToGrid/>
                <w:color w:val="auto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eastAsia="宋体"/>
                <w:snapToGrid/>
              </w:rPr>
            </w:pPr>
            <w:r>
              <w:rPr>
                <w:rFonts w:eastAsia="宋体"/>
                <w:snapToGrid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经济效 益指标</w:t>
            </w:r>
          </w:p>
        </w:tc>
        <w:tc>
          <w:tcPr>
            <w:tcW w:w="4560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eastAsia="宋体"/>
                <w:snapToGrid/>
              </w:rPr>
            </w:pPr>
            <w:r>
              <w:rPr>
                <w:rFonts w:eastAsia="宋体"/>
                <w:snapToGrid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eastAsia="宋体"/>
                <w:snapToGrid/>
                <w:color w:val="auto"/>
              </w:rPr>
            </w:pPr>
            <w:r>
              <w:rPr>
                <w:rFonts w:eastAsia="宋体"/>
                <w:snapToGrid/>
                <w:color w:val="auto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eastAsia="宋体"/>
                <w:snapToGrid/>
              </w:rPr>
            </w:pPr>
            <w:r>
              <w:rPr>
                <w:rFonts w:eastAsia="宋体"/>
                <w:snapToGrid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社会效 益指标</w:t>
            </w:r>
          </w:p>
        </w:tc>
        <w:tc>
          <w:tcPr>
            <w:tcW w:w="4560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napToGrid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  <w:szCs w:val="20"/>
              </w:rPr>
              <w:t>检查结果公开率</w:t>
            </w:r>
          </w:p>
        </w:tc>
        <w:tc>
          <w:tcPr>
            <w:tcW w:w="216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sz w:val="20"/>
                <w:szCs w:val="20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eastAsia="宋体"/>
                <w:snapToGrid/>
              </w:rPr>
            </w:pPr>
            <w:r>
              <w:rPr>
                <w:rFonts w:eastAsia="宋体"/>
                <w:snapToGrid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社会效 益指标</w:t>
            </w:r>
          </w:p>
        </w:tc>
        <w:tc>
          <w:tcPr>
            <w:tcW w:w="4560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napToGrid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  <w:szCs w:val="20"/>
              </w:rPr>
              <w:t>市场经营秩序</w:t>
            </w:r>
          </w:p>
        </w:tc>
        <w:tc>
          <w:tcPr>
            <w:tcW w:w="216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napToGrid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z w:val="20"/>
                <w:szCs w:val="20"/>
              </w:rPr>
              <w:t>有效维护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效益指 标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可持续 影响指 标</w:t>
            </w:r>
          </w:p>
        </w:tc>
        <w:tc>
          <w:tcPr>
            <w:tcW w:w="4560" w:type="dxa"/>
            <w:gridSpan w:val="5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napToGrid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  <w:szCs w:val="20"/>
              </w:rPr>
              <w:t>问题整改落实率</w:t>
            </w:r>
          </w:p>
        </w:tc>
        <w:tc>
          <w:tcPr>
            <w:tcW w:w="2160" w:type="dxa"/>
            <w:gridSpan w:val="2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eastAsia="宋体"/>
                <w:snapToGrid/>
              </w:rPr>
            </w:pPr>
            <w:r>
              <w:rPr>
                <w:rFonts w:eastAsia="宋体"/>
                <w:snapToGrid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z w:val="22"/>
                <w:szCs w:val="22"/>
              </w:rPr>
              <w:t>　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</w:p>
        </w:tc>
        <w:tc>
          <w:tcPr>
            <w:tcW w:w="4560" w:type="dxa"/>
            <w:gridSpan w:val="5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≥90%</w:t>
            </w:r>
          </w:p>
        </w:tc>
      </w:tr>
    </w:tbl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tbl>
      <w:tblPr>
        <w:tblStyle w:val="2"/>
        <w:tblW w:w="9060" w:type="dxa"/>
        <w:tblInd w:w="9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"/>
        <w:gridCol w:w="1075"/>
        <w:gridCol w:w="1076"/>
        <w:gridCol w:w="1072"/>
        <w:gridCol w:w="876"/>
        <w:gridCol w:w="1077"/>
        <w:gridCol w:w="936"/>
        <w:gridCol w:w="577"/>
        <w:gridCol w:w="1074"/>
        <w:gridCol w:w="10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8838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ind w:firstLine="1200" w:firstLineChars="600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项</w:t>
            </w: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目</w:t>
            </w: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支</w:t>
            </w: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出</w:t>
            </w: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绩</w:t>
            </w: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效</w:t>
            </w: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目</w:t>
            </w: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标</w:t>
            </w: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8838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ind w:firstLine="1800" w:firstLineChars="900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(2022</w:t>
            </w: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年</w:t>
            </w: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预算单 位</w:t>
            </w:r>
          </w:p>
        </w:tc>
        <w:tc>
          <w:tcPr>
            <w:tcW w:w="4101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洛浦县市场监督管理局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项目名 称</w:t>
            </w:r>
          </w:p>
        </w:tc>
        <w:tc>
          <w:tcPr>
            <w:tcW w:w="2726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信息化建设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7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sz w:val="19"/>
                <w:szCs w:val="19"/>
              </w:rPr>
            </w:pPr>
            <w:r>
              <w:rPr>
                <w:rFonts w:hint="eastAsia" w:ascii="宋体" w:hAnsi="宋体" w:eastAsia="宋体" w:cs="Times New Roman"/>
                <w:snapToGrid/>
                <w:sz w:val="19"/>
                <w:szCs w:val="19"/>
              </w:rPr>
              <w:t>项目资金</w:t>
            </w:r>
            <w:r>
              <w:rPr>
                <w:rFonts w:ascii="Times New Roman" w:hAnsi="Times New Roman" w:eastAsia="宋体" w:cs="Times New Roman"/>
                <w:snapToGrid/>
                <w:sz w:val="19"/>
                <w:szCs w:val="19"/>
              </w:rPr>
              <w:t>(</w:t>
            </w:r>
            <w:r>
              <w:rPr>
                <w:rFonts w:hint="eastAsia" w:ascii="宋体" w:hAnsi="宋体" w:eastAsia="宋体" w:cs="Times New Roman"/>
                <w:snapToGrid/>
                <w:sz w:val="19"/>
                <w:szCs w:val="19"/>
              </w:rPr>
              <w:t>万</w:t>
            </w:r>
            <w:r>
              <w:rPr>
                <w:rFonts w:ascii="Times New Roman" w:hAnsi="Times New Roman" w:eastAsia="宋体" w:cs="Times New Roman"/>
                <w:snapToGrid/>
                <w:sz w:val="19"/>
                <w:szCs w:val="19"/>
              </w:rPr>
              <w:t xml:space="preserve"> </w:t>
            </w:r>
            <w:r>
              <w:rPr>
                <w:rFonts w:hint="eastAsia" w:ascii="宋体" w:hAnsi="宋体" w:eastAsia="宋体" w:cs="Times New Roman"/>
                <w:snapToGrid/>
                <w:sz w:val="19"/>
                <w:szCs w:val="19"/>
              </w:rPr>
              <w:t>元</w:t>
            </w:r>
            <w:r>
              <w:rPr>
                <w:rFonts w:ascii="Times New Roman" w:hAnsi="Times New Roman" w:eastAsia="宋体" w:cs="Times New Roman"/>
                <w:snapToGrid/>
                <w:sz w:val="19"/>
                <w:szCs w:val="19"/>
              </w:rPr>
              <w:t>)</w:t>
            </w:r>
          </w:p>
        </w:tc>
        <w:tc>
          <w:tcPr>
            <w:tcW w:w="2148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年度资金总额：</w:t>
            </w:r>
          </w:p>
        </w:tc>
        <w:tc>
          <w:tcPr>
            <w:tcW w:w="876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6</w:t>
            </w:r>
          </w:p>
        </w:tc>
        <w:tc>
          <w:tcPr>
            <w:tcW w:w="107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其中：财政拨款</w:t>
            </w:r>
          </w:p>
        </w:tc>
        <w:tc>
          <w:tcPr>
            <w:tcW w:w="936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6</w:t>
            </w:r>
          </w:p>
        </w:tc>
        <w:tc>
          <w:tcPr>
            <w:tcW w:w="1651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其他资金</w:t>
            </w:r>
          </w:p>
        </w:tc>
        <w:tc>
          <w:tcPr>
            <w:tcW w:w="107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eastAsia="宋体"/>
                <w:snapToGrid/>
              </w:rPr>
            </w:pPr>
            <w:r>
              <w:rPr>
                <w:rFonts w:eastAsia="宋体"/>
                <w:snapToGrid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19"/>
                <w:szCs w:val="19"/>
              </w:rPr>
            </w:pPr>
          </w:p>
        </w:tc>
        <w:tc>
          <w:tcPr>
            <w:tcW w:w="2148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</w:p>
        </w:tc>
        <w:tc>
          <w:tcPr>
            <w:tcW w:w="87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</w:p>
        </w:tc>
        <w:tc>
          <w:tcPr>
            <w:tcW w:w="107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</w:p>
        </w:tc>
        <w:tc>
          <w:tcPr>
            <w:tcW w:w="1651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</w:p>
        </w:tc>
        <w:tc>
          <w:tcPr>
            <w:tcW w:w="10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eastAsia="宋体"/>
                <w:snapToGrid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项目总 体目标</w:t>
            </w:r>
          </w:p>
        </w:tc>
        <w:tc>
          <w:tcPr>
            <w:tcW w:w="7763" w:type="dxa"/>
            <w:gridSpan w:val="8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本项目主要实施内容为：项目预算资金为</w:t>
            </w: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6</w:t>
            </w: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万元，维护单位网络专线</w:t>
            </w: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条、维护监控设备</w:t>
            </w: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套，维护单位监控系统、会议系统、办公系统。通过实施本项目可保障单位监控设备、办公用电话、网络、计算机及软件正常运行，确保顺利完成各项工作。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一级指 标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二级指 标</w:t>
            </w:r>
          </w:p>
        </w:tc>
        <w:tc>
          <w:tcPr>
            <w:tcW w:w="4538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ind w:firstLine="800" w:firstLineChars="400"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三级指标</w:t>
            </w:r>
          </w:p>
        </w:tc>
        <w:tc>
          <w:tcPr>
            <w:tcW w:w="2149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ind w:firstLine="200" w:firstLineChars="100"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指标值(包含数字及文 字描述)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75" w:type="dxa"/>
            <w:vMerge w:val="restart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产出指 标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数量指 标</w:t>
            </w:r>
          </w:p>
        </w:tc>
        <w:tc>
          <w:tcPr>
            <w:tcW w:w="4538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napToGrid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  <w:szCs w:val="20"/>
              </w:rPr>
              <w:t>维护线路数量</w:t>
            </w:r>
          </w:p>
        </w:tc>
        <w:tc>
          <w:tcPr>
            <w:tcW w:w="2149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napToGrid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z w:val="20"/>
                <w:szCs w:val="20"/>
              </w:rPr>
              <w:t>2条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75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数量指 标</w:t>
            </w:r>
          </w:p>
        </w:tc>
        <w:tc>
          <w:tcPr>
            <w:tcW w:w="4538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napToGrid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  <w:szCs w:val="20"/>
              </w:rPr>
              <w:t>维护监控设备数量</w:t>
            </w:r>
          </w:p>
        </w:tc>
        <w:tc>
          <w:tcPr>
            <w:tcW w:w="2149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napToGrid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z w:val="20"/>
                <w:szCs w:val="20"/>
              </w:rPr>
              <w:t>2套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75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质量指 标</w:t>
            </w:r>
          </w:p>
        </w:tc>
        <w:tc>
          <w:tcPr>
            <w:tcW w:w="4538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napToGrid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  <w:szCs w:val="20"/>
              </w:rPr>
              <w:t>系统故障率</w:t>
            </w:r>
          </w:p>
        </w:tc>
        <w:tc>
          <w:tcPr>
            <w:tcW w:w="2149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napToGrid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  <w:szCs w:val="20"/>
              </w:rPr>
              <w:t>≤2%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75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质量指 标</w:t>
            </w:r>
          </w:p>
        </w:tc>
        <w:tc>
          <w:tcPr>
            <w:tcW w:w="4538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napToGrid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  <w:szCs w:val="20"/>
              </w:rPr>
              <w:t>系统正常运行率</w:t>
            </w:r>
          </w:p>
        </w:tc>
        <w:tc>
          <w:tcPr>
            <w:tcW w:w="2149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≥</w:t>
            </w: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95%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75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时效指 标</w:t>
            </w:r>
          </w:p>
        </w:tc>
        <w:tc>
          <w:tcPr>
            <w:tcW w:w="4538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napToGrid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  <w:szCs w:val="20"/>
              </w:rPr>
              <w:t>系统故障修复处理时间</w:t>
            </w:r>
          </w:p>
        </w:tc>
        <w:tc>
          <w:tcPr>
            <w:tcW w:w="2149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napToGrid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  <w:szCs w:val="20"/>
              </w:rPr>
              <w:t>≤1天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75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时效指 标</w:t>
            </w:r>
          </w:p>
        </w:tc>
        <w:tc>
          <w:tcPr>
            <w:tcW w:w="4538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资金拨付及时性</w:t>
            </w:r>
          </w:p>
        </w:tc>
        <w:tc>
          <w:tcPr>
            <w:tcW w:w="2149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75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成本指 标</w:t>
            </w:r>
          </w:p>
        </w:tc>
        <w:tc>
          <w:tcPr>
            <w:tcW w:w="4538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napToGrid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  <w:szCs w:val="20"/>
              </w:rPr>
              <w:t>信息化建设经费</w:t>
            </w:r>
          </w:p>
        </w:tc>
        <w:tc>
          <w:tcPr>
            <w:tcW w:w="2149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≤</w:t>
            </w: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6</w:t>
            </w: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eastAsia="宋体"/>
                <w:snapToGrid/>
              </w:rPr>
            </w:pPr>
            <w:r>
              <w:rPr>
                <w:rFonts w:eastAsia="宋体"/>
                <w:snapToGrid/>
              </w:rPr>
              <w:t>　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经济效 益指标</w:t>
            </w:r>
          </w:p>
        </w:tc>
        <w:tc>
          <w:tcPr>
            <w:tcW w:w="4538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eastAsia="宋体"/>
                <w:snapToGrid/>
              </w:rPr>
            </w:pPr>
            <w:r>
              <w:rPr>
                <w:rFonts w:eastAsia="宋体"/>
                <w:snapToGrid/>
              </w:rPr>
              <w:t>　</w:t>
            </w:r>
          </w:p>
        </w:tc>
        <w:tc>
          <w:tcPr>
            <w:tcW w:w="2149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eastAsia="宋体"/>
                <w:snapToGrid/>
              </w:rPr>
            </w:pPr>
            <w:r>
              <w:rPr>
                <w:rFonts w:eastAsia="宋体"/>
                <w:snapToGrid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eastAsia="宋体"/>
                <w:snapToGrid/>
              </w:rPr>
            </w:pPr>
            <w:r>
              <w:rPr>
                <w:rFonts w:eastAsia="宋体"/>
                <w:snapToGrid/>
              </w:rPr>
              <w:t>　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社会效 益指标</w:t>
            </w:r>
          </w:p>
        </w:tc>
        <w:tc>
          <w:tcPr>
            <w:tcW w:w="4538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napToGrid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  <w:szCs w:val="20"/>
              </w:rPr>
              <w:t>业务开展情况</w:t>
            </w:r>
          </w:p>
        </w:tc>
        <w:tc>
          <w:tcPr>
            <w:tcW w:w="2149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napToGrid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  <w:szCs w:val="20"/>
              </w:rPr>
              <w:t>正常有序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效益指 标</w:t>
            </w:r>
          </w:p>
        </w:tc>
        <w:tc>
          <w:tcPr>
            <w:tcW w:w="1076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可持续 影响指 标</w:t>
            </w:r>
          </w:p>
        </w:tc>
        <w:tc>
          <w:tcPr>
            <w:tcW w:w="4538" w:type="dxa"/>
            <w:gridSpan w:val="5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napToGrid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  <w:szCs w:val="20"/>
              </w:rPr>
              <w:t>系统正常使用年限</w:t>
            </w:r>
          </w:p>
        </w:tc>
        <w:tc>
          <w:tcPr>
            <w:tcW w:w="2149" w:type="dxa"/>
            <w:gridSpan w:val="2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eastAsia="宋体"/>
                <w:snapToGrid/>
              </w:rPr>
            </w:pPr>
            <w:r>
              <w:rPr>
                <w:rFonts w:eastAsia="宋体"/>
                <w:snapToGrid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z w:val="22"/>
                <w:szCs w:val="22"/>
              </w:rPr>
              <w:t>　</w:t>
            </w:r>
          </w:p>
        </w:tc>
        <w:tc>
          <w:tcPr>
            <w:tcW w:w="107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</w:p>
        </w:tc>
        <w:tc>
          <w:tcPr>
            <w:tcW w:w="4538" w:type="dxa"/>
            <w:gridSpan w:val="5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sz w:val="20"/>
                <w:szCs w:val="20"/>
              </w:rPr>
            </w:pPr>
          </w:p>
        </w:tc>
        <w:tc>
          <w:tcPr>
            <w:tcW w:w="2149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≥</w:t>
            </w: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5</w:t>
            </w: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年</w:t>
            </w:r>
          </w:p>
        </w:tc>
      </w:tr>
    </w:tbl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tbl>
      <w:tblPr>
        <w:tblStyle w:val="2"/>
        <w:tblW w:w="9400" w:type="dxa"/>
        <w:tblInd w:w="9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"/>
        <w:gridCol w:w="1066"/>
        <w:gridCol w:w="1849"/>
        <w:gridCol w:w="414"/>
        <w:gridCol w:w="873"/>
        <w:gridCol w:w="1070"/>
        <w:gridCol w:w="932"/>
        <w:gridCol w:w="572"/>
        <w:gridCol w:w="945"/>
        <w:gridCol w:w="145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9178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ind w:firstLine="1200" w:firstLineChars="600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项</w:t>
            </w: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目</w:t>
            </w: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支</w:t>
            </w: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出</w:t>
            </w: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绩</w:t>
            </w: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效</w:t>
            </w: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目</w:t>
            </w: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标</w:t>
            </w: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9178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ind w:firstLine="1800" w:firstLineChars="900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(2022</w:t>
            </w: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年</w:t>
            </w: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预算单 位</w:t>
            </w:r>
          </w:p>
        </w:tc>
        <w:tc>
          <w:tcPr>
            <w:tcW w:w="4206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洛浦县市场监督管理局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项目名 称</w:t>
            </w:r>
          </w:p>
        </w:tc>
        <w:tc>
          <w:tcPr>
            <w:tcW w:w="2974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车辆运行维护费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66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sz w:val="19"/>
                <w:szCs w:val="19"/>
              </w:rPr>
            </w:pPr>
            <w:r>
              <w:rPr>
                <w:rFonts w:hint="eastAsia" w:ascii="宋体" w:hAnsi="宋体" w:eastAsia="宋体" w:cs="Times New Roman"/>
                <w:snapToGrid/>
                <w:sz w:val="19"/>
                <w:szCs w:val="19"/>
              </w:rPr>
              <w:t>项目资金</w:t>
            </w:r>
            <w:r>
              <w:rPr>
                <w:rFonts w:ascii="Times New Roman" w:hAnsi="Times New Roman" w:eastAsia="宋体" w:cs="Times New Roman"/>
                <w:snapToGrid/>
                <w:sz w:val="19"/>
                <w:szCs w:val="19"/>
              </w:rPr>
              <w:t>(</w:t>
            </w:r>
            <w:r>
              <w:rPr>
                <w:rFonts w:hint="eastAsia" w:ascii="宋体" w:hAnsi="宋体" w:eastAsia="宋体" w:cs="Times New Roman"/>
                <w:snapToGrid/>
                <w:sz w:val="19"/>
                <w:szCs w:val="19"/>
              </w:rPr>
              <w:t>万</w:t>
            </w:r>
            <w:r>
              <w:rPr>
                <w:rFonts w:ascii="Times New Roman" w:hAnsi="Times New Roman" w:eastAsia="宋体" w:cs="Times New Roman"/>
                <w:snapToGrid/>
                <w:sz w:val="19"/>
                <w:szCs w:val="19"/>
              </w:rPr>
              <w:t xml:space="preserve"> </w:t>
            </w:r>
            <w:r>
              <w:rPr>
                <w:rFonts w:hint="eastAsia" w:ascii="宋体" w:hAnsi="宋体" w:eastAsia="宋体" w:cs="Times New Roman"/>
                <w:snapToGrid/>
                <w:sz w:val="19"/>
                <w:szCs w:val="19"/>
              </w:rPr>
              <w:t>元</w:t>
            </w:r>
            <w:r>
              <w:rPr>
                <w:rFonts w:ascii="Times New Roman" w:hAnsi="Times New Roman" w:eastAsia="宋体" w:cs="Times New Roman"/>
                <w:snapToGrid/>
                <w:sz w:val="19"/>
                <w:szCs w:val="19"/>
              </w:rPr>
              <w:t>)</w:t>
            </w:r>
          </w:p>
        </w:tc>
        <w:tc>
          <w:tcPr>
            <w:tcW w:w="2263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年度资金总额：</w:t>
            </w:r>
          </w:p>
        </w:tc>
        <w:tc>
          <w:tcPr>
            <w:tcW w:w="87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24.7</w:t>
            </w:r>
          </w:p>
        </w:tc>
        <w:tc>
          <w:tcPr>
            <w:tcW w:w="107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其中：财政拨款</w:t>
            </w:r>
          </w:p>
        </w:tc>
        <w:tc>
          <w:tcPr>
            <w:tcW w:w="932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24.7</w:t>
            </w:r>
          </w:p>
        </w:tc>
        <w:tc>
          <w:tcPr>
            <w:tcW w:w="1517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其他资金</w:t>
            </w:r>
          </w:p>
        </w:tc>
        <w:tc>
          <w:tcPr>
            <w:tcW w:w="145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eastAsia="宋体"/>
                <w:snapToGrid/>
              </w:rPr>
            </w:pPr>
            <w:r>
              <w:rPr>
                <w:rFonts w:eastAsia="宋体"/>
                <w:snapToGrid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6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19"/>
                <w:szCs w:val="19"/>
              </w:rPr>
            </w:pPr>
          </w:p>
        </w:tc>
        <w:tc>
          <w:tcPr>
            <w:tcW w:w="2263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</w:p>
        </w:tc>
        <w:tc>
          <w:tcPr>
            <w:tcW w:w="87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</w:p>
        </w:tc>
        <w:tc>
          <w:tcPr>
            <w:tcW w:w="93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</w:p>
        </w:tc>
        <w:tc>
          <w:tcPr>
            <w:tcW w:w="145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eastAsia="宋体"/>
                <w:snapToGrid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项目总 体目标</w:t>
            </w:r>
          </w:p>
        </w:tc>
        <w:tc>
          <w:tcPr>
            <w:tcW w:w="8112" w:type="dxa"/>
            <w:gridSpan w:val="8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本项目主要实施内容为：项目预算资金为</w:t>
            </w: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24.7</w:t>
            </w: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万元，保障单位</w:t>
            </w: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13</w:t>
            </w: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辆车正常运转。通过实施本项目可保证单位车辆正常运转。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一级指 标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二级指 标</w:t>
            </w:r>
          </w:p>
        </w:tc>
        <w:tc>
          <w:tcPr>
            <w:tcW w:w="3861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三级指标</w:t>
            </w:r>
          </w:p>
        </w:tc>
        <w:tc>
          <w:tcPr>
            <w:tcW w:w="2402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指标值(包含数字及文 字描述)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66" w:type="dxa"/>
            <w:vMerge w:val="restart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产出指 标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数量指 标</w:t>
            </w:r>
          </w:p>
        </w:tc>
        <w:tc>
          <w:tcPr>
            <w:tcW w:w="3861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napToGrid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  <w:szCs w:val="20"/>
              </w:rPr>
              <w:t>公用保障用车数量</w:t>
            </w:r>
          </w:p>
        </w:tc>
        <w:tc>
          <w:tcPr>
            <w:tcW w:w="2402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napToGrid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z w:val="20"/>
                <w:szCs w:val="20"/>
              </w:rPr>
              <w:t>13辆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66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质量指 标</w:t>
            </w:r>
          </w:p>
        </w:tc>
        <w:tc>
          <w:tcPr>
            <w:tcW w:w="3861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napToGrid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  <w:szCs w:val="20"/>
              </w:rPr>
              <w:t>公务车辆使用率</w:t>
            </w:r>
          </w:p>
        </w:tc>
        <w:tc>
          <w:tcPr>
            <w:tcW w:w="2402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snapToGrid/>
                <w:color w:val="auto"/>
                <w:sz w:val="20"/>
                <w:szCs w:val="20"/>
              </w:rPr>
              <w:t>100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sz w:val="20"/>
                <w:szCs w:val="20"/>
              </w:rPr>
              <w:t>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66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时效指 标</w:t>
            </w:r>
          </w:p>
        </w:tc>
        <w:tc>
          <w:tcPr>
            <w:tcW w:w="3861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资金拨付及时性</w:t>
            </w:r>
          </w:p>
        </w:tc>
        <w:tc>
          <w:tcPr>
            <w:tcW w:w="2402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sz w:val="20"/>
                <w:szCs w:val="20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66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成本指 标</w:t>
            </w:r>
          </w:p>
        </w:tc>
        <w:tc>
          <w:tcPr>
            <w:tcW w:w="3861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napToGrid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  <w:szCs w:val="20"/>
              </w:rPr>
              <w:t>车辆运转经费</w:t>
            </w:r>
          </w:p>
        </w:tc>
        <w:tc>
          <w:tcPr>
            <w:tcW w:w="2402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napToGrid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z w:val="20"/>
                <w:szCs w:val="20"/>
              </w:rPr>
              <w:t>≤24.7万元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66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效益指 标</w:t>
            </w:r>
          </w:p>
        </w:tc>
        <w:tc>
          <w:tcPr>
            <w:tcW w:w="18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经济效 益指标</w:t>
            </w:r>
          </w:p>
        </w:tc>
        <w:tc>
          <w:tcPr>
            <w:tcW w:w="3861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eastAsia="宋体"/>
                <w:snapToGrid/>
                <w:sz w:val="20"/>
                <w:szCs w:val="20"/>
              </w:rPr>
            </w:pPr>
            <w:r>
              <w:rPr>
                <w:rFonts w:eastAsia="宋体"/>
                <w:snapToGrid/>
                <w:sz w:val="20"/>
                <w:szCs w:val="20"/>
              </w:rPr>
              <w:t>　</w:t>
            </w:r>
            <w:r>
              <w:rPr>
                <w:rFonts w:hint="eastAsia" w:eastAsia="宋体"/>
                <w:snapToGrid/>
                <w:sz w:val="20"/>
                <w:szCs w:val="20"/>
              </w:rPr>
              <w:t>控制成本，厉行节约</w:t>
            </w:r>
          </w:p>
        </w:tc>
        <w:tc>
          <w:tcPr>
            <w:tcW w:w="2402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eastAsia="宋体"/>
                <w:snapToGrid/>
                <w:color w:val="auto"/>
                <w:sz w:val="20"/>
                <w:szCs w:val="20"/>
              </w:rPr>
            </w:pPr>
            <w:r>
              <w:rPr>
                <w:rFonts w:hint="eastAsia" w:eastAsia="宋体"/>
                <w:snapToGrid/>
                <w:color w:val="auto"/>
                <w:sz w:val="20"/>
                <w:szCs w:val="20"/>
              </w:rPr>
              <w:t>影响程度较高</w:t>
            </w:r>
            <w:r>
              <w:rPr>
                <w:rFonts w:eastAsia="宋体"/>
                <w:snapToGrid/>
                <w:color w:val="auto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6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社会效 益指标</w:t>
            </w:r>
          </w:p>
        </w:tc>
        <w:tc>
          <w:tcPr>
            <w:tcW w:w="3861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napToGrid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  <w:szCs w:val="20"/>
              </w:rPr>
              <w:t>公务车辆正常运转率</w:t>
            </w:r>
          </w:p>
        </w:tc>
        <w:tc>
          <w:tcPr>
            <w:tcW w:w="2402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napToGrid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z w:val="20"/>
                <w:szCs w:val="20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6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可持续</w:t>
            </w: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影响指</w:t>
            </w: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标</w:t>
            </w:r>
          </w:p>
        </w:tc>
        <w:tc>
          <w:tcPr>
            <w:tcW w:w="3861" w:type="dxa"/>
            <w:gridSpan w:val="5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napToGrid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  <w:szCs w:val="20"/>
              </w:rPr>
              <w:t>项目开展年限</w:t>
            </w:r>
          </w:p>
        </w:tc>
        <w:tc>
          <w:tcPr>
            <w:tcW w:w="2402" w:type="dxa"/>
            <w:gridSpan w:val="2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ind w:firstLine="1000" w:firstLineChars="500"/>
              <w:textAlignment w:val="auto"/>
              <w:rPr>
                <w:rFonts w:eastAsia="宋体"/>
                <w:snapToGrid/>
                <w:color w:val="auto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z w:val="20"/>
                <w:szCs w:val="20"/>
              </w:rPr>
              <w:t>1年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" w:hRule="atLeas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6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</w:p>
        </w:tc>
        <w:tc>
          <w:tcPr>
            <w:tcW w:w="18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</w:p>
        </w:tc>
        <w:tc>
          <w:tcPr>
            <w:tcW w:w="3861" w:type="dxa"/>
            <w:gridSpan w:val="5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sz w:val="20"/>
                <w:szCs w:val="20"/>
              </w:rPr>
            </w:pP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napToGrid/>
                <w:sz w:val="20"/>
                <w:szCs w:val="20"/>
              </w:rPr>
            </w:pPr>
          </w:p>
        </w:tc>
      </w:tr>
    </w:tbl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tbl>
      <w:tblPr>
        <w:tblStyle w:val="2"/>
        <w:tblW w:w="9400" w:type="dxa"/>
        <w:tblInd w:w="9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"/>
        <w:gridCol w:w="1066"/>
        <w:gridCol w:w="1577"/>
        <w:gridCol w:w="686"/>
        <w:gridCol w:w="873"/>
        <w:gridCol w:w="1070"/>
        <w:gridCol w:w="932"/>
        <w:gridCol w:w="572"/>
        <w:gridCol w:w="945"/>
        <w:gridCol w:w="145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9178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ind w:firstLine="1200" w:firstLineChars="600"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 xml:space="preserve">            </w:t>
            </w:r>
            <w:r>
              <w:rPr>
                <w:rFonts w:hint="eastAsia" w:ascii="Times New Roman" w:hAnsi="Times New Roman" w:eastAsia="宋体" w:cs="Times New Roman"/>
                <w:snapToGrid/>
                <w:sz w:val="20"/>
                <w:szCs w:val="20"/>
              </w:rPr>
              <w:t xml:space="preserve">                                  </w:t>
            </w: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项</w:t>
            </w: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目</w:t>
            </w: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支</w:t>
            </w: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出</w:t>
            </w: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绩</w:t>
            </w: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效</w:t>
            </w: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目</w:t>
            </w: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标</w:t>
            </w: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9178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ind w:firstLine="1800" w:firstLineChars="900"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 xml:space="preserve">      (2022</w:t>
            </w: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年</w:t>
            </w: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预算单 位</w:t>
            </w:r>
          </w:p>
        </w:tc>
        <w:tc>
          <w:tcPr>
            <w:tcW w:w="4206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洛浦县市场监督管理局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项目名 称</w:t>
            </w:r>
          </w:p>
        </w:tc>
        <w:tc>
          <w:tcPr>
            <w:tcW w:w="2974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办公用房取暖费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66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sz w:val="19"/>
                <w:szCs w:val="19"/>
              </w:rPr>
            </w:pPr>
            <w:r>
              <w:rPr>
                <w:rFonts w:hint="eastAsia" w:ascii="宋体" w:hAnsi="宋体" w:eastAsia="宋体" w:cs="Times New Roman"/>
                <w:snapToGrid/>
                <w:sz w:val="19"/>
                <w:szCs w:val="19"/>
              </w:rPr>
              <w:t>项目资金</w:t>
            </w:r>
            <w:r>
              <w:rPr>
                <w:rFonts w:ascii="Times New Roman" w:hAnsi="Times New Roman" w:eastAsia="宋体" w:cs="Times New Roman"/>
                <w:snapToGrid/>
                <w:sz w:val="19"/>
                <w:szCs w:val="19"/>
              </w:rPr>
              <w:t>(</w:t>
            </w:r>
            <w:r>
              <w:rPr>
                <w:rFonts w:hint="eastAsia" w:ascii="宋体" w:hAnsi="宋体" w:eastAsia="宋体" w:cs="Times New Roman"/>
                <w:snapToGrid/>
                <w:sz w:val="19"/>
                <w:szCs w:val="19"/>
              </w:rPr>
              <w:t>万</w:t>
            </w:r>
            <w:r>
              <w:rPr>
                <w:rFonts w:ascii="Times New Roman" w:hAnsi="Times New Roman" w:eastAsia="宋体" w:cs="Times New Roman"/>
                <w:snapToGrid/>
                <w:sz w:val="19"/>
                <w:szCs w:val="19"/>
              </w:rPr>
              <w:t xml:space="preserve"> </w:t>
            </w:r>
            <w:r>
              <w:rPr>
                <w:rFonts w:hint="eastAsia" w:ascii="宋体" w:hAnsi="宋体" w:eastAsia="宋体" w:cs="Times New Roman"/>
                <w:snapToGrid/>
                <w:sz w:val="19"/>
                <w:szCs w:val="19"/>
              </w:rPr>
              <w:t>元</w:t>
            </w:r>
            <w:r>
              <w:rPr>
                <w:rFonts w:ascii="Times New Roman" w:hAnsi="Times New Roman" w:eastAsia="宋体" w:cs="Times New Roman"/>
                <w:snapToGrid/>
                <w:sz w:val="19"/>
                <w:szCs w:val="19"/>
              </w:rPr>
              <w:t>)</w:t>
            </w:r>
          </w:p>
        </w:tc>
        <w:tc>
          <w:tcPr>
            <w:tcW w:w="2263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年度资金总额：</w:t>
            </w:r>
          </w:p>
        </w:tc>
        <w:tc>
          <w:tcPr>
            <w:tcW w:w="87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6.47</w:t>
            </w:r>
          </w:p>
        </w:tc>
        <w:tc>
          <w:tcPr>
            <w:tcW w:w="107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其中：财政拨款</w:t>
            </w:r>
          </w:p>
        </w:tc>
        <w:tc>
          <w:tcPr>
            <w:tcW w:w="932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6.47</w:t>
            </w:r>
          </w:p>
        </w:tc>
        <w:tc>
          <w:tcPr>
            <w:tcW w:w="1517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其他资金</w:t>
            </w:r>
          </w:p>
        </w:tc>
        <w:tc>
          <w:tcPr>
            <w:tcW w:w="145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eastAsia="宋体"/>
                <w:snapToGrid/>
              </w:rPr>
            </w:pPr>
            <w:r>
              <w:rPr>
                <w:rFonts w:eastAsia="宋体"/>
                <w:snapToGrid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6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19"/>
                <w:szCs w:val="19"/>
              </w:rPr>
            </w:pPr>
          </w:p>
        </w:tc>
        <w:tc>
          <w:tcPr>
            <w:tcW w:w="2263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</w:p>
        </w:tc>
        <w:tc>
          <w:tcPr>
            <w:tcW w:w="87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</w:p>
        </w:tc>
        <w:tc>
          <w:tcPr>
            <w:tcW w:w="107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</w:p>
        </w:tc>
        <w:tc>
          <w:tcPr>
            <w:tcW w:w="93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</w:p>
        </w:tc>
        <w:tc>
          <w:tcPr>
            <w:tcW w:w="145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eastAsia="宋体"/>
                <w:snapToGrid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项目总 体目标</w:t>
            </w:r>
          </w:p>
        </w:tc>
        <w:tc>
          <w:tcPr>
            <w:tcW w:w="8112" w:type="dxa"/>
            <w:gridSpan w:val="8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本项目主要实施内容为：项目预算资金为</w:t>
            </w: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6.47</w:t>
            </w: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万元，保障单位</w:t>
            </w: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3593</w:t>
            </w: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平方米的办公用房正常取暖。通过实施本项目可保证单位办公用房的正常取暖。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一级指 标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二级指 标</w:t>
            </w:r>
          </w:p>
        </w:tc>
        <w:tc>
          <w:tcPr>
            <w:tcW w:w="4133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三级指标</w:t>
            </w:r>
          </w:p>
        </w:tc>
        <w:tc>
          <w:tcPr>
            <w:tcW w:w="2402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指标值(包含数字及文 字描述)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66" w:type="dxa"/>
            <w:vMerge w:val="restart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产出指 标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数量指 标</w:t>
            </w:r>
          </w:p>
        </w:tc>
        <w:tc>
          <w:tcPr>
            <w:tcW w:w="4133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napToGrid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  <w:szCs w:val="20"/>
              </w:rPr>
              <w:t>办公用房供暖面积</w:t>
            </w:r>
          </w:p>
        </w:tc>
        <w:tc>
          <w:tcPr>
            <w:tcW w:w="2402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napToGrid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z w:val="20"/>
                <w:szCs w:val="20"/>
              </w:rPr>
              <w:t>3593平方米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66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质量指 标</w:t>
            </w:r>
          </w:p>
        </w:tc>
        <w:tc>
          <w:tcPr>
            <w:tcW w:w="4133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napToGrid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  <w:szCs w:val="20"/>
              </w:rPr>
              <w:t>办公用房供暖质量达标率</w:t>
            </w:r>
          </w:p>
        </w:tc>
        <w:tc>
          <w:tcPr>
            <w:tcW w:w="2402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snapToGrid/>
                <w:color w:val="auto"/>
                <w:sz w:val="20"/>
                <w:szCs w:val="20"/>
              </w:rPr>
              <w:t>≥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sz w:val="20"/>
                <w:szCs w:val="20"/>
              </w:rPr>
              <w:t>98%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66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质量指 标</w:t>
            </w:r>
          </w:p>
        </w:tc>
        <w:tc>
          <w:tcPr>
            <w:tcW w:w="4133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sz w:val="20"/>
                <w:szCs w:val="20"/>
              </w:rPr>
              <w:t>保障供暖覆盖率</w:t>
            </w:r>
          </w:p>
        </w:tc>
        <w:tc>
          <w:tcPr>
            <w:tcW w:w="2402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sz w:val="20"/>
                <w:szCs w:val="20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66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时效指 标</w:t>
            </w:r>
          </w:p>
        </w:tc>
        <w:tc>
          <w:tcPr>
            <w:tcW w:w="4133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资金拨付及时性</w:t>
            </w:r>
          </w:p>
        </w:tc>
        <w:tc>
          <w:tcPr>
            <w:tcW w:w="2402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sz w:val="20"/>
                <w:szCs w:val="20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66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成本指 标</w:t>
            </w:r>
          </w:p>
        </w:tc>
        <w:tc>
          <w:tcPr>
            <w:tcW w:w="4133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napToGrid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  <w:szCs w:val="20"/>
              </w:rPr>
              <w:t>办公用房取暖费</w:t>
            </w:r>
          </w:p>
        </w:tc>
        <w:tc>
          <w:tcPr>
            <w:tcW w:w="2402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napToGrid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z w:val="20"/>
                <w:szCs w:val="20"/>
              </w:rPr>
              <w:t>≤6.47元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66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效益指 标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经济效 益指标</w:t>
            </w:r>
          </w:p>
        </w:tc>
        <w:tc>
          <w:tcPr>
            <w:tcW w:w="4133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eastAsia="宋体"/>
                <w:snapToGrid/>
              </w:rPr>
            </w:pPr>
            <w:r>
              <w:rPr>
                <w:rFonts w:eastAsia="宋体"/>
                <w:snapToGrid/>
              </w:rPr>
              <w:t>　</w:t>
            </w:r>
          </w:p>
        </w:tc>
        <w:tc>
          <w:tcPr>
            <w:tcW w:w="2402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eastAsia="宋体"/>
                <w:snapToGrid/>
                <w:color w:val="auto"/>
              </w:rPr>
            </w:pPr>
            <w:r>
              <w:rPr>
                <w:rFonts w:eastAsia="宋体"/>
                <w:snapToGrid/>
                <w:color w:val="auto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6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>社会效 益指标</w:t>
            </w:r>
          </w:p>
        </w:tc>
        <w:tc>
          <w:tcPr>
            <w:tcW w:w="4133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napToGrid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  <w:szCs w:val="20"/>
              </w:rPr>
              <w:t>业务开展情况</w:t>
            </w:r>
          </w:p>
        </w:tc>
        <w:tc>
          <w:tcPr>
            <w:tcW w:w="2402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napToGrid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z w:val="20"/>
                <w:szCs w:val="20"/>
              </w:rPr>
              <w:t>正常有序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6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</w:p>
        </w:tc>
        <w:tc>
          <w:tcPr>
            <w:tcW w:w="157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可持续</w:t>
            </w: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影响指</w:t>
            </w:r>
            <w:r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Times New Roman"/>
                <w:snapToGrid/>
                <w:sz w:val="20"/>
                <w:szCs w:val="20"/>
              </w:rPr>
              <w:t>标</w:t>
            </w:r>
          </w:p>
        </w:tc>
        <w:tc>
          <w:tcPr>
            <w:tcW w:w="4133" w:type="dxa"/>
            <w:gridSpan w:val="5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napToGrid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  <w:szCs w:val="20"/>
              </w:rPr>
              <w:t>项目开展年限</w:t>
            </w:r>
          </w:p>
        </w:tc>
        <w:tc>
          <w:tcPr>
            <w:tcW w:w="2402" w:type="dxa"/>
            <w:gridSpan w:val="2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eastAsia="宋体"/>
                <w:snapToGrid/>
                <w:color w:val="auto"/>
              </w:rPr>
            </w:pPr>
            <w:r>
              <w:rPr>
                <w:rFonts w:eastAsia="宋体"/>
                <w:snapToGrid/>
                <w:color w:val="auto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6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</w:p>
        </w:tc>
        <w:tc>
          <w:tcPr>
            <w:tcW w:w="157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sz w:val="20"/>
                <w:szCs w:val="20"/>
              </w:rPr>
            </w:pPr>
          </w:p>
        </w:tc>
        <w:tc>
          <w:tcPr>
            <w:tcW w:w="4133" w:type="dxa"/>
            <w:gridSpan w:val="5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hAnsi="宋体" w:eastAsia="宋体" w:cs="宋体"/>
                <w:snapToGrid/>
                <w:sz w:val="20"/>
                <w:szCs w:val="20"/>
              </w:rPr>
            </w:pPr>
          </w:p>
        </w:tc>
        <w:tc>
          <w:tcPr>
            <w:tcW w:w="240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napToGrid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z w:val="20"/>
                <w:szCs w:val="20"/>
              </w:rPr>
              <w:t>1年</w:t>
            </w:r>
          </w:p>
        </w:tc>
      </w:tr>
    </w:tbl>
    <w:p>
      <w:pPr>
        <w:spacing w:before="110" w:line="221" w:lineRule="auto"/>
        <w:ind w:left="490"/>
        <w:rPr>
          <w:rFonts w:hint="eastAsia" w:ascii="黑体" w:hAnsi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before="110" w:line="289" w:lineRule="auto"/>
        <w:ind w:left="6063" w:hanging="10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洛浦县</w:t>
      </w:r>
      <w:r>
        <w:rPr>
          <w:rFonts w:ascii="仿宋" w:hAnsi="仿宋" w:eastAsia="仿宋" w:cs="仿宋"/>
          <w:spacing w:val="-2"/>
          <w:sz w:val="34"/>
          <w:szCs w:val="34"/>
        </w:rPr>
        <w:t>市场监督管理局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80C557"/>
    <w:multiLevelType w:val="singleLevel"/>
    <w:tmpl w:val="F080C557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2"/>
  </w:compat>
  <w:docVars>
    <w:docVar w:name="commondata" w:val="eyJoZGlkIjoiZTExZTgxZDM2YzM1MTE0MjVjMDRhNWEzYmE4NjI3OTQifQ=="/>
  </w:docVars>
  <w:rsids>
    <w:rsidRoot w:val="004221A3"/>
    <w:rsid w:val="00037A5E"/>
    <w:rsid w:val="00170B7B"/>
    <w:rsid w:val="001C4AB5"/>
    <w:rsid w:val="001F4162"/>
    <w:rsid w:val="00393FED"/>
    <w:rsid w:val="003A41E3"/>
    <w:rsid w:val="004221A3"/>
    <w:rsid w:val="004F56CD"/>
    <w:rsid w:val="0083776F"/>
    <w:rsid w:val="008B3EA4"/>
    <w:rsid w:val="00A75524"/>
    <w:rsid w:val="00B4768B"/>
    <w:rsid w:val="00C46218"/>
    <w:rsid w:val="00D431C6"/>
    <w:rsid w:val="00D673CD"/>
    <w:rsid w:val="00D7769B"/>
    <w:rsid w:val="00F42299"/>
    <w:rsid w:val="00F93388"/>
    <w:rsid w:val="00FE102F"/>
    <w:rsid w:val="06DF47CF"/>
    <w:rsid w:val="196757B7"/>
    <w:rsid w:val="28670FE0"/>
    <w:rsid w:val="5E8E486F"/>
    <w:rsid w:val="736F0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32</Pages>
  <Words>10398</Words>
  <Characters>12107</Characters>
  <Lines>109</Lines>
  <Paragraphs>30</Paragraphs>
  <TotalTime>31</TotalTime>
  <ScaleCrop>false</ScaleCrop>
  <LinksUpToDate>false</LinksUpToDate>
  <CharactersWithSpaces>12801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2022-07-15T13:42:00Z</dcterms:created>
  <dc:creator>Administrator</dc:creator>
  <cp:lastModifiedBy>qzuser</cp:lastModifiedBy>
  <dcterms:modified xsi:type="dcterms:W3CDTF">2022-08-17T12:46:12Z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2022-07-31T12:08:49Z</vt:filetime>
  </property>
  <property fmtid="{D5CDD505-2E9C-101B-9397-08002B2CF9AE}" pid="4" name="KSOProductBuildVer">
    <vt:lpwstr>2052-11.1.0.12313</vt:lpwstr>
  </property>
  <property fmtid="{D5CDD505-2E9C-101B-9397-08002B2CF9AE}" pid="5" name="ICV">
    <vt:lpwstr>D957D7E4C33B4CB68339800B9213CDAA</vt:lpwstr>
  </property>
</Properties>
</file>