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洛浦县妇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幼保健站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洛浦县妇幼保健站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于洛浦县妇幼保健站2022年收支预算情况的总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2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妇幼保健站2022年收入预算情况说明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县妇幼保健站2022年支出预算情况说明</w:t>
      </w:r>
    </w:p>
    <w:p>
      <w:pPr>
        <w:spacing w:before="103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妇幼保健站2022年财政拨款收支预算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于洛浦县妇幼保健站2022年一般公共预算当年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、关于洛浦县妇幼保健站2022年一般公共预算基本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浦县妇幼保健站2022年一般公共预算项目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八、关于洛浦县妇幼保健站2022年一般公共预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九、关于洛浦县妇幼保</w:t>
      </w:r>
      <w:r>
        <w:rPr>
          <w:rFonts w:ascii="仿宋" w:hAnsi="仿宋" w:eastAsia="仿宋" w:cs="仿宋"/>
          <w:spacing w:val="-1"/>
          <w:sz w:val="34"/>
          <w:szCs w:val="34"/>
        </w:rPr>
        <w:t>健站2022年政府性基金预算拨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洛浦县妇幼保健站单位概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7" w:line="279" w:lineRule="auto"/>
        <w:ind w:left="3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县妇幼保健站位于洛浦镇加依铁热克路54号。妇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幼保健站现在组织建设，专业技术培训，医疗保健设备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方面已具规模，站内设备先进，科室齐全；主要负责全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县妇女儿童的保健及常见病、多发病的诊治、妇女各期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的保健、婚前保健、儿童体检及营养评价分析、孕产妇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体</w:t>
      </w:r>
      <w:r>
        <w:rPr>
          <w:rFonts w:ascii="仿宋" w:hAnsi="仿宋" w:eastAsia="仿宋" w:cs="仿宋"/>
          <w:spacing w:val="13"/>
          <w:sz w:val="34"/>
          <w:szCs w:val="34"/>
        </w:rPr>
        <w:t>检、产科接生、产后访视等工作，负责乡(镇)村妇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幼人员及产科人员的培训和督导以及健康教育宣传、收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集信息、分析、上报以及执行妇幼基本公共卫生、重大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公共卫生和专项项目等工作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8" w:line="221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1" w:line="283" w:lineRule="auto"/>
        <w:ind w:right="65" w:firstLine="485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妇幼保健站单位无下属预算单位，下设7个处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室，分别是：孕产保健部、儿童保健部、</w:t>
      </w:r>
      <w:r>
        <w:rPr>
          <w:rFonts w:ascii="仿宋" w:hAnsi="仿宋" w:eastAsia="仿宋" w:cs="仿宋"/>
          <w:sz w:val="34"/>
          <w:szCs w:val="34"/>
        </w:rPr>
        <w:t>妇女服务</w:t>
      </w:r>
      <w:r>
        <w:rPr>
          <w:rFonts w:ascii="仿宋" w:hAnsi="仿宋" w:eastAsia="仿宋" w:cs="仿宋"/>
          <w:spacing w:val="-1"/>
          <w:sz w:val="34"/>
          <w:szCs w:val="34"/>
        </w:rPr>
        <w:t>保健部、护理部、医技科室、公共卫生科、综</w:t>
      </w:r>
      <w:r>
        <w:rPr>
          <w:rFonts w:ascii="仿宋" w:hAnsi="仿宋" w:eastAsia="仿宋" w:cs="仿宋"/>
          <w:sz w:val="34"/>
          <w:szCs w:val="34"/>
        </w:rPr>
        <w:t>合办公室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spacing w:before="185" w:line="94" w:lineRule="exact"/>
        <w:ind w:left="2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1" w:line="284" w:lineRule="auto"/>
        <w:ind w:left="5" w:right="27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县妇幼保健站单位编制数26人，实有人数38人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6人，增加0人；退休12人，增加0人；离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40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幼保健机构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幼保健机构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幼保健机构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6.71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9.91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9.91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18.78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18.78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523</w:t>
            </w:r>
            <w:r>
              <w:rPr>
                <w:rFonts w:ascii="黑体" w:hAnsi="黑体" w:eastAsia="黑体" w:cs="黑体"/>
                <w:sz w:val="16"/>
                <w:szCs w:val="16"/>
              </w:rPr>
              <w:t>.19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.09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洛浦县妇幼保健站2022年没有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5" w:line="45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洛浦县妇幼保健站2022年没有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制单位：洛浦县妇幼保健站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洛浦县妇幼保健站2022年没有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一、关于洛浦县妇幼保健站2022年收支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按照全口径预算的原则，洛浦县妇幼保健站2022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9"/>
          <w:sz w:val="34"/>
          <w:szCs w:val="34"/>
        </w:rPr>
        <w:t>5</w:t>
      </w:r>
      <w:r>
        <w:rPr>
          <w:rFonts w:ascii="仿宋" w:hAnsi="仿宋" w:eastAsia="仿宋" w:cs="仿宋"/>
          <w:spacing w:val="-5"/>
          <w:sz w:val="34"/>
          <w:szCs w:val="34"/>
        </w:rPr>
        <w:t>29.28万元。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5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  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二、关于洛浦县妇幼保健站2022年收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3" w:line="277" w:lineRule="auto"/>
        <w:ind w:left="17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洛浦县妇幼保健站收入预算529.28万元，其中：一般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公共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算529.28万元，占100.00%，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1</w:t>
      </w:r>
      <w:r>
        <w:rPr>
          <w:rFonts w:ascii="仿宋" w:hAnsi="仿宋" w:eastAsia="仿宋" w:cs="仿宋"/>
          <w:spacing w:val="-1"/>
          <w:sz w:val="34"/>
          <w:szCs w:val="34"/>
        </w:rPr>
        <w:t>04.30万元，增长24.54%，主要原因是人员工资变动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人</w:t>
      </w:r>
      <w:r>
        <w:rPr>
          <w:rFonts w:ascii="仿宋" w:hAnsi="仿宋" w:eastAsia="仿宋" w:cs="仿宋"/>
          <w:spacing w:val="-6"/>
          <w:sz w:val="34"/>
          <w:szCs w:val="34"/>
        </w:rPr>
        <w:t>员运行经费增加。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三、关于洛浦县妇幼保健站2022年支出预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洛浦县妇幼保健站2022年支出预算529.28万元，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6" w:line="276" w:lineRule="auto"/>
        <w:ind w:left="25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支出529.28万元，占100.00%，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104.30万元</w:t>
      </w:r>
      <w:r>
        <w:rPr>
          <w:rFonts w:ascii="仿宋" w:hAnsi="仿宋" w:eastAsia="仿宋" w:cs="仿宋"/>
          <w:spacing w:val="-1"/>
          <w:sz w:val="34"/>
          <w:szCs w:val="34"/>
        </w:rPr>
        <w:t>，增长24.54%，主要原因是 人员工资变动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人员运行经费增加。</w:t>
      </w:r>
    </w:p>
    <w:p>
      <w:pPr>
        <w:spacing w:before="2" w:line="289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6"/>
          <w:sz w:val="34"/>
          <w:szCs w:val="34"/>
        </w:rPr>
        <w:t>长0%，主要原因是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53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四、关于洛浦县妇幼</w:t>
      </w:r>
      <w:r>
        <w:rPr>
          <w:rFonts w:ascii="黑体" w:hAnsi="黑体" w:eastAsia="黑体" w:cs="黑体"/>
          <w:spacing w:val="-1"/>
          <w:sz w:val="34"/>
          <w:szCs w:val="34"/>
        </w:rPr>
        <w:t>保健站2022年财政拨款收支预算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2022年财政拨款收支总预算529.28万元。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9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预算包括：一般公共预算529.28万元。</w:t>
      </w:r>
    </w:p>
    <w:p>
      <w:pPr>
        <w:spacing w:before="101" w:line="277" w:lineRule="auto"/>
        <w:ind w:left="9" w:right="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72.57万元，主要用于职工工资、住房公积</w:t>
      </w:r>
      <w:r>
        <w:rPr>
          <w:rFonts w:ascii="仿宋" w:hAnsi="仿宋" w:eastAsia="仿宋" w:cs="仿宋"/>
          <w:sz w:val="34"/>
          <w:szCs w:val="34"/>
        </w:rPr>
        <w:t xml:space="preserve">金、医疗等其 </w:t>
      </w:r>
      <w:r>
        <w:rPr>
          <w:rFonts w:ascii="仿宋" w:hAnsi="仿宋" w:eastAsia="仿宋" w:cs="仿宋"/>
          <w:spacing w:val="-5"/>
          <w:sz w:val="34"/>
          <w:szCs w:val="34"/>
        </w:rPr>
        <w:t>他社会保险缴费补助支出。</w:t>
      </w:r>
    </w:p>
    <w:p>
      <w:pPr>
        <w:spacing w:before="3" w:line="288" w:lineRule="auto"/>
        <w:ind w:left="10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健康支出456.71万元，主要用于职工养老保险和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职</w:t>
      </w:r>
      <w:r>
        <w:rPr>
          <w:rFonts w:ascii="仿宋" w:hAnsi="仿宋" w:eastAsia="仿宋" w:cs="仿宋"/>
          <w:spacing w:val="-6"/>
          <w:sz w:val="34"/>
          <w:szCs w:val="34"/>
        </w:rPr>
        <w:t>业年金缴费补助。</w:t>
      </w:r>
    </w:p>
    <w:p>
      <w:pPr>
        <w:spacing w:line="276" w:lineRule="auto"/>
      </w:pPr>
    </w:p>
    <w:p>
      <w:pPr>
        <w:spacing w:line="276" w:lineRule="auto"/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五、关于洛浦县妇幼保健站2022年一般公共预算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2" w:line="277" w:lineRule="auto"/>
        <w:ind w:left="8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妇幼保健站2022年一般公共预算拨款合计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9.28万元，其中：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支出529.28万元，  比上年预算增加104.30万元</w:t>
      </w:r>
    </w:p>
    <w:p>
      <w:pPr>
        <w:spacing w:before="102" w:line="277" w:lineRule="auto"/>
        <w:ind w:left="11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增长24.54%。主要原因是：人员工资变动，人员运行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经费增加。</w:t>
      </w:r>
    </w:p>
    <w:p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4"/>
          <w:sz w:val="34"/>
          <w:szCs w:val="34"/>
        </w:rPr>
        <w:t>目支出0万元，  比上年预算增加0万元，  增长0%。</w:t>
      </w:r>
    </w:p>
    <w:p>
      <w:pPr>
        <w:spacing w:before="102" w:line="223" w:lineRule="auto"/>
        <w:ind w:left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主</w:t>
      </w:r>
      <w:r>
        <w:rPr>
          <w:rFonts w:ascii="仿宋" w:hAnsi="仿宋" w:eastAsia="仿宋" w:cs="仿宋"/>
          <w:spacing w:val="-8"/>
          <w:sz w:val="34"/>
          <w:szCs w:val="34"/>
        </w:rPr>
        <w:t>要原因是：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29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6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社会保障和就业支出(类)72.57万元，占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3.71%。</w:t>
      </w:r>
    </w:p>
    <w:p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2.卫生健康支出(类)456.71万元，占86.29%</w:t>
      </w:r>
      <w:r>
        <w:rPr>
          <w:rFonts w:ascii="仿宋" w:hAnsi="仿宋" w:eastAsia="仿宋" w:cs="仿宋"/>
          <w:spacing w:val="6"/>
          <w:sz w:val="34"/>
          <w:szCs w:val="34"/>
        </w:rPr>
        <w:t>。</w:t>
      </w:r>
    </w:p>
    <w:p>
      <w:pPr>
        <w:spacing w:before="26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85" w:lineRule="auto"/>
        <w:ind w:left="11" w:right="4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):2022年预算数为48.3</w:t>
      </w:r>
      <w:r>
        <w:rPr>
          <w:rFonts w:ascii="仿宋" w:hAnsi="仿宋" w:eastAsia="仿宋" w:cs="仿宋"/>
          <w:sz w:val="34"/>
          <w:szCs w:val="34"/>
        </w:rPr>
        <w:t>8万元，  比上年预算数减少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70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8"/>
          <w:sz w:val="34"/>
          <w:szCs w:val="34"/>
        </w:rPr>
        <w:t>.77万元，  下降1.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62</w:t>
      </w:r>
      <w:r>
        <w:rPr>
          <w:rFonts w:ascii="仿宋" w:hAnsi="仿宋" w:eastAsia="仿宋" w:cs="仿宋"/>
          <w:spacing w:val="-8"/>
          <w:sz w:val="34"/>
          <w:szCs w:val="34"/>
        </w:rPr>
        <w:t>%，主要原因是：人员增加。</w:t>
      </w:r>
    </w:p>
    <w:p>
      <w:pPr>
        <w:tabs>
          <w:tab w:val="left" w:pos="177"/>
        </w:tabs>
        <w:spacing w:before="99" w:line="277" w:lineRule="auto"/>
        <w:ind w:left="1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数为24.19万元，  比上年预算数增加4.53万元，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23</w:t>
      </w:r>
      <w:r>
        <w:rPr>
          <w:rFonts w:ascii="仿宋" w:hAnsi="仿宋" w:eastAsia="仿宋" w:cs="仿宋"/>
          <w:spacing w:val="-3"/>
          <w:sz w:val="34"/>
          <w:szCs w:val="34"/>
        </w:rPr>
        <w:t>.</w:t>
      </w:r>
      <w:r>
        <w:rPr>
          <w:rFonts w:ascii="仿宋" w:hAnsi="仿宋" w:eastAsia="仿宋" w:cs="仿宋"/>
          <w:spacing w:val="-2"/>
          <w:sz w:val="34"/>
          <w:szCs w:val="34"/>
        </w:rPr>
        <w:t>04%，主要原因是：单位调出1人，减少人员支出。</w:t>
      </w:r>
    </w:p>
    <w:p>
      <w:pPr>
        <w:tabs>
          <w:tab w:val="left" w:pos="177"/>
        </w:tabs>
        <w:spacing w:before="2" w:line="285" w:lineRule="auto"/>
        <w:ind w:left="6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.卫生健康支出(类)公共卫生(款)妇幼保健机构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(项):2022年预算数为456.71万元，</w:t>
      </w:r>
      <w:r>
        <w:rPr>
          <w:rFonts w:ascii="仿宋" w:hAnsi="仿宋" w:eastAsia="仿宋" w:cs="仿宋"/>
          <w:sz w:val="34"/>
          <w:szCs w:val="34"/>
        </w:rPr>
        <w:t xml:space="preserve">  比上年预算数增 </w:t>
      </w:r>
      <w:r>
        <w:rPr>
          <w:rFonts w:ascii="仿宋" w:hAnsi="仿宋" w:eastAsia="仿宋" w:cs="仿宋"/>
          <w:spacing w:val="-14"/>
          <w:sz w:val="34"/>
          <w:szCs w:val="34"/>
        </w:rPr>
        <w:t>加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00.54万元，  增长28.23%，主要原因是：增加人员。</w:t>
      </w:r>
    </w:p>
    <w:p>
      <w:pPr>
        <w:spacing w:before="152" w:line="277" w:lineRule="auto"/>
        <w:ind w:left="9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六、关于洛浦县妇幼保健站2022年一般公共预算基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4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妇幼保健站2022年一般公共预算基本支出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9.28万元，其中：</w:t>
      </w:r>
    </w:p>
    <w:p>
      <w:pPr>
        <w:spacing w:before="9" w:line="276" w:lineRule="auto"/>
        <w:ind w:left="7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经费523.19万元，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11"/>
          <w:sz w:val="34"/>
          <w:szCs w:val="34"/>
        </w:rPr>
        <w:t>费</w:t>
      </w:r>
      <w:r>
        <w:rPr>
          <w:rFonts w:ascii="仿宋" w:hAnsi="仿宋" w:eastAsia="仿宋" w:cs="仿宋"/>
          <w:spacing w:val="-7"/>
          <w:sz w:val="34"/>
          <w:szCs w:val="34"/>
        </w:rPr>
        <w:t>、医疗费补助。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用经费6.09万元，  主要包括：工会经费。</w:t>
      </w:r>
    </w:p>
    <w:p>
      <w:pPr>
        <w:spacing w:before="298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七、关于洛浦县妇幼保健站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浦县妇幼保健站2022年没有公共预算项目安排的支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。一般公共预算项目支出情况表为空表 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八、关于洛浦县妇幼保健站20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1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浦县妇幼保健站2022年一般公共预算“三公”经费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7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2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九、关于洛浦县妇幼保健站2022年政府性基金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浦县妇幼保健站2022年没有使用政府性基金预算拨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2022年，洛浦县妇幼保健站本级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>
      <w:pPr>
        <w:spacing w:before="101" w:line="285" w:lineRule="auto"/>
        <w:ind w:left="9"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家事业单位的机关运行经费财政拨款预算6</w:t>
      </w:r>
      <w:r>
        <w:rPr>
          <w:rFonts w:ascii="仿宋" w:hAnsi="仿宋" w:eastAsia="仿宋" w:cs="仿宋"/>
          <w:sz w:val="34"/>
          <w:szCs w:val="34"/>
        </w:rPr>
        <w:t xml:space="preserve">.09万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比上年预算减少5.33万元，下降46.67%。主要原因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是</w:t>
      </w:r>
      <w:r>
        <w:rPr>
          <w:rFonts w:ascii="仿宋" w:hAnsi="仿宋" w:eastAsia="仿宋" w:cs="仿宋"/>
          <w:spacing w:val="-6"/>
          <w:sz w:val="34"/>
          <w:szCs w:val="34"/>
        </w:rPr>
        <w:t>机关运行经费减少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节省开支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58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2022年，洛浦县妇幼保健站政府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截至2021年底，洛浦县妇幼保健站及下属各预算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2" w:line="225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</w:t>
      </w:r>
      <w:r>
        <w:rPr>
          <w:rFonts w:ascii="仿宋" w:hAnsi="仿宋" w:eastAsia="仿宋" w:cs="仿宋"/>
          <w:spacing w:val="-3"/>
          <w:sz w:val="34"/>
          <w:szCs w:val="34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950.24平方米，价值1200 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18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2.车辆4辆，价值 42.06万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11.</w:t>
      </w:r>
      <w:r>
        <w:rPr>
          <w:rFonts w:ascii="仿宋" w:hAnsi="仿宋" w:eastAsia="仿宋" w:cs="仿宋"/>
          <w:spacing w:val="-1"/>
          <w:sz w:val="34"/>
          <w:szCs w:val="34"/>
        </w:rPr>
        <w:t>37万元；执法执勤用车0辆，价值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；其他</w:t>
      </w:r>
      <w:r>
        <w:rPr>
          <w:rFonts w:ascii="仿宋" w:hAnsi="仿宋" w:eastAsia="仿宋" w:cs="仿宋"/>
          <w:spacing w:val="-5"/>
          <w:sz w:val="34"/>
          <w:szCs w:val="34"/>
        </w:rPr>
        <w:t>车</w:t>
      </w:r>
      <w:r>
        <w:rPr>
          <w:rFonts w:ascii="仿宋" w:hAnsi="仿宋" w:eastAsia="仿宋" w:cs="仿宋"/>
          <w:spacing w:val="-3"/>
          <w:sz w:val="34"/>
          <w:szCs w:val="34"/>
        </w:rPr>
        <w:t>辆 3辆，价值30.69万元。</w:t>
      </w:r>
    </w:p>
    <w:p>
      <w:pPr>
        <w:spacing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sz w:val="34"/>
          <w:szCs w:val="34"/>
        </w:rPr>
        <w:t>价值 4.14万元。</w:t>
      </w:r>
    </w:p>
    <w:p>
      <w:pPr>
        <w:spacing w:before="66" w:line="446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2"/>
          <w:sz w:val="34"/>
          <w:szCs w:val="34"/>
        </w:rPr>
        <w:t>4.其他资产价值 414.17万元。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00万元以上大型设备2台(套)。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</w:t>
      </w:r>
      <w:r>
        <w:rPr>
          <w:rFonts w:hint="eastAsia" w:ascii="宋体" w:hAnsi="宋体" w:eastAsia="宋体" w:cs="宋体"/>
          <w:spacing w:val="-1"/>
          <w:sz w:val="34"/>
          <w:szCs w:val="34"/>
        </w:rPr>
        <w:t>年，本年度预算绩效管理的</w:t>
      </w:r>
      <w:r>
        <w:rPr>
          <w:rFonts w:hint="eastAsia" w:ascii="宋体" w:hAnsi="宋体" w:eastAsia="宋体" w:cs="宋体"/>
          <w:sz w:val="34"/>
          <w:szCs w:val="34"/>
        </w:rPr>
        <w:t>财政拨款项目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cs="仿宋"/>
          <w:sz w:val="34"/>
          <w:szCs w:val="34"/>
        </w:rPr>
        <w:t>0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10"/>
          <w:sz w:val="34"/>
          <w:szCs w:val="34"/>
        </w:rPr>
        <w:t>，涉</w:t>
      </w:r>
      <w:r>
        <w:rPr>
          <w:rFonts w:hint="eastAsia" w:ascii="宋体" w:hAnsi="宋体" w:eastAsia="宋体" w:cs="宋体"/>
          <w:spacing w:val="8"/>
          <w:sz w:val="34"/>
          <w:szCs w:val="34"/>
        </w:rPr>
        <w:t>及</w:t>
      </w:r>
      <w:r>
        <w:rPr>
          <w:rFonts w:hint="eastAsia" w:ascii="宋体" w:hAnsi="宋体" w:eastAsia="宋体" w:cs="宋体"/>
          <w:spacing w:val="5"/>
          <w:sz w:val="34"/>
          <w:szCs w:val="34"/>
        </w:rPr>
        <w:t>预算金额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 </w:t>
      </w:r>
      <w:r>
        <w:rPr>
          <w:rFonts w:hint="eastAsia" w:ascii="仿宋" w:hAnsi="仿宋" w:cs="仿宋"/>
          <w:spacing w:val="5"/>
          <w:sz w:val="34"/>
          <w:szCs w:val="34"/>
        </w:rPr>
        <w:t>0</w:t>
      </w:r>
      <w:r>
        <w:rPr>
          <w:rFonts w:hint="eastAsia" w:ascii="宋体" w:hAnsi="宋体" w:eastAsia="宋体" w:cs="宋体"/>
          <w:spacing w:val="5"/>
          <w:sz w:val="34"/>
          <w:szCs w:val="34"/>
        </w:rPr>
        <w:t>元。</w:t>
      </w:r>
      <w:r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  <w:t>具体情况见下表（按项目分别填报）：</w:t>
      </w: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</w:p>
    <w:p>
      <w:pPr>
        <w:spacing w:before="104" w:line="285" w:lineRule="auto"/>
        <w:ind w:left="7" w:right="235" w:firstLine="469"/>
        <w:rPr>
          <w:ins w:id="0" w:author="打字员" w:date=""/>
          <w:rFonts w:hint="eastAsia" w:ascii="宋体" w:hAnsi="宋体" w:eastAsia="宋体" w:cs="宋体"/>
          <w:spacing w:val="5"/>
          <w:sz w:val="34"/>
          <w:szCs w:val="34"/>
          <w:lang w:val="en-US" w:eastAsia="zh-CN"/>
        </w:rPr>
      </w:pPr>
      <w:bookmarkStart w:id="1" w:name="_GoBack"/>
      <w:bookmarkEnd w:id="1"/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0" w:lineRule="auto"/>
              <w:ind w:left="2508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4" w:beforeAutospacing="0" w:after="0" w:afterAutospacing="0" w:line="220" w:lineRule="auto"/>
              <w:ind w:left="3708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0" w:lineRule="auto"/>
              <w:ind w:left="209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预算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0" w:lineRule="auto"/>
              <w:ind w:left="66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bookmarkStart w:id="0" w:name="_GoBack"/>
            <w:bookmarkEnd w:id="0"/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5" w:beforeAutospacing="0" w:after="0" w:afterAutospacing="0" w:line="220" w:lineRule="auto"/>
              <w:ind w:left="210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目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6" w:lineRule="auto"/>
              <w:ind w:left="208" w:right="197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目资金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9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8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6" w:lineRule="auto"/>
              <w:ind w:left="404" w:right="95" w:hanging="295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度资金总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5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额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6" w:lineRule="auto"/>
              <w:ind w:left="407" w:right="94" w:hanging="298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其中：财政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拨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119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84" w:beforeAutospacing="0" w:after="0" w:afterAutospacing="0" w:line="220" w:lineRule="auto"/>
              <w:ind w:left="211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96" w:lineRule="auto"/>
              <w:ind w:left="506" w:right="97" w:hanging="398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总体目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87" w:beforeAutospacing="0" w:after="0" w:afterAutospacing="0" w:line="220" w:lineRule="auto"/>
              <w:ind w:left="211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87" w:beforeAutospacing="0" w:after="0" w:afterAutospacing="0" w:line="220" w:lineRule="auto"/>
              <w:ind w:left="211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87" w:beforeAutospacing="0" w:after="0" w:afterAutospacing="0" w:line="220" w:lineRule="auto"/>
              <w:ind w:left="1412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96" w:lineRule="auto"/>
              <w:ind w:left="910" w:right="95" w:hanging="80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8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指标值(包含数字及文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字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8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描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7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0" w:lineRule="auto"/>
              <w:ind w:left="209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产出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0" w:lineRule="auto"/>
              <w:ind w:left="204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0" w:lineRule="auto"/>
              <w:ind w:left="210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质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0" w:lineRule="auto"/>
              <w:ind w:left="219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6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0" w:lineRule="auto"/>
              <w:ind w:left="208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0" w:lineRule="auto"/>
              <w:ind w:left="211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9" w:beforeAutospacing="0" w:after="0" w:afterAutospacing="0" w:line="201" w:lineRule="auto"/>
              <w:ind w:left="504" w:right="95" w:hanging="399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效益指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9" w:beforeAutospacing="0" w:after="0" w:afterAutospacing="0" w:line="201" w:lineRule="auto"/>
              <w:ind w:left="504" w:right="95" w:hanging="399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效益指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9" w:beforeAutospacing="0" w:after="0" w:afterAutospacing="0" w:line="201" w:lineRule="auto"/>
              <w:ind w:left="504" w:right="95" w:hanging="387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生态效益指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9" w:beforeAutospacing="0" w:after="0" w:afterAutospacing="0" w:line="201" w:lineRule="auto"/>
              <w:ind w:left="404" w:right="95" w:hanging="296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可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持续影响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0" w:lineRule="auto"/>
              <w:ind w:left="108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满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8" w:beforeAutospacing="0" w:after="0" w:afterAutospacing="0" w:line="220" w:lineRule="auto"/>
              <w:ind w:left="106" w:right="0"/>
              <w:jc w:val="left"/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满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bdr w:val="none" w:color="auto" w:sz="0" w:space="0"/>
                <w:lang w:val="en-US"/>
              </w:rPr>
            </w:pPr>
          </w:p>
        </w:tc>
      </w:tr>
    </w:tbl>
    <w:p>
      <w:pPr>
        <w:spacing w:before="104" w:line="285" w:lineRule="auto"/>
        <w:ind w:left="7" w:right="235" w:firstLine="469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浦县妇幼保健站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仿宋_GB2312">
    <w:altName w:val="仿宋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打字员">
    <w15:presenceInfo w15:providerId="None" w15:userId="打字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3D0800"/>
    <w:rsid w:val="000C739F"/>
    <w:rsid w:val="003D0800"/>
    <w:rsid w:val="00CB6A10"/>
    <w:rsid w:val="2B8B71BC"/>
    <w:rsid w:val="450C5D2F"/>
    <w:rsid w:val="5CE9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basedOn w:val="2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5546</Words>
  <Characters>6582</Characters>
  <Lines>58</Lines>
  <Paragraphs>16</Paragraphs>
  <TotalTime>3</TotalTime>
  <ScaleCrop>false</ScaleCrop>
  <LinksUpToDate>false</LinksUpToDate>
  <CharactersWithSpaces>6978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ASUS</dc:creator>
  <cp:lastModifiedBy>ASUS</cp:lastModifiedBy>
  <dcterms:modified xsi:type="dcterms:W3CDTF">2022-08-03T05:13:20Z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2022-07-31T12:07:49Z</vt:filetime>
  </property>
  <property fmtid="{D5CDD505-2E9C-101B-9397-08002B2CF9AE}" pid="4" name="KSOProductBuildVer">
    <vt:lpwstr>2052-11.1.0.11875</vt:lpwstr>
  </property>
  <property fmtid="{D5CDD505-2E9C-101B-9397-08002B2CF9AE}" pid="5" name="ICV">
    <vt:lpwstr>44C5A472D2EA41BC84A9E2FF02C3D532</vt:lpwstr>
  </property>
</Properties>
</file>