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445DA4B">
      <w:pPr>
        <w:jc w:val="both"/>
        <w:rPr>
          <w:rFonts w:hint="eastAsia" w:ascii="微软雅黑" w:hAnsi="黑体" w:eastAsia="微软雅黑" w:cs="宋体"/>
          <w:kern w:val="0"/>
          <w:sz w:val="44"/>
          <w:szCs w:val="44"/>
          <w:lang w:val="en-US" w:eastAsia="zh-CN"/>
        </w:rPr>
      </w:pPr>
      <w:r>
        <w:rPr>
          <w:rFonts w:hint="eastAsia" w:ascii="微软雅黑" w:hAnsi="黑体" w:eastAsia="微软雅黑" w:cs="宋体"/>
          <w:kern w:val="0"/>
          <w:sz w:val="44"/>
          <w:szCs w:val="44"/>
          <w:lang w:val="en-US" w:eastAsia="zh-CN"/>
        </w:rPr>
        <w:t xml:space="preserve"> </w:t>
      </w:r>
    </w:p>
    <w:p w14:paraId="4374F5A8">
      <w:pPr>
        <w:jc w:val="center"/>
        <w:rPr>
          <w:rFonts w:hint="eastAsia" w:ascii="微软雅黑" w:hAnsi="黑体" w:eastAsia="微软雅黑" w:cs="宋体"/>
          <w:kern w:val="0"/>
          <w:sz w:val="44"/>
          <w:szCs w:val="44"/>
          <w:lang w:val="en-US" w:eastAsia="zh-CN"/>
        </w:rPr>
      </w:pPr>
      <w:r>
        <w:rPr>
          <w:rFonts w:hint="eastAsia" w:ascii="微软雅黑" w:hAnsi="黑体" w:eastAsia="微软雅黑" w:cs="宋体"/>
          <w:kern w:val="0"/>
          <w:sz w:val="44"/>
          <w:szCs w:val="44"/>
          <w:lang w:val="en-US" w:eastAsia="zh-CN"/>
        </w:rPr>
        <w:t xml:space="preserve"> </w:t>
      </w:r>
      <w:r>
        <w:rPr>
          <w:rFonts w:hint="eastAsia" w:ascii="微软雅黑" w:hAnsi="黑体" w:eastAsia="微软雅黑" w:cs="宋体"/>
          <w:kern w:val="0"/>
          <w:sz w:val="44"/>
          <w:szCs w:val="44"/>
          <w:lang w:eastAsia="zh-CN"/>
        </w:rPr>
        <w:t>洛浦县</w:t>
      </w:r>
      <w:r>
        <w:rPr>
          <w:rFonts w:hint="eastAsia" w:ascii="微软雅黑" w:hAnsi="黑体" w:eastAsia="微软雅黑" w:cs="宋体"/>
          <w:kern w:val="0"/>
          <w:sz w:val="44"/>
          <w:szCs w:val="44"/>
          <w:lang w:val="en-US" w:eastAsia="zh-CN"/>
        </w:rPr>
        <w:t>残疾人联合会</w:t>
      </w:r>
    </w:p>
    <w:p w14:paraId="45EACB6F">
      <w:pPr>
        <w:jc w:val="center"/>
        <w:rPr>
          <w:rFonts w:hint="eastAsia" w:ascii="微软雅黑" w:hAnsi="黑体" w:eastAsia="微软雅黑" w:cs="宋体"/>
          <w:kern w:val="0"/>
          <w:sz w:val="44"/>
          <w:szCs w:val="44"/>
          <w:highlight w:val="none"/>
          <w:lang w:val="en-US" w:eastAsia="zh-CN"/>
        </w:rPr>
      </w:pPr>
      <w:r>
        <w:rPr>
          <w:rFonts w:hint="eastAsia" w:ascii="微软雅黑" w:hAnsi="黑体" w:eastAsia="微软雅黑" w:cs="宋体"/>
          <w:kern w:val="0"/>
          <w:sz w:val="44"/>
          <w:szCs w:val="44"/>
          <w:lang w:val="en-US" w:eastAsia="zh-CN"/>
        </w:rPr>
        <w:t>2021年中央专项彩票公益金支持残疾人事业发展补助项目（第二批）</w:t>
      </w:r>
    </w:p>
    <w:p w14:paraId="5C9B1947">
      <w:pPr>
        <w:rPr>
          <w:rFonts w:ascii="Times New Roman" w:hAnsi="黑体" w:eastAsia="黑体" w:cs="宋体"/>
          <w:kern w:val="0"/>
          <w:sz w:val="24"/>
        </w:rPr>
      </w:pPr>
    </w:p>
    <w:p w14:paraId="2C271329">
      <w:pPr>
        <w:rPr>
          <w:rFonts w:ascii="Times New Roman" w:hAnsi="黑体" w:eastAsia="黑体" w:cs="宋体"/>
          <w:kern w:val="0"/>
          <w:sz w:val="24"/>
        </w:rPr>
      </w:pPr>
    </w:p>
    <w:p w14:paraId="58B7D137">
      <w:pPr>
        <w:rPr>
          <w:rFonts w:ascii="Times New Roman" w:hAnsi="黑体" w:eastAsia="黑体" w:cs="宋体"/>
          <w:kern w:val="0"/>
          <w:sz w:val="24"/>
        </w:rPr>
      </w:pPr>
    </w:p>
    <w:p w14:paraId="202BD4AA">
      <w:pPr>
        <w:rPr>
          <w:rFonts w:ascii="Times New Roman" w:hAnsi="黑体" w:eastAsia="黑体" w:cs="宋体"/>
          <w:kern w:val="0"/>
          <w:sz w:val="24"/>
        </w:rPr>
      </w:pPr>
    </w:p>
    <w:p w14:paraId="3B743D1B">
      <w:pPr>
        <w:rPr>
          <w:rFonts w:ascii="Times New Roman" w:hAnsi="黑体" w:eastAsia="黑体" w:cs="宋体"/>
          <w:kern w:val="0"/>
          <w:sz w:val="24"/>
        </w:rPr>
      </w:pPr>
    </w:p>
    <w:p w14:paraId="5879019E">
      <w:pPr>
        <w:rPr>
          <w:rFonts w:ascii="Times New Roman" w:hAnsi="黑体" w:eastAsia="黑体" w:cs="宋体"/>
          <w:kern w:val="0"/>
          <w:sz w:val="24"/>
        </w:rPr>
      </w:pPr>
    </w:p>
    <w:p w14:paraId="0C91E856">
      <w:pPr>
        <w:rPr>
          <w:rFonts w:ascii="Times New Roman" w:hAnsi="黑体" w:eastAsia="黑体" w:cs="宋体"/>
          <w:kern w:val="0"/>
          <w:sz w:val="24"/>
        </w:rPr>
      </w:pPr>
    </w:p>
    <w:p w14:paraId="22104016">
      <w:pPr>
        <w:jc w:val="center"/>
        <w:rPr>
          <w:rFonts w:ascii="微软雅黑" w:hAnsi="黑体" w:eastAsia="微软雅黑" w:cs="宋体"/>
          <w:kern w:val="0"/>
          <w:sz w:val="72"/>
          <w:szCs w:val="72"/>
        </w:rPr>
      </w:pPr>
      <w:r>
        <w:rPr>
          <w:rFonts w:hint="eastAsia" w:ascii="微软雅黑" w:hAnsi="黑体" w:eastAsia="微软雅黑" w:cs="宋体"/>
          <w:kern w:val="0"/>
          <w:sz w:val="72"/>
          <w:szCs w:val="72"/>
        </w:rPr>
        <w:t>绩效评价报告</w:t>
      </w:r>
    </w:p>
    <w:p w14:paraId="61367DAA">
      <w:pPr>
        <w:rPr>
          <w:rFonts w:ascii="Times New Roman" w:hAnsi="黑体" w:eastAsia="黑体" w:cs="宋体"/>
          <w:kern w:val="0"/>
          <w:sz w:val="24"/>
        </w:rPr>
      </w:pPr>
    </w:p>
    <w:p w14:paraId="601E6428">
      <w:pPr>
        <w:rPr>
          <w:rFonts w:ascii="Times New Roman" w:hAnsi="黑体" w:eastAsia="黑体" w:cs="宋体"/>
          <w:kern w:val="0"/>
          <w:sz w:val="24"/>
        </w:rPr>
      </w:pPr>
    </w:p>
    <w:p w14:paraId="1BF4F637">
      <w:pPr>
        <w:rPr>
          <w:rFonts w:ascii="Times New Roman" w:hAnsi="黑体" w:eastAsia="黑体" w:cs="宋体"/>
          <w:kern w:val="0"/>
          <w:sz w:val="24"/>
        </w:rPr>
      </w:pPr>
    </w:p>
    <w:p w14:paraId="3EF2C0A9">
      <w:pPr>
        <w:rPr>
          <w:rFonts w:ascii="Times New Roman" w:hAnsi="黑体" w:eastAsia="黑体" w:cs="宋体"/>
          <w:kern w:val="0"/>
          <w:sz w:val="24"/>
        </w:rPr>
      </w:pPr>
    </w:p>
    <w:p w14:paraId="406412C2">
      <w:pPr>
        <w:rPr>
          <w:rFonts w:ascii="Times New Roman" w:hAnsi="黑体" w:eastAsia="黑体" w:cs="宋体"/>
          <w:kern w:val="0"/>
          <w:sz w:val="24"/>
        </w:rPr>
      </w:pPr>
    </w:p>
    <w:p w14:paraId="1751937E">
      <w:pPr>
        <w:rPr>
          <w:rFonts w:ascii="Times New Roman" w:hAnsi="黑体" w:eastAsia="黑体" w:cs="宋体"/>
          <w:kern w:val="0"/>
          <w:sz w:val="24"/>
        </w:rPr>
      </w:pPr>
    </w:p>
    <w:p w14:paraId="56385306">
      <w:pPr>
        <w:rPr>
          <w:rFonts w:ascii="Times New Roman" w:hAnsi="黑体" w:eastAsia="黑体" w:cs="宋体"/>
          <w:kern w:val="0"/>
          <w:sz w:val="24"/>
        </w:rPr>
      </w:pPr>
    </w:p>
    <w:p w14:paraId="2727400D">
      <w:pPr>
        <w:rPr>
          <w:rFonts w:ascii="Times New Roman" w:hAnsi="黑体" w:eastAsia="黑体" w:cs="宋体"/>
          <w:kern w:val="0"/>
          <w:sz w:val="24"/>
        </w:rPr>
      </w:pPr>
    </w:p>
    <w:p w14:paraId="64AABE85">
      <w:pPr>
        <w:pStyle w:val="5"/>
        <w:numPr>
          <w:ilvl w:val="0"/>
          <w:numId w:val="0"/>
        </w:numPr>
        <w:ind w:leftChars="0"/>
        <w:rPr>
          <w:rFonts w:ascii="Times New Roman" w:hAnsi="黑体" w:eastAsia="黑体" w:cs="宋体"/>
          <w:kern w:val="0"/>
          <w:sz w:val="24"/>
        </w:rPr>
      </w:pPr>
    </w:p>
    <w:p w14:paraId="667883A5"/>
    <w:p w14:paraId="1FC88E24">
      <w:pPr>
        <w:spacing w:line="400" w:lineRule="exact"/>
        <w:ind w:firstLine="2040" w:firstLineChars="850"/>
        <w:jc w:val="left"/>
        <w:rPr>
          <w:rFonts w:ascii="黑体" w:hAnsi="黑体" w:eastAsia="黑体" w:cs="宋体"/>
          <w:kern w:val="0"/>
          <w:sz w:val="24"/>
        </w:rPr>
      </w:pPr>
      <w:r>
        <w:rPr>
          <w:rFonts w:hint="eastAsia" w:ascii="黑体" w:hAnsi="黑体" w:eastAsia="黑体" w:cs="宋体"/>
          <w:kern w:val="0"/>
          <w:sz w:val="24"/>
        </w:rPr>
        <w:t>报告编号：</w:t>
      </w:r>
      <w:r>
        <w:rPr>
          <w:rFonts w:hint="eastAsia" w:ascii="黑体" w:hAnsi="黑体" w:eastAsia="黑体" w:cs="宋体"/>
          <w:kern w:val="0"/>
          <w:sz w:val="24"/>
          <w:highlight w:val="none"/>
        </w:rPr>
        <w:t>中瑞诚喀绩评字[202</w:t>
      </w:r>
      <w:r>
        <w:rPr>
          <w:rFonts w:hint="eastAsia" w:ascii="黑体" w:hAnsi="黑体" w:eastAsia="黑体" w:cs="宋体"/>
          <w:kern w:val="0"/>
          <w:sz w:val="24"/>
          <w:highlight w:val="none"/>
          <w:lang w:val="en-US" w:eastAsia="zh-CN"/>
        </w:rPr>
        <w:t>2</w:t>
      </w:r>
      <w:r>
        <w:rPr>
          <w:rFonts w:hint="eastAsia" w:ascii="黑体" w:hAnsi="黑体" w:eastAsia="黑体" w:cs="宋体"/>
          <w:kern w:val="0"/>
          <w:sz w:val="24"/>
          <w:highlight w:val="none"/>
        </w:rPr>
        <w:t>]</w:t>
      </w:r>
      <w:r>
        <w:rPr>
          <w:rFonts w:hint="eastAsia" w:ascii="黑体" w:hAnsi="黑体" w:eastAsia="黑体" w:cs="宋体"/>
          <w:kern w:val="0"/>
          <w:sz w:val="24"/>
          <w:highlight w:val="none"/>
          <w:lang w:val="en-US" w:eastAsia="zh-CN"/>
        </w:rPr>
        <w:t>140</w:t>
      </w:r>
      <w:r>
        <w:rPr>
          <w:rFonts w:hint="eastAsia" w:ascii="黑体" w:hAnsi="黑体" w:eastAsia="黑体" w:cs="宋体"/>
          <w:kern w:val="0"/>
          <w:sz w:val="24"/>
          <w:highlight w:val="none"/>
        </w:rPr>
        <w:t>号</w:t>
      </w:r>
    </w:p>
    <w:p w14:paraId="25168829">
      <w:pPr>
        <w:spacing w:line="400" w:lineRule="exact"/>
        <w:ind w:firstLine="2040" w:firstLineChars="850"/>
        <w:jc w:val="left"/>
        <w:rPr>
          <w:rFonts w:hint="eastAsia" w:ascii="黑体" w:hAnsi="黑体" w:eastAsia="黑体" w:cs="宋体"/>
          <w:kern w:val="0"/>
          <w:sz w:val="24"/>
          <w:highlight w:val="none"/>
        </w:rPr>
      </w:pPr>
      <w:r>
        <w:rPr>
          <w:rFonts w:hint="eastAsia" w:ascii="黑体" w:hAnsi="黑体" w:eastAsia="黑体" w:cs="宋体"/>
          <w:kern w:val="0"/>
          <w:sz w:val="24"/>
        </w:rPr>
        <w:t>委托单位：</w:t>
      </w:r>
      <w:r>
        <w:rPr>
          <w:rFonts w:hint="eastAsia" w:ascii="黑体" w:hAnsi="黑体" w:eastAsia="黑体" w:cs="宋体"/>
          <w:kern w:val="0"/>
          <w:sz w:val="24"/>
          <w:highlight w:val="none"/>
          <w:lang w:eastAsia="zh-CN"/>
        </w:rPr>
        <w:t>洛浦</w:t>
      </w:r>
      <w:r>
        <w:rPr>
          <w:rFonts w:hint="eastAsia" w:ascii="黑体" w:hAnsi="黑体" w:eastAsia="黑体" w:cs="宋体"/>
          <w:kern w:val="0"/>
          <w:sz w:val="24"/>
          <w:highlight w:val="none"/>
        </w:rPr>
        <w:t>县财政局</w:t>
      </w:r>
    </w:p>
    <w:p w14:paraId="10E5BD28">
      <w:pPr>
        <w:spacing w:line="400" w:lineRule="exact"/>
        <w:ind w:firstLine="2040" w:firstLineChars="850"/>
        <w:jc w:val="left"/>
        <w:rPr>
          <w:rFonts w:hint="eastAsia" w:ascii="黑体" w:hAnsi="黑体" w:eastAsia="黑体" w:cs="宋体"/>
          <w:kern w:val="0"/>
          <w:sz w:val="24"/>
        </w:rPr>
      </w:pPr>
      <w:r>
        <w:rPr>
          <w:rFonts w:hint="eastAsia" w:ascii="黑体" w:hAnsi="黑体" w:eastAsia="黑体" w:cs="宋体"/>
          <w:kern w:val="0"/>
          <w:sz w:val="24"/>
        </w:rPr>
        <w:t>评价机构：中瑞诚会计师事务所</w:t>
      </w:r>
      <w:r>
        <w:rPr>
          <w:rFonts w:hint="eastAsia" w:ascii="黑体" w:hAnsi="黑体" w:eastAsia="黑体" w:cs="宋体"/>
          <w:kern w:val="0"/>
          <w:sz w:val="24"/>
          <w:lang w:eastAsia="zh-CN"/>
        </w:rPr>
        <w:t>（特殊普通合伙）</w:t>
      </w:r>
      <w:r>
        <w:rPr>
          <w:rFonts w:hint="eastAsia" w:ascii="黑体" w:hAnsi="黑体" w:eastAsia="黑体" w:cs="宋体"/>
          <w:kern w:val="0"/>
          <w:sz w:val="24"/>
        </w:rPr>
        <w:t>喀什分所</w:t>
      </w:r>
    </w:p>
    <w:p w14:paraId="2A95F114">
      <w:pPr>
        <w:spacing w:line="400" w:lineRule="exact"/>
        <w:ind w:firstLine="2040" w:firstLineChars="850"/>
        <w:jc w:val="left"/>
        <w:rPr>
          <w:rFonts w:hint="eastAsia" w:ascii="黑体" w:hAnsi="黑体" w:eastAsia="黑体" w:cs="宋体"/>
          <w:kern w:val="0"/>
          <w:sz w:val="24"/>
        </w:rPr>
      </w:pPr>
      <w:r>
        <w:rPr>
          <w:rFonts w:hint="eastAsia" w:ascii="黑体" w:hAnsi="黑体" w:eastAsia="黑体" w:cs="宋体"/>
          <w:kern w:val="0"/>
          <w:sz w:val="24"/>
        </w:rPr>
        <w:t>报告时间：</w:t>
      </w:r>
      <w:r>
        <w:rPr>
          <w:rFonts w:hint="eastAsia" w:ascii="黑体" w:hAnsi="黑体" w:eastAsia="黑体" w:cs="宋体"/>
          <w:kern w:val="0"/>
          <w:sz w:val="24"/>
          <w:lang w:eastAsia="zh-CN"/>
        </w:rPr>
        <w:t>202</w:t>
      </w:r>
      <w:r>
        <w:rPr>
          <w:rFonts w:hint="eastAsia" w:ascii="黑体" w:hAnsi="黑体" w:eastAsia="黑体" w:cs="宋体"/>
          <w:kern w:val="0"/>
          <w:sz w:val="24"/>
          <w:lang w:val="en-US" w:eastAsia="zh-CN"/>
        </w:rPr>
        <w:t>2</w:t>
      </w:r>
      <w:r>
        <w:rPr>
          <w:rFonts w:hint="eastAsia" w:ascii="黑体" w:hAnsi="黑体" w:eastAsia="黑体" w:cs="宋体"/>
          <w:kern w:val="0"/>
          <w:sz w:val="24"/>
        </w:rPr>
        <w:t>年</w:t>
      </w:r>
      <w:r>
        <w:rPr>
          <w:rFonts w:hint="eastAsia" w:ascii="黑体" w:hAnsi="黑体" w:eastAsia="黑体" w:cs="宋体"/>
          <w:kern w:val="0"/>
          <w:sz w:val="24"/>
          <w:lang w:val="en-US" w:eastAsia="zh-CN"/>
        </w:rPr>
        <w:t>06</w:t>
      </w:r>
      <w:r>
        <w:rPr>
          <w:rFonts w:hint="eastAsia" w:ascii="黑体" w:hAnsi="黑体" w:eastAsia="黑体" w:cs="宋体"/>
          <w:kern w:val="0"/>
          <w:sz w:val="24"/>
        </w:rPr>
        <w:t>月</w:t>
      </w:r>
      <w:r>
        <w:rPr>
          <w:rFonts w:hint="eastAsia" w:ascii="黑体" w:hAnsi="黑体" w:eastAsia="黑体" w:cs="宋体"/>
          <w:kern w:val="0"/>
          <w:sz w:val="24"/>
          <w:lang w:val="en-US" w:eastAsia="zh-CN"/>
        </w:rPr>
        <w:t>30</w:t>
      </w:r>
      <w:r>
        <w:rPr>
          <w:rFonts w:hint="eastAsia" w:ascii="黑体" w:hAnsi="黑体" w:eastAsia="黑体" w:cs="宋体"/>
          <w:kern w:val="0"/>
          <w:sz w:val="24"/>
        </w:rPr>
        <w:t>日</w:t>
      </w:r>
    </w:p>
    <w:tbl>
      <w:tblPr>
        <w:tblStyle w:val="19"/>
        <w:tblpPr w:leftFromText="180" w:rightFromText="180" w:vertAnchor="text" w:horzAnchor="margin" w:tblpX="1" w:tblpY="-77"/>
        <w:tblOverlap w:val="never"/>
        <w:tblW w:w="8983" w:type="dxa"/>
        <w:tblInd w:w="0" w:type="dxa"/>
        <w:tblLayout w:type="fixed"/>
        <w:tblCellMar>
          <w:top w:w="15" w:type="dxa"/>
          <w:left w:w="15" w:type="dxa"/>
          <w:bottom w:w="15" w:type="dxa"/>
          <w:right w:w="15" w:type="dxa"/>
        </w:tblCellMar>
      </w:tblPr>
      <w:tblGrid>
        <w:gridCol w:w="1291"/>
        <w:gridCol w:w="954"/>
        <w:gridCol w:w="180"/>
        <w:gridCol w:w="284"/>
        <w:gridCol w:w="850"/>
        <w:gridCol w:w="851"/>
        <w:gridCol w:w="81"/>
        <w:gridCol w:w="202"/>
        <w:gridCol w:w="992"/>
        <w:gridCol w:w="709"/>
        <w:gridCol w:w="343"/>
        <w:gridCol w:w="994"/>
        <w:gridCol w:w="1252"/>
      </w:tblGrid>
      <w:tr w14:paraId="3750D9D4">
        <w:tblPrEx>
          <w:tblCellMar>
            <w:top w:w="15" w:type="dxa"/>
            <w:left w:w="15" w:type="dxa"/>
            <w:bottom w:w="15" w:type="dxa"/>
            <w:right w:w="15" w:type="dxa"/>
          </w:tblCellMar>
        </w:tblPrEx>
        <w:trPr>
          <w:trHeight w:val="301" w:hRule="atLeast"/>
        </w:trPr>
        <w:tc>
          <w:tcPr>
            <w:tcW w:w="8983" w:type="dxa"/>
            <w:gridSpan w:val="13"/>
            <w:shd w:val="clear" w:color="auto" w:fill="auto"/>
            <w:vAlign w:val="center"/>
          </w:tcPr>
          <w:p w14:paraId="01E1F039">
            <w:pPr>
              <w:widowControl/>
              <w:jc w:val="left"/>
              <w:textAlignment w:val="center"/>
              <w:rPr>
                <w:rFonts w:hint="eastAsia" w:ascii="黑体" w:hAnsi="宋体" w:eastAsia="黑体" w:cs="黑体"/>
                <w:color w:val="000000"/>
                <w:sz w:val="24"/>
                <w:highlight w:val="none"/>
                <w:lang w:val="en-US" w:eastAsia="zh-CN"/>
              </w:rPr>
            </w:pPr>
            <w:r>
              <w:rPr>
                <w:rFonts w:hint="eastAsia" w:ascii="黑体" w:hAnsi="宋体" w:eastAsia="黑体" w:cs="黑体"/>
                <w:color w:val="000000"/>
                <w:kern w:val="0"/>
                <w:sz w:val="24"/>
                <w:highlight w:val="none"/>
              </w:rPr>
              <w:t>评价分值：</w:t>
            </w:r>
            <w:r>
              <w:rPr>
                <w:rFonts w:hint="eastAsia" w:ascii="黑体" w:hAnsi="宋体" w:eastAsia="黑体" w:cs="黑体"/>
                <w:color w:val="000000"/>
                <w:kern w:val="0"/>
                <w:sz w:val="24"/>
                <w:highlight w:val="none"/>
                <w:lang w:val="en-US" w:eastAsia="zh-CN"/>
              </w:rPr>
              <w:t>96.58</w:t>
            </w:r>
            <w:r>
              <w:rPr>
                <w:rStyle w:val="30"/>
                <w:rFonts w:hint="eastAsia" w:hAnsi="宋体"/>
                <w:highlight w:val="none"/>
              </w:rPr>
              <w:t xml:space="preserve">  </w:t>
            </w:r>
            <w:r>
              <w:rPr>
                <w:rFonts w:hint="eastAsia" w:ascii="黑体" w:hAnsi="宋体" w:eastAsia="黑体" w:cs="黑体"/>
                <w:color w:val="000000"/>
                <w:kern w:val="0"/>
                <w:sz w:val="24"/>
                <w:highlight w:val="none"/>
              </w:rPr>
              <w:t>评价等级：</w:t>
            </w:r>
            <w:r>
              <w:rPr>
                <w:rFonts w:hint="eastAsia" w:ascii="黑体" w:hAnsi="宋体" w:eastAsia="黑体" w:cs="黑体"/>
                <w:color w:val="000000"/>
                <w:kern w:val="0"/>
                <w:sz w:val="24"/>
                <w:highlight w:val="none"/>
                <w:lang w:val="en-US" w:eastAsia="zh-CN"/>
              </w:rPr>
              <w:t>优</w:t>
            </w:r>
          </w:p>
        </w:tc>
      </w:tr>
      <w:tr w14:paraId="12C4EA13">
        <w:tblPrEx>
          <w:tblCellMar>
            <w:top w:w="15" w:type="dxa"/>
            <w:left w:w="15" w:type="dxa"/>
            <w:bottom w:w="15" w:type="dxa"/>
            <w:right w:w="15" w:type="dxa"/>
          </w:tblCellMar>
        </w:tblPrEx>
        <w:trPr>
          <w:trHeight w:val="510" w:hRule="atLeast"/>
        </w:trPr>
        <w:tc>
          <w:tcPr>
            <w:tcW w:w="8983" w:type="dxa"/>
            <w:gridSpan w:val="13"/>
            <w:shd w:val="clear" w:color="auto" w:fill="auto"/>
            <w:vAlign w:val="center"/>
          </w:tcPr>
          <w:p w14:paraId="5A29481A">
            <w:pPr>
              <w:widowControl/>
              <w:jc w:val="center"/>
              <w:textAlignment w:val="center"/>
              <w:rPr>
                <w:rFonts w:ascii="黑体" w:hAnsi="宋体" w:eastAsia="黑体" w:cs="黑体"/>
                <w:b/>
                <w:color w:val="000000"/>
                <w:sz w:val="36"/>
                <w:szCs w:val="36"/>
              </w:rPr>
            </w:pPr>
            <w:r>
              <w:rPr>
                <w:rFonts w:hint="eastAsia" w:ascii="黑体" w:hAnsi="宋体" w:eastAsia="黑体" w:cs="黑体"/>
                <w:b/>
                <w:color w:val="000000"/>
                <w:kern w:val="0"/>
                <w:sz w:val="36"/>
                <w:szCs w:val="36"/>
              </w:rPr>
              <w:t>概   要</w:t>
            </w:r>
          </w:p>
        </w:tc>
      </w:tr>
      <w:tr w14:paraId="0DE5577D">
        <w:tblPrEx>
          <w:tblCellMar>
            <w:top w:w="15" w:type="dxa"/>
            <w:left w:w="15" w:type="dxa"/>
            <w:bottom w:w="15" w:type="dxa"/>
            <w:right w:w="15" w:type="dxa"/>
          </w:tblCellMar>
        </w:tblPrEx>
        <w:trPr>
          <w:trHeight w:val="330" w:hRule="atLeast"/>
        </w:trPr>
        <w:tc>
          <w:tcPr>
            <w:tcW w:w="8983" w:type="dxa"/>
            <w:gridSpan w:val="13"/>
            <w:shd w:val="clear" w:color="auto" w:fill="auto"/>
            <w:vAlign w:val="center"/>
          </w:tcPr>
          <w:p w14:paraId="23F103E6">
            <w:pPr>
              <w:widowControl/>
              <w:jc w:val="left"/>
              <w:textAlignment w:val="center"/>
              <w:rPr>
                <w:rFonts w:ascii="黑体" w:hAnsi="黑体" w:eastAsia="黑体" w:cs="仿宋_GB2312"/>
                <w:color w:val="000000"/>
                <w:sz w:val="22"/>
              </w:rPr>
            </w:pPr>
            <w:r>
              <w:rPr>
                <w:rFonts w:hint="eastAsia" w:ascii="黑体" w:hAnsi="黑体" w:eastAsia="黑体" w:cs="仿宋_GB2312"/>
                <w:color w:val="000000"/>
                <w:kern w:val="0"/>
                <w:sz w:val="22"/>
              </w:rPr>
              <w:t>评价机构全称（盖章）：中瑞诚会计师事务所</w:t>
            </w:r>
            <w:r>
              <w:rPr>
                <w:rFonts w:hint="eastAsia" w:ascii="黑体" w:hAnsi="黑体" w:eastAsia="黑体" w:cs="仿宋_GB2312"/>
                <w:color w:val="000000"/>
                <w:kern w:val="0"/>
                <w:sz w:val="22"/>
                <w:lang w:eastAsia="zh-CN"/>
              </w:rPr>
              <w:t>（特殊普通合伙）</w:t>
            </w:r>
            <w:r>
              <w:rPr>
                <w:rFonts w:hint="eastAsia" w:ascii="黑体" w:hAnsi="黑体" w:eastAsia="黑体" w:cs="仿宋_GB2312"/>
                <w:color w:val="000000"/>
                <w:kern w:val="0"/>
                <w:sz w:val="22"/>
              </w:rPr>
              <w:t xml:space="preserve">喀什分所 </w:t>
            </w:r>
            <w:r>
              <w:rPr>
                <w:rFonts w:hint="eastAsia" w:ascii="黑体" w:hAnsi="黑体" w:eastAsia="黑体" w:cs="仿宋_GB2312"/>
                <w:color w:val="000000"/>
                <w:kern w:val="0"/>
                <w:sz w:val="22"/>
                <w:lang w:val="en-US" w:eastAsia="zh-CN"/>
              </w:rPr>
              <w:t xml:space="preserve">   </w:t>
            </w:r>
            <w:r>
              <w:rPr>
                <w:rFonts w:hint="eastAsia" w:ascii="黑体" w:hAnsi="黑体" w:eastAsia="黑体" w:cs="仿宋_GB2312"/>
                <w:color w:val="000000"/>
                <w:kern w:val="0"/>
                <w:sz w:val="22"/>
              </w:rPr>
              <w:t>单位：万元、类、个</w:t>
            </w:r>
          </w:p>
        </w:tc>
      </w:tr>
      <w:tr w14:paraId="6C724263">
        <w:tblPrEx>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881C69">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项目名称</w:t>
            </w:r>
          </w:p>
        </w:tc>
        <w:tc>
          <w:tcPr>
            <w:tcW w:w="5103" w:type="dxa"/>
            <w:gridSpan w:val="9"/>
            <w:tcBorders>
              <w:top w:val="single" w:color="000000" w:sz="4" w:space="0"/>
              <w:left w:val="single" w:color="000000" w:sz="4" w:space="0"/>
              <w:bottom w:val="single" w:color="000000" w:sz="4" w:space="0"/>
              <w:right w:val="single" w:color="000000" w:sz="4" w:space="0"/>
            </w:tcBorders>
            <w:shd w:val="clear" w:color="auto" w:fill="auto"/>
            <w:vAlign w:val="center"/>
          </w:tcPr>
          <w:p w14:paraId="5EDB2781">
            <w:pPr>
              <w:keepNext w:val="0"/>
              <w:keepLines w:val="0"/>
              <w:pageBreakBefore w:val="0"/>
              <w:widowControl/>
              <w:kinsoku/>
              <w:wordWrap/>
              <w:overflowPunct/>
              <w:topLinePunct w:val="0"/>
              <w:autoSpaceDE/>
              <w:autoSpaceDN/>
              <w:bidi w:val="0"/>
              <w:adjustRightInd/>
              <w:snapToGrid/>
              <w:spacing w:line="240" w:lineRule="exact"/>
              <w:jc w:val="center"/>
              <w:textAlignment w:val="center"/>
              <w:rPr>
                <w:rFonts w:hint="eastAsia" w:ascii="仿宋_GB2312" w:hAnsi="宋体" w:eastAsia="仿宋_GB2312" w:cs="仿宋_GB2312"/>
                <w:color w:val="000000"/>
                <w:sz w:val="20"/>
                <w:szCs w:val="20"/>
                <w:lang w:eastAsia="zh-CN"/>
              </w:rPr>
            </w:pPr>
            <w:r>
              <w:rPr>
                <w:rFonts w:hint="eastAsia" w:ascii="仿宋_GB2312" w:hAnsi="宋体" w:eastAsia="仿宋_GB2312" w:cs="仿宋_GB2312"/>
                <w:color w:val="000000"/>
                <w:sz w:val="20"/>
                <w:szCs w:val="20"/>
                <w:lang w:val="en-US" w:eastAsia="zh-CN"/>
              </w:rPr>
              <w:t>2021年中央专项彩票公益金支持残疾人事业发展补助项目（第二批）</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01B3BC4">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评价年度</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0CE875">
            <w:pPr>
              <w:widowControl/>
              <w:spacing w:line="240" w:lineRule="exact"/>
              <w:jc w:val="center"/>
              <w:textAlignment w:val="center"/>
              <w:rPr>
                <w:rFonts w:hint="eastAsia" w:ascii="仿宋_GB2312" w:hAnsi="宋体" w:eastAsia="仿宋_GB2312" w:cs="仿宋_GB2312"/>
                <w:color w:val="000000"/>
                <w:sz w:val="20"/>
                <w:szCs w:val="20"/>
                <w:lang w:eastAsia="zh-CN"/>
              </w:rPr>
            </w:pPr>
            <w:r>
              <w:rPr>
                <w:rFonts w:hint="eastAsia" w:ascii="仿宋_GB2312" w:hAnsi="宋体" w:eastAsia="仿宋_GB2312" w:cs="仿宋_GB2312"/>
                <w:color w:val="000000"/>
                <w:sz w:val="20"/>
                <w:szCs w:val="20"/>
                <w:lang w:eastAsia="zh-CN"/>
              </w:rPr>
              <w:t>202</w:t>
            </w:r>
            <w:r>
              <w:rPr>
                <w:rFonts w:hint="eastAsia" w:ascii="仿宋_GB2312" w:hAnsi="宋体" w:eastAsia="仿宋_GB2312" w:cs="仿宋_GB2312"/>
                <w:color w:val="000000"/>
                <w:sz w:val="20"/>
                <w:szCs w:val="20"/>
                <w:lang w:val="en-US" w:eastAsia="zh-CN"/>
              </w:rPr>
              <w:t>1</w:t>
            </w:r>
          </w:p>
        </w:tc>
      </w:tr>
      <w:tr w14:paraId="7B4AAE38">
        <w:tblPrEx>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750DDA">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财政主管处室</w:t>
            </w:r>
          </w:p>
        </w:tc>
        <w:tc>
          <w:tcPr>
            <w:tcW w:w="3119"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473CB806">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rPr>
              <w:t>绩效股</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68CE6730">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联系人及联系方式</w:t>
            </w:r>
          </w:p>
        </w:tc>
        <w:tc>
          <w:tcPr>
            <w:tcW w:w="258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369F48B1">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高月仙15713865046</w:t>
            </w:r>
          </w:p>
        </w:tc>
      </w:tr>
      <w:tr w14:paraId="1D2E2479">
        <w:tblPrEx>
          <w:tblCellMar>
            <w:top w:w="15" w:type="dxa"/>
            <w:left w:w="15" w:type="dxa"/>
            <w:bottom w:w="15" w:type="dxa"/>
            <w:right w:w="15" w:type="dxa"/>
          </w:tblCellMar>
        </w:tblPrEx>
        <w:trPr>
          <w:trHeight w:val="368"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AA941D">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主管部门</w:t>
            </w:r>
          </w:p>
        </w:tc>
        <w:tc>
          <w:tcPr>
            <w:tcW w:w="3119"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3125201F">
            <w:pPr>
              <w:widowControl/>
              <w:spacing w:line="240" w:lineRule="exact"/>
              <w:jc w:val="center"/>
              <w:textAlignment w:val="center"/>
              <w:rPr>
                <w:rFonts w:hint="eastAsia" w:ascii="仿宋_GB2312" w:hAnsi="宋体" w:eastAsia="仿宋_GB2312" w:cs="仿宋_GB2312"/>
                <w:color w:val="000000"/>
                <w:sz w:val="20"/>
                <w:szCs w:val="20"/>
                <w:lang w:eastAsia="zh-CN"/>
              </w:rPr>
            </w:pPr>
            <w:r>
              <w:rPr>
                <w:rFonts w:hint="eastAsia" w:ascii="仿宋_GB2312" w:hAnsi="宋体" w:eastAsia="仿宋_GB2312" w:cs="仿宋_GB2312"/>
                <w:color w:val="000000"/>
                <w:sz w:val="20"/>
                <w:szCs w:val="20"/>
                <w:lang w:val="en-US" w:eastAsia="zh-CN"/>
              </w:rPr>
              <w:t>洛浦县残疾人联合会</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4B5E3E0E">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联系人及联系方式</w:t>
            </w:r>
          </w:p>
        </w:tc>
        <w:tc>
          <w:tcPr>
            <w:tcW w:w="258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108EFFD7">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rPr>
              <w:t>阿卜杜如苏力·乃比江13199766616</w:t>
            </w:r>
          </w:p>
        </w:tc>
      </w:tr>
      <w:tr w14:paraId="4929BA66">
        <w:tblPrEx>
          <w:tblCellMar>
            <w:top w:w="15" w:type="dxa"/>
            <w:left w:w="15" w:type="dxa"/>
            <w:bottom w:w="15" w:type="dxa"/>
            <w:right w:w="15" w:type="dxa"/>
          </w:tblCellMar>
        </w:tblPrEx>
        <w:trPr>
          <w:trHeight w:val="376"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9E76DE">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自评方式</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4C52DAF0">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rPr>
              <w:t xml:space="preserve"> 实地调研、文件研读等方式</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4B7BEBE">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自评分值</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1C62DAFB">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96.16</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952DCE8">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自评等级</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843537">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优</w:t>
            </w:r>
          </w:p>
        </w:tc>
      </w:tr>
      <w:tr w14:paraId="2A4D21BB">
        <w:tblPrEx>
          <w:tblCellMar>
            <w:top w:w="15" w:type="dxa"/>
            <w:left w:w="15" w:type="dxa"/>
            <w:bottom w:w="15" w:type="dxa"/>
            <w:right w:w="15" w:type="dxa"/>
          </w:tblCellMar>
        </w:tblPrEx>
        <w:trPr>
          <w:trHeight w:val="615"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D3C897">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各级资金</w:t>
            </w:r>
          </w:p>
          <w:p w14:paraId="35502E9B">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投入总数</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7CC2AAD1">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 xml:space="preserve">44.75 </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C955E6A">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抽查资金总数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7E283B83">
            <w:pPr>
              <w:widowControl/>
              <w:spacing w:line="240" w:lineRule="exact"/>
              <w:jc w:val="center"/>
              <w:textAlignment w:val="center"/>
              <w:rPr>
                <w:rFonts w:hint="default" w:ascii="仿宋_GB2312" w:hAnsi="宋体" w:eastAsia="仿宋_GB2312" w:cs="仿宋_GB2312"/>
                <w:color w:val="000000"/>
                <w:sz w:val="20"/>
                <w:szCs w:val="20"/>
                <w:lang w:val="en-US"/>
              </w:rPr>
            </w:pPr>
            <w:r>
              <w:rPr>
                <w:rFonts w:hint="eastAsia" w:ascii="仿宋_GB2312" w:hAnsi="宋体" w:eastAsia="仿宋_GB2312" w:cs="仿宋_GB2312"/>
                <w:color w:val="000000"/>
                <w:sz w:val="20"/>
                <w:szCs w:val="20"/>
                <w:lang w:val="en-US" w:eastAsia="zh-CN"/>
              </w:rPr>
              <w:t xml:space="preserve">44.75 </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7369092">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资金抽查占比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6B04A6">
            <w:pPr>
              <w:widowControl/>
              <w:spacing w:line="240" w:lineRule="exact"/>
              <w:jc w:val="center"/>
              <w:textAlignment w:val="center"/>
              <w:rPr>
                <w:rFonts w:hint="default" w:ascii="仿宋_GB2312" w:hAnsi="宋体" w:eastAsia="仿宋_GB2312" w:cs="仿宋_GB2312"/>
                <w:color w:val="000000"/>
                <w:sz w:val="20"/>
                <w:szCs w:val="20"/>
                <w:lang w:val="en-US"/>
              </w:rPr>
            </w:pPr>
            <w:r>
              <w:rPr>
                <w:rFonts w:hint="eastAsia" w:ascii="仿宋_GB2312" w:hAnsi="宋体" w:eastAsia="仿宋_GB2312" w:cs="仿宋_GB2312"/>
                <w:color w:val="000000"/>
                <w:sz w:val="20"/>
                <w:szCs w:val="20"/>
                <w:lang w:val="en-US" w:eastAsia="zh-CN"/>
              </w:rPr>
              <w:t>100%</w:t>
            </w:r>
          </w:p>
        </w:tc>
      </w:tr>
      <w:tr w14:paraId="38BDF5FB">
        <w:tblPrEx>
          <w:tblCellMar>
            <w:top w:w="15" w:type="dxa"/>
            <w:left w:w="15" w:type="dxa"/>
            <w:bottom w:w="15" w:type="dxa"/>
            <w:right w:w="15" w:type="dxa"/>
          </w:tblCellMar>
        </w:tblPrEx>
        <w:trPr>
          <w:trHeight w:val="549"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B58D8F">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lang w:val="en-US" w:eastAsia="zh-CN"/>
              </w:rPr>
              <w:t>本级</w:t>
            </w:r>
            <w:r>
              <w:rPr>
                <w:rFonts w:hint="eastAsia" w:ascii="黑体" w:hAnsi="宋体" w:eastAsia="黑体" w:cs="黑体"/>
                <w:color w:val="000000"/>
                <w:kern w:val="0"/>
                <w:sz w:val="20"/>
                <w:szCs w:val="20"/>
              </w:rPr>
              <w:t>财政资金</w:t>
            </w:r>
          </w:p>
          <w:p w14:paraId="093647ED">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拨付数</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5B14CEFD">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 xml:space="preserve">0.00 </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D3D76D8">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lang w:val="en-US" w:eastAsia="zh-CN"/>
              </w:rPr>
              <w:t>本级</w:t>
            </w:r>
            <w:r>
              <w:rPr>
                <w:rFonts w:hint="eastAsia" w:ascii="黑体" w:hAnsi="宋体" w:eastAsia="黑体" w:cs="黑体"/>
                <w:color w:val="000000"/>
                <w:kern w:val="0"/>
                <w:sz w:val="20"/>
                <w:szCs w:val="20"/>
              </w:rPr>
              <w:t>财政资金</w:t>
            </w:r>
          </w:p>
          <w:p w14:paraId="3DD7F272">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25BC6518">
            <w:pPr>
              <w:widowControl/>
              <w:spacing w:line="240" w:lineRule="exact"/>
              <w:jc w:val="center"/>
              <w:textAlignment w:val="center"/>
              <w:rPr>
                <w:rFonts w:hint="default" w:ascii="仿宋_GB2312" w:hAnsi="宋体" w:eastAsia="仿宋_GB2312" w:cs="仿宋_GB2312"/>
                <w:color w:val="000000"/>
                <w:sz w:val="20"/>
                <w:szCs w:val="20"/>
                <w:lang w:val="en-US"/>
              </w:rPr>
            </w:pPr>
            <w:r>
              <w:rPr>
                <w:rFonts w:hint="eastAsia" w:ascii="仿宋_GB2312" w:hAnsi="宋体" w:eastAsia="仿宋_GB2312" w:cs="仿宋_GB2312"/>
                <w:color w:val="000000"/>
                <w:sz w:val="20"/>
                <w:szCs w:val="20"/>
                <w:lang w:val="en-US" w:eastAsia="zh-CN"/>
              </w:rPr>
              <w:t>0.00</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1C964AD">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中央财政资金</w:t>
            </w:r>
          </w:p>
          <w:p w14:paraId="37C0F3F0">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F49F5D">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lang w:val="en-US" w:eastAsia="zh-CN"/>
              </w:rPr>
              <w:t xml:space="preserve">100% </w:t>
            </w:r>
          </w:p>
        </w:tc>
      </w:tr>
      <w:tr w14:paraId="71D879DC">
        <w:tblPrEx>
          <w:tblCellMar>
            <w:top w:w="15" w:type="dxa"/>
            <w:left w:w="15" w:type="dxa"/>
            <w:bottom w:w="15" w:type="dxa"/>
            <w:right w:w="15" w:type="dxa"/>
          </w:tblCellMar>
        </w:tblPrEx>
        <w:trPr>
          <w:trHeight w:val="48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79B733">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项目类别</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3B80CE8D">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补助类</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25A5398">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抽查类别</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2A0EB6A2">
            <w:pPr>
              <w:widowControl/>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补助类</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72BA749">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类别抽查占比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018113">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100%</w:t>
            </w:r>
          </w:p>
        </w:tc>
      </w:tr>
      <w:tr w14:paraId="52732C8E">
        <w:tblPrEx>
          <w:tblCellMar>
            <w:top w:w="15" w:type="dxa"/>
            <w:left w:w="15" w:type="dxa"/>
            <w:bottom w:w="15" w:type="dxa"/>
            <w:right w:w="15" w:type="dxa"/>
          </w:tblCellMar>
        </w:tblPrEx>
        <w:trPr>
          <w:trHeight w:val="48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170162">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项目数量</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5D3577DF">
            <w:pPr>
              <w:widowControl/>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A86D4DF">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抽查项目数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4B968F5E">
            <w:pPr>
              <w:widowControl/>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C078E37">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项目抽查占比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4A4DC2">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100%</w:t>
            </w:r>
          </w:p>
        </w:tc>
      </w:tr>
      <w:tr w14:paraId="541FF42F">
        <w:tblPrEx>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14:paraId="58D57A44">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涉及市县数</w:t>
            </w:r>
          </w:p>
          <w:p w14:paraId="09530A05">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或项目点</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14:paraId="49C82E8E">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1</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14:paraId="65CFFED4">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抽查市县数</w:t>
            </w:r>
          </w:p>
          <w:p w14:paraId="694BE572">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或项目点</w:t>
            </w:r>
          </w:p>
        </w:tc>
        <w:tc>
          <w:tcPr>
            <w:tcW w:w="1134" w:type="dxa"/>
            <w:gridSpan w:val="3"/>
            <w:tcBorders>
              <w:top w:val="single" w:color="000000" w:sz="4" w:space="0"/>
              <w:left w:val="single" w:color="000000" w:sz="4" w:space="0"/>
              <w:bottom w:val="single" w:color="auto" w:sz="4" w:space="0"/>
              <w:right w:val="single" w:color="auto" w:sz="4" w:space="0"/>
            </w:tcBorders>
            <w:shd w:val="clear" w:color="auto" w:fill="auto"/>
            <w:vAlign w:val="center"/>
          </w:tcPr>
          <w:p w14:paraId="65A25929">
            <w:pPr>
              <w:widowControl/>
              <w:spacing w:line="240" w:lineRule="exact"/>
              <w:jc w:val="center"/>
              <w:textAlignment w:val="center"/>
              <w:rPr>
                <w:rFonts w:hint="default" w:ascii="黑体" w:hAnsi="宋体" w:eastAsia="仿宋_GB2312" w:cs="黑体"/>
                <w:color w:val="000000"/>
                <w:kern w:val="0"/>
                <w:sz w:val="20"/>
                <w:szCs w:val="20"/>
                <w:lang w:val="en-US" w:eastAsia="zh-CN"/>
              </w:rPr>
            </w:pPr>
            <w:r>
              <w:rPr>
                <w:rFonts w:hint="eastAsia" w:ascii="黑体" w:hAnsi="宋体" w:eastAsia="仿宋_GB2312" w:cs="黑体"/>
                <w:color w:val="000000"/>
                <w:kern w:val="0"/>
                <w:sz w:val="20"/>
                <w:szCs w:val="20"/>
                <w:lang w:val="en-US" w:eastAsia="zh-CN"/>
              </w:rPr>
              <w:t>1</w:t>
            </w:r>
          </w:p>
        </w:tc>
        <w:tc>
          <w:tcPr>
            <w:tcW w:w="992" w:type="dxa"/>
            <w:tcBorders>
              <w:top w:val="single" w:color="000000" w:sz="4" w:space="0"/>
              <w:left w:val="single" w:color="auto" w:sz="4" w:space="0"/>
              <w:bottom w:val="single" w:color="auto" w:sz="4" w:space="0"/>
              <w:right w:val="single" w:color="000000" w:sz="4" w:space="0"/>
            </w:tcBorders>
            <w:shd w:val="clear" w:color="auto" w:fill="auto"/>
            <w:vAlign w:val="center"/>
          </w:tcPr>
          <w:p w14:paraId="0BA4E207">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抽查</w:t>
            </w:r>
          </w:p>
          <w:p w14:paraId="60DEF50D">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区域</w:t>
            </w:r>
          </w:p>
        </w:tc>
        <w:tc>
          <w:tcPr>
            <w:tcW w:w="3298" w:type="dxa"/>
            <w:gridSpan w:val="4"/>
            <w:tcBorders>
              <w:top w:val="single" w:color="000000" w:sz="4" w:space="0"/>
              <w:left w:val="single" w:color="000000" w:sz="4" w:space="0"/>
              <w:bottom w:val="single" w:color="auto" w:sz="4" w:space="0"/>
              <w:right w:val="single" w:color="000000" w:sz="4" w:space="0"/>
            </w:tcBorders>
            <w:shd w:val="clear" w:color="auto" w:fill="auto"/>
            <w:vAlign w:val="center"/>
          </w:tcPr>
          <w:p w14:paraId="02BB9789">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洛浦县9个乡镇</w:t>
            </w:r>
          </w:p>
        </w:tc>
      </w:tr>
      <w:tr w14:paraId="19FB9DE9">
        <w:tblPrEx>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14:paraId="346612CA">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发放调查</w:t>
            </w:r>
          </w:p>
          <w:p w14:paraId="718A0460">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问卷</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14:paraId="2B3156B4">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35</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14:paraId="4C81E211">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有效调查</w:t>
            </w:r>
          </w:p>
          <w:p w14:paraId="071E666C">
            <w:pPr>
              <w:widowControl/>
              <w:spacing w:line="240" w:lineRule="exact"/>
              <w:jc w:val="center"/>
              <w:textAlignment w:val="center"/>
              <w:rPr>
                <w:rFonts w:ascii="黑体" w:hAnsi="黑体" w:eastAsia="黑体" w:cs="仿宋_GB2312"/>
                <w:color w:val="000000"/>
                <w:kern w:val="0"/>
                <w:sz w:val="20"/>
                <w:szCs w:val="20"/>
              </w:rPr>
            </w:pPr>
            <w:r>
              <w:rPr>
                <w:rFonts w:hint="eastAsia" w:ascii="黑体" w:hAnsi="宋体" w:eastAsia="黑体" w:cs="黑体"/>
                <w:color w:val="000000"/>
                <w:kern w:val="0"/>
                <w:sz w:val="20"/>
                <w:szCs w:val="20"/>
              </w:rPr>
              <w:t>问卷</w:t>
            </w:r>
          </w:p>
        </w:tc>
        <w:tc>
          <w:tcPr>
            <w:tcW w:w="1134" w:type="dxa"/>
            <w:gridSpan w:val="3"/>
            <w:tcBorders>
              <w:top w:val="single" w:color="000000" w:sz="4" w:space="0"/>
              <w:left w:val="single" w:color="000000" w:sz="4" w:space="0"/>
              <w:bottom w:val="single" w:color="auto" w:sz="4" w:space="0"/>
              <w:right w:val="single" w:color="auto" w:sz="4" w:space="0"/>
            </w:tcBorders>
            <w:shd w:val="clear" w:color="auto" w:fill="auto"/>
            <w:vAlign w:val="center"/>
          </w:tcPr>
          <w:p w14:paraId="74711362">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35</w:t>
            </w:r>
          </w:p>
        </w:tc>
        <w:tc>
          <w:tcPr>
            <w:tcW w:w="992" w:type="dxa"/>
            <w:tcBorders>
              <w:top w:val="single" w:color="000000" w:sz="4" w:space="0"/>
              <w:left w:val="single" w:color="auto" w:sz="4" w:space="0"/>
              <w:bottom w:val="single" w:color="auto" w:sz="4" w:space="0"/>
              <w:right w:val="single" w:color="000000" w:sz="4" w:space="0"/>
            </w:tcBorders>
            <w:shd w:val="clear" w:color="auto" w:fill="auto"/>
            <w:vAlign w:val="center"/>
          </w:tcPr>
          <w:p w14:paraId="32873296">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满意度</w:t>
            </w:r>
          </w:p>
          <w:p w14:paraId="1178A907">
            <w:pPr>
              <w:widowControl/>
              <w:spacing w:line="240" w:lineRule="exact"/>
              <w:jc w:val="center"/>
              <w:textAlignment w:val="center"/>
              <w:rPr>
                <w:rFonts w:ascii="仿宋_GB2312" w:hAnsi="宋体" w:eastAsia="仿宋_GB2312" w:cs="仿宋_GB2312"/>
                <w:color w:val="000000"/>
                <w:kern w:val="0"/>
                <w:sz w:val="20"/>
                <w:szCs w:val="20"/>
              </w:rPr>
            </w:pPr>
            <w:r>
              <w:rPr>
                <w:rFonts w:hint="eastAsia" w:ascii="黑体" w:hAnsi="宋体" w:eastAsia="黑体" w:cs="黑体"/>
                <w:color w:val="000000"/>
                <w:kern w:val="0"/>
                <w:sz w:val="20"/>
                <w:szCs w:val="20"/>
              </w:rPr>
              <w:t>情况</w:t>
            </w:r>
          </w:p>
        </w:tc>
        <w:tc>
          <w:tcPr>
            <w:tcW w:w="3298" w:type="dxa"/>
            <w:gridSpan w:val="4"/>
            <w:tcBorders>
              <w:top w:val="single" w:color="000000" w:sz="4" w:space="0"/>
              <w:left w:val="single" w:color="000000" w:sz="4" w:space="0"/>
              <w:bottom w:val="single" w:color="auto" w:sz="4" w:space="0"/>
              <w:right w:val="single" w:color="000000" w:sz="4" w:space="0"/>
            </w:tcBorders>
            <w:shd w:val="clear" w:color="auto" w:fill="auto"/>
            <w:vAlign w:val="center"/>
          </w:tcPr>
          <w:p w14:paraId="0C921366">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100%</w:t>
            </w:r>
          </w:p>
        </w:tc>
      </w:tr>
      <w:tr w14:paraId="162DBF23">
        <w:tblPrEx>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14:paraId="654E6F5B">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绩效目标</w:t>
            </w:r>
          </w:p>
          <w:p w14:paraId="6CFD731E">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实现情况</w:t>
            </w:r>
          </w:p>
        </w:tc>
        <w:tc>
          <w:tcPr>
            <w:tcW w:w="7692" w:type="dxa"/>
            <w:gridSpan w:val="12"/>
            <w:tcBorders>
              <w:top w:val="single" w:color="000000" w:sz="4" w:space="0"/>
              <w:left w:val="single" w:color="000000" w:sz="4" w:space="0"/>
              <w:bottom w:val="single" w:color="auto" w:sz="4" w:space="0"/>
              <w:right w:val="single" w:color="000000" w:sz="4" w:space="0"/>
            </w:tcBorders>
            <w:shd w:val="clear" w:color="auto" w:fill="auto"/>
            <w:vAlign w:val="center"/>
          </w:tcPr>
          <w:p w14:paraId="4D2F3014">
            <w:pPr>
              <w:keepNext w:val="0"/>
              <w:keepLines w:val="0"/>
              <w:pageBreakBefore w:val="0"/>
              <w:widowControl/>
              <w:kinsoku/>
              <w:wordWrap/>
              <w:overflowPunct/>
              <w:topLinePunct w:val="0"/>
              <w:autoSpaceDE/>
              <w:autoSpaceDN/>
              <w:bidi w:val="0"/>
              <w:adjustRightInd/>
              <w:snapToGrid/>
              <w:spacing w:line="240" w:lineRule="exact"/>
              <w:ind w:firstLine="0" w:firstLineChars="0"/>
              <w:jc w:val="left"/>
              <w:textAlignment w:val="center"/>
              <w:rPr>
                <w:rFonts w:hint="default" w:ascii="仿宋_GB2312" w:hAnsi="宋体" w:eastAsia="仿宋_GB2312" w:cs="仿宋_GB2312"/>
                <w:color w:val="000000"/>
                <w:sz w:val="20"/>
                <w:szCs w:val="20"/>
                <w:lang w:val="en-US" w:eastAsia="zh-CN"/>
              </w:rPr>
            </w:pPr>
            <w:r>
              <w:rPr>
                <w:rFonts w:hint="default" w:ascii="仿宋_GB2312" w:hAnsi="宋体" w:eastAsia="仿宋_GB2312" w:cs="仿宋_GB2312"/>
                <w:color w:val="000000"/>
                <w:sz w:val="20"/>
                <w:szCs w:val="20"/>
                <w:lang w:val="en-US" w:eastAsia="zh-CN"/>
              </w:rPr>
              <w:t>完成了支付150名残疾人评定补贴，支付了13名残疾人在康复过程所需的费用，购买了矫形鞋，矫形器，轮椅，假肢接受腔，听书机，助听器，拐杖，餐具等器具，改善了残疾儿童功能状况，提高了残疾人参与社会生产生活的能力，提高了残疾人康复服务水平</w:t>
            </w:r>
            <w:r>
              <w:rPr>
                <w:rFonts w:hint="eastAsia" w:ascii="仿宋_GB2312" w:hAnsi="宋体" w:eastAsia="仿宋_GB2312" w:cs="仿宋_GB2312"/>
                <w:color w:val="000000"/>
                <w:sz w:val="20"/>
                <w:szCs w:val="20"/>
                <w:lang w:val="en-US" w:eastAsia="zh-CN"/>
              </w:rPr>
              <w:t>。</w:t>
            </w:r>
          </w:p>
        </w:tc>
      </w:tr>
      <w:tr w14:paraId="09CC1918">
        <w:tblPrEx>
          <w:tblCellMar>
            <w:top w:w="15" w:type="dxa"/>
            <w:left w:w="15" w:type="dxa"/>
            <w:bottom w:w="15" w:type="dxa"/>
            <w:right w:w="15" w:type="dxa"/>
          </w:tblCellMar>
        </w:tblPrEx>
        <w:trPr>
          <w:trHeight w:val="540" w:hRule="atLeast"/>
        </w:trPr>
        <w:tc>
          <w:tcPr>
            <w:tcW w:w="1291" w:type="dxa"/>
            <w:tcBorders>
              <w:top w:val="single" w:color="auto" w:sz="4" w:space="0"/>
              <w:left w:val="single" w:color="auto" w:sz="4" w:space="0"/>
              <w:bottom w:val="single" w:color="auto" w:sz="4" w:space="0"/>
              <w:right w:val="single" w:color="auto" w:sz="4" w:space="0"/>
            </w:tcBorders>
            <w:shd w:val="clear" w:color="auto" w:fill="auto"/>
            <w:vAlign w:val="center"/>
          </w:tcPr>
          <w:p w14:paraId="3E71C433">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评价问题</w:t>
            </w:r>
          </w:p>
          <w:p w14:paraId="09130A31">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简要情况</w:t>
            </w:r>
          </w:p>
        </w:tc>
        <w:tc>
          <w:tcPr>
            <w:tcW w:w="7692" w:type="dxa"/>
            <w:gridSpan w:val="12"/>
            <w:tcBorders>
              <w:top w:val="single" w:color="auto" w:sz="4" w:space="0"/>
              <w:left w:val="single" w:color="auto" w:sz="4" w:space="0"/>
              <w:bottom w:val="single" w:color="auto" w:sz="4" w:space="0"/>
              <w:right w:val="single" w:color="auto" w:sz="4" w:space="0"/>
            </w:tcBorders>
            <w:shd w:val="clear" w:color="auto" w:fill="auto"/>
            <w:vAlign w:val="center"/>
          </w:tcPr>
          <w:p w14:paraId="78F96861">
            <w:pPr>
              <w:keepNext w:val="0"/>
              <w:keepLines w:val="0"/>
              <w:pageBreakBefore w:val="0"/>
              <w:widowControl/>
              <w:kinsoku/>
              <w:wordWrap/>
              <w:overflowPunct/>
              <w:topLinePunct w:val="0"/>
              <w:autoSpaceDE/>
              <w:autoSpaceDN/>
              <w:bidi w:val="0"/>
              <w:adjustRightInd/>
              <w:snapToGrid/>
              <w:spacing w:line="240" w:lineRule="exact"/>
              <w:ind w:firstLine="0" w:firstLineChars="0"/>
              <w:jc w:val="left"/>
              <w:textAlignment w:val="center"/>
              <w:rPr>
                <w:rFonts w:hint="eastAsia" w:ascii="仿宋_GB2312" w:hAnsi="仿宋_GB2312" w:eastAsia="仿宋_GB2312" w:cs="仿宋_GB2312"/>
                <w:kern w:val="2"/>
                <w:sz w:val="24"/>
                <w:szCs w:val="24"/>
                <w:highlight w:val="none"/>
                <w:lang w:val="en-US" w:eastAsia="zh-CN" w:bidi="ar-SA"/>
              </w:rPr>
            </w:pPr>
            <w:r>
              <w:rPr>
                <w:rFonts w:hint="eastAsia" w:ascii="仿宋_GB2312" w:hAnsi="宋体" w:eastAsia="仿宋_GB2312" w:cs="仿宋_GB2312"/>
                <w:color w:val="000000"/>
                <w:sz w:val="20"/>
                <w:szCs w:val="20"/>
                <w:lang w:val="en-US" w:eastAsia="zh-CN"/>
              </w:rPr>
              <w:t>洛浦县残疾人联合会认真实施项目，按照实际需求基本完成了年度绩效目标，但是辅助器具购买并发放给医院之后单位没有跟踪后期工作，未监督器具使用情况，缺乏对项目后期工作的监管监督跟踪。</w:t>
            </w:r>
          </w:p>
        </w:tc>
      </w:tr>
      <w:tr w14:paraId="46AE05B6">
        <w:tblPrEx>
          <w:tblCellMar>
            <w:top w:w="15" w:type="dxa"/>
            <w:left w:w="15" w:type="dxa"/>
            <w:bottom w:w="15" w:type="dxa"/>
            <w:right w:w="15" w:type="dxa"/>
          </w:tblCellMar>
        </w:tblPrEx>
        <w:trPr>
          <w:trHeight w:val="512" w:hRule="atLeast"/>
        </w:trPr>
        <w:tc>
          <w:tcPr>
            <w:tcW w:w="1291" w:type="dxa"/>
            <w:tcBorders>
              <w:top w:val="single" w:color="auto" w:sz="4" w:space="0"/>
              <w:left w:val="single" w:color="000000" w:sz="4" w:space="0"/>
              <w:bottom w:val="single" w:color="000000" w:sz="4" w:space="0"/>
              <w:right w:val="single" w:color="000000" w:sz="4" w:space="0"/>
            </w:tcBorders>
            <w:shd w:val="clear" w:color="auto" w:fill="auto"/>
            <w:vAlign w:val="center"/>
          </w:tcPr>
          <w:p w14:paraId="2BB1597E">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评价问题</w:t>
            </w:r>
          </w:p>
          <w:p w14:paraId="06B003DC">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简要建议</w:t>
            </w:r>
          </w:p>
        </w:tc>
        <w:tc>
          <w:tcPr>
            <w:tcW w:w="7692" w:type="dxa"/>
            <w:gridSpan w:val="12"/>
            <w:tcBorders>
              <w:top w:val="single" w:color="auto" w:sz="4" w:space="0"/>
              <w:left w:val="single" w:color="000000" w:sz="4" w:space="0"/>
              <w:bottom w:val="single" w:color="000000" w:sz="4" w:space="0"/>
              <w:right w:val="single" w:color="000000" w:sz="4" w:space="0"/>
            </w:tcBorders>
            <w:shd w:val="clear" w:color="auto" w:fill="auto"/>
            <w:vAlign w:val="center"/>
          </w:tcPr>
          <w:p w14:paraId="173B01B5">
            <w:pPr>
              <w:keepNext w:val="0"/>
              <w:keepLines w:val="0"/>
              <w:pageBreakBefore w:val="0"/>
              <w:widowControl w:val="0"/>
              <w:kinsoku/>
              <w:wordWrap/>
              <w:overflowPunct/>
              <w:topLinePunct w:val="0"/>
              <w:autoSpaceDE/>
              <w:autoSpaceDN/>
              <w:bidi w:val="0"/>
              <w:adjustRightInd/>
              <w:snapToGrid/>
              <w:spacing w:line="240" w:lineRule="exact"/>
              <w:ind w:firstLine="0" w:firstLineChars="0"/>
              <w:textAlignment w:val="auto"/>
              <w:rPr>
                <w:rFonts w:hint="eastAsia" w:ascii="仿宋_GB2312" w:hAnsi="仿宋_GB2312" w:eastAsia="仿宋_GB2312" w:cs="仿宋_GB2312"/>
                <w:kern w:val="2"/>
                <w:sz w:val="24"/>
                <w:szCs w:val="24"/>
                <w:highlight w:val="none"/>
                <w:lang w:val="en-US" w:eastAsia="zh-CN" w:bidi="ar-SA"/>
              </w:rPr>
            </w:pPr>
            <w:r>
              <w:rPr>
                <w:rFonts w:hint="eastAsia" w:ascii="仿宋_GB2312" w:hAnsi="宋体" w:eastAsia="仿宋_GB2312" w:cs="仿宋_GB2312"/>
                <w:color w:val="000000"/>
                <w:sz w:val="20"/>
                <w:szCs w:val="20"/>
                <w:lang w:val="en-US" w:eastAsia="zh-CN"/>
              </w:rPr>
              <w:t>进一步落实单位项目管理办法，提高项目管理规范性，明确各级管理部门对项目管理的责任，进一步完善项目监督管理机制，做好项目后期跟踪监管工作，时刻了解项目带来的效益情况，为后年度项目实施积累经验，推动各项残疾人政策的落实，改善残疾儿童功能状况。</w:t>
            </w:r>
          </w:p>
        </w:tc>
      </w:tr>
      <w:tr w14:paraId="6F285CF4">
        <w:tblPrEx>
          <w:tblCellMar>
            <w:top w:w="15" w:type="dxa"/>
            <w:left w:w="15" w:type="dxa"/>
            <w:bottom w:w="15" w:type="dxa"/>
            <w:right w:w="15" w:type="dxa"/>
          </w:tblCellMar>
        </w:tblPrEx>
        <w:trPr>
          <w:trHeight w:val="1198" w:hRule="atLeast"/>
        </w:trPr>
        <w:tc>
          <w:tcPr>
            <w:tcW w:w="1291" w:type="dxa"/>
            <w:tcBorders>
              <w:top w:val="single" w:color="auto" w:sz="4" w:space="0"/>
              <w:left w:val="single" w:color="000000" w:sz="4" w:space="0"/>
              <w:bottom w:val="single" w:color="auto" w:sz="4" w:space="0"/>
              <w:right w:val="single" w:color="000000" w:sz="4" w:space="0"/>
            </w:tcBorders>
            <w:shd w:val="clear" w:color="auto" w:fill="auto"/>
            <w:vAlign w:val="center"/>
          </w:tcPr>
          <w:p w14:paraId="1B7C0CB6">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评价结果</w:t>
            </w:r>
          </w:p>
          <w:p w14:paraId="00C5EF71">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应用建议</w:t>
            </w:r>
          </w:p>
        </w:tc>
        <w:tc>
          <w:tcPr>
            <w:tcW w:w="7692" w:type="dxa"/>
            <w:gridSpan w:val="12"/>
            <w:tcBorders>
              <w:top w:val="single" w:color="auto" w:sz="4" w:space="0"/>
              <w:left w:val="single" w:color="000000" w:sz="4" w:space="0"/>
              <w:bottom w:val="single" w:color="auto" w:sz="4" w:space="0"/>
              <w:right w:val="single" w:color="000000" w:sz="4" w:space="0"/>
            </w:tcBorders>
            <w:shd w:val="clear" w:color="auto" w:fill="auto"/>
            <w:vAlign w:val="center"/>
          </w:tcPr>
          <w:p w14:paraId="77942389">
            <w:pPr>
              <w:widowControl/>
              <w:spacing w:line="240" w:lineRule="exact"/>
              <w:jc w:val="left"/>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rPr>
              <w:t>1.建议将此次绩效评价过程中发现的问题进行及时整改；</w:t>
            </w:r>
          </w:p>
          <w:p w14:paraId="673B613E">
            <w:pPr>
              <w:widowControl/>
              <w:spacing w:line="240" w:lineRule="exact"/>
              <w:jc w:val="left"/>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rPr>
              <w:t>2.建议加大对绩效评价结果的应用，此次绩效评价结果，可作为202</w:t>
            </w:r>
            <w:r>
              <w:rPr>
                <w:rFonts w:hint="eastAsia" w:ascii="仿宋_GB2312" w:hAnsi="宋体" w:eastAsia="仿宋_GB2312" w:cs="仿宋_GB2312"/>
                <w:color w:val="000000"/>
                <w:sz w:val="20"/>
                <w:szCs w:val="20"/>
                <w:highlight w:val="none"/>
                <w:lang w:val="en-US" w:eastAsia="zh-CN"/>
              </w:rPr>
              <w:t>2</w:t>
            </w:r>
            <w:r>
              <w:rPr>
                <w:rFonts w:hint="eastAsia" w:ascii="仿宋_GB2312" w:hAnsi="宋体" w:eastAsia="仿宋_GB2312" w:cs="仿宋_GB2312"/>
                <w:color w:val="000000"/>
                <w:sz w:val="20"/>
                <w:szCs w:val="20"/>
                <w:highlight w:val="none"/>
              </w:rPr>
              <w:t>年各部门（单位）改进管理、调整财政支出方向、预算编制和安排财政资金的重要依据；</w:t>
            </w:r>
          </w:p>
          <w:p w14:paraId="414E4A85">
            <w:pPr>
              <w:widowControl/>
              <w:spacing w:line="240" w:lineRule="exact"/>
              <w:jc w:val="left"/>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highlight w:val="none"/>
              </w:rPr>
              <w:t>3.建议建立绩效评价结果应用制度，将</w:t>
            </w: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年绩效评价结果进行公示、公开。</w:t>
            </w:r>
          </w:p>
        </w:tc>
      </w:tr>
      <w:tr w14:paraId="6B885DAF">
        <w:tblPrEx>
          <w:tblCellMar>
            <w:top w:w="15" w:type="dxa"/>
            <w:left w:w="15" w:type="dxa"/>
            <w:bottom w:w="15" w:type="dxa"/>
            <w:right w:w="15" w:type="dxa"/>
          </w:tblCellMar>
        </w:tblPrEx>
        <w:trPr>
          <w:trHeight w:val="424" w:hRule="atLeast"/>
        </w:trPr>
        <w:tc>
          <w:tcPr>
            <w:tcW w:w="2245" w:type="dxa"/>
            <w:gridSpan w:val="2"/>
            <w:tcBorders>
              <w:top w:val="single" w:color="auto" w:sz="4" w:space="0"/>
              <w:left w:val="single" w:color="000000" w:sz="4" w:space="0"/>
              <w:bottom w:val="single" w:color="auto" w:sz="4" w:space="0"/>
              <w:right w:val="single" w:color="000000" w:sz="4" w:space="0"/>
            </w:tcBorders>
            <w:shd w:val="clear" w:color="auto" w:fill="auto"/>
            <w:vAlign w:val="center"/>
          </w:tcPr>
          <w:p w14:paraId="0863AE55">
            <w:pPr>
              <w:widowControl/>
              <w:spacing w:line="240" w:lineRule="exact"/>
              <w:jc w:val="center"/>
              <w:textAlignment w:val="center"/>
              <w:rPr>
                <w:rFonts w:ascii="黑体" w:hAnsi="黑体" w:eastAsia="黑体" w:cs="仿宋_GB2312"/>
                <w:color w:val="000000"/>
                <w:sz w:val="20"/>
                <w:szCs w:val="20"/>
                <w:highlight w:val="none"/>
              </w:rPr>
            </w:pPr>
            <w:r>
              <w:rPr>
                <w:rFonts w:hint="eastAsia" w:ascii="黑体" w:hAnsi="黑体" w:eastAsia="黑体" w:cs="仿宋_GB2312"/>
                <w:color w:val="000000"/>
                <w:sz w:val="20"/>
                <w:szCs w:val="20"/>
                <w:highlight w:val="none"/>
              </w:rPr>
              <w:t>评价时间</w:t>
            </w:r>
          </w:p>
        </w:tc>
        <w:tc>
          <w:tcPr>
            <w:tcW w:w="2246" w:type="dxa"/>
            <w:gridSpan w:val="5"/>
            <w:tcBorders>
              <w:top w:val="single" w:color="auto" w:sz="4" w:space="0"/>
              <w:left w:val="single" w:color="000000" w:sz="4" w:space="0"/>
              <w:bottom w:val="single" w:color="auto" w:sz="4" w:space="0"/>
              <w:right w:val="single" w:color="000000" w:sz="4" w:space="0"/>
            </w:tcBorders>
            <w:shd w:val="clear" w:color="auto" w:fill="auto"/>
            <w:vAlign w:val="center"/>
          </w:tcPr>
          <w:p w14:paraId="4737EBDD">
            <w:pPr>
              <w:widowControl/>
              <w:spacing w:line="240" w:lineRule="exact"/>
              <w:jc w:val="left"/>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年</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月</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日至</w:t>
            </w: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2</w:t>
            </w:r>
            <w:r>
              <w:rPr>
                <w:rFonts w:hint="eastAsia" w:ascii="仿宋_GB2312" w:hAnsi="宋体" w:eastAsia="仿宋_GB2312" w:cs="仿宋_GB2312"/>
                <w:color w:val="000000"/>
                <w:sz w:val="20"/>
                <w:szCs w:val="20"/>
                <w:highlight w:val="none"/>
              </w:rPr>
              <w:t>年</w:t>
            </w:r>
            <w:r>
              <w:rPr>
                <w:rFonts w:hint="eastAsia" w:ascii="仿宋_GB2312" w:hAnsi="宋体" w:eastAsia="仿宋_GB2312" w:cs="仿宋_GB2312"/>
                <w:color w:val="000000"/>
                <w:sz w:val="20"/>
                <w:szCs w:val="20"/>
                <w:highlight w:val="none"/>
                <w:lang w:val="en-US" w:eastAsia="zh-CN"/>
              </w:rPr>
              <w:t>06</w:t>
            </w:r>
            <w:r>
              <w:rPr>
                <w:rFonts w:hint="eastAsia" w:ascii="仿宋_GB2312" w:hAnsi="宋体" w:eastAsia="仿宋_GB2312" w:cs="仿宋_GB2312"/>
                <w:color w:val="000000"/>
                <w:sz w:val="20"/>
                <w:szCs w:val="20"/>
                <w:highlight w:val="none"/>
              </w:rPr>
              <w:t>月</w:t>
            </w:r>
            <w:r>
              <w:rPr>
                <w:rFonts w:hint="eastAsia" w:ascii="仿宋_GB2312" w:hAnsi="宋体" w:eastAsia="仿宋_GB2312" w:cs="仿宋_GB2312"/>
                <w:color w:val="000000"/>
                <w:sz w:val="20"/>
                <w:szCs w:val="20"/>
                <w:highlight w:val="none"/>
                <w:lang w:val="en-US" w:eastAsia="zh-CN"/>
              </w:rPr>
              <w:t>30</w:t>
            </w:r>
            <w:r>
              <w:rPr>
                <w:rFonts w:hint="eastAsia" w:ascii="仿宋_GB2312" w:hAnsi="宋体" w:eastAsia="仿宋_GB2312" w:cs="仿宋_GB2312"/>
                <w:color w:val="000000"/>
                <w:sz w:val="20"/>
                <w:szCs w:val="20"/>
                <w:highlight w:val="none"/>
              </w:rPr>
              <w:t>日</w:t>
            </w:r>
          </w:p>
        </w:tc>
        <w:tc>
          <w:tcPr>
            <w:tcW w:w="2246" w:type="dxa"/>
            <w:gridSpan w:val="4"/>
            <w:tcBorders>
              <w:top w:val="single" w:color="auto" w:sz="4" w:space="0"/>
              <w:left w:val="single" w:color="000000" w:sz="4" w:space="0"/>
              <w:bottom w:val="single" w:color="auto" w:sz="4" w:space="0"/>
              <w:right w:val="single" w:color="000000" w:sz="4" w:space="0"/>
            </w:tcBorders>
            <w:shd w:val="clear" w:color="auto" w:fill="auto"/>
            <w:vAlign w:val="center"/>
          </w:tcPr>
          <w:p w14:paraId="2AD0D7C9">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评价机构报告编号</w:t>
            </w:r>
          </w:p>
        </w:tc>
        <w:tc>
          <w:tcPr>
            <w:tcW w:w="2246" w:type="dxa"/>
            <w:gridSpan w:val="2"/>
            <w:tcBorders>
              <w:top w:val="single" w:color="auto" w:sz="4" w:space="0"/>
              <w:left w:val="single" w:color="000000" w:sz="4" w:space="0"/>
              <w:bottom w:val="single" w:color="auto" w:sz="4" w:space="0"/>
              <w:right w:val="single" w:color="000000" w:sz="4" w:space="0"/>
            </w:tcBorders>
            <w:shd w:val="clear" w:color="auto" w:fill="auto"/>
            <w:vAlign w:val="center"/>
          </w:tcPr>
          <w:p w14:paraId="461A3264">
            <w:pPr>
              <w:widowControl/>
              <w:spacing w:line="240" w:lineRule="exact"/>
              <w:jc w:val="center"/>
              <w:textAlignment w:val="center"/>
              <w:rPr>
                <w:rFonts w:hint="eastAsia" w:ascii="黑体" w:hAnsi="黑体" w:eastAsia="黑体" w:cs="仿宋_GB2312"/>
                <w:color w:val="000000"/>
                <w:sz w:val="20"/>
                <w:szCs w:val="20"/>
              </w:rPr>
            </w:pPr>
            <w:r>
              <w:rPr>
                <w:rFonts w:hint="eastAsia" w:ascii="黑体" w:hAnsi="黑体" w:eastAsia="黑体" w:cs="仿宋_GB2312"/>
                <w:color w:val="000000"/>
                <w:sz w:val="20"/>
                <w:szCs w:val="20"/>
              </w:rPr>
              <w:t>中瑞诚喀绩评字[202</w:t>
            </w:r>
            <w:r>
              <w:rPr>
                <w:rFonts w:hint="eastAsia" w:ascii="黑体" w:hAnsi="黑体" w:eastAsia="黑体" w:cs="仿宋_GB2312"/>
                <w:color w:val="000000"/>
                <w:sz w:val="20"/>
                <w:szCs w:val="20"/>
                <w:lang w:val="en-US" w:eastAsia="zh-CN"/>
              </w:rPr>
              <w:t>2</w:t>
            </w:r>
            <w:r>
              <w:rPr>
                <w:rFonts w:hint="eastAsia" w:ascii="黑体" w:hAnsi="黑体" w:eastAsia="黑体" w:cs="仿宋_GB2312"/>
                <w:color w:val="000000"/>
                <w:sz w:val="20"/>
                <w:szCs w:val="20"/>
              </w:rPr>
              <w:t>]</w:t>
            </w:r>
            <w:r>
              <w:rPr>
                <w:rFonts w:hint="eastAsia" w:ascii="黑体" w:hAnsi="黑体" w:eastAsia="黑体" w:cs="仿宋_GB2312"/>
                <w:color w:val="000000"/>
                <w:sz w:val="20"/>
                <w:szCs w:val="20"/>
                <w:lang w:val="en-US" w:eastAsia="zh-CN"/>
              </w:rPr>
              <w:t>140</w:t>
            </w:r>
            <w:r>
              <w:rPr>
                <w:rFonts w:hint="eastAsia" w:ascii="黑体" w:hAnsi="黑体" w:eastAsia="黑体" w:cs="仿宋_GB2312"/>
                <w:color w:val="000000"/>
                <w:sz w:val="20"/>
                <w:szCs w:val="20"/>
              </w:rPr>
              <w:t>号</w:t>
            </w:r>
          </w:p>
        </w:tc>
      </w:tr>
      <w:tr w14:paraId="3F75C5BE">
        <w:tblPrEx>
          <w:tblCellMar>
            <w:top w:w="15" w:type="dxa"/>
            <w:left w:w="15" w:type="dxa"/>
            <w:bottom w:w="15" w:type="dxa"/>
            <w:right w:w="15" w:type="dxa"/>
          </w:tblCellMar>
        </w:tblPrEx>
        <w:trPr>
          <w:trHeight w:val="955" w:hRule="atLeast"/>
        </w:trPr>
        <w:tc>
          <w:tcPr>
            <w:tcW w:w="2245" w:type="dxa"/>
            <w:gridSpan w:val="2"/>
            <w:tcBorders>
              <w:top w:val="single" w:color="auto" w:sz="4" w:space="0"/>
              <w:left w:val="single" w:color="000000" w:sz="4" w:space="0"/>
              <w:bottom w:val="single" w:color="000000" w:sz="4" w:space="0"/>
              <w:right w:val="single" w:color="000000" w:sz="4" w:space="0"/>
            </w:tcBorders>
            <w:shd w:val="clear" w:color="auto" w:fill="auto"/>
            <w:vAlign w:val="center"/>
          </w:tcPr>
          <w:p w14:paraId="2E10B6D2">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项目负责人（签字）</w:t>
            </w:r>
          </w:p>
          <w:p w14:paraId="7AD084A2">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及联系方式</w:t>
            </w:r>
          </w:p>
        </w:tc>
        <w:tc>
          <w:tcPr>
            <w:tcW w:w="2246" w:type="dxa"/>
            <w:gridSpan w:val="5"/>
            <w:tcBorders>
              <w:top w:val="single" w:color="auto" w:sz="4" w:space="0"/>
              <w:left w:val="single" w:color="000000" w:sz="4" w:space="0"/>
              <w:bottom w:val="single" w:color="000000" w:sz="4" w:space="0"/>
              <w:right w:val="single" w:color="000000" w:sz="4" w:space="0"/>
            </w:tcBorders>
            <w:shd w:val="clear" w:color="auto" w:fill="auto"/>
            <w:vAlign w:val="center"/>
          </w:tcPr>
          <w:p w14:paraId="6A4E944A">
            <w:pPr>
              <w:widowControl/>
              <w:spacing w:line="240" w:lineRule="exact"/>
              <w:jc w:val="center"/>
              <w:textAlignment w:val="center"/>
              <w:rPr>
                <w:rFonts w:hint="default" w:ascii="仿宋_GB2312" w:hAnsi="宋体" w:eastAsia="仿宋_GB2312" w:cs="仿宋_GB2312"/>
                <w:color w:val="000000"/>
                <w:sz w:val="20"/>
                <w:szCs w:val="20"/>
                <w:lang w:val="en-US"/>
              </w:rPr>
            </w:pPr>
            <w:r>
              <w:rPr>
                <w:rFonts w:hint="eastAsia" w:ascii="仿宋_GB2312" w:hAnsi="宋体" w:eastAsia="仿宋_GB2312" w:cs="仿宋_GB2312"/>
                <w:color w:val="000000"/>
                <w:sz w:val="20"/>
                <w:szCs w:val="20"/>
                <w:highlight w:val="none"/>
                <w:lang w:val="en-US" w:eastAsia="zh-CN"/>
              </w:rPr>
              <w:t>古丽热依汉 13079918673</w:t>
            </w:r>
          </w:p>
        </w:tc>
        <w:tc>
          <w:tcPr>
            <w:tcW w:w="2246" w:type="dxa"/>
            <w:gridSpan w:val="4"/>
            <w:tcBorders>
              <w:top w:val="single" w:color="auto" w:sz="4" w:space="0"/>
              <w:left w:val="single" w:color="000000" w:sz="4" w:space="0"/>
              <w:bottom w:val="single" w:color="000000" w:sz="4" w:space="0"/>
              <w:right w:val="single" w:color="000000" w:sz="4" w:space="0"/>
            </w:tcBorders>
            <w:shd w:val="clear" w:color="auto" w:fill="auto"/>
            <w:vAlign w:val="center"/>
          </w:tcPr>
          <w:p w14:paraId="241D71A2">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法定代表人（签字）</w:t>
            </w:r>
          </w:p>
          <w:p w14:paraId="651C2BD2">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及联系方式</w:t>
            </w:r>
          </w:p>
        </w:tc>
        <w:tc>
          <w:tcPr>
            <w:tcW w:w="2246" w:type="dxa"/>
            <w:gridSpan w:val="2"/>
            <w:tcBorders>
              <w:top w:val="single" w:color="auto" w:sz="4" w:space="0"/>
              <w:left w:val="single" w:color="000000" w:sz="4" w:space="0"/>
              <w:bottom w:val="single" w:color="000000" w:sz="4" w:space="0"/>
              <w:right w:val="single" w:color="000000" w:sz="4" w:space="0"/>
            </w:tcBorders>
            <w:shd w:val="clear" w:color="auto" w:fill="auto"/>
            <w:vAlign w:val="center"/>
          </w:tcPr>
          <w:p w14:paraId="6E2B658D">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lang w:val="en-US" w:eastAsia="zh-CN"/>
              </w:rPr>
              <w:t>叶金玲 13899129971</w:t>
            </w:r>
          </w:p>
        </w:tc>
      </w:tr>
    </w:tbl>
    <w:p w14:paraId="025F10E5">
      <w:pPr>
        <w:pStyle w:val="14"/>
        <w:tabs>
          <w:tab w:val="right" w:leader="dot" w:pos="8302"/>
        </w:tabs>
        <w:jc w:val="center"/>
        <w:rPr>
          <w:rFonts w:hint="eastAsia" w:ascii="微软雅黑" w:hAnsi="黑体" w:eastAsia="微软雅黑" w:cs="宋体"/>
          <w:sz w:val="44"/>
          <w:szCs w:val="44"/>
        </w:rPr>
      </w:pPr>
    </w:p>
    <w:p w14:paraId="67FA9FF6">
      <w:pPr>
        <w:pStyle w:val="14"/>
        <w:tabs>
          <w:tab w:val="right" w:leader="dot" w:pos="8302"/>
        </w:tabs>
        <w:jc w:val="center"/>
        <w:rPr>
          <w:rFonts w:hint="eastAsia" w:ascii="微软雅黑" w:hAnsi="黑体" w:eastAsia="微软雅黑" w:cs="宋体"/>
          <w:sz w:val="44"/>
          <w:szCs w:val="44"/>
        </w:rPr>
      </w:pPr>
    </w:p>
    <w:p w14:paraId="6A595984">
      <w:pPr>
        <w:pStyle w:val="14"/>
        <w:tabs>
          <w:tab w:val="right" w:leader="dot" w:pos="8302"/>
        </w:tabs>
        <w:jc w:val="center"/>
        <w:rPr>
          <w:rFonts w:ascii="微软雅黑" w:hAnsi="黑体" w:eastAsia="微软雅黑" w:cs="宋体"/>
          <w:sz w:val="44"/>
          <w:szCs w:val="44"/>
        </w:rPr>
      </w:pPr>
      <w:r>
        <w:rPr>
          <w:rFonts w:hint="eastAsia" w:ascii="微软雅黑" w:hAnsi="黑体" w:eastAsia="微软雅黑" w:cs="宋体"/>
          <w:sz w:val="44"/>
          <w:szCs w:val="44"/>
        </w:rPr>
        <w:t>摘   要</w:t>
      </w:r>
    </w:p>
    <w:p w14:paraId="1B1AD19B">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ascii="仿宋" w:hAnsi="仿宋" w:eastAsia="仿宋" w:cs="仿宋"/>
          <w:sz w:val="32"/>
          <w:szCs w:val="32"/>
        </w:rPr>
      </w:pPr>
      <w:r>
        <w:rPr>
          <w:rFonts w:hint="eastAsia" w:ascii="仿宋_GB2312" w:hAnsi="仿宋_GB2312" w:eastAsia="仿宋_GB2312" w:cs="仿宋_GB2312"/>
          <w:sz w:val="32"/>
          <w:szCs w:val="32"/>
          <w:highlight w:val="none"/>
        </w:rPr>
        <w:t>为规范和加强财政资金的管理，</w:t>
      </w:r>
      <w:r>
        <w:rPr>
          <w:rFonts w:hint="eastAsia" w:ascii="仿宋_GB2312" w:hAnsi="仿宋_GB2312" w:eastAsia="仿宋_GB2312" w:cs="仿宋_GB2312"/>
          <w:sz w:val="32"/>
          <w:szCs w:val="32"/>
          <w:highlight w:val="none"/>
          <w:lang w:eastAsia="zh-CN"/>
        </w:rPr>
        <w:t>优化财政支出结构、</w:t>
      </w:r>
      <w:r>
        <w:rPr>
          <w:rFonts w:hint="eastAsia" w:ascii="仿宋_GB2312" w:hAnsi="仿宋_GB2312" w:eastAsia="仿宋_GB2312" w:cs="仿宋_GB2312"/>
          <w:sz w:val="32"/>
          <w:szCs w:val="32"/>
          <w:highlight w:val="none"/>
        </w:rPr>
        <w:t>进一步发挥绩效管理工作对财政资金使用管理的导向和激励作用，提高资金使用效益</w:t>
      </w:r>
      <w:r>
        <w:rPr>
          <w:rFonts w:hint="eastAsia" w:ascii="仿宋_GB2312" w:hAnsi="仿宋_GB2312" w:eastAsia="仿宋_GB2312" w:cs="仿宋_GB2312"/>
          <w:sz w:val="32"/>
          <w:szCs w:val="32"/>
          <w:highlight w:val="none"/>
          <w:lang w:eastAsia="zh-CN"/>
        </w:rPr>
        <w:t>，根据财政部《项目支出绩效评价管理办法》（财预〔2020〕10 号）</w:t>
      </w:r>
      <w:r>
        <w:rPr>
          <w:rFonts w:hint="eastAsia" w:ascii="仿宋_GB2312" w:hAnsi="仿宋_GB2312" w:eastAsia="仿宋_GB2312" w:cs="仿宋_GB2312"/>
          <w:sz w:val="32"/>
          <w:szCs w:val="32"/>
          <w:highlight w:val="none"/>
          <w:lang w:val="en-US" w:eastAsia="zh-CN"/>
        </w:rPr>
        <w:t>及</w:t>
      </w:r>
      <w:r>
        <w:rPr>
          <w:rFonts w:hint="eastAsia" w:ascii="仿宋_GB2312" w:hAnsi="仿宋_GB2312" w:eastAsia="仿宋_GB2312" w:cs="仿宋_GB2312"/>
          <w:sz w:val="32"/>
          <w:szCs w:val="32"/>
          <w:highlight w:val="none"/>
          <w:lang w:eastAsia="zh-CN"/>
        </w:rPr>
        <w:t>《自治区财政支出绩效评价管理暂行办法》（新财预〔2018〕189号）</w:t>
      </w:r>
      <w:r>
        <w:rPr>
          <w:rFonts w:hint="eastAsia" w:ascii="仿宋_GB2312" w:hAnsi="仿宋_GB2312" w:eastAsia="仿宋_GB2312" w:cs="仿宋_GB2312"/>
          <w:spacing w:val="-5"/>
          <w:sz w:val="32"/>
          <w:szCs w:val="32"/>
          <w:highlight w:val="none"/>
        </w:rPr>
        <w:t>相关规定，</w:t>
      </w:r>
      <w:r>
        <w:rPr>
          <w:rFonts w:hint="eastAsia" w:ascii="仿宋_GB2312" w:hAnsi="宋体" w:eastAsia="仿宋_GB2312" w:cs="仿宋_GB2312"/>
          <w:color w:val="000000"/>
          <w:sz w:val="32"/>
          <w:szCs w:val="32"/>
          <w:highlight w:val="none"/>
          <w:lang w:val="en-US" w:eastAsia="zh-CN"/>
        </w:rPr>
        <w:t>受洛浦县财政局委托，中瑞诚会计师事务所（特殊普通合伙）喀什分所作为第三方评价机构于2021年01月01日至2022年06月30日对洛浦县残疾人联合会管理的2021年中央专项彩票公益金支持残疾人事业发展补助项目（第二批）开展了绩效评价，评价情况如下：</w:t>
      </w:r>
    </w:p>
    <w:p w14:paraId="1230F309">
      <w:pPr>
        <w:adjustRightInd w:val="0"/>
        <w:snapToGrid w:val="0"/>
        <w:spacing w:line="560" w:lineRule="exact"/>
        <w:ind w:firstLine="640" w:firstLineChars="200"/>
        <w:jc w:val="left"/>
        <w:outlineLvl w:val="0"/>
        <w:rPr>
          <w:rFonts w:hint="eastAsia" w:ascii="黑体" w:hAnsi="黑体" w:eastAsia="黑体" w:cs="宋体"/>
          <w:sz w:val="32"/>
          <w:szCs w:val="32"/>
          <w:highlight w:val="none"/>
        </w:rPr>
      </w:pPr>
      <w:bookmarkStart w:id="0" w:name="_Toc1784"/>
      <w:r>
        <w:rPr>
          <w:rFonts w:hint="eastAsia" w:ascii="黑体" w:hAnsi="黑体" w:eastAsia="黑体" w:cs="宋体"/>
          <w:sz w:val="32"/>
          <w:szCs w:val="32"/>
          <w:highlight w:val="none"/>
        </w:rPr>
        <w:t>一、项目概述</w:t>
      </w:r>
      <w:bookmarkEnd w:id="0"/>
    </w:p>
    <w:p w14:paraId="0E95A244">
      <w:pPr>
        <w:adjustRightInd w:val="0"/>
        <w:snapToGrid w:val="0"/>
        <w:spacing w:line="560" w:lineRule="exact"/>
        <w:ind w:firstLine="640" w:firstLineChars="200"/>
        <w:jc w:val="left"/>
        <w:outlineLvl w:val="0"/>
        <w:rPr>
          <w:rFonts w:hint="eastAsia" w:ascii="仿宋_GB2312" w:hAnsi="仿宋" w:eastAsia="仿宋_GB2312" w:cs="宋体"/>
          <w:color w:val="auto"/>
          <w:kern w:val="2"/>
          <w:sz w:val="32"/>
          <w:szCs w:val="32"/>
          <w:highlight w:val="none"/>
          <w:lang w:val="en-US" w:eastAsia="zh-CN" w:bidi="ar"/>
        </w:rPr>
      </w:pPr>
      <w:bookmarkStart w:id="1" w:name="_Toc4382"/>
      <w:r>
        <w:rPr>
          <w:rFonts w:hint="eastAsia" w:ascii="仿宋_GB2312" w:hAnsi="仿宋" w:eastAsia="仿宋_GB2312" w:cs="宋体"/>
          <w:color w:val="auto"/>
          <w:kern w:val="2"/>
          <w:sz w:val="32"/>
          <w:szCs w:val="32"/>
          <w:highlight w:val="none"/>
          <w:lang w:val="en-US" w:eastAsia="zh-CN" w:bidi="ar"/>
        </w:rPr>
        <w:t>该项目遵循《中华人民共和国残疾人保障法》相关要求，为了进一步支持残疾人发展事业，2021年洛浦县残疾人联合会在自治区，地区的正确指导下，在县委县</w:t>
      </w:r>
      <w:bookmarkStart w:id="122" w:name="_GoBack"/>
      <w:bookmarkEnd w:id="122"/>
      <w:r>
        <w:rPr>
          <w:rFonts w:hint="eastAsia" w:ascii="仿宋_GB2312" w:hAnsi="仿宋" w:eastAsia="仿宋_GB2312" w:cs="宋体"/>
          <w:color w:val="auto"/>
          <w:kern w:val="2"/>
          <w:sz w:val="32"/>
          <w:szCs w:val="32"/>
          <w:highlight w:val="none"/>
          <w:lang w:val="en-US" w:eastAsia="zh-CN" w:bidi="ar"/>
        </w:rPr>
        <w:t>政府的坚强领导下，始终坚持以习近平新时代中国特色社会主义思想为指导，认真落实习近平总书记关于残疾人事业的重要论述，以“带领残疾人脱贫攻坚奔小康、构建和谐洛浦社会”为目标，以维护残疾人的合法权益，改善残疾人平等参与社会生活的物质条件和精神环境，全面提高残疾人的生活水平、社会地位、自身素质、参与能力，扎实有效地开展了残疾人康复、就业、扶贫、教育、宣传、社会保障、维权、组织建设及培训等方面的工作，围绕残疾人服务管理助力乡村振兴战略，提升洛浦县残疾人基本公共服务管理水平。</w:t>
      </w:r>
    </w:p>
    <w:p w14:paraId="551BA712">
      <w:pPr>
        <w:adjustRightInd w:val="0"/>
        <w:snapToGrid w:val="0"/>
        <w:spacing w:line="560" w:lineRule="exact"/>
        <w:ind w:firstLine="640" w:firstLineChars="200"/>
        <w:jc w:val="left"/>
        <w:outlineLvl w:val="0"/>
        <w:rPr>
          <w:rFonts w:hint="eastAsia" w:ascii="仿宋_GB2312" w:hAnsi="仿宋" w:eastAsia="仿宋_GB2312" w:cs="宋体"/>
          <w:color w:val="auto"/>
          <w:kern w:val="2"/>
          <w:sz w:val="32"/>
          <w:szCs w:val="32"/>
          <w:highlight w:val="none"/>
          <w:lang w:val="en-US" w:eastAsia="zh-CN" w:bidi="ar"/>
        </w:rPr>
      </w:pPr>
      <w:r>
        <w:rPr>
          <w:rFonts w:hint="eastAsia" w:ascii="仿宋_GB2312" w:hAnsi="仿宋" w:eastAsia="仿宋_GB2312" w:cs="宋体"/>
          <w:color w:val="auto"/>
          <w:kern w:val="2"/>
          <w:sz w:val="32"/>
          <w:szCs w:val="32"/>
          <w:highlight w:val="none"/>
          <w:lang w:val="en-US" w:eastAsia="zh-CN" w:bidi="ar"/>
        </w:rPr>
        <w:t>该项目为了改善残疾儿童功能状况，不断提高残疾儿童生活自理能力，增强社会参与能力，支付150名残疾人评定补贴，支付25名残疾人在康复过程中所需的费用，购买残疾儿童辅助器具等基本康复服务并根据关于印发《关于2021年度中央专项彩票公益金支持残疾人事业发展补助资金（第二批）的通知》洛财社〔2021〕063号、《关于2021年度中央专项彩票公益金支持残疾人事业发展补助资金（第二批）的通知》（和地财社）〔2020〕048号文件精神以及相关会议纪要立项并开始实施。</w:t>
      </w:r>
    </w:p>
    <w:p w14:paraId="154EE973">
      <w:pPr>
        <w:adjustRightInd w:val="0"/>
        <w:snapToGrid w:val="0"/>
        <w:spacing w:line="560" w:lineRule="exact"/>
        <w:ind w:firstLine="640" w:firstLineChars="200"/>
        <w:jc w:val="left"/>
        <w:outlineLvl w:val="0"/>
        <w:rPr>
          <w:rFonts w:hint="eastAsia" w:ascii="黑体" w:hAnsi="黑体" w:eastAsia="黑体" w:cs="宋体"/>
          <w:sz w:val="32"/>
          <w:szCs w:val="32"/>
          <w:highlight w:val="none"/>
          <w:lang w:eastAsia="zh-CN"/>
        </w:rPr>
      </w:pPr>
      <w:r>
        <w:rPr>
          <w:rFonts w:hint="eastAsia" w:ascii="黑体" w:hAnsi="黑体" w:eastAsia="黑体" w:cs="宋体"/>
          <w:sz w:val="32"/>
          <w:szCs w:val="32"/>
          <w:highlight w:val="none"/>
        </w:rPr>
        <w:t>二、评价工作简述</w:t>
      </w:r>
      <w:bookmarkEnd w:id="1"/>
    </w:p>
    <w:p w14:paraId="45B09F1F">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highlight w:val="none"/>
          <w:lang w:eastAsia="zh-CN"/>
        </w:rPr>
      </w:pPr>
      <w:bookmarkStart w:id="2" w:name="_Toc13087"/>
      <w:r>
        <w:rPr>
          <w:rFonts w:hint="eastAsia" w:ascii="仿宋_GB2312" w:hAnsi="仿宋_GB2312" w:eastAsia="仿宋_GB2312" w:cs="仿宋_GB2312"/>
          <w:sz w:val="32"/>
          <w:szCs w:val="32"/>
          <w:highlight w:val="none"/>
        </w:rPr>
        <w:t>评价组自承接本项目后，立足于</w:t>
      </w:r>
      <w:r>
        <w:rPr>
          <w:rFonts w:hint="eastAsia" w:ascii="仿宋_GB2312" w:hAnsi="仿宋_GB2312" w:eastAsia="仿宋_GB2312" w:cs="仿宋_GB2312"/>
          <w:sz w:val="32"/>
          <w:szCs w:val="32"/>
          <w:highlight w:val="none"/>
          <w:lang w:eastAsia="zh-CN"/>
        </w:rPr>
        <w:t>该</w:t>
      </w:r>
      <w:r>
        <w:rPr>
          <w:rFonts w:hint="eastAsia" w:ascii="仿宋_GB2312" w:hAnsi="仿宋_GB2312" w:eastAsia="仿宋_GB2312" w:cs="仿宋_GB2312"/>
          <w:sz w:val="32"/>
          <w:szCs w:val="32"/>
          <w:highlight w:val="none"/>
        </w:rPr>
        <w:t>项目特点，本次评价关注重点：一是针对预算编制、资金执行的相关情况评价项目预算编制、财务核算是否到位</w:t>
      </w:r>
      <w:r>
        <w:rPr>
          <w:rFonts w:hint="eastAsia" w:ascii="仿宋_GB2312" w:hAnsi="仿宋_GB2312" w:eastAsia="仿宋_GB2312" w:cs="仿宋_GB2312"/>
          <w:sz w:val="32"/>
          <w:szCs w:val="32"/>
          <w:highlight w:val="none"/>
          <w:lang w:eastAsia="zh-CN"/>
        </w:rPr>
        <w:t>；</w:t>
      </w:r>
      <w:r>
        <w:rPr>
          <w:rFonts w:hint="eastAsia" w:ascii="仿宋_GB2312" w:hAnsi="仿宋_GB2312" w:eastAsia="仿宋_GB2312" w:cs="仿宋_GB2312"/>
          <w:sz w:val="32"/>
          <w:szCs w:val="32"/>
          <w:highlight w:val="none"/>
        </w:rPr>
        <w:t>二是评价</w:t>
      </w:r>
      <w:r>
        <w:rPr>
          <w:rFonts w:hint="eastAsia" w:ascii="仿宋_GB2312" w:hAnsi="仿宋_GB2312" w:eastAsia="仿宋_GB2312" w:cs="仿宋_GB2312"/>
          <w:sz w:val="32"/>
          <w:szCs w:val="32"/>
          <w:highlight w:val="none"/>
          <w:lang w:eastAsia="zh-CN"/>
        </w:rPr>
        <w:t>项目实施</w:t>
      </w:r>
      <w:r>
        <w:rPr>
          <w:rFonts w:hint="eastAsia" w:ascii="仿宋_GB2312" w:hAnsi="仿宋_GB2312" w:eastAsia="仿宋_GB2312" w:cs="仿宋_GB2312"/>
          <w:sz w:val="32"/>
          <w:szCs w:val="32"/>
          <w:highlight w:val="none"/>
        </w:rPr>
        <w:t>单位的管理制度、监管考核机制是否健全；三是评价项目是否按照目标执行，项目实施效果是否达到预期目标</w:t>
      </w:r>
      <w:r>
        <w:rPr>
          <w:rFonts w:hint="eastAsia" w:ascii="仿宋_GB2312" w:hAnsi="仿宋_GB2312" w:eastAsia="仿宋_GB2312" w:cs="仿宋_GB2312"/>
          <w:sz w:val="32"/>
          <w:szCs w:val="32"/>
          <w:highlight w:val="none"/>
          <w:lang w:eastAsia="zh-CN"/>
        </w:rPr>
        <w:t>。</w:t>
      </w:r>
    </w:p>
    <w:p w14:paraId="72D84476">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jc w:val="left"/>
        <w:textAlignment w:val="auto"/>
        <w:outlineLvl w:val="0"/>
        <w:rPr>
          <w:rFonts w:hint="default"/>
          <w:highlight w:val="yellow"/>
          <w:lang w:val="en-US" w:eastAsia="zh-CN"/>
        </w:rPr>
      </w:pPr>
      <w:r>
        <w:rPr>
          <w:rFonts w:hint="eastAsia" w:ascii="仿宋_GB2312" w:hAnsi="仿宋_GB2312" w:eastAsia="仿宋_GB2312" w:cs="仿宋_GB2312"/>
          <w:sz w:val="32"/>
          <w:szCs w:val="32"/>
          <w:highlight w:val="none"/>
          <w:lang w:val="en-US" w:eastAsia="zh-CN"/>
        </w:rPr>
        <w:t>评价工作组通过前期调研，</w:t>
      </w:r>
      <w:r>
        <w:rPr>
          <w:rFonts w:hint="eastAsia" w:ascii="仿宋_GB2312" w:hAnsi="仿宋_GB2312" w:eastAsia="仿宋_GB2312" w:cs="仿宋_GB2312"/>
          <w:sz w:val="32"/>
          <w:szCs w:val="32"/>
          <w:highlight w:val="none"/>
        </w:rPr>
        <w:t>了解项目管理流程及效果</w:t>
      </w:r>
      <w:r>
        <w:rPr>
          <w:rFonts w:hint="eastAsia" w:ascii="仿宋_GB2312" w:hAnsi="仿宋_GB2312" w:eastAsia="仿宋_GB2312" w:cs="仿宋_GB2312"/>
          <w:sz w:val="32"/>
          <w:szCs w:val="32"/>
          <w:highlight w:val="none"/>
          <w:lang w:eastAsia="zh-CN"/>
        </w:rPr>
        <w:t>，</w:t>
      </w:r>
      <w:r>
        <w:rPr>
          <w:rFonts w:hint="eastAsia" w:ascii="仿宋_GB2312" w:hAnsi="仿宋_GB2312" w:eastAsia="仿宋_GB2312" w:cs="仿宋_GB2312"/>
          <w:sz w:val="32"/>
          <w:szCs w:val="32"/>
          <w:highlight w:val="none"/>
          <w:lang w:val="en-US" w:eastAsia="zh-CN"/>
        </w:rPr>
        <w:t>从项目决策、项目过程、项目产出和项目效益四个维度制定了工作方案，明确了评价的目的、方法、原则、指标、标准、社会调查方案等，重点对该项目的实施情况及效益进行了核实；评价工作组本着科学规范的绩效评价原则，运用成本效益分析法、比较分析法等方法，严格按照工作方案，经过数据采集、问卷调查、实地调研、数据分析和报告撰写等环节，完成了绩效评价工作。</w:t>
      </w:r>
    </w:p>
    <w:p w14:paraId="158D5FA6">
      <w:pPr>
        <w:adjustRightInd w:val="0"/>
        <w:snapToGrid w:val="0"/>
        <w:spacing w:line="560" w:lineRule="exact"/>
        <w:ind w:firstLine="640" w:firstLineChars="200"/>
        <w:jc w:val="left"/>
        <w:outlineLvl w:val="0"/>
        <w:rPr>
          <w:rFonts w:hint="eastAsia" w:ascii="黑体" w:hAnsi="黑体" w:eastAsia="黑体" w:cs="宋体"/>
          <w:sz w:val="32"/>
          <w:szCs w:val="32"/>
        </w:rPr>
      </w:pPr>
      <w:r>
        <w:rPr>
          <w:rFonts w:hint="eastAsia" w:ascii="黑体" w:hAnsi="黑体" w:eastAsia="黑体" w:cs="宋体"/>
          <w:sz w:val="32"/>
          <w:szCs w:val="32"/>
        </w:rPr>
        <w:t>三、绩效评价分析</w:t>
      </w:r>
      <w:bookmarkEnd w:id="2"/>
    </w:p>
    <w:p w14:paraId="2290D092">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bookmarkStart w:id="3" w:name="_Toc24046"/>
      <w:bookmarkStart w:id="4" w:name="_Toc4082"/>
      <w:r>
        <w:rPr>
          <w:rFonts w:hint="eastAsia" w:ascii="仿宋_GB2312" w:hAnsi="仿宋_GB2312" w:eastAsia="仿宋_GB2312" w:cs="仿宋_GB2312"/>
          <w:sz w:val="32"/>
          <w:szCs w:val="32"/>
          <w:highlight w:val="none"/>
          <w:lang w:val="en-US" w:eastAsia="zh-CN"/>
        </w:rPr>
        <w:t>依据《自治区财政支出绩效评价管理暂行办法》（新财预〔2018〕189号）文件精神，评价工作组从绩效目标、绩效控制、产出及效果进行评价分析。绩效目标主要针对目标明确性、目标合理性和目标细化程度进行分析；绩效控制主要针对资金使用及管理情况、项目组织情况、项目管理情况进行分析；项目产出及效果主要针对项目的经济性、效率性和效益性进行分析。</w:t>
      </w:r>
    </w:p>
    <w:bookmarkEnd w:id="3"/>
    <w:p w14:paraId="2EB244D9">
      <w:pPr>
        <w:adjustRightInd w:val="0"/>
        <w:snapToGrid w:val="0"/>
        <w:spacing w:line="560" w:lineRule="exact"/>
        <w:ind w:firstLine="640" w:firstLineChars="200"/>
        <w:jc w:val="left"/>
        <w:outlineLvl w:val="0"/>
        <w:rPr>
          <w:rFonts w:hint="eastAsia" w:ascii="黑体" w:hAnsi="黑体" w:eastAsia="黑体" w:cs="宋体"/>
          <w:sz w:val="32"/>
          <w:szCs w:val="32"/>
          <w:highlight w:val="none"/>
        </w:rPr>
      </w:pPr>
      <w:r>
        <w:rPr>
          <w:rFonts w:hint="eastAsia" w:ascii="黑体" w:hAnsi="黑体" w:eastAsia="黑体" w:cs="宋体"/>
          <w:sz w:val="32"/>
          <w:szCs w:val="32"/>
          <w:highlight w:val="none"/>
        </w:rPr>
        <w:t>四、评价结论</w:t>
      </w:r>
      <w:bookmarkEnd w:id="4"/>
    </w:p>
    <w:p w14:paraId="29768515">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经综合评价，项目得分为96.58分，其中：项目决策得分20分、项目过程得分18.5分；项目产出得分28.08分、项目效益得分30分，评价等级为优。</w:t>
      </w:r>
    </w:p>
    <w:p w14:paraId="68850A64">
      <w:pPr>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项目立项较规范，绩效目标合理绩效指标明确，项目管理制度较健全。该项目预算资金44.75万元，实际支出44.75万元，预算资金执行率100%。通过文件研读、实地调研、数据分析等方式，全面了解该项目的使用效果，项目管理过程较规范；总的来看，该项目的实施提高了残疾人参与社会生产生活的能力，提高了残疾人康复服务水平，项目满意度达到了100%。</w:t>
      </w:r>
    </w:p>
    <w:p w14:paraId="320014CC">
      <w:pPr>
        <w:adjustRightInd w:val="0"/>
        <w:snapToGrid w:val="0"/>
        <w:spacing w:line="560" w:lineRule="exact"/>
        <w:ind w:firstLine="960" w:firstLineChars="300"/>
        <w:jc w:val="left"/>
        <w:outlineLvl w:val="0"/>
        <w:rPr>
          <w:rFonts w:hint="eastAsia" w:ascii="黑体" w:hAnsi="黑体" w:eastAsia="黑体" w:cs="宋体"/>
          <w:sz w:val="32"/>
          <w:szCs w:val="32"/>
          <w:highlight w:val="none"/>
        </w:rPr>
      </w:pPr>
      <w:bookmarkStart w:id="5" w:name="_Toc25703"/>
      <w:r>
        <w:rPr>
          <w:rFonts w:hint="eastAsia" w:ascii="黑体" w:hAnsi="黑体" w:eastAsia="黑体" w:cs="宋体"/>
          <w:sz w:val="32"/>
          <w:szCs w:val="32"/>
          <w:highlight w:val="none"/>
          <w:lang w:val="en-US" w:eastAsia="zh-CN"/>
        </w:rPr>
        <w:t>五、</w:t>
      </w:r>
      <w:r>
        <w:rPr>
          <w:rFonts w:hint="eastAsia" w:ascii="黑体" w:hAnsi="黑体" w:eastAsia="黑体" w:cs="宋体"/>
          <w:sz w:val="32"/>
          <w:szCs w:val="32"/>
          <w:highlight w:val="none"/>
        </w:rPr>
        <w:t>问题</w:t>
      </w:r>
      <w:r>
        <w:rPr>
          <w:rFonts w:hint="eastAsia" w:ascii="黑体" w:hAnsi="黑体" w:eastAsia="黑体" w:cs="宋体"/>
          <w:sz w:val="32"/>
          <w:szCs w:val="32"/>
          <w:highlight w:val="none"/>
          <w:lang w:val="en-US" w:eastAsia="zh-CN"/>
        </w:rPr>
        <w:t>及</w:t>
      </w:r>
      <w:r>
        <w:rPr>
          <w:rFonts w:hint="eastAsia" w:ascii="黑体" w:hAnsi="黑体" w:eastAsia="黑体" w:cs="宋体"/>
          <w:sz w:val="32"/>
          <w:szCs w:val="32"/>
          <w:highlight w:val="none"/>
        </w:rPr>
        <w:t>建议</w:t>
      </w:r>
      <w:bookmarkEnd w:id="5"/>
    </w:p>
    <w:p w14:paraId="6F501EC0">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6" w:name="_Toc19437"/>
      <w:bookmarkStart w:id="7" w:name="_Toc24350"/>
      <w:bookmarkStart w:id="8" w:name="_Toc22139"/>
      <w:bookmarkStart w:id="9" w:name="_Toc5400"/>
      <w:bookmarkStart w:id="10" w:name="_Toc11063"/>
      <w:bookmarkStart w:id="11" w:name="_Toc6009"/>
      <w:r>
        <w:rPr>
          <w:rFonts w:hint="eastAsia" w:ascii="仿宋_GB2312" w:hAnsi="仿宋" w:eastAsia="仿宋_GB2312" w:cs="宋体"/>
          <w:b/>
          <w:bCs/>
          <w:sz w:val="32"/>
          <w:szCs w:val="32"/>
        </w:rPr>
        <w:t>（一）问题</w:t>
      </w:r>
      <w:bookmarkEnd w:id="6"/>
      <w:bookmarkEnd w:id="7"/>
      <w:bookmarkEnd w:id="8"/>
      <w:bookmarkEnd w:id="9"/>
      <w:bookmarkEnd w:id="10"/>
      <w:bookmarkEnd w:id="11"/>
    </w:p>
    <w:p w14:paraId="536A12CB">
      <w:pPr>
        <w:ind w:firstLine="640" w:firstLineChars="200"/>
        <w:rPr>
          <w:rFonts w:hint="default" w:ascii="仿宋_GB2312" w:hAnsi="仿宋_GB2312" w:eastAsia="仿宋_GB2312" w:cs="仿宋_GB2312"/>
          <w:sz w:val="32"/>
          <w:szCs w:val="32"/>
          <w:highlight w:val="none"/>
          <w:lang w:val="en-US" w:eastAsia="zh-CN"/>
        </w:rPr>
      </w:pPr>
      <w:bookmarkStart w:id="12" w:name="_Toc23428"/>
      <w:bookmarkStart w:id="13" w:name="_Toc21456"/>
      <w:bookmarkStart w:id="14" w:name="_Toc13719"/>
      <w:bookmarkStart w:id="15" w:name="_Toc3933"/>
      <w:bookmarkStart w:id="16" w:name="_Toc32170"/>
      <w:bookmarkStart w:id="17" w:name="_Toc25341"/>
      <w:r>
        <w:rPr>
          <w:rFonts w:hint="eastAsia" w:ascii="仿宋_GB2312" w:hAnsi="仿宋_GB2312" w:eastAsia="仿宋_GB2312" w:cs="仿宋_GB2312"/>
          <w:sz w:val="32"/>
          <w:szCs w:val="32"/>
          <w:highlight w:val="none"/>
          <w:lang w:val="en-US" w:eastAsia="zh-CN"/>
        </w:rPr>
        <w:t>洛浦县残疾人联合会认真实施项目，按照实际需求基本完成了年度绩效目标，但是辅助器具购买并发放给医院之后单位没有跟踪后期工作，未监督器具使用情况，缺乏对项目后期工作的监管监督跟踪。</w:t>
      </w:r>
    </w:p>
    <w:p w14:paraId="1053FA16">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w:t>
      </w:r>
      <w:r>
        <w:rPr>
          <w:rFonts w:hint="eastAsia" w:ascii="仿宋_GB2312" w:hAnsi="仿宋" w:eastAsia="仿宋_GB2312" w:cs="宋体"/>
          <w:b/>
          <w:bCs/>
          <w:sz w:val="32"/>
          <w:szCs w:val="32"/>
          <w:lang w:eastAsia="zh-CN"/>
        </w:rPr>
        <w:t>二</w:t>
      </w:r>
      <w:r>
        <w:rPr>
          <w:rFonts w:hint="eastAsia" w:ascii="仿宋_GB2312" w:hAnsi="仿宋" w:eastAsia="仿宋_GB2312" w:cs="宋体"/>
          <w:b/>
          <w:bCs/>
          <w:sz w:val="32"/>
          <w:szCs w:val="32"/>
        </w:rPr>
        <w:t>）意见和建议</w:t>
      </w:r>
      <w:bookmarkEnd w:id="12"/>
      <w:bookmarkEnd w:id="13"/>
      <w:bookmarkEnd w:id="14"/>
      <w:bookmarkEnd w:id="15"/>
      <w:bookmarkEnd w:id="16"/>
      <w:bookmarkEnd w:id="17"/>
    </w:p>
    <w:p w14:paraId="68DC3C1C">
      <w:pPr>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进一步落实单位项目管理办法，提高项目管理规范性，明确各级管理部门对项目管理的责任，进一步完善项目监督管理机制，做好项目后期跟踪监管工作，时刻了解项目带来的效益情况，为后年度项目实施积累经验，推动各项残疾人政策的落实，改善残疾儿童功能状况。</w:t>
      </w:r>
    </w:p>
    <w:p w14:paraId="3228C19A">
      <w:pPr>
        <w:ind w:firstLine="2200" w:firstLineChars="500"/>
        <w:rPr>
          <w:rFonts w:hint="eastAsia" w:ascii="黑体" w:hAnsi="黑体" w:eastAsia="黑体" w:cs="黑体"/>
          <w:b w:val="0"/>
          <w:bCs w:val="0"/>
          <w:sz w:val="44"/>
          <w:szCs w:val="44"/>
        </w:rPr>
      </w:pPr>
      <w:r>
        <w:rPr>
          <w:rFonts w:hint="eastAsia" w:ascii="黑体" w:hAnsi="黑体" w:eastAsia="黑体" w:cs="黑体"/>
          <w:b w:val="0"/>
          <w:bCs w:val="0"/>
          <w:sz w:val="44"/>
          <w:szCs w:val="44"/>
        </w:rPr>
        <w:t>绩效评价工作组成员</w:t>
      </w:r>
    </w:p>
    <w:p w14:paraId="0F9C6917">
      <w:pPr>
        <w:jc w:val="center"/>
      </w:pPr>
    </w:p>
    <w:tbl>
      <w:tblPr>
        <w:tblStyle w:val="20"/>
        <w:tblW w:w="8722"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7"/>
        <w:gridCol w:w="1605"/>
        <w:gridCol w:w="1960"/>
        <w:gridCol w:w="1640"/>
        <w:gridCol w:w="1510"/>
        <w:gridCol w:w="1480"/>
      </w:tblGrid>
      <w:tr w14:paraId="4C83D4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5" w:hRule="atLeast"/>
        </w:trPr>
        <w:tc>
          <w:tcPr>
            <w:tcW w:w="527" w:type="dxa"/>
            <w:vAlign w:val="center"/>
          </w:tcPr>
          <w:p w14:paraId="61BEAA16">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序号</w:t>
            </w:r>
          </w:p>
        </w:tc>
        <w:tc>
          <w:tcPr>
            <w:tcW w:w="1605" w:type="dxa"/>
            <w:vAlign w:val="center"/>
          </w:tcPr>
          <w:p w14:paraId="4584C070">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项目职务</w:t>
            </w:r>
          </w:p>
        </w:tc>
        <w:tc>
          <w:tcPr>
            <w:tcW w:w="1960" w:type="dxa"/>
            <w:vAlign w:val="center"/>
          </w:tcPr>
          <w:p w14:paraId="65A106C7">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姓名</w:t>
            </w:r>
          </w:p>
        </w:tc>
        <w:tc>
          <w:tcPr>
            <w:tcW w:w="1640" w:type="dxa"/>
            <w:vAlign w:val="center"/>
          </w:tcPr>
          <w:p w14:paraId="1B743D94">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执业（从业）</w:t>
            </w:r>
          </w:p>
          <w:p w14:paraId="28E1E385">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资格</w:t>
            </w:r>
          </w:p>
        </w:tc>
        <w:tc>
          <w:tcPr>
            <w:tcW w:w="1510" w:type="dxa"/>
            <w:vAlign w:val="center"/>
          </w:tcPr>
          <w:p w14:paraId="123E6243">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职称</w:t>
            </w:r>
          </w:p>
        </w:tc>
        <w:tc>
          <w:tcPr>
            <w:tcW w:w="1480" w:type="dxa"/>
            <w:vAlign w:val="center"/>
          </w:tcPr>
          <w:p w14:paraId="3F32E30A">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备注</w:t>
            </w:r>
          </w:p>
        </w:tc>
      </w:tr>
      <w:tr w14:paraId="48A185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0" w:hRule="atLeast"/>
        </w:trPr>
        <w:tc>
          <w:tcPr>
            <w:tcW w:w="527" w:type="dxa"/>
            <w:vAlign w:val="center"/>
          </w:tcPr>
          <w:p w14:paraId="2602B68C">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1</w:t>
            </w:r>
          </w:p>
        </w:tc>
        <w:tc>
          <w:tcPr>
            <w:tcW w:w="1605" w:type="dxa"/>
            <w:vAlign w:val="center"/>
          </w:tcPr>
          <w:p w14:paraId="1D6C5FFE">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项目负责人</w:t>
            </w:r>
          </w:p>
        </w:tc>
        <w:tc>
          <w:tcPr>
            <w:tcW w:w="1960" w:type="dxa"/>
            <w:vAlign w:val="center"/>
          </w:tcPr>
          <w:p w14:paraId="2F366E3C">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叶金玲</w:t>
            </w:r>
          </w:p>
        </w:tc>
        <w:tc>
          <w:tcPr>
            <w:tcW w:w="1640" w:type="dxa"/>
            <w:vAlign w:val="center"/>
          </w:tcPr>
          <w:p w14:paraId="028B130E">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注册会计师</w:t>
            </w:r>
          </w:p>
        </w:tc>
        <w:tc>
          <w:tcPr>
            <w:tcW w:w="1510" w:type="dxa"/>
            <w:vAlign w:val="center"/>
          </w:tcPr>
          <w:p w14:paraId="506D1E4C">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中级会计师</w:t>
            </w:r>
          </w:p>
        </w:tc>
        <w:tc>
          <w:tcPr>
            <w:tcW w:w="1480" w:type="dxa"/>
            <w:vAlign w:val="center"/>
          </w:tcPr>
          <w:p w14:paraId="5ADB145B">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项目总负责</w:t>
            </w:r>
          </w:p>
        </w:tc>
      </w:tr>
      <w:tr w14:paraId="02C091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7" w:type="dxa"/>
            <w:vAlign w:val="center"/>
          </w:tcPr>
          <w:p w14:paraId="04713E17">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2</w:t>
            </w:r>
          </w:p>
        </w:tc>
        <w:tc>
          <w:tcPr>
            <w:tcW w:w="1605" w:type="dxa"/>
            <w:vAlign w:val="center"/>
          </w:tcPr>
          <w:p w14:paraId="02BB8F9C">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项目财务专家</w:t>
            </w:r>
          </w:p>
        </w:tc>
        <w:tc>
          <w:tcPr>
            <w:tcW w:w="1960" w:type="dxa"/>
            <w:vAlign w:val="center"/>
          </w:tcPr>
          <w:p w14:paraId="3BB1F16B">
            <w:pPr>
              <w:pStyle w:val="14"/>
              <w:tabs>
                <w:tab w:val="right" w:leader="dot" w:pos="8302"/>
              </w:tabs>
              <w:spacing w:line="340" w:lineRule="exact"/>
              <w:jc w:val="center"/>
              <w:rPr>
                <w:rFonts w:hint="eastAsia" w:ascii="仿宋_GB2312" w:hAnsi="黑体" w:eastAsia="仿宋_GB2312" w:cs="宋体"/>
                <w:kern w:val="0"/>
                <w:sz w:val="24"/>
                <w:lang w:eastAsia="zh-CN"/>
              </w:rPr>
            </w:pPr>
            <w:r>
              <w:rPr>
                <w:rFonts w:hint="eastAsia" w:ascii="仿宋_GB2312" w:hAnsi="黑体" w:eastAsia="仿宋_GB2312" w:cs="宋体"/>
                <w:kern w:val="0"/>
                <w:sz w:val="24"/>
                <w:lang w:val="en-US" w:eastAsia="zh-CN"/>
              </w:rPr>
              <w:t>冯琼</w:t>
            </w:r>
          </w:p>
        </w:tc>
        <w:tc>
          <w:tcPr>
            <w:tcW w:w="1640" w:type="dxa"/>
            <w:vAlign w:val="center"/>
          </w:tcPr>
          <w:p w14:paraId="23BCA547">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注册会计师</w:t>
            </w:r>
          </w:p>
        </w:tc>
        <w:tc>
          <w:tcPr>
            <w:tcW w:w="1510" w:type="dxa"/>
            <w:vAlign w:val="center"/>
          </w:tcPr>
          <w:p w14:paraId="4B133648">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中级会计师</w:t>
            </w:r>
          </w:p>
        </w:tc>
        <w:tc>
          <w:tcPr>
            <w:tcW w:w="1480" w:type="dxa"/>
            <w:vAlign w:val="center"/>
          </w:tcPr>
          <w:p w14:paraId="4AC1CF34">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资金审查</w:t>
            </w:r>
          </w:p>
        </w:tc>
      </w:tr>
      <w:tr w14:paraId="1CA46A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7" w:type="dxa"/>
            <w:vAlign w:val="center"/>
          </w:tcPr>
          <w:p w14:paraId="34491616">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3</w:t>
            </w:r>
          </w:p>
        </w:tc>
        <w:tc>
          <w:tcPr>
            <w:tcW w:w="1605" w:type="dxa"/>
            <w:vAlign w:val="center"/>
          </w:tcPr>
          <w:p w14:paraId="41D1F28A">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项目行业专家</w:t>
            </w:r>
          </w:p>
        </w:tc>
        <w:tc>
          <w:tcPr>
            <w:tcW w:w="1960" w:type="dxa"/>
            <w:vAlign w:val="center"/>
          </w:tcPr>
          <w:p w14:paraId="63E4D469">
            <w:pPr>
              <w:pStyle w:val="14"/>
              <w:tabs>
                <w:tab w:val="right" w:leader="dot" w:pos="8302"/>
              </w:tabs>
              <w:spacing w:line="340" w:lineRule="exact"/>
              <w:jc w:val="center"/>
              <w:rPr>
                <w:rFonts w:hint="eastAsia" w:ascii="仿宋_GB2312" w:hAnsi="黑体" w:eastAsia="仿宋_GB2312" w:cs="宋体"/>
                <w:kern w:val="0"/>
                <w:sz w:val="24"/>
                <w:lang w:eastAsia="zh-CN"/>
              </w:rPr>
            </w:pPr>
            <w:r>
              <w:rPr>
                <w:rFonts w:hint="eastAsia" w:ascii="仿宋_GB2312" w:hAnsi="黑体" w:eastAsia="仿宋_GB2312" w:cs="宋体"/>
                <w:kern w:val="0"/>
                <w:sz w:val="24"/>
                <w:lang w:val="en-US" w:eastAsia="zh-CN"/>
              </w:rPr>
              <w:t>曹堂哲</w:t>
            </w:r>
          </w:p>
        </w:tc>
        <w:tc>
          <w:tcPr>
            <w:tcW w:w="1640" w:type="dxa"/>
            <w:vAlign w:val="center"/>
          </w:tcPr>
          <w:p w14:paraId="53F71738">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风险稳定评估师、高级投资管理师、计算机辅助设计师、信息管理师、物流工程师</w:t>
            </w:r>
          </w:p>
        </w:tc>
        <w:tc>
          <w:tcPr>
            <w:tcW w:w="1510" w:type="dxa"/>
            <w:vAlign w:val="center"/>
          </w:tcPr>
          <w:p w14:paraId="519A64F7">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中级经济师</w:t>
            </w:r>
          </w:p>
        </w:tc>
        <w:tc>
          <w:tcPr>
            <w:tcW w:w="1480" w:type="dxa"/>
            <w:vAlign w:val="center"/>
          </w:tcPr>
          <w:p w14:paraId="33255201">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审核指导   质量审核</w:t>
            </w:r>
          </w:p>
        </w:tc>
      </w:tr>
      <w:tr w14:paraId="577E27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4" w:hRule="atLeast"/>
        </w:trPr>
        <w:tc>
          <w:tcPr>
            <w:tcW w:w="527" w:type="dxa"/>
            <w:vAlign w:val="center"/>
          </w:tcPr>
          <w:p w14:paraId="13CEFD6A">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4</w:t>
            </w:r>
          </w:p>
        </w:tc>
        <w:tc>
          <w:tcPr>
            <w:tcW w:w="1605" w:type="dxa"/>
            <w:vAlign w:val="center"/>
          </w:tcPr>
          <w:p w14:paraId="6B094F53">
            <w:pPr>
              <w:pStyle w:val="14"/>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rPr>
              <w:t>项目</w:t>
            </w:r>
            <w:r>
              <w:rPr>
                <w:rFonts w:hint="eastAsia" w:ascii="仿宋_GB2312" w:hAnsi="黑体" w:eastAsia="仿宋_GB2312" w:cs="宋体"/>
                <w:kern w:val="0"/>
                <w:sz w:val="24"/>
                <w:lang w:val="en-US" w:eastAsia="zh-CN"/>
              </w:rPr>
              <w:t>组成员</w:t>
            </w:r>
          </w:p>
        </w:tc>
        <w:tc>
          <w:tcPr>
            <w:tcW w:w="1960" w:type="dxa"/>
            <w:vAlign w:val="center"/>
          </w:tcPr>
          <w:p w14:paraId="153BCF7D">
            <w:pPr>
              <w:pStyle w:val="14"/>
              <w:tabs>
                <w:tab w:val="right" w:leader="dot" w:pos="8302"/>
              </w:tabs>
              <w:spacing w:line="340" w:lineRule="exact"/>
              <w:jc w:val="center"/>
              <w:rPr>
                <w:rFonts w:hint="eastAsia"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古丽热依汉</w:t>
            </w:r>
          </w:p>
        </w:tc>
        <w:tc>
          <w:tcPr>
            <w:tcW w:w="1640" w:type="dxa"/>
            <w:vAlign w:val="center"/>
          </w:tcPr>
          <w:p w14:paraId="30C8136B">
            <w:pPr>
              <w:pStyle w:val="14"/>
              <w:tabs>
                <w:tab w:val="right" w:leader="dot" w:pos="8302"/>
              </w:tabs>
              <w:spacing w:line="340" w:lineRule="exact"/>
              <w:jc w:val="center"/>
              <w:rPr>
                <w:rFonts w:hint="eastAsia" w:ascii="仿宋_GB2312" w:hAnsi="黑体" w:eastAsia="仿宋_GB2312" w:cs="宋体"/>
                <w:kern w:val="0"/>
                <w:sz w:val="24"/>
                <w:lang w:val="en-US" w:eastAsia="zh-CN"/>
              </w:rPr>
            </w:pPr>
          </w:p>
        </w:tc>
        <w:tc>
          <w:tcPr>
            <w:tcW w:w="1510" w:type="dxa"/>
            <w:vAlign w:val="center"/>
          </w:tcPr>
          <w:p w14:paraId="4F6C372C">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val="en-US" w:eastAsia="zh-CN"/>
              </w:rPr>
              <w:t>助理</w:t>
            </w:r>
            <w:r>
              <w:rPr>
                <w:rFonts w:hint="eastAsia" w:ascii="仿宋_GB2312" w:hAnsi="黑体" w:eastAsia="仿宋_GB2312" w:cs="宋体"/>
                <w:kern w:val="0"/>
                <w:sz w:val="24"/>
              </w:rPr>
              <w:t>会计师</w:t>
            </w:r>
          </w:p>
        </w:tc>
        <w:tc>
          <w:tcPr>
            <w:tcW w:w="1480" w:type="dxa"/>
            <w:vAlign w:val="center"/>
          </w:tcPr>
          <w:p w14:paraId="265D005D">
            <w:pPr>
              <w:pStyle w:val="14"/>
              <w:tabs>
                <w:tab w:val="right" w:leader="dot" w:pos="8302"/>
              </w:tabs>
              <w:spacing w:line="340" w:lineRule="exact"/>
              <w:jc w:val="center"/>
              <w:rPr>
                <w:rFonts w:ascii="仿宋_GB2312" w:hAnsi="黑体" w:eastAsia="仿宋_GB2312" w:cs="宋体"/>
                <w:kern w:val="0"/>
                <w:sz w:val="24"/>
              </w:rPr>
            </w:pPr>
          </w:p>
        </w:tc>
      </w:tr>
      <w:tr w14:paraId="2AAEE7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527" w:type="dxa"/>
            <w:vAlign w:val="center"/>
          </w:tcPr>
          <w:p w14:paraId="2BF99D21">
            <w:pPr>
              <w:pStyle w:val="14"/>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5</w:t>
            </w:r>
          </w:p>
        </w:tc>
        <w:tc>
          <w:tcPr>
            <w:tcW w:w="1605" w:type="dxa"/>
            <w:vAlign w:val="center"/>
          </w:tcPr>
          <w:p w14:paraId="112CF968">
            <w:pPr>
              <w:pStyle w:val="14"/>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项目组成员</w:t>
            </w:r>
          </w:p>
        </w:tc>
        <w:tc>
          <w:tcPr>
            <w:tcW w:w="1960" w:type="dxa"/>
            <w:vAlign w:val="center"/>
          </w:tcPr>
          <w:p w14:paraId="57FFCFB6">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val="en-US" w:eastAsia="zh-CN"/>
              </w:rPr>
              <w:t>阿曼古丽</w:t>
            </w:r>
          </w:p>
        </w:tc>
        <w:tc>
          <w:tcPr>
            <w:tcW w:w="1640" w:type="dxa"/>
            <w:vAlign w:val="center"/>
          </w:tcPr>
          <w:p w14:paraId="26C47DD1">
            <w:pPr>
              <w:pStyle w:val="14"/>
              <w:tabs>
                <w:tab w:val="right" w:leader="dot" w:pos="8302"/>
              </w:tabs>
              <w:spacing w:line="340" w:lineRule="exact"/>
              <w:jc w:val="center"/>
              <w:rPr>
                <w:rFonts w:ascii="仿宋_GB2312" w:hAnsi="黑体" w:eastAsia="仿宋_GB2312" w:cs="宋体"/>
                <w:kern w:val="0"/>
                <w:sz w:val="24"/>
              </w:rPr>
            </w:pPr>
          </w:p>
        </w:tc>
        <w:tc>
          <w:tcPr>
            <w:tcW w:w="1510" w:type="dxa"/>
            <w:vAlign w:val="center"/>
          </w:tcPr>
          <w:p w14:paraId="2A6873F6">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eastAsia="zh-CN"/>
              </w:rPr>
              <w:t>会计员</w:t>
            </w:r>
          </w:p>
        </w:tc>
        <w:tc>
          <w:tcPr>
            <w:tcW w:w="1480" w:type="dxa"/>
            <w:vAlign w:val="center"/>
          </w:tcPr>
          <w:p w14:paraId="58158216">
            <w:pPr>
              <w:pStyle w:val="14"/>
              <w:tabs>
                <w:tab w:val="right" w:leader="dot" w:pos="8302"/>
              </w:tabs>
              <w:spacing w:line="340" w:lineRule="exact"/>
              <w:jc w:val="center"/>
              <w:rPr>
                <w:rFonts w:ascii="仿宋_GB2312" w:hAnsi="黑体" w:eastAsia="仿宋_GB2312" w:cs="宋体"/>
                <w:kern w:val="0"/>
                <w:sz w:val="24"/>
              </w:rPr>
            </w:pPr>
          </w:p>
        </w:tc>
      </w:tr>
    </w:tbl>
    <w:p w14:paraId="1727060B">
      <w:pPr>
        <w:ind w:firstLine="640" w:firstLineChars="200"/>
        <w:rPr>
          <w:rFonts w:ascii="仿宋_GB2312" w:eastAsia="仿宋_GB2312"/>
          <w:sz w:val="32"/>
          <w:szCs w:val="32"/>
        </w:rPr>
      </w:pPr>
    </w:p>
    <w:p w14:paraId="6B4BE2F3">
      <w:pPr>
        <w:pStyle w:val="14"/>
        <w:tabs>
          <w:tab w:val="right" w:leader="dot" w:pos="8302"/>
        </w:tabs>
        <w:spacing w:line="340" w:lineRule="exact"/>
        <w:rPr>
          <w:rFonts w:ascii="黑体" w:hAnsi="黑体" w:eastAsia="黑体" w:cs="宋体"/>
          <w:sz w:val="24"/>
        </w:rPr>
      </w:pPr>
    </w:p>
    <w:p w14:paraId="12DE94C0">
      <w:pPr>
        <w:pStyle w:val="14"/>
        <w:tabs>
          <w:tab w:val="right" w:leader="dot" w:pos="8302"/>
        </w:tabs>
        <w:spacing w:line="340" w:lineRule="exact"/>
        <w:jc w:val="center"/>
        <w:rPr>
          <w:rFonts w:hint="eastAsia" w:ascii="黑体" w:hAnsi="黑体" w:eastAsia="黑体" w:cs="黑体"/>
          <w:b/>
          <w:sz w:val="36"/>
          <w:szCs w:val="36"/>
        </w:rPr>
      </w:pPr>
    </w:p>
    <w:p w14:paraId="6FCD7858">
      <w:pPr>
        <w:pStyle w:val="14"/>
        <w:tabs>
          <w:tab w:val="right" w:leader="dot" w:pos="8302"/>
        </w:tabs>
        <w:spacing w:line="340" w:lineRule="exact"/>
        <w:jc w:val="center"/>
        <w:rPr>
          <w:rFonts w:hint="eastAsia" w:ascii="黑体" w:hAnsi="黑体" w:eastAsia="黑体" w:cs="黑体"/>
          <w:b/>
          <w:sz w:val="36"/>
          <w:szCs w:val="36"/>
        </w:rPr>
      </w:pPr>
    </w:p>
    <w:p w14:paraId="42035D90">
      <w:pPr>
        <w:pStyle w:val="14"/>
        <w:tabs>
          <w:tab w:val="right" w:leader="dot" w:pos="8302"/>
        </w:tabs>
        <w:spacing w:line="340" w:lineRule="exact"/>
        <w:jc w:val="center"/>
        <w:rPr>
          <w:rFonts w:hint="eastAsia" w:ascii="黑体" w:hAnsi="黑体" w:eastAsia="黑体" w:cs="黑体"/>
          <w:b/>
          <w:sz w:val="36"/>
          <w:szCs w:val="36"/>
        </w:rPr>
      </w:pPr>
    </w:p>
    <w:p w14:paraId="6B095BFF">
      <w:pPr>
        <w:pStyle w:val="14"/>
        <w:tabs>
          <w:tab w:val="right" w:leader="dot" w:pos="8302"/>
        </w:tabs>
        <w:spacing w:line="340" w:lineRule="exact"/>
        <w:jc w:val="center"/>
        <w:rPr>
          <w:rFonts w:hint="eastAsia" w:ascii="黑体" w:hAnsi="黑体" w:eastAsia="黑体" w:cs="黑体"/>
          <w:b/>
          <w:sz w:val="36"/>
          <w:szCs w:val="36"/>
        </w:rPr>
      </w:pPr>
    </w:p>
    <w:p w14:paraId="76B00C06">
      <w:pPr>
        <w:pStyle w:val="14"/>
        <w:tabs>
          <w:tab w:val="right" w:leader="dot" w:pos="8302"/>
        </w:tabs>
        <w:spacing w:line="340" w:lineRule="exact"/>
        <w:jc w:val="center"/>
        <w:rPr>
          <w:rFonts w:hint="eastAsia" w:ascii="黑体" w:hAnsi="黑体" w:eastAsia="黑体" w:cs="黑体"/>
          <w:b/>
          <w:sz w:val="36"/>
          <w:szCs w:val="36"/>
        </w:rPr>
      </w:pPr>
    </w:p>
    <w:p w14:paraId="719C62AB">
      <w:pPr>
        <w:pStyle w:val="14"/>
        <w:tabs>
          <w:tab w:val="right" w:leader="dot" w:pos="8302"/>
        </w:tabs>
        <w:spacing w:line="340" w:lineRule="exact"/>
        <w:jc w:val="both"/>
        <w:rPr>
          <w:rFonts w:hint="eastAsia" w:ascii="黑体" w:hAnsi="黑体" w:eastAsia="黑体" w:cs="黑体"/>
          <w:b/>
          <w:sz w:val="36"/>
          <w:szCs w:val="36"/>
        </w:rPr>
      </w:pPr>
    </w:p>
    <w:p w14:paraId="4552C959">
      <w:pPr>
        <w:pStyle w:val="14"/>
        <w:tabs>
          <w:tab w:val="right" w:leader="dot" w:pos="8302"/>
        </w:tabs>
        <w:spacing w:line="340" w:lineRule="exact"/>
        <w:jc w:val="center"/>
        <w:rPr>
          <w:rFonts w:hint="eastAsia" w:ascii="黑体" w:hAnsi="黑体" w:eastAsia="黑体" w:cs="黑体"/>
          <w:b/>
          <w:sz w:val="36"/>
          <w:szCs w:val="36"/>
        </w:rPr>
      </w:pPr>
      <w:r>
        <w:rPr>
          <w:rFonts w:hint="eastAsia" w:ascii="黑体" w:hAnsi="黑体" w:eastAsia="黑体" w:cs="黑体"/>
          <w:b/>
          <w:sz w:val="36"/>
          <w:szCs w:val="36"/>
        </w:rPr>
        <w:t>目 录</w:t>
      </w:r>
    </w:p>
    <w:sdt>
      <w:sdtPr>
        <w:rPr>
          <w:rFonts w:ascii="宋体" w:hAnsi="宋体" w:eastAsia="宋体" w:cstheme="minorBidi"/>
          <w:kern w:val="2"/>
          <w:sz w:val="24"/>
          <w:szCs w:val="24"/>
          <w:lang w:val="en-US" w:eastAsia="zh-CN" w:bidi="ar-SA"/>
        </w:rPr>
        <w:id w:val="147475025"/>
        <w15:color w:val="DBDBDB"/>
        <w:docPartObj>
          <w:docPartGallery w:val="Table of Contents"/>
          <w:docPartUnique/>
        </w:docPartObj>
      </w:sdtPr>
      <w:sdtEndPr>
        <w:rPr>
          <w:rFonts w:asciiTheme="minorHAnsi" w:hAnsiTheme="minorHAnsi" w:eastAsiaTheme="minorEastAsia" w:cstheme="minorBidi"/>
          <w:b w:val="0"/>
          <w:bCs w:val="0"/>
          <w:kern w:val="2"/>
          <w:sz w:val="21"/>
          <w:szCs w:val="24"/>
          <w:highlight w:val="none"/>
          <w:lang w:val="en-US" w:eastAsia="zh-CN" w:bidi="ar-SA"/>
        </w:rPr>
      </w:sdtEndPr>
      <w:sdtContent>
        <w:p w14:paraId="3C8760BC">
          <w:pPr>
            <w:spacing w:before="0" w:beforeLines="0" w:after="0" w:afterLines="0" w:line="240" w:lineRule="auto"/>
            <w:ind w:left="0" w:leftChars="0" w:right="0" w:rightChars="0" w:firstLine="0" w:firstLineChars="0"/>
            <w:jc w:val="center"/>
            <w:rPr>
              <w:rFonts w:asciiTheme="minorHAnsi" w:hAnsiTheme="minorHAnsi" w:eastAsiaTheme="minorEastAsia" w:cstheme="minorBidi"/>
              <w:b w:val="0"/>
              <w:bCs w:val="0"/>
              <w:kern w:val="2"/>
              <w:sz w:val="24"/>
              <w:szCs w:val="24"/>
              <w:highlight w:val="none"/>
              <w:lang w:val="en-US" w:eastAsia="zh-CN" w:bidi="ar-SA"/>
            </w:rPr>
          </w:pPr>
          <w:r>
            <w:rPr>
              <w:b w:val="0"/>
              <w:bCs w:val="0"/>
              <w:sz w:val="24"/>
              <w:szCs w:val="24"/>
              <w:highlight w:val="none"/>
            </w:rPr>
            <w:fldChar w:fldCharType="begin"/>
          </w:r>
          <w:r>
            <w:rPr>
              <w:b w:val="0"/>
              <w:bCs w:val="0"/>
              <w:sz w:val="24"/>
              <w:szCs w:val="24"/>
              <w:highlight w:val="none"/>
            </w:rPr>
            <w:instrText xml:space="preserve">TOC \o "1-2" \h \u </w:instrText>
          </w:r>
          <w:r>
            <w:rPr>
              <w:b w:val="0"/>
              <w:bCs w:val="0"/>
              <w:sz w:val="24"/>
              <w:szCs w:val="24"/>
              <w:highlight w:val="none"/>
            </w:rPr>
            <w:fldChar w:fldCharType="separate"/>
          </w:r>
        </w:p>
        <w:p w14:paraId="6EAE594C">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_Toc28183 </w:instrText>
          </w:r>
          <w:r>
            <w:rPr>
              <w:bCs w:val="0"/>
              <w:szCs w:val="24"/>
              <w:highlight w:val="none"/>
            </w:rPr>
            <w:fldChar w:fldCharType="separate"/>
          </w:r>
          <w:r>
            <w:rPr>
              <w:rFonts w:hint="eastAsia" w:ascii="黑体" w:hAnsi="黑体" w:eastAsia="黑体" w:cs="宋体"/>
              <w:szCs w:val="32"/>
              <w:highlight w:val="none"/>
            </w:rPr>
            <w:t>一、项目概述</w:t>
          </w:r>
          <w:r>
            <w:rPr>
              <w:highlight w:val="none"/>
            </w:rPr>
            <w:tab/>
          </w:r>
          <w:r>
            <w:rPr>
              <w:highlight w:val="none"/>
            </w:rPr>
            <w:fldChar w:fldCharType="begin"/>
          </w:r>
          <w:r>
            <w:rPr>
              <w:highlight w:val="none"/>
            </w:rPr>
            <w:instrText xml:space="preserve"> PAGEREF _Toc28183 </w:instrText>
          </w:r>
          <w:r>
            <w:rPr>
              <w:highlight w:val="none"/>
            </w:rPr>
            <w:fldChar w:fldCharType="separate"/>
          </w:r>
          <w:r>
            <w:rPr>
              <w:highlight w:val="none"/>
            </w:rPr>
            <w:t>1</w:t>
          </w:r>
          <w:r>
            <w:rPr>
              <w:highlight w:val="none"/>
            </w:rPr>
            <w:fldChar w:fldCharType="end"/>
          </w:r>
          <w:r>
            <w:rPr>
              <w:bCs w:val="0"/>
              <w:szCs w:val="24"/>
              <w:highlight w:val="none"/>
            </w:rPr>
            <w:fldChar w:fldCharType="end"/>
          </w:r>
        </w:p>
        <w:p w14:paraId="6E616575">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_Toc27345 </w:instrText>
          </w:r>
          <w:r>
            <w:rPr>
              <w:bCs w:val="0"/>
              <w:szCs w:val="24"/>
              <w:highlight w:val="none"/>
            </w:rPr>
            <w:fldChar w:fldCharType="separate"/>
          </w:r>
          <w:r>
            <w:rPr>
              <w:rFonts w:hint="eastAsia" w:ascii="仿宋_GB2312" w:hAnsi="仿宋" w:eastAsia="仿宋_GB2312" w:cs="宋体"/>
              <w:bCs/>
              <w:szCs w:val="32"/>
              <w:highlight w:val="none"/>
            </w:rPr>
            <w:t>（一）项目基本情况</w:t>
          </w:r>
          <w:r>
            <w:rPr>
              <w:highlight w:val="none"/>
            </w:rPr>
            <w:tab/>
          </w:r>
          <w:r>
            <w:rPr>
              <w:highlight w:val="none"/>
            </w:rPr>
            <w:fldChar w:fldCharType="begin"/>
          </w:r>
          <w:r>
            <w:rPr>
              <w:highlight w:val="none"/>
            </w:rPr>
            <w:instrText xml:space="preserve"> PAGEREF _Toc27345 </w:instrText>
          </w:r>
          <w:r>
            <w:rPr>
              <w:highlight w:val="none"/>
            </w:rPr>
            <w:fldChar w:fldCharType="separate"/>
          </w:r>
          <w:r>
            <w:rPr>
              <w:highlight w:val="none"/>
            </w:rPr>
            <w:t>1</w:t>
          </w:r>
          <w:r>
            <w:rPr>
              <w:highlight w:val="none"/>
            </w:rPr>
            <w:fldChar w:fldCharType="end"/>
          </w:r>
          <w:r>
            <w:rPr>
              <w:bCs w:val="0"/>
              <w:szCs w:val="24"/>
              <w:highlight w:val="none"/>
            </w:rPr>
            <w:fldChar w:fldCharType="end"/>
          </w:r>
        </w:p>
        <w:p w14:paraId="3871E4C9">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_Toc30597 </w:instrText>
          </w:r>
          <w:r>
            <w:rPr>
              <w:bCs w:val="0"/>
              <w:szCs w:val="24"/>
              <w:highlight w:val="none"/>
            </w:rPr>
            <w:fldChar w:fldCharType="separate"/>
          </w:r>
          <w:r>
            <w:rPr>
              <w:rFonts w:hint="eastAsia" w:ascii="仿宋_GB2312" w:hAnsi="仿宋" w:eastAsia="仿宋_GB2312" w:cs="宋体"/>
              <w:bCs/>
              <w:szCs w:val="32"/>
              <w:highlight w:val="none"/>
            </w:rPr>
            <w:t>（二）项目资金情况</w:t>
          </w:r>
          <w:r>
            <w:rPr>
              <w:highlight w:val="none"/>
            </w:rPr>
            <w:tab/>
          </w:r>
          <w:r>
            <w:rPr>
              <w:highlight w:val="none"/>
            </w:rPr>
            <w:fldChar w:fldCharType="begin"/>
          </w:r>
          <w:r>
            <w:rPr>
              <w:highlight w:val="none"/>
            </w:rPr>
            <w:instrText xml:space="preserve"> PAGEREF _Toc30597 </w:instrText>
          </w:r>
          <w:r>
            <w:rPr>
              <w:highlight w:val="none"/>
            </w:rPr>
            <w:fldChar w:fldCharType="separate"/>
          </w:r>
          <w:r>
            <w:rPr>
              <w:highlight w:val="none"/>
            </w:rPr>
            <w:t>3</w:t>
          </w:r>
          <w:r>
            <w:rPr>
              <w:highlight w:val="none"/>
            </w:rPr>
            <w:fldChar w:fldCharType="end"/>
          </w:r>
          <w:r>
            <w:rPr>
              <w:bCs w:val="0"/>
              <w:szCs w:val="24"/>
              <w:highlight w:val="none"/>
            </w:rPr>
            <w:fldChar w:fldCharType="end"/>
          </w:r>
        </w:p>
        <w:p w14:paraId="08446470">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_Toc4656 </w:instrText>
          </w:r>
          <w:r>
            <w:rPr>
              <w:bCs w:val="0"/>
              <w:szCs w:val="24"/>
              <w:highlight w:val="none"/>
            </w:rPr>
            <w:fldChar w:fldCharType="separate"/>
          </w:r>
          <w:r>
            <w:rPr>
              <w:rFonts w:hint="eastAsia" w:ascii="仿宋_GB2312" w:hAnsi="仿宋" w:eastAsia="仿宋_GB2312" w:cs="宋体"/>
              <w:bCs/>
              <w:szCs w:val="32"/>
              <w:highlight w:val="none"/>
            </w:rPr>
            <w:t>（三）绩效目标设置情况</w:t>
          </w:r>
          <w:r>
            <w:rPr>
              <w:highlight w:val="none"/>
            </w:rPr>
            <w:tab/>
          </w:r>
          <w:r>
            <w:rPr>
              <w:highlight w:val="none"/>
            </w:rPr>
            <w:fldChar w:fldCharType="begin"/>
          </w:r>
          <w:r>
            <w:rPr>
              <w:highlight w:val="none"/>
            </w:rPr>
            <w:instrText xml:space="preserve"> PAGEREF _Toc4656 </w:instrText>
          </w:r>
          <w:r>
            <w:rPr>
              <w:highlight w:val="none"/>
            </w:rPr>
            <w:fldChar w:fldCharType="separate"/>
          </w:r>
          <w:r>
            <w:rPr>
              <w:highlight w:val="none"/>
            </w:rPr>
            <w:t>4</w:t>
          </w:r>
          <w:r>
            <w:rPr>
              <w:highlight w:val="none"/>
            </w:rPr>
            <w:fldChar w:fldCharType="end"/>
          </w:r>
          <w:r>
            <w:rPr>
              <w:bCs w:val="0"/>
              <w:szCs w:val="24"/>
              <w:highlight w:val="none"/>
            </w:rPr>
            <w:fldChar w:fldCharType="end"/>
          </w:r>
        </w:p>
        <w:p w14:paraId="79DFA064">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_Toc25486 </w:instrText>
          </w:r>
          <w:r>
            <w:rPr>
              <w:bCs w:val="0"/>
              <w:szCs w:val="24"/>
              <w:highlight w:val="none"/>
            </w:rPr>
            <w:fldChar w:fldCharType="separate"/>
          </w:r>
          <w:r>
            <w:rPr>
              <w:rFonts w:hint="eastAsia" w:ascii="黑体" w:hAnsi="黑体" w:eastAsia="黑体" w:cs="宋体"/>
              <w:szCs w:val="32"/>
              <w:highlight w:val="none"/>
            </w:rPr>
            <w:t>二、评价工作简述</w:t>
          </w:r>
          <w:r>
            <w:rPr>
              <w:highlight w:val="none"/>
            </w:rPr>
            <w:tab/>
          </w:r>
          <w:r>
            <w:rPr>
              <w:highlight w:val="none"/>
            </w:rPr>
            <w:fldChar w:fldCharType="begin"/>
          </w:r>
          <w:r>
            <w:rPr>
              <w:highlight w:val="none"/>
            </w:rPr>
            <w:instrText xml:space="preserve"> PAGEREF _Toc25486 </w:instrText>
          </w:r>
          <w:r>
            <w:rPr>
              <w:highlight w:val="none"/>
            </w:rPr>
            <w:fldChar w:fldCharType="separate"/>
          </w:r>
          <w:r>
            <w:rPr>
              <w:highlight w:val="none"/>
            </w:rPr>
            <w:t>4</w:t>
          </w:r>
          <w:r>
            <w:rPr>
              <w:highlight w:val="none"/>
            </w:rPr>
            <w:fldChar w:fldCharType="end"/>
          </w:r>
          <w:r>
            <w:rPr>
              <w:bCs w:val="0"/>
              <w:szCs w:val="24"/>
              <w:highlight w:val="none"/>
            </w:rPr>
            <w:fldChar w:fldCharType="end"/>
          </w:r>
        </w:p>
        <w:p w14:paraId="6F5750CA">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_Toc8259 </w:instrText>
          </w:r>
          <w:r>
            <w:rPr>
              <w:bCs w:val="0"/>
              <w:szCs w:val="24"/>
              <w:highlight w:val="none"/>
            </w:rPr>
            <w:fldChar w:fldCharType="separate"/>
          </w:r>
          <w:r>
            <w:rPr>
              <w:rFonts w:hint="eastAsia" w:ascii="仿宋_GB2312" w:hAnsi="仿宋" w:eastAsia="仿宋_GB2312" w:cs="宋体"/>
              <w:bCs/>
              <w:szCs w:val="32"/>
              <w:highlight w:val="none"/>
            </w:rPr>
            <w:t>（一）评价目的</w:t>
          </w:r>
          <w:r>
            <w:rPr>
              <w:highlight w:val="none"/>
            </w:rPr>
            <w:tab/>
          </w:r>
          <w:r>
            <w:rPr>
              <w:highlight w:val="none"/>
            </w:rPr>
            <w:fldChar w:fldCharType="begin"/>
          </w:r>
          <w:r>
            <w:rPr>
              <w:highlight w:val="none"/>
            </w:rPr>
            <w:instrText xml:space="preserve"> PAGEREF _Toc8259 </w:instrText>
          </w:r>
          <w:r>
            <w:rPr>
              <w:highlight w:val="none"/>
            </w:rPr>
            <w:fldChar w:fldCharType="separate"/>
          </w:r>
          <w:r>
            <w:rPr>
              <w:highlight w:val="none"/>
            </w:rPr>
            <w:t>6</w:t>
          </w:r>
          <w:r>
            <w:rPr>
              <w:highlight w:val="none"/>
            </w:rPr>
            <w:fldChar w:fldCharType="end"/>
          </w:r>
          <w:r>
            <w:rPr>
              <w:bCs w:val="0"/>
              <w:szCs w:val="24"/>
              <w:highlight w:val="none"/>
            </w:rPr>
            <w:fldChar w:fldCharType="end"/>
          </w:r>
        </w:p>
        <w:p w14:paraId="6C15BB24">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_Toc22761 </w:instrText>
          </w:r>
          <w:r>
            <w:rPr>
              <w:bCs w:val="0"/>
              <w:szCs w:val="24"/>
              <w:highlight w:val="none"/>
            </w:rPr>
            <w:fldChar w:fldCharType="separate"/>
          </w:r>
          <w:r>
            <w:rPr>
              <w:rFonts w:hint="eastAsia" w:ascii="仿宋_GB2312" w:hAnsi="仿宋" w:eastAsia="仿宋_GB2312" w:cs="宋体"/>
              <w:bCs/>
              <w:szCs w:val="32"/>
              <w:highlight w:val="none"/>
            </w:rPr>
            <w:t>（二）绩效评价工作</w:t>
          </w:r>
          <w:r>
            <w:rPr>
              <w:rFonts w:hint="eastAsia" w:ascii="仿宋_GB2312" w:hAnsi="仿宋" w:eastAsia="仿宋_GB2312" w:cs="宋体"/>
              <w:bCs/>
              <w:szCs w:val="32"/>
              <w:highlight w:val="none"/>
              <w:lang w:val="en-US" w:eastAsia="zh-CN"/>
            </w:rPr>
            <w:t>的基本</w:t>
          </w:r>
          <w:r>
            <w:rPr>
              <w:rFonts w:hint="eastAsia" w:ascii="仿宋_GB2312" w:hAnsi="仿宋" w:eastAsia="仿宋_GB2312" w:cs="宋体"/>
              <w:bCs/>
              <w:szCs w:val="32"/>
              <w:highlight w:val="none"/>
            </w:rPr>
            <w:t>思路</w:t>
          </w:r>
          <w:r>
            <w:rPr>
              <w:highlight w:val="none"/>
            </w:rPr>
            <w:tab/>
          </w:r>
          <w:r>
            <w:rPr>
              <w:highlight w:val="none"/>
            </w:rPr>
            <w:fldChar w:fldCharType="begin"/>
          </w:r>
          <w:r>
            <w:rPr>
              <w:highlight w:val="none"/>
            </w:rPr>
            <w:instrText xml:space="preserve"> PAGEREF _Toc22761 </w:instrText>
          </w:r>
          <w:r>
            <w:rPr>
              <w:highlight w:val="none"/>
            </w:rPr>
            <w:fldChar w:fldCharType="separate"/>
          </w:r>
          <w:r>
            <w:rPr>
              <w:highlight w:val="none"/>
            </w:rPr>
            <w:t>6</w:t>
          </w:r>
          <w:r>
            <w:rPr>
              <w:highlight w:val="none"/>
            </w:rPr>
            <w:fldChar w:fldCharType="end"/>
          </w:r>
          <w:r>
            <w:rPr>
              <w:bCs w:val="0"/>
              <w:szCs w:val="24"/>
              <w:highlight w:val="none"/>
            </w:rPr>
            <w:fldChar w:fldCharType="end"/>
          </w:r>
        </w:p>
        <w:p w14:paraId="601FC272">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_Toc7962 </w:instrText>
          </w:r>
          <w:r>
            <w:rPr>
              <w:bCs w:val="0"/>
              <w:szCs w:val="24"/>
              <w:highlight w:val="none"/>
            </w:rPr>
            <w:fldChar w:fldCharType="separate"/>
          </w:r>
          <w:r>
            <w:rPr>
              <w:rFonts w:hint="eastAsia" w:ascii="仿宋_GB2312" w:hAnsi="仿宋" w:eastAsia="仿宋_GB2312" w:cs="宋体"/>
              <w:bCs/>
              <w:szCs w:val="32"/>
              <w:highlight w:val="none"/>
            </w:rPr>
            <w:t>（三）评价原则</w:t>
          </w:r>
          <w:r>
            <w:rPr>
              <w:highlight w:val="none"/>
            </w:rPr>
            <w:tab/>
          </w:r>
          <w:r>
            <w:rPr>
              <w:highlight w:val="none"/>
            </w:rPr>
            <w:fldChar w:fldCharType="begin"/>
          </w:r>
          <w:r>
            <w:rPr>
              <w:highlight w:val="none"/>
            </w:rPr>
            <w:instrText xml:space="preserve"> PAGEREF _Toc7962 </w:instrText>
          </w:r>
          <w:r>
            <w:rPr>
              <w:highlight w:val="none"/>
            </w:rPr>
            <w:fldChar w:fldCharType="separate"/>
          </w:r>
          <w:r>
            <w:rPr>
              <w:highlight w:val="none"/>
            </w:rPr>
            <w:t>7</w:t>
          </w:r>
          <w:r>
            <w:rPr>
              <w:highlight w:val="none"/>
            </w:rPr>
            <w:fldChar w:fldCharType="end"/>
          </w:r>
          <w:r>
            <w:rPr>
              <w:bCs w:val="0"/>
              <w:szCs w:val="24"/>
              <w:highlight w:val="none"/>
            </w:rPr>
            <w:fldChar w:fldCharType="end"/>
          </w:r>
        </w:p>
        <w:p w14:paraId="4FF15883">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_Toc1742 </w:instrText>
          </w:r>
          <w:r>
            <w:rPr>
              <w:bCs w:val="0"/>
              <w:szCs w:val="24"/>
              <w:highlight w:val="none"/>
            </w:rPr>
            <w:fldChar w:fldCharType="separate"/>
          </w:r>
          <w:r>
            <w:rPr>
              <w:rFonts w:hint="eastAsia" w:ascii="仿宋_GB2312" w:hAnsi="仿宋" w:eastAsia="仿宋_GB2312" w:cs="宋体"/>
              <w:bCs/>
              <w:szCs w:val="32"/>
              <w:highlight w:val="none"/>
            </w:rPr>
            <w:t>（四）评价方法</w:t>
          </w:r>
          <w:r>
            <w:rPr>
              <w:highlight w:val="none"/>
            </w:rPr>
            <w:tab/>
          </w:r>
          <w:r>
            <w:rPr>
              <w:highlight w:val="none"/>
            </w:rPr>
            <w:fldChar w:fldCharType="begin"/>
          </w:r>
          <w:r>
            <w:rPr>
              <w:highlight w:val="none"/>
            </w:rPr>
            <w:instrText xml:space="preserve"> PAGEREF _Toc1742 </w:instrText>
          </w:r>
          <w:r>
            <w:rPr>
              <w:highlight w:val="none"/>
            </w:rPr>
            <w:fldChar w:fldCharType="separate"/>
          </w:r>
          <w:r>
            <w:rPr>
              <w:highlight w:val="none"/>
            </w:rPr>
            <w:t>7</w:t>
          </w:r>
          <w:r>
            <w:rPr>
              <w:highlight w:val="none"/>
            </w:rPr>
            <w:fldChar w:fldCharType="end"/>
          </w:r>
          <w:r>
            <w:rPr>
              <w:bCs w:val="0"/>
              <w:szCs w:val="24"/>
              <w:highlight w:val="none"/>
            </w:rPr>
            <w:fldChar w:fldCharType="end"/>
          </w:r>
        </w:p>
        <w:p w14:paraId="0A9C0E1D">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_Toc16588 </w:instrText>
          </w:r>
          <w:r>
            <w:rPr>
              <w:bCs w:val="0"/>
              <w:szCs w:val="24"/>
              <w:highlight w:val="none"/>
            </w:rPr>
            <w:fldChar w:fldCharType="separate"/>
          </w:r>
          <w:r>
            <w:rPr>
              <w:rFonts w:hint="eastAsia" w:ascii="仿宋_GB2312" w:hAnsi="仿宋" w:eastAsia="仿宋_GB2312" w:cs="宋体"/>
              <w:bCs/>
              <w:szCs w:val="32"/>
              <w:highlight w:val="none"/>
            </w:rPr>
            <w:t>（五） 指标体系</w:t>
          </w:r>
          <w:r>
            <w:rPr>
              <w:highlight w:val="none"/>
            </w:rPr>
            <w:tab/>
          </w:r>
          <w:r>
            <w:rPr>
              <w:highlight w:val="none"/>
            </w:rPr>
            <w:fldChar w:fldCharType="begin"/>
          </w:r>
          <w:r>
            <w:rPr>
              <w:highlight w:val="none"/>
            </w:rPr>
            <w:instrText xml:space="preserve"> PAGEREF _Toc16588 </w:instrText>
          </w:r>
          <w:r>
            <w:rPr>
              <w:highlight w:val="none"/>
            </w:rPr>
            <w:fldChar w:fldCharType="separate"/>
          </w:r>
          <w:r>
            <w:rPr>
              <w:highlight w:val="none"/>
            </w:rPr>
            <w:t>7</w:t>
          </w:r>
          <w:r>
            <w:rPr>
              <w:highlight w:val="none"/>
            </w:rPr>
            <w:fldChar w:fldCharType="end"/>
          </w:r>
          <w:r>
            <w:rPr>
              <w:bCs w:val="0"/>
              <w:szCs w:val="24"/>
              <w:highlight w:val="none"/>
            </w:rPr>
            <w:fldChar w:fldCharType="end"/>
          </w:r>
        </w:p>
        <w:p w14:paraId="469A3D13">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_Toc31692 </w:instrText>
          </w:r>
          <w:r>
            <w:rPr>
              <w:bCs w:val="0"/>
              <w:szCs w:val="24"/>
              <w:highlight w:val="none"/>
            </w:rPr>
            <w:fldChar w:fldCharType="separate"/>
          </w:r>
          <w:r>
            <w:rPr>
              <w:rFonts w:hint="eastAsia" w:ascii="仿宋_GB2312" w:hAnsi="仿宋" w:eastAsia="仿宋_GB2312" w:cs="宋体"/>
              <w:bCs/>
              <w:szCs w:val="32"/>
              <w:highlight w:val="none"/>
            </w:rPr>
            <w:t>（六）评价等级划分</w:t>
          </w:r>
          <w:r>
            <w:rPr>
              <w:highlight w:val="none"/>
            </w:rPr>
            <w:tab/>
          </w:r>
          <w:r>
            <w:rPr>
              <w:highlight w:val="none"/>
            </w:rPr>
            <w:fldChar w:fldCharType="begin"/>
          </w:r>
          <w:r>
            <w:rPr>
              <w:highlight w:val="none"/>
            </w:rPr>
            <w:instrText xml:space="preserve"> PAGEREF _Toc31692 </w:instrText>
          </w:r>
          <w:r>
            <w:rPr>
              <w:highlight w:val="none"/>
            </w:rPr>
            <w:fldChar w:fldCharType="separate"/>
          </w:r>
          <w:r>
            <w:rPr>
              <w:highlight w:val="none"/>
            </w:rPr>
            <w:t>8</w:t>
          </w:r>
          <w:r>
            <w:rPr>
              <w:highlight w:val="none"/>
            </w:rPr>
            <w:fldChar w:fldCharType="end"/>
          </w:r>
          <w:r>
            <w:rPr>
              <w:bCs w:val="0"/>
              <w:szCs w:val="24"/>
              <w:highlight w:val="none"/>
            </w:rPr>
            <w:fldChar w:fldCharType="end"/>
          </w:r>
        </w:p>
        <w:p w14:paraId="015A671C">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_Toc24267 </w:instrText>
          </w:r>
          <w:r>
            <w:rPr>
              <w:bCs w:val="0"/>
              <w:szCs w:val="24"/>
              <w:highlight w:val="none"/>
            </w:rPr>
            <w:fldChar w:fldCharType="separate"/>
          </w:r>
          <w:r>
            <w:rPr>
              <w:rFonts w:hint="eastAsia" w:ascii="仿宋_GB2312" w:hAnsi="仿宋" w:eastAsia="仿宋_GB2312" w:cs="宋体"/>
              <w:bCs/>
              <w:szCs w:val="32"/>
              <w:highlight w:val="none"/>
            </w:rPr>
            <w:t>（七）评价工作实施情况</w:t>
          </w:r>
          <w:r>
            <w:rPr>
              <w:highlight w:val="none"/>
            </w:rPr>
            <w:tab/>
          </w:r>
          <w:r>
            <w:rPr>
              <w:highlight w:val="none"/>
            </w:rPr>
            <w:fldChar w:fldCharType="begin"/>
          </w:r>
          <w:r>
            <w:rPr>
              <w:highlight w:val="none"/>
            </w:rPr>
            <w:instrText xml:space="preserve"> PAGEREF _Toc24267 </w:instrText>
          </w:r>
          <w:r>
            <w:rPr>
              <w:highlight w:val="none"/>
            </w:rPr>
            <w:fldChar w:fldCharType="separate"/>
          </w:r>
          <w:r>
            <w:rPr>
              <w:highlight w:val="none"/>
            </w:rPr>
            <w:t>9</w:t>
          </w:r>
          <w:r>
            <w:rPr>
              <w:highlight w:val="none"/>
            </w:rPr>
            <w:fldChar w:fldCharType="end"/>
          </w:r>
          <w:r>
            <w:rPr>
              <w:bCs w:val="0"/>
              <w:szCs w:val="24"/>
              <w:highlight w:val="none"/>
            </w:rPr>
            <w:fldChar w:fldCharType="end"/>
          </w:r>
        </w:p>
        <w:p w14:paraId="0F7385DD">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_Toc27359 </w:instrText>
          </w:r>
          <w:r>
            <w:rPr>
              <w:bCs w:val="0"/>
              <w:szCs w:val="24"/>
              <w:highlight w:val="none"/>
            </w:rPr>
            <w:fldChar w:fldCharType="separate"/>
          </w:r>
          <w:r>
            <w:rPr>
              <w:rFonts w:hint="eastAsia" w:ascii="黑体" w:hAnsi="黑体" w:eastAsia="黑体" w:cs="宋体"/>
              <w:szCs w:val="32"/>
              <w:highlight w:val="none"/>
            </w:rPr>
            <w:t>三、绩效评价分析</w:t>
          </w:r>
          <w:r>
            <w:rPr>
              <w:highlight w:val="none"/>
            </w:rPr>
            <w:tab/>
          </w:r>
          <w:r>
            <w:rPr>
              <w:highlight w:val="none"/>
            </w:rPr>
            <w:fldChar w:fldCharType="begin"/>
          </w:r>
          <w:r>
            <w:rPr>
              <w:highlight w:val="none"/>
            </w:rPr>
            <w:instrText xml:space="preserve"> PAGEREF _Toc27359 </w:instrText>
          </w:r>
          <w:r>
            <w:rPr>
              <w:highlight w:val="none"/>
            </w:rPr>
            <w:fldChar w:fldCharType="separate"/>
          </w:r>
          <w:r>
            <w:rPr>
              <w:highlight w:val="none"/>
            </w:rPr>
            <w:t>10</w:t>
          </w:r>
          <w:r>
            <w:rPr>
              <w:highlight w:val="none"/>
            </w:rPr>
            <w:fldChar w:fldCharType="end"/>
          </w:r>
          <w:r>
            <w:rPr>
              <w:bCs w:val="0"/>
              <w:szCs w:val="24"/>
              <w:highlight w:val="none"/>
            </w:rPr>
            <w:fldChar w:fldCharType="end"/>
          </w:r>
        </w:p>
        <w:p w14:paraId="0A58E5A7">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_Toc5787 </w:instrText>
          </w:r>
          <w:r>
            <w:rPr>
              <w:bCs w:val="0"/>
              <w:szCs w:val="24"/>
              <w:highlight w:val="none"/>
            </w:rPr>
            <w:fldChar w:fldCharType="separate"/>
          </w:r>
          <w:r>
            <w:rPr>
              <w:rFonts w:hint="eastAsia" w:ascii="仿宋_GB2312" w:hAnsi="仿宋" w:eastAsia="仿宋_GB2312" w:cs="宋体"/>
              <w:bCs/>
              <w:szCs w:val="32"/>
              <w:highlight w:val="none"/>
            </w:rPr>
            <w:t>（一）项目决策分析</w:t>
          </w:r>
          <w:r>
            <w:rPr>
              <w:highlight w:val="none"/>
            </w:rPr>
            <w:tab/>
          </w:r>
          <w:r>
            <w:rPr>
              <w:highlight w:val="none"/>
            </w:rPr>
            <w:fldChar w:fldCharType="begin"/>
          </w:r>
          <w:r>
            <w:rPr>
              <w:highlight w:val="none"/>
            </w:rPr>
            <w:instrText xml:space="preserve"> PAGEREF _Toc5787 </w:instrText>
          </w:r>
          <w:r>
            <w:rPr>
              <w:highlight w:val="none"/>
            </w:rPr>
            <w:fldChar w:fldCharType="separate"/>
          </w:r>
          <w:r>
            <w:rPr>
              <w:highlight w:val="none"/>
            </w:rPr>
            <w:t>10</w:t>
          </w:r>
          <w:r>
            <w:rPr>
              <w:highlight w:val="none"/>
            </w:rPr>
            <w:fldChar w:fldCharType="end"/>
          </w:r>
          <w:r>
            <w:rPr>
              <w:bCs w:val="0"/>
              <w:szCs w:val="24"/>
              <w:highlight w:val="none"/>
            </w:rPr>
            <w:fldChar w:fldCharType="end"/>
          </w:r>
        </w:p>
        <w:p w14:paraId="1190FE11">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_Toc5610 </w:instrText>
          </w:r>
          <w:r>
            <w:rPr>
              <w:bCs w:val="0"/>
              <w:szCs w:val="24"/>
              <w:highlight w:val="none"/>
            </w:rPr>
            <w:fldChar w:fldCharType="separate"/>
          </w:r>
          <w:r>
            <w:rPr>
              <w:rFonts w:hint="eastAsia" w:ascii="仿宋_GB2312" w:hAnsi="仿宋" w:eastAsia="仿宋_GB2312" w:cs="宋体"/>
              <w:bCs/>
              <w:szCs w:val="32"/>
              <w:highlight w:val="none"/>
            </w:rPr>
            <w:t>（二）项目管理</w:t>
          </w:r>
          <w:r>
            <w:rPr>
              <w:rFonts w:hint="eastAsia" w:ascii="仿宋_GB2312" w:hAnsi="仿宋" w:eastAsia="仿宋_GB2312" w:cs="宋体"/>
              <w:bCs/>
              <w:szCs w:val="32"/>
              <w:highlight w:val="none"/>
              <w:lang w:val="en-US" w:eastAsia="zh-CN"/>
            </w:rPr>
            <w:t>过程</w:t>
          </w:r>
          <w:r>
            <w:rPr>
              <w:rFonts w:hint="eastAsia" w:ascii="仿宋_GB2312" w:hAnsi="仿宋" w:eastAsia="仿宋_GB2312" w:cs="宋体"/>
              <w:bCs/>
              <w:szCs w:val="32"/>
              <w:highlight w:val="none"/>
            </w:rPr>
            <w:t>情况分析</w:t>
          </w:r>
          <w:r>
            <w:rPr>
              <w:highlight w:val="none"/>
            </w:rPr>
            <w:tab/>
          </w:r>
          <w:r>
            <w:rPr>
              <w:highlight w:val="none"/>
            </w:rPr>
            <w:fldChar w:fldCharType="begin"/>
          </w:r>
          <w:r>
            <w:rPr>
              <w:highlight w:val="none"/>
            </w:rPr>
            <w:instrText xml:space="preserve"> PAGEREF _Toc5610 </w:instrText>
          </w:r>
          <w:r>
            <w:rPr>
              <w:highlight w:val="none"/>
            </w:rPr>
            <w:fldChar w:fldCharType="separate"/>
          </w:r>
          <w:r>
            <w:rPr>
              <w:highlight w:val="none"/>
            </w:rPr>
            <w:t>13</w:t>
          </w:r>
          <w:r>
            <w:rPr>
              <w:highlight w:val="none"/>
            </w:rPr>
            <w:fldChar w:fldCharType="end"/>
          </w:r>
          <w:r>
            <w:rPr>
              <w:bCs w:val="0"/>
              <w:szCs w:val="24"/>
              <w:highlight w:val="none"/>
            </w:rPr>
            <w:fldChar w:fldCharType="end"/>
          </w:r>
        </w:p>
        <w:p w14:paraId="3B23DAB6">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_Toc31015 </w:instrText>
          </w:r>
          <w:r>
            <w:rPr>
              <w:bCs w:val="0"/>
              <w:szCs w:val="24"/>
              <w:highlight w:val="none"/>
            </w:rPr>
            <w:fldChar w:fldCharType="separate"/>
          </w:r>
          <w:r>
            <w:rPr>
              <w:rFonts w:hint="eastAsia" w:ascii="仿宋_GB2312" w:hAnsi="仿宋" w:eastAsia="仿宋_GB2312" w:cs="宋体"/>
              <w:bCs/>
              <w:szCs w:val="32"/>
              <w:highlight w:val="none"/>
            </w:rPr>
            <w:t>（</w:t>
          </w:r>
          <w:r>
            <w:rPr>
              <w:rFonts w:hint="eastAsia" w:ascii="仿宋_GB2312" w:hAnsi="仿宋" w:eastAsia="仿宋_GB2312" w:cs="宋体"/>
              <w:bCs/>
              <w:szCs w:val="32"/>
              <w:highlight w:val="none"/>
              <w:lang w:val="en-US" w:eastAsia="zh-CN"/>
            </w:rPr>
            <w:t>三</w:t>
          </w:r>
          <w:r>
            <w:rPr>
              <w:rFonts w:hint="eastAsia" w:ascii="仿宋_GB2312" w:hAnsi="仿宋" w:eastAsia="仿宋_GB2312" w:cs="宋体"/>
              <w:bCs/>
              <w:szCs w:val="32"/>
              <w:highlight w:val="none"/>
            </w:rPr>
            <w:t>）项目</w:t>
          </w:r>
          <w:r>
            <w:rPr>
              <w:rFonts w:hint="eastAsia" w:ascii="仿宋_GB2312" w:hAnsi="仿宋" w:eastAsia="仿宋_GB2312" w:cs="宋体"/>
              <w:bCs/>
              <w:szCs w:val="32"/>
              <w:highlight w:val="none"/>
              <w:lang w:val="en-US" w:eastAsia="zh-CN"/>
            </w:rPr>
            <w:t>产出</w:t>
          </w:r>
          <w:r>
            <w:rPr>
              <w:rFonts w:hint="eastAsia" w:ascii="仿宋_GB2312" w:hAnsi="仿宋" w:eastAsia="仿宋_GB2312" w:cs="宋体"/>
              <w:bCs/>
              <w:szCs w:val="32"/>
              <w:highlight w:val="none"/>
            </w:rPr>
            <w:t>情况分析</w:t>
          </w:r>
          <w:r>
            <w:rPr>
              <w:highlight w:val="none"/>
            </w:rPr>
            <w:tab/>
          </w:r>
          <w:r>
            <w:rPr>
              <w:highlight w:val="none"/>
            </w:rPr>
            <w:fldChar w:fldCharType="begin"/>
          </w:r>
          <w:r>
            <w:rPr>
              <w:highlight w:val="none"/>
            </w:rPr>
            <w:instrText xml:space="preserve"> PAGEREF _Toc31015 </w:instrText>
          </w:r>
          <w:r>
            <w:rPr>
              <w:highlight w:val="none"/>
            </w:rPr>
            <w:fldChar w:fldCharType="separate"/>
          </w:r>
          <w:r>
            <w:rPr>
              <w:highlight w:val="none"/>
            </w:rPr>
            <w:t>14</w:t>
          </w:r>
          <w:r>
            <w:rPr>
              <w:highlight w:val="none"/>
            </w:rPr>
            <w:fldChar w:fldCharType="end"/>
          </w:r>
          <w:r>
            <w:rPr>
              <w:bCs w:val="0"/>
              <w:szCs w:val="24"/>
              <w:highlight w:val="none"/>
            </w:rPr>
            <w:fldChar w:fldCharType="end"/>
          </w:r>
        </w:p>
        <w:p w14:paraId="75617344">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_Toc3708 </w:instrText>
          </w:r>
          <w:r>
            <w:rPr>
              <w:bCs w:val="0"/>
              <w:szCs w:val="24"/>
              <w:highlight w:val="none"/>
            </w:rPr>
            <w:fldChar w:fldCharType="separate"/>
          </w:r>
          <w:r>
            <w:rPr>
              <w:rFonts w:hint="eastAsia" w:ascii="仿宋_GB2312" w:hAnsi="仿宋" w:eastAsia="仿宋_GB2312" w:cs="宋体"/>
              <w:bCs/>
              <w:szCs w:val="32"/>
              <w:highlight w:val="none"/>
              <w:lang w:val="en-US" w:eastAsia="zh-CN"/>
            </w:rPr>
            <w:t>（四）项目效益评价分析</w:t>
          </w:r>
          <w:r>
            <w:rPr>
              <w:highlight w:val="none"/>
            </w:rPr>
            <w:tab/>
          </w:r>
          <w:r>
            <w:rPr>
              <w:highlight w:val="none"/>
            </w:rPr>
            <w:fldChar w:fldCharType="begin"/>
          </w:r>
          <w:r>
            <w:rPr>
              <w:highlight w:val="none"/>
            </w:rPr>
            <w:instrText xml:space="preserve"> PAGEREF _Toc3708 </w:instrText>
          </w:r>
          <w:r>
            <w:rPr>
              <w:highlight w:val="none"/>
            </w:rPr>
            <w:fldChar w:fldCharType="separate"/>
          </w:r>
          <w:r>
            <w:rPr>
              <w:highlight w:val="none"/>
            </w:rPr>
            <w:t>15</w:t>
          </w:r>
          <w:r>
            <w:rPr>
              <w:highlight w:val="none"/>
            </w:rPr>
            <w:fldChar w:fldCharType="end"/>
          </w:r>
          <w:r>
            <w:rPr>
              <w:bCs w:val="0"/>
              <w:szCs w:val="24"/>
              <w:highlight w:val="none"/>
            </w:rPr>
            <w:fldChar w:fldCharType="end"/>
          </w:r>
        </w:p>
        <w:p w14:paraId="0DED7760">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_Toc6584 </w:instrText>
          </w:r>
          <w:r>
            <w:rPr>
              <w:bCs w:val="0"/>
              <w:szCs w:val="24"/>
              <w:highlight w:val="none"/>
            </w:rPr>
            <w:fldChar w:fldCharType="separate"/>
          </w:r>
          <w:r>
            <w:rPr>
              <w:rFonts w:hint="eastAsia" w:ascii="黑体" w:hAnsi="黑体" w:eastAsia="黑体" w:cs="宋体"/>
              <w:szCs w:val="32"/>
              <w:highlight w:val="none"/>
              <w:lang w:val="en-US" w:eastAsia="zh-CN"/>
            </w:rPr>
            <w:t>四、</w:t>
          </w:r>
          <w:r>
            <w:rPr>
              <w:rFonts w:hint="eastAsia" w:ascii="黑体" w:hAnsi="黑体" w:eastAsia="黑体" w:cs="宋体"/>
              <w:szCs w:val="32"/>
              <w:highlight w:val="none"/>
            </w:rPr>
            <w:t>评价结论</w:t>
          </w:r>
          <w:r>
            <w:rPr>
              <w:highlight w:val="none"/>
            </w:rPr>
            <w:tab/>
          </w:r>
          <w:r>
            <w:rPr>
              <w:highlight w:val="none"/>
            </w:rPr>
            <w:fldChar w:fldCharType="begin"/>
          </w:r>
          <w:r>
            <w:rPr>
              <w:highlight w:val="none"/>
            </w:rPr>
            <w:instrText xml:space="preserve"> PAGEREF _Toc6584 </w:instrText>
          </w:r>
          <w:r>
            <w:rPr>
              <w:highlight w:val="none"/>
            </w:rPr>
            <w:fldChar w:fldCharType="separate"/>
          </w:r>
          <w:r>
            <w:rPr>
              <w:highlight w:val="none"/>
            </w:rPr>
            <w:t>16</w:t>
          </w:r>
          <w:r>
            <w:rPr>
              <w:highlight w:val="none"/>
            </w:rPr>
            <w:fldChar w:fldCharType="end"/>
          </w:r>
          <w:r>
            <w:rPr>
              <w:bCs w:val="0"/>
              <w:szCs w:val="24"/>
              <w:highlight w:val="none"/>
            </w:rPr>
            <w:fldChar w:fldCharType="end"/>
          </w:r>
        </w:p>
        <w:p w14:paraId="22A79F13">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_Toc13481 </w:instrText>
          </w:r>
          <w:r>
            <w:rPr>
              <w:bCs w:val="0"/>
              <w:szCs w:val="24"/>
              <w:highlight w:val="none"/>
            </w:rPr>
            <w:fldChar w:fldCharType="separate"/>
          </w:r>
          <w:r>
            <w:rPr>
              <w:rFonts w:hint="eastAsia" w:ascii="仿宋_GB2312" w:hAnsi="仿宋" w:eastAsia="仿宋_GB2312" w:cs="宋体"/>
              <w:bCs/>
              <w:szCs w:val="32"/>
              <w:highlight w:val="none"/>
            </w:rPr>
            <w:t>（一）评分结果</w:t>
          </w:r>
          <w:r>
            <w:rPr>
              <w:highlight w:val="none"/>
            </w:rPr>
            <w:tab/>
          </w:r>
          <w:r>
            <w:rPr>
              <w:highlight w:val="none"/>
            </w:rPr>
            <w:fldChar w:fldCharType="begin"/>
          </w:r>
          <w:r>
            <w:rPr>
              <w:highlight w:val="none"/>
            </w:rPr>
            <w:instrText xml:space="preserve"> PAGEREF _Toc13481 </w:instrText>
          </w:r>
          <w:r>
            <w:rPr>
              <w:highlight w:val="none"/>
            </w:rPr>
            <w:fldChar w:fldCharType="separate"/>
          </w:r>
          <w:r>
            <w:rPr>
              <w:highlight w:val="none"/>
            </w:rPr>
            <w:t>16</w:t>
          </w:r>
          <w:r>
            <w:rPr>
              <w:highlight w:val="none"/>
            </w:rPr>
            <w:fldChar w:fldCharType="end"/>
          </w:r>
          <w:r>
            <w:rPr>
              <w:bCs w:val="0"/>
              <w:szCs w:val="24"/>
              <w:highlight w:val="none"/>
            </w:rPr>
            <w:fldChar w:fldCharType="end"/>
          </w:r>
        </w:p>
        <w:p w14:paraId="18CF8722">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_Toc3803 </w:instrText>
          </w:r>
          <w:r>
            <w:rPr>
              <w:bCs w:val="0"/>
              <w:szCs w:val="24"/>
              <w:highlight w:val="none"/>
            </w:rPr>
            <w:fldChar w:fldCharType="separate"/>
          </w:r>
          <w:r>
            <w:rPr>
              <w:rFonts w:hint="eastAsia" w:ascii="仿宋_GB2312" w:hAnsi="仿宋" w:eastAsia="仿宋_GB2312" w:cs="宋体"/>
              <w:bCs/>
              <w:szCs w:val="32"/>
              <w:highlight w:val="none"/>
            </w:rPr>
            <w:t>（二）项目总体评价结论</w:t>
          </w:r>
          <w:r>
            <w:rPr>
              <w:highlight w:val="none"/>
            </w:rPr>
            <w:tab/>
          </w:r>
          <w:r>
            <w:rPr>
              <w:highlight w:val="none"/>
            </w:rPr>
            <w:fldChar w:fldCharType="begin"/>
          </w:r>
          <w:r>
            <w:rPr>
              <w:highlight w:val="none"/>
            </w:rPr>
            <w:instrText xml:space="preserve"> PAGEREF _Toc3803 </w:instrText>
          </w:r>
          <w:r>
            <w:rPr>
              <w:highlight w:val="none"/>
            </w:rPr>
            <w:fldChar w:fldCharType="separate"/>
          </w:r>
          <w:r>
            <w:rPr>
              <w:highlight w:val="none"/>
            </w:rPr>
            <w:t>16</w:t>
          </w:r>
          <w:r>
            <w:rPr>
              <w:highlight w:val="none"/>
            </w:rPr>
            <w:fldChar w:fldCharType="end"/>
          </w:r>
          <w:r>
            <w:rPr>
              <w:bCs w:val="0"/>
              <w:szCs w:val="24"/>
              <w:highlight w:val="none"/>
            </w:rPr>
            <w:fldChar w:fldCharType="end"/>
          </w:r>
        </w:p>
        <w:p w14:paraId="0862ED89">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_Toc7267 </w:instrText>
          </w:r>
          <w:r>
            <w:rPr>
              <w:bCs w:val="0"/>
              <w:szCs w:val="24"/>
              <w:highlight w:val="none"/>
            </w:rPr>
            <w:fldChar w:fldCharType="separate"/>
          </w:r>
          <w:r>
            <w:rPr>
              <w:rFonts w:hint="eastAsia" w:ascii="黑体" w:hAnsi="黑体" w:eastAsia="黑体" w:cs="宋体"/>
              <w:szCs w:val="32"/>
              <w:highlight w:val="none"/>
            </w:rPr>
            <w:t>五、问题</w:t>
          </w:r>
          <w:r>
            <w:rPr>
              <w:rFonts w:hint="eastAsia" w:ascii="黑体" w:hAnsi="黑体" w:eastAsia="黑体" w:cs="宋体"/>
              <w:szCs w:val="32"/>
              <w:highlight w:val="none"/>
              <w:lang w:val="en-US" w:eastAsia="zh-CN"/>
            </w:rPr>
            <w:t>及建议</w:t>
          </w:r>
          <w:r>
            <w:rPr>
              <w:highlight w:val="none"/>
            </w:rPr>
            <w:tab/>
          </w:r>
          <w:r>
            <w:rPr>
              <w:highlight w:val="none"/>
            </w:rPr>
            <w:fldChar w:fldCharType="begin"/>
          </w:r>
          <w:r>
            <w:rPr>
              <w:highlight w:val="none"/>
            </w:rPr>
            <w:instrText xml:space="preserve"> PAGEREF _Toc7267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11E97787">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_Toc2013 </w:instrText>
          </w:r>
          <w:r>
            <w:rPr>
              <w:bCs w:val="0"/>
              <w:szCs w:val="24"/>
              <w:highlight w:val="none"/>
            </w:rPr>
            <w:fldChar w:fldCharType="separate"/>
          </w:r>
          <w:r>
            <w:rPr>
              <w:rFonts w:hint="eastAsia" w:ascii="仿宋_GB2312" w:hAnsi="仿宋" w:eastAsia="仿宋_GB2312" w:cs="宋体"/>
              <w:bCs/>
              <w:szCs w:val="32"/>
              <w:highlight w:val="none"/>
            </w:rPr>
            <w:t>（一）问题</w:t>
          </w:r>
          <w:r>
            <w:rPr>
              <w:highlight w:val="none"/>
            </w:rPr>
            <w:tab/>
          </w:r>
          <w:r>
            <w:rPr>
              <w:highlight w:val="none"/>
            </w:rPr>
            <w:fldChar w:fldCharType="begin"/>
          </w:r>
          <w:r>
            <w:rPr>
              <w:highlight w:val="none"/>
            </w:rPr>
            <w:instrText xml:space="preserve"> PAGEREF _Toc2013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2667EFFF">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_Toc4075 </w:instrText>
          </w:r>
          <w:r>
            <w:rPr>
              <w:bCs w:val="0"/>
              <w:szCs w:val="24"/>
              <w:highlight w:val="none"/>
            </w:rPr>
            <w:fldChar w:fldCharType="separate"/>
          </w:r>
          <w:r>
            <w:rPr>
              <w:rFonts w:hint="eastAsia" w:ascii="仿宋_GB2312" w:hAnsi="仿宋" w:eastAsia="仿宋_GB2312" w:cs="宋体"/>
              <w:bCs/>
              <w:szCs w:val="32"/>
              <w:highlight w:val="none"/>
            </w:rPr>
            <w:t>（</w:t>
          </w:r>
          <w:r>
            <w:rPr>
              <w:rFonts w:hint="eastAsia" w:ascii="仿宋_GB2312" w:hAnsi="仿宋" w:eastAsia="仿宋_GB2312" w:cs="宋体"/>
              <w:bCs/>
              <w:szCs w:val="32"/>
              <w:highlight w:val="none"/>
              <w:lang w:val="en-US" w:eastAsia="zh-CN"/>
            </w:rPr>
            <w:t>二</w:t>
          </w:r>
          <w:r>
            <w:rPr>
              <w:rFonts w:hint="eastAsia" w:ascii="仿宋_GB2312" w:hAnsi="仿宋" w:eastAsia="仿宋_GB2312" w:cs="宋体"/>
              <w:bCs/>
              <w:szCs w:val="32"/>
              <w:highlight w:val="none"/>
            </w:rPr>
            <w:t>）意见和建议</w:t>
          </w:r>
          <w:r>
            <w:rPr>
              <w:highlight w:val="none"/>
            </w:rPr>
            <w:tab/>
          </w:r>
          <w:r>
            <w:rPr>
              <w:highlight w:val="none"/>
            </w:rPr>
            <w:fldChar w:fldCharType="begin"/>
          </w:r>
          <w:r>
            <w:rPr>
              <w:highlight w:val="none"/>
            </w:rPr>
            <w:instrText xml:space="preserve"> PAGEREF _Toc4075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1779B137">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_Toc17475 </w:instrText>
          </w:r>
          <w:r>
            <w:rPr>
              <w:bCs w:val="0"/>
              <w:szCs w:val="24"/>
              <w:highlight w:val="none"/>
            </w:rPr>
            <w:fldChar w:fldCharType="separate"/>
          </w:r>
          <w:r>
            <w:rPr>
              <w:rFonts w:hint="eastAsia" w:ascii="黑体" w:hAnsi="黑体" w:eastAsia="黑体" w:cs="宋体"/>
              <w:szCs w:val="32"/>
              <w:highlight w:val="none"/>
            </w:rPr>
            <w:t>六、主要经验及做法</w:t>
          </w:r>
          <w:r>
            <w:rPr>
              <w:highlight w:val="none"/>
            </w:rPr>
            <w:tab/>
          </w:r>
          <w:r>
            <w:rPr>
              <w:highlight w:val="none"/>
            </w:rPr>
            <w:fldChar w:fldCharType="begin"/>
          </w:r>
          <w:r>
            <w:rPr>
              <w:highlight w:val="none"/>
            </w:rPr>
            <w:instrText xml:space="preserve"> PAGEREF _Toc17475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4B434180">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_Toc32230 </w:instrText>
          </w:r>
          <w:r>
            <w:rPr>
              <w:bCs w:val="0"/>
              <w:szCs w:val="24"/>
              <w:highlight w:val="none"/>
            </w:rPr>
            <w:fldChar w:fldCharType="separate"/>
          </w:r>
          <w:r>
            <w:rPr>
              <w:rFonts w:hint="eastAsia" w:ascii="仿宋_GB2312" w:hAnsi="仿宋" w:eastAsia="仿宋_GB2312" w:cs="宋体"/>
              <w:bCs/>
              <w:szCs w:val="32"/>
              <w:highlight w:val="none"/>
            </w:rPr>
            <w:t>（一）项目实施过程有效监控</w:t>
          </w:r>
          <w:r>
            <w:rPr>
              <w:highlight w:val="none"/>
            </w:rPr>
            <w:tab/>
          </w:r>
          <w:r>
            <w:rPr>
              <w:highlight w:val="none"/>
            </w:rPr>
            <w:fldChar w:fldCharType="begin"/>
          </w:r>
          <w:r>
            <w:rPr>
              <w:highlight w:val="none"/>
            </w:rPr>
            <w:instrText xml:space="preserve"> PAGEREF _Toc32230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0F7AE855">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_Toc22631 </w:instrText>
          </w:r>
          <w:r>
            <w:rPr>
              <w:bCs w:val="0"/>
              <w:szCs w:val="24"/>
              <w:highlight w:val="none"/>
            </w:rPr>
            <w:fldChar w:fldCharType="separate"/>
          </w:r>
          <w:r>
            <w:rPr>
              <w:rFonts w:hint="eastAsia" w:ascii="仿宋_GB2312" w:hAnsi="仿宋" w:eastAsia="仿宋_GB2312" w:cs="宋体"/>
              <w:bCs/>
              <w:szCs w:val="32"/>
              <w:highlight w:val="none"/>
            </w:rPr>
            <w:t>（二）强化领导，明确职责，合理安排使用资金</w:t>
          </w:r>
          <w:r>
            <w:rPr>
              <w:highlight w:val="none"/>
            </w:rPr>
            <w:tab/>
          </w:r>
          <w:r>
            <w:rPr>
              <w:highlight w:val="none"/>
            </w:rPr>
            <w:fldChar w:fldCharType="begin"/>
          </w:r>
          <w:r>
            <w:rPr>
              <w:highlight w:val="none"/>
            </w:rPr>
            <w:instrText xml:space="preserve"> PAGEREF _Toc22631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383E82A7">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_Toc14650 </w:instrText>
          </w:r>
          <w:r>
            <w:rPr>
              <w:bCs w:val="0"/>
              <w:szCs w:val="24"/>
              <w:highlight w:val="none"/>
            </w:rPr>
            <w:fldChar w:fldCharType="separate"/>
          </w:r>
          <w:r>
            <w:rPr>
              <w:rFonts w:hint="eastAsia" w:ascii="黑体" w:hAnsi="黑体" w:eastAsia="黑体" w:cs="宋体"/>
              <w:szCs w:val="32"/>
              <w:highlight w:val="none"/>
            </w:rPr>
            <w:t>七、评价结果应用建议</w:t>
          </w:r>
          <w:r>
            <w:rPr>
              <w:highlight w:val="none"/>
            </w:rPr>
            <w:tab/>
          </w:r>
          <w:r>
            <w:rPr>
              <w:highlight w:val="none"/>
            </w:rPr>
            <w:fldChar w:fldCharType="begin"/>
          </w:r>
          <w:r>
            <w:rPr>
              <w:highlight w:val="none"/>
            </w:rPr>
            <w:instrText xml:space="preserve"> PAGEREF _Toc14650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3ABA4B23">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_Toc6072 </w:instrText>
          </w:r>
          <w:r>
            <w:rPr>
              <w:bCs w:val="0"/>
              <w:szCs w:val="24"/>
              <w:highlight w:val="none"/>
            </w:rPr>
            <w:fldChar w:fldCharType="separate"/>
          </w:r>
          <w:r>
            <w:rPr>
              <w:rFonts w:hint="eastAsia" w:ascii="仿宋_GB2312" w:hAnsi="黑体" w:eastAsia="仿宋_GB2312" w:cs="Times New Roman"/>
              <w:bCs/>
              <w:szCs w:val="32"/>
              <w:highlight w:val="none"/>
            </w:rPr>
            <w:t>（一）及时对发现的问题进行整改</w:t>
          </w:r>
          <w:r>
            <w:rPr>
              <w:highlight w:val="none"/>
            </w:rPr>
            <w:tab/>
          </w:r>
          <w:r>
            <w:rPr>
              <w:highlight w:val="none"/>
            </w:rPr>
            <w:fldChar w:fldCharType="begin"/>
          </w:r>
          <w:r>
            <w:rPr>
              <w:highlight w:val="none"/>
            </w:rPr>
            <w:instrText xml:space="preserve"> PAGEREF _Toc6072 </w:instrText>
          </w:r>
          <w:r>
            <w:rPr>
              <w:highlight w:val="none"/>
            </w:rPr>
            <w:fldChar w:fldCharType="separate"/>
          </w:r>
          <w:r>
            <w:rPr>
              <w:highlight w:val="none"/>
            </w:rPr>
            <w:t>18</w:t>
          </w:r>
          <w:r>
            <w:rPr>
              <w:highlight w:val="none"/>
            </w:rPr>
            <w:fldChar w:fldCharType="end"/>
          </w:r>
          <w:r>
            <w:rPr>
              <w:bCs w:val="0"/>
              <w:szCs w:val="24"/>
              <w:highlight w:val="none"/>
            </w:rPr>
            <w:fldChar w:fldCharType="end"/>
          </w:r>
        </w:p>
        <w:p w14:paraId="23F682D2">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_Toc20240 </w:instrText>
          </w:r>
          <w:r>
            <w:rPr>
              <w:bCs w:val="0"/>
              <w:szCs w:val="24"/>
              <w:highlight w:val="none"/>
            </w:rPr>
            <w:fldChar w:fldCharType="separate"/>
          </w:r>
          <w:r>
            <w:rPr>
              <w:rFonts w:hint="eastAsia" w:ascii="仿宋_GB2312" w:hAnsi="黑体" w:eastAsia="仿宋_GB2312" w:cs="Times New Roman"/>
              <w:bCs/>
              <w:szCs w:val="32"/>
              <w:highlight w:val="none"/>
            </w:rPr>
            <w:t>（二） 建立绩效评价结果应用制度</w:t>
          </w:r>
          <w:r>
            <w:rPr>
              <w:highlight w:val="none"/>
            </w:rPr>
            <w:tab/>
          </w:r>
          <w:r>
            <w:rPr>
              <w:highlight w:val="none"/>
            </w:rPr>
            <w:fldChar w:fldCharType="begin"/>
          </w:r>
          <w:r>
            <w:rPr>
              <w:highlight w:val="none"/>
            </w:rPr>
            <w:instrText xml:space="preserve"> PAGEREF _Toc20240 </w:instrText>
          </w:r>
          <w:r>
            <w:rPr>
              <w:highlight w:val="none"/>
            </w:rPr>
            <w:fldChar w:fldCharType="separate"/>
          </w:r>
          <w:r>
            <w:rPr>
              <w:highlight w:val="none"/>
            </w:rPr>
            <w:t>18</w:t>
          </w:r>
          <w:r>
            <w:rPr>
              <w:highlight w:val="none"/>
            </w:rPr>
            <w:fldChar w:fldCharType="end"/>
          </w:r>
          <w:r>
            <w:rPr>
              <w:bCs w:val="0"/>
              <w:szCs w:val="24"/>
              <w:highlight w:val="none"/>
            </w:rPr>
            <w:fldChar w:fldCharType="end"/>
          </w:r>
        </w:p>
        <w:p w14:paraId="38761660">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_Toc5443 </w:instrText>
          </w:r>
          <w:r>
            <w:rPr>
              <w:bCs w:val="0"/>
              <w:szCs w:val="24"/>
              <w:highlight w:val="none"/>
            </w:rPr>
            <w:fldChar w:fldCharType="separate"/>
          </w:r>
          <w:r>
            <w:rPr>
              <w:rFonts w:hint="eastAsia" w:ascii="仿宋_GB2312" w:hAnsi="黑体" w:eastAsia="仿宋_GB2312" w:cs="Times New Roman"/>
              <w:bCs/>
              <w:szCs w:val="32"/>
              <w:highlight w:val="none"/>
            </w:rPr>
            <w:t>（三）</w:t>
          </w:r>
          <w:r>
            <w:rPr>
              <w:rFonts w:hint="eastAsia" w:ascii="仿宋_GB2312" w:hAnsi="黑体" w:eastAsia="仿宋_GB2312" w:cs="Times New Roman"/>
              <w:bCs/>
              <w:szCs w:val="32"/>
              <w:highlight w:val="none"/>
              <w:lang w:val="en-US" w:eastAsia="zh-CN"/>
            </w:rPr>
            <w:t>强化</w:t>
          </w:r>
          <w:r>
            <w:rPr>
              <w:rFonts w:hint="eastAsia" w:ascii="仿宋_GB2312" w:hAnsi="黑体" w:eastAsia="仿宋_GB2312" w:cs="Times New Roman"/>
              <w:bCs/>
              <w:szCs w:val="32"/>
              <w:highlight w:val="none"/>
            </w:rPr>
            <w:t>绩效评价结果应用</w:t>
          </w:r>
          <w:r>
            <w:rPr>
              <w:highlight w:val="none"/>
            </w:rPr>
            <w:tab/>
          </w:r>
          <w:r>
            <w:rPr>
              <w:highlight w:val="none"/>
            </w:rPr>
            <w:fldChar w:fldCharType="begin"/>
          </w:r>
          <w:r>
            <w:rPr>
              <w:highlight w:val="none"/>
            </w:rPr>
            <w:instrText xml:space="preserve"> PAGEREF _Toc5443 </w:instrText>
          </w:r>
          <w:r>
            <w:rPr>
              <w:highlight w:val="none"/>
            </w:rPr>
            <w:fldChar w:fldCharType="separate"/>
          </w:r>
          <w:r>
            <w:rPr>
              <w:highlight w:val="none"/>
            </w:rPr>
            <w:t>19</w:t>
          </w:r>
          <w:r>
            <w:rPr>
              <w:highlight w:val="none"/>
            </w:rPr>
            <w:fldChar w:fldCharType="end"/>
          </w:r>
          <w:r>
            <w:rPr>
              <w:bCs w:val="0"/>
              <w:szCs w:val="24"/>
              <w:highlight w:val="none"/>
            </w:rPr>
            <w:fldChar w:fldCharType="end"/>
          </w:r>
        </w:p>
        <w:p w14:paraId="26B7F6CC">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_Toc4069 </w:instrText>
          </w:r>
          <w:r>
            <w:rPr>
              <w:bCs w:val="0"/>
              <w:szCs w:val="24"/>
              <w:highlight w:val="none"/>
            </w:rPr>
            <w:fldChar w:fldCharType="separate"/>
          </w:r>
          <w:r>
            <w:rPr>
              <w:rFonts w:hint="eastAsia" w:ascii="仿宋_GB2312" w:hAnsi="黑体" w:eastAsia="仿宋_GB2312" w:cs="Times New Roman"/>
              <w:bCs/>
              <w:szCs w:val="32"/>
              <w:highlight w:val="none"/>
            </w:rPr>
            <w:t>（四）评价结果公开</w:t>
          </w:r>
          <w:r>
            <w:rPr>
              <w:highlight w:val="none"/>
            </w:rPr>
            <w:tab/>
          </w:r>
          <w:r>
            <w:rPr>
              <w:highlight w:val="none"/>
            </w:rPr>
            <w:fldChar w:fldCharType="begin"/>
          </w:r>
          <w:r>
            <w:rPr>
              <w:highlight w:val="none"/>
            </w:rPr>
            <w:instrText xml:space="preserve"> PAGEREF _Toc4069 </w:instrText>
          </w:r>
          <w:r>
            <w:rPr>
              <w:highlight w:val="none"/>
            </w:rPr>
            <w:fldChar w:fldCharType="separate"/>
          </w:r>
          <w:r>
            <w:rPr>
              <w:highlight w:val="none"/>
            </w:rPr>
            <w:t>19</w:t>
          </w:r>
          <w:r>
            <w:rPr>
              <w:highlight w:val="none"/>
            </w:rPr>
            <w:fldChar w:fldCharType="end"/>
          </w:r>
          <w:r>
            <w:rPr>
              <w:bCs w:val="0"/>
              <w:szCs w:val="24"/>
              <w:highlight w:val="none"/>
            </w:rPr>
            <w:fldChar w:fldCharType="end"/>
          </w:r>
        </w:p>
        <w:p w14:paraId="183B4DA1">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_Toc17018 </w:instrText>
          </w:r>
          <w:r>
            <w:rPr>
              <w:bCs w:val="0"/>
              <w:szCs w:val="24"/>
              <w:highlight w:val="none"/>
            </w:rPr>
            <w:fldChar w:fldCharType="separate"/>
          </w:r>
          <w:r>
            <w:rPr>
              <w:rFonts w:hint="eastAsia" w:ascii="黑体" w:hAnsi="黑体" w:eastAsia="黑体" w:cs="宋体"/>
              <w:szCs w:val="32"/>
              <w:highlight w:val="none"/>
              <w:lang w:val="en-US" w:eastAsia="zh-CN"/>
            </w:rPr>
            <w:t>八、</w:t>
          </w:r>
          <w:r>
            <w:rPr>
              <w:rFonts w:hint="eastAsia" w:ascii="黑体" w:hAnsi="黑体" w:eastAsia="黑体" w:cs="宋体"/>
              <w:szCs w:val="32"/>
              <w:highlight w:val="none"/>
            </w:rPr>
            <w:t>其他需说明的问题</w:t>
          </w:r>
          <w:r>
            <w:rPr>
              <w:highlight w:val="none"/>
            </w:rPr>
            <w:tab/>
          </w:r>
          <w:r>
            <w:rPr>
              <w:highlight w:val="none"/>
            </w:rPr>
            <w:fldChar w:fldCharType="begin"/>
          </w:r>
          <w:r>
            <w:rPr>
              <w:highlight w:val="none"/>
            </w:rPr>
            <w:instrText xml:space="preserve"> PAGEREF _Toc17018 </w:instrText>
          </w:r>
          <w:r>
            <w:rPr>
              <w:highlight w:val="none"/>
            </w:rPr>
            <w:fldChar w:fldCharType="separate"/>
          </w:r>
          <w:r>
            <w:rPr>
              <w:highlight w:val="none"/>
            </w:rPr>
            <w:t>19</w:t>
          </w:r>
          <w:r>
            <w:rPr>
              <w:highlight w:val="none"/>
            </w:rPr>
            <w:fldChar w:fldCharType="end"/>
          </w:r>
          <w:r>
            <w:rPr>
              <w:bCs w:val="0"/>
              <w:szCs w:val="24"/>
              <w:highlight w:val="none"/>
            </w:rPr>
            <w:fldChar w:fldCharType="end"/>
          </w:r>
        </w:p>
        <w:p w14:paraId="26819263">
          <w:pPr>
            <w:pStyle w:val="14"/>
            <w:tabs>
              <w:tab w:val="right" w:leader="dot" w:pos="8306"/>
            </w:tabs>
          </w:pPr>
          <w:r>
            <w:rPr>
              <w:bCs w:val="0"/>
              <w:szCs w:val="24"/>
              <w:highlight w:val="none"/>
            </w:rPr>
            <w:fldChar w:fldCharType="begin"/>
          </w:r>
          <w:r>
            <w:rPr>
              <w:bCs w:val="0"/>
              <w:szCs w:val="24"/>
              <w:highlight w:val="none"/>
            </w:rPr>
            <w:instrText xml:space="preserve"> HYPERLINK \l _Toc25791 </w:instrText>
          </w:r>
          <w:r>
            <w:rPr>
              <w:bCs w:val="0"/>
              <w:szCs w:val="24"/>
              <w:highlight w:val="none"/>
            </w:rPr>
            <w:fldChar w:fldCharType="separate"/>
          </w:r>
          <w:r>
            <w:rPr>
              <w:rFonts w:hint="eastAsia" w:ascii="黑体" w:hAnsi="黑体" w:eastAsia="黑体" w:cs="宋体"/>
              <w:szCs w:val="32"/>
              <w:highlight w:val="none"/>
            </w:rPr>
            <w:t>九、附件</w:t>
          </w:r>
          <w:r>
            <w:rPr>
              <w:highlight w:val="none"/>
            </w:rPr>
            <w:tab/>
          </w:r>
          <w:r>
            <w:rPr>
              <w:highlight w:val="none"/>
            </w:rPr>
            <w:fldChar w:fldCharType="begin"/>
          </w:r>
          <w:r>
            <w:rPr>
              <w:highlight w:val="none"/>
            </w:rPr>
            <w:instrText xml:space="preserve"> PAGEREF _Toc25791 </w:instrText>
          </w:r>
          <w:r>
            <w:rPr>
              <w:highlight w:val="none"/>
            </w:rPr>
            <w:fldChar w:fldCharType="separate"/>
          </w:r>
          <w:r>
            <w:rPr>
              <w:highlight w:val="none"/>
            </w:rPr>
            <w:t>20</w:t>
          </w:r>
          <w:r>
            <w:rPr>
              <w:highlight w:val="none"/>
            </w:rPr>
            <w:fldChar w:fldCharType="end"/>
          </w:r>
          <w:r>
            <w:rPr>
              <w:bCs w:val="0"/>
              <w:szCs w:val="24"/>
              <w:highlight w:val="none"/>
            </w:rPr>
            <w:fldChar w:fldCharType="end"/>
          </w:r>
        </w:p>
        <w:p w14:paraId="50CF19DE">
          <w:pPr>
            <w:spacing w:before="0" w:beforeLines="0" w:after="0" w:afterLines="0" w:line="240" w:lineRule="auto"/>
            <w:ind w:left="0" w:leftChars="0" w:right="0" w:rightChars="0" w:firstLine="0" w:firstLineChars="0"/>
            <w:jc w:val="center"/>
            <w:rPr>
              <w:b w:val="0"/>
              <w:bCs w:val="0"/>
              <w:highlight w:val="none"/>
            </w:rPr>
          </w:pPr>
          <w:r>
            <w:rPr>
              <w:b w:val="0"/>
              <w:bCs w:val="0"/>
              <w:sz w:val="24"/>
              <w:szCs w:val="24"/>
              <w:highlight w:val="none"/>
            </w:rPr>
            <w:fldChar w:fldCharType="end"/>
          </w:r>
        </w:p>
      </w:sdtContent>
    </w:sdt>
    <w:p w14:paraId="4377577D">
      <w:pPr>
        <w:pStyle w:val="14"/>
        <w:tabs>
          <w:tab w:val="right" w:leader="dot" w:pos="8302"/>
        </w:tabs>
        <w:spacing w:line="340" w:lineRule="exact"/>
        <w:rPr>
          <w:rFonts w:ascii="黑体" w:hAnsi="黑体" w:eastAsia="黑体" w:cs="宋体"/>
          <w:sz w:val="32"/>
          <w:szCs w:val="32"/>
        </w:rPr>
      </w:pPr>
    </w:p>
    <w:p w14:paraId="10AB6EFF">
      <w:pPr>
        <w:spacing w:line="600" w:lineRule="exact"/>
        <w:jc w:val="center"/>
        <w:outlineLvl w:val="9"/>
        <w:rPr>
          <w:rFonts w:ascii="方正小标宋_GBK" w:hAnsi="黑体" w:eastAsia="方正小标宋_GBK" w:cs="宋体"/>
          <w:sz w:val="40"/>
          <w:szCs w:val="40"/>
        </w:rPr>
        <w:sectPr>
          <w:pgSz w:w="11906" w:h="16838"/>
          <w:pgMar w:top="1440" w:right="1800" w:bottom="1440" w:left="1800" w:header="851" w:footer="992" w:gutter="0"/>
          <w:pgBorders>
            <w:top w:val="none" w:sz="0" w:space="0"/>
            <w:left w:val="none" w:sz="0" w:space="0"/>
            <w:bottom w:val="none" w:sz="0" w:space="0"/>
            <w:right w:val="none" w:sz="0" w:space="0"/>
          </w:pgBorders>
          <w:pgNumType w:fmt="numberInDash" w:start="48"/>
          <w:cols w:space="425" w:num="1"/>
          <w:docGrid w:type="lines" w:linePitch="312" w:charSpace="0"/>
        </w:sectPr>
      </w:pPr>
      <w:bookmarkStart w:id="18" w:name="_Toc18687"/>
    </w:p>
    <w:p w14:paraId="7A00E8EC">
      <w:pPr>
        <w:spacing w:line="600" w:lineRule="exact"/>
        <w:jc w:val="center"/>
        <w:outlineLvl w:val="9"/>
        <w:rPr>
          <w:rFonts w:ascii="方正小标宋_GBK" w:hAnsi="黑体" w:eastAsia="方正小标宋_GBK" w:cs="宋体"/>
          <w:sz w:val="44"/>
          <w:szCs w:val="44"/>
        </w:rPr>
      </w:pPr>
      <w:bookmarkStart w:id="19" w:name="_Toc1397"/>
      <w:bookmarkStart w:id="20" w:name="_Toc19311"/>
      <w:bookmarkStart w:id="21" w:name="_Toc12923"/>
      <w:bookmarkStart w:id="22" w:name="_Toc24347"/>
      <w:bookmarkStart w:id="23" w:name="_Toc31819"/>
      <w:bookmarkStart w:id="24" w:name="_Toc7636"/>
      <w:bookmarkStart w:id="25" w:name="_Toc14725"/>
      <w:bookmarkStart w:id="26" w:name="_Toc16603"/>
      <w:bookmarkStart w:id="27" w:name="_Toc28273"/>
      <w:bookmarkStart w:id="28" w:name="_Toc29218"/>
      <w:r>
        <w:rPr>
          <w:rFonts w:hint="eastAsia" w:ascii="方正小标宋_GBK" w:hAnsi="黑体" w:eastAsia="方正小标宋_GBK" w:cs="宋体"/>
          <w:b w:val="0"/>
          <w:bCs w:val="0"/>
          <w:sz w:val="44"/>
          <w:szCs w:val="44"/>
          <w:lang w:eastAsia="zh-CN"/>
        </w:rPr>
        <w:t>洛浦县2021年中央专项彩票公益金支持残疾人事业发展补助（第二批）项目</w:t>
      </w:r>
      <w:r>
        <w:rPr>
          <w:rFonts w:hint="eastAsia" w:ascii="方正小标宋_GBK" w:hAnsi="黑体" w:eastAsia="方正小标宋_GBK" w:cs="宋体"/>
          <w:sz w:val="44"/>
          <w:szCs w:val="44"/>
        </w:rPr>
        <w:t>绩效评价报告</w:t>
      </w:r>
      <w:bookmarkEnd w:id="18"/>
      <w:bookmarkEnd w:id="19"/>
      <w:bookmarkEnd w:id="20"/>
      <w:bookmarkEnd w:id="21"/>
      <w:bookmarkEnd w:id="22"/>
      <w:bookmarkEnd w:id="23"/>
      <w:bookmarkEnd w:id="24"/>
      <w:bookmarkEnd w:id="25"/>
      <w:bookmarkEnd w:id="26"/>
      <w:bookmarkEnd w:id="27"/>
      <w:bookmarkEnd w:id="28"/>
    </w:p>
    <w:p w14:paraId="667E3404">
      <w:pPr>
        <w:adjustRightInd w:val="0"/>
        <w:snapToGrid w:val="0"/>
        <w:spacing w:line="560" w:lineRule="exact"/>
        <w:ind w:firstLine="640" w:firstLineChars="200"/>
        <w:jc w:val="left"/>
        <w:outlineLvl w:val="9"/>
        <w:rPr>
          <w:rFonts w:hint="eastAsia" w:ascii="黑体" w:hAnsi="黑体" w:eastAsia="黑体" w:cs="宋体"/>
          <w:sz w:val="32"/>
          <w:szCs w:val="32"/>
        </w:rPr>
      </w:pPr>
    </w:p>
    <w:p w14:paraId="58094666">
      <w:pPr>
        <w:adjustRightInd w:val="0"/>
        <w:snapToGrid w:val="0"/>
        <w:spacing w:line="560" w:lineRule="exact"/>
        <w:ind w:firstLine="640" w:firstLineChars="200"/>
        <w:jc w:val="left"/>
        <w:outlineLvl w:val="0"/>
        <w:rPr>
          <w:rFonts w:ascii="黑体" w:hAnsi="黑体" w:eastAsia="黑体" w:cs="宋体"/>
          <w:sz w:val="32"/>
          <w:szCs w:val="32"/>
        </w:rPr>
      </w:pPr>
      <w:bookmarkStart w:id="29" w:name="_Toc28183"/>
      <w:r>
        <w:rPr>
          <w:rFonts w:hint="eastAsia" w:ascii="黑体" w:hAnsi="黑体" w:eastAsia="黑体" w:cs="宋体"/>
          <w:sz w:val="32"/>
          <w:szCs w:val="32"/>
        </w:rPr>
        <w:t>一、项目概述</w:t>
      </w:r>
      <w:bookmarkEnd w:id="29"/>
    </w:p>
    <w:p w14:paraId="2F702F04">
      <w:pPr>
        <w:pStyle w:val="33"/>
        <w:numPr>
          <w:ilvl w:val="0"/>
          <w:numId w:val="4"/>
        </w:numPr>
        <w:adjustRightInd w:val="0"/>
        <w:snapToGrid w:val="0"/>
        <w:spacing w:line="560" w:lineRule="exact"/>
        <w:ind w:left="0" w:firstLine="643"/>
        <w:rPr>
          <w:rFonts w:ascii="仿宋_GB2312" w:hAnsi="仿宋" w:eastAsia="仿宋_GB2312" w:cs="宋体"/>
          <w:b/>
          <w:bCs/>
          <w:vanish/>
          <w:sz w:val="32"/>
          <w:szCs w:val="32"/>
        </w:rPr>
      </w:pPr>
      <w:bookmarkStart w:id="30" w:name="_Hlk24028365"/>
      <w:r>
        <w:rPr>
          <w:rFonts w:hint="eastAsia" w:ascii="仿宋_GB2312" w:hAnsi="仿宋" w:eastAsia="仿宋_GB2312" w:cs="宋体"/>
          <w:b/>
          <w:bCs/>
          <w:vanish/>
          <w:sz w:val="32"/>
          <w:szCs w:val="32"/>
        </w:rPr>
        <w:t>项目概述</w:t>
      </w:r>
    </w:p>
    <w:p w14:paraId="14C7A4B5">
      <w:pPr>
        <w:pStyle w:val="33"/>
        <w:adjustRightInd w:val="0"/>
        <w:snapToGrid w:val="0"/>
        <w:spacing w:line="560" w:lineRule="exact"/>
        <w:ind w:left="0" w:leftChars="0" w:firstLine="321" w:firstLineChars="100"/>
        <w:outlineLvl w:val="1"/>
        <w:rPr>
          <w:rFonts w:ascii="仿宋_GB2312" w:hAnsi="仿宋" w:eastAsia="仿宋_GB2312" w:cs="宋体"/>
          <w:b/>
          <w:bCs/>
          <w:sz w:val="32"/>
          <w:szCs w:val="32"/>
        </w:rPr>
      </w:pPr>
      <w:bookmarkStart w:id="31" w:name="_Toc27345"/>
      <w:r>
        <w:rPr>
          <w:rFonts w:hint="eastAsia" w:ascii="仿宋_GB2312" w:hAnsi="仿宋" w:eastAsia="仿宋_GB2312" w:cs="宋体"/>
          <w:b/>
          <w:bCs/>
          <w:sz w:val="32"/>
          <w:szCs w:val="32"/>
        </w:rPr>
        <w:t>（一）项目基本情况</w:t>
      </w:r>
      <w:bookmarkEnd w:id="31"/>
    </w:p>
    <w:p w14:paraId="219F6DB8">
      <w:pPr>
        <w:pStyle w:val="33"/>
        <w:tabs>
          <w:tab w:val="left" w:pos="1559"/>
        </w:tabs>
        <w:adjustRightInd w:val="0"/>
        <w:snapToGrid w:val="0"/>
        <w:spacing w:line="560" w:lineRule="exact"/>
        <w:ind w:firstLine="640"/>
        <w:outlineLvl w:val="9"/>
        <w:rPr>
          <w:rFonts w:hint="eastAsia" w:ascii="楷体" w:hAnsi="楷体" w:eastAsia="楷体" w:cs="楷体"/>
          <w:bCs/>
          <w:sz w:val="32"/>
          <w:szCs w:val="32"/>
        </w:rPr>
      </w:pPr>
      <w:r>
        <w:rPr>
          <w:rFonts w:hint="eastAsia" w:ascii="楷体" w:hAnsi="楷体" w:eastAsia="楷体" w:cs="楷体"/>
          <w:bCs/>
          <w:sz w:val="32"/>
          <w:szCs w:val="32"/>
        </w:rPr>
        <w:t>1.项目背景</w:t>
      </w:r>
    </w:p>
    <w:p w14:paraId="0A9F1ED3">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在中国共产党的领导下，我国残疾人事业经历了从无到有、从单一保障到全面发展的过程，探索出一条具有中国特色的残疾人事业发展道路。面对新冠肺炎疫情的持续流行，在党中央、国务院的坚强领导下，在广大残疾人和社会各个方面的共同努力下，实现了残疾人的全面小康，残疾人事业迈上新的台阶。“十四五”时期，残疾人事业以高质量发展为主题，进一步巩固脱贫攻坚成果，提升就业质量，促进残疾人基本公共服务均等化，改善无障碍环境，实现残疾人共同富裕。但是，残疾人所参与的活动大部分仍然是由残联组织，社会力量参与度不高，缺少活动经费是制约残疾人自主开展体育健身活动的主要因素之一，体育活动场所和适配器材的缺少也是阻碍残疾人参与活动的重要因素。健身示范点建设初期没有根据人口密度进行合理的空间布局，现有的社区活动站点又缺乏包容性友好无障碍设计，进一步限制了残疾人的体育参与。鉴于残疾人群体的身心特殊性和体育需求复杂性，该群体希望参与体育的方式，多偏向于在特定活动场所与其他残疾人一起活动，对于场所、器材的易得性、好用性以及组织化程度要求较高，这是大部分地区都需要解决的难题。</w:t>
      </w:r>
    </w:p>
    <w:p w14:paraId="0BC5DE74">
      <w:pPr>
        <w:pageBreakBefore w:val="0"/>
        <w:widowControl w:val="0"/>
        <w:kinsoku/>
        <w:wordWrap/>
        <w:overflowPunct/>
        <w:topLinePunct w:val="0"/>
        <w:autoSpaceDE/>
        <w:autoSpaceDN/>
        <w:bidi w:val="0"/>
        <w:spacing w:line="560" w:lineRule="exact"/>
        <w:ind w:firstLine="624" w:firstLineChars="200"/>
        <w:textAlignment w:val="auto"/>
        <w:outlineLvl w:val="9"/>
        <w:rPr>
          <w:rFonts w:hint="eastAsia" w:ascii="仿宋_GB2312" w:hAnsi="仿宋_GB2312" w:eastAsia="仿宋_GB2312" w:cs="仿宋_GB2312"/>
          <w:sz w:val="32"/>
          <w:szCs w:val="32"/>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结合以上存在的问题，按照十四五残疾人工作思路及工作安排，</w:t>
      </w:r>
      <w:r>
        <w:rPr>
          <w:rFonts w:hint="eastAsia" w:ascii="仿宋_GB2312" w:hAnsi="仿宋_GB2312" w:eastAsia="仿宋_GB2312" w:cs="仿宋_GB2312"/>
          <w:sz w:val="32"/>
          <w:szCs w:val="32"/>
          <w:lang w:val="en-US" w:eastAsia="zh-CN"/>
        </w:rPr>
        <w:t>继续落实《县残疾人精准康复服务方案》，构建与经济不社会发展协调，与残疾人康复需求相适应的多元化服务体系、多层次保障制度。提升县残疾人康复中心康复能力和水平，继续实施残疾儿童康复救助制度，推进成年残疾人康复。积极开展残疾人健康管理和社区服务。将残疾人基本康复服务纳入基本医疗保障范围和基层医疗机构考核内容。通过开展需求评估，提供精准康复服务，加强信息跟踪管理。</w:t>
      </w:r>
    </w:p>
    <w:p w14:paraId="0B690238">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本项目根据关于印发《关于2021年度中央专项彩票公益金支持残疾人事业发展补助资金（第二批）的通知》（洛财社〔2021〕063号），《关于2021年度中央专项彩票公益金支持残疾人事业发展补助资金（第二批）的通知》（和地财社〔2020〕48号）文件精神及相关会议纪要立项并开始实施。</w:t>
      </w:r>
    </w:p>
    <w:p w14:paraId="6AC7EA3B">
      <w:pPr>
        <w:pStyle w:val="33"/>
        <w:tabs>
          <w:tab w:val="left" w:pos="1559"/>
        </w:tabs>
        <w:adjustRightInd w:val="0"/>
        <w:snapToGrid w:val="0"/>
        <w:spacing w:line="560" w:lineRule="exact"/>
        <w:ind w:firstLine="640"/>
        <w:outlineLvl w:val="9"/>
        <w:rPr>
          <w:rFonts w:hint="eastAsia" w:ascii="楷体" w:hAnsi="楷体" w:eastAsia="楷体" w:cs="楷体"/>
          <w:bCs/>
          <w:sz w:val="32"/>
          <w:szCs w:val="32"/>
          <w:lang w:val="en-US" w:eastAsia="zh-CN"/>
        </w:rPr>
      </w:pPr>
      <w:r>
        <w:rPr>
          <w:rFonts w:hint="eastAsia" w:ascii="楷体" w:hAnsi="楷体" w:eastAsia="楷体" w:cs="楷体"/>
          <w:bCs/>
          <w:sz w:val="32"/>
          <w:szCs w:val="32"/>
        </w:rPr>
        <w:t>2.项目实施主体</w:t>
      </w:r>
    </w:p>
    <w:p w14:paraId="30B7C264">
      <w:pPr>
        <w:pStyle w:val="33"/>
        <w:keepNext w:val="0"/>
        <w:keepLines w:val="0"/>
        <w:pageBreakBefore w:val="0"/>
        <w:widowControl w:val="0"/>
        <w:kinsoku/>
        <w:wordWrap/>
        <w:overflowPunct/>
        <w:topLinePunct w:val="0"/>
        <w:autoSpaceDE/>
        <w:autoSpaceDN/>
        <w:bidi w:val="0"/>
        <w:adjustRightInd/>
        <w:snapToGrid w:val="0"/>
        <w:spacing w:line="540" w:lineRule="exact"/>
        <w:ind w:left="638" w:leftChars="304" w:firstLine="0" w:firstLineChars="0"/>
        <w:jc w:val="both"/>
        <w:textAlignment w:val="auto"/>
        <w:outlineLvl w:val="9"/>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该项目由洛浦县残疾人联合会负责实施，主要职能是：</w:t>
      </w:r>
    </w:p>
    <w:p w14:paraId="61CA9932">
      <w:pPr>
        <w:pStyle w:val="33"/>
        <w:keepNext w:val="0"/>
        <w:keepLines w:val="0"/>
        <w:pageBreakBefore w:val="0"/>
        <w:widowControl w:val="0"/>
        <w:kinsoku/>
        <w:wordWrap/>
        <w:overflowPunct/>
        <w:topLinePunct w:val="0"/>
        <w:autoSpaceDE/>
        <w:autoSpaceDN/>
        <w:bidi w:val="0"/>
        <w:adjustRightInd/>
        <w:snapToGrid w:val="0"/>
        <w:spacing w:line="540" w:lineRule="exact"/>
        <w:jc w:val="both"/>
        <w:textAlignment w:val="auto"/>
        <w:outlineLvl w:val="9"/>
        <w:rPr>
          <w:rStyle w:val="22"/>
          <w:rFonts w:hint="eastAsia" w:ascii="仿宋_GB2312" w:hAnsi="仿宋_GB2312" w:eastAsia="仿宋_GB2312" w:cs="仿宋_GB2312"/>
          <w:b w:val="0"/>
          <w:color w:val="auto"/>
          <w:sz w:val="32"/>
          <w:szCs w:val="32"/>
          <w:highlight w:val="none"/>
          <w:lang w:val="en-US" w:eastAsia="zh-CN" w:bidi="ar"/>
        </w:rPr>
      </w:pPr>
      <w:r>
        <w:rPr>
          <w:rStyle w:val="22"/>
          <w:rFonts w:hint="eastAsia" w:ascii="仿宋_GB2312" w:hAnsi="仿宋_GB2312" w:eastAsia="仿宋_GB2312" w:cs="仿宋_GB2312"/>
          <w:b w:val="0"/>
          <w:color w:val="auto"/>
          <w:sz w:val="32"/>
          <w:szCs w:val="32"/>
          <w:highlight w:val="none"/>
          <w:lang w:val="en-US" w:eastAsia="zh-CN" w:bidi="ar"/>
        </w:rPr>
        <w:t>洛浦县残疾人联合会主要由办公室负责协调重要政务、事务；负责起草重要报告、领导讲话、综合性文件；办理日常涉外事务，组织开展与各县残疾人工作的合作与交流；负责联合会工作会议的组织安排及议定事项的督办；负责联合会工作会议的组织安排及一定事项的督办；负责文秘、档案、机要、保密、保卫、基建等工作；负责后勤管理工作；承担残疾人工作协调的日常工作；并及时通过互联网等多种新媒体方式宣传国家脱贫攻坚与政策。</w:t>
      </w:r>
    </w:p>
    <w:p w14:paraId="47CF6404">
      <w:pPr>
        <w:pStyle w:val="33"/>
        <w:keepNext w:val="0"/>
        <w:keepLines w:val="0"/>
        <w:pageBreakBefore w:val="0"/>
        <w:widowControl w:val="0"/>
        <w:kinsoku/>
        <w:wordWrap/>
        <w:overflowPunct/>
        <w:topLinePunct w:val="0"/>
        <w:autoSpaceDE/>
        <w:autoSpaceDN/>
        <w:bidi w:val="0"/>
        <w:adjustRightInd/>
        <w:snapToGrid w:val="0"/>
        <w:spacing w:line="540" w:lineRule="exact"/>
        <w:jc w:val="both"/>
        <w:textAlignment w:val="auto"/>
        <w:outlineLvl w:val="9"/>
        <w:rPr>
          <w:rStyle w:val="22"/>
          <w:rFonts w:hint="eastAsia" w:ascii="仿宋_GB2312" w:hAnsi="仿宋_GB2312" w:eastAsia="仿宋_GB2312" w:cs="仿宋_GB2312"/>
          <w:b w:val="0"/>
          <w:color w:val="FF0000"/>
          <w:sz w:val="32"/>
          <w:szCs w:val="32"/>
          <w:highlight w:val="none"/>
          <w:lang w:val="en-US" w:eastAsia="zh-CN" w:bidi="ar"/>
        </w:rPr>
      </w:pPr>
      <w:r>
        <w:rPr>
          <w:rStyle w:val="22"/>
          <w:rFonts w:hint="eastAsia" w:ascii="仿宋_GB2312" w:hAnsi="仿宋_GB2312" w:eastAsia="仿宋_GB2312" w:cs="仿宋_GB2312"/>
          <w:b w:val="0"/>
          <w:color w:val="auto"/>
          <w:sz w:val="32"/>
          <w:szCs w:val="32"/>
          <w:highlight w:val="none"/>
          <w:lang w:val="en-US" w:eastAsia="zh-CN" w:bidi="ar"/>
        </w:rPr>
        <w:t>残联是将残疾人自身代表组织、社会福利团体和事业管理机构融为一体的残疾人事业团体，具有“代表、服务、管理”职能；代表残疾人的共同利益，维护残疾人合法权益；开展各项业务和活动，直接为残疾人服务；承担政府委托的部分行政职能，发挥和管理残疾人事业。</w:t>
      </w:r>
    </w:p>
    <w:p w14:paraId="2E9B6DE3">
      <w:pPr>
        <w:adjustRightInd w:val="0"/>
        <w:snapToGrid w:val="0"/>
        <w:spacing w:line="560" w:lineRule="exact"/>
        <w:ind w:firstLine="640" w:firstLineChars="200"/>
        <w:jc w:val="left"/>
        <w:outlineLvl w:val="9"/>
        <w:rPr>
          <w:rFonts w:ascii="楷体" w:hAnsi="楷体" w:eastAsia="楷体" w:cs="楷体"/>
          <w:bCs/>
          <w:sz w:val="32"/>
          <w:szCs w:val="32"/>
        </w:rPr>
      </w:pPr>
      <w:r>
        <w:rPr>
          <w:rFonts w:hint="eastAsia" w:ascii="楷体" w:hAnsi="楷体" w:eastAsia="楷体" w:cs="楷体"/>
          <w:bCs/>
          <w:sz w:val="32"/>
          <w:szCs w:val="32"/>
        </w:rPr>
        <w:t>3.项目内容</w:t>
      </w:r>
    </w:p>
    <w:p w14:paraId="3F9CAD0A">
      <w:pPr>
        <w:pStyle w:val="33"/>
        <w:tabs>
          <w:tab w:val="left" w:pos="1559"/>
        </w:tabs>
        <w:adjustRightInd w:val="0"/>
        <w:snapToGrid w:val="0"/>
        <w:spacing w:line="560" w:lineRule="exact"/>
        <w:ind w:firstLine="640"/>
        <w:outlineLvl w:val="9"/>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支付150名残疾人评定补贴，支付25名残疾人在康复过程中所需的费用，购买残疾儿童辅助器具等基本康复服务，改善残疾儿童功能状况，不断提高残疾儿童生活自理能力，增强社会参与能力。通过该项目实施，提高残疾人参与社会生产生活的能力，提高残疾人康复服务水平，使受益人满意度达到95%以上。</w:t>
      </w:r>
    </w:p>
    <w:p w14:paraId="48C5EC03">
      <w:pPr>
        <w:pStyle w:val="33"/>
        <w:tabs>
          <w:tab w:val="left" w:pos="1559"/>
        </w:tabs>
        <w:adjustRightInd w:val="0"/>
        <w:snapToGrid w:val="0"/>
        <w:spacing w:line="560" w:lineRule="exact"/>
        <w:ind w:firstLine="640"/>
        <w:outlineLvl w:val="9"/>
        <w:rPr>
          <w:rFonts w:hint="eastAsia" w:ascii="楷体" w:hAnsi="楷体" w:eastAsia="楷体" w:cs="楷体"/>
          <w:bCs/>
          <w:sz w:val="32"/>
          <w:szCs w:val="32"/>
          <w:highlight w:val="none"/>
          <w:lang w:eastAsia="zh-CN"/>
        </w:rPr>
      </w:pPr>
      <w:r>
        <w:rPr>
          <w:rFonts w:hint="eastAsia" w:ascii="楷体" w:hAnsi="楷体" w:eastAsia="楷体" w:cs="楷体"/>
          <w:bCs/>
          <w:sz w:val="32"/>
          <w:szCs w:val="32"/>
          <w:highlight w:val="none"/>
          <w:lang w:val="en-US" w:eastAsia="zh-CN"/>
        </w:rPr>
        <w:t>4</w:t>
      </w:r>
      <w:r>
        <w:rPr>
          <w:rFonts w:hint="eastAsia" w:ascii="楷体" w:hAnsi="楷体" w:eastAsia="楷体" w:cs="楷体"/>
          <w:bCs/>
          <w:sz w:val="32"/>
          <w:szCs w:val="32"/>
          <w:highlight w:val="none"/>
        </w:rPr>
        <w:t>.立项依据</w:t>
      </w:r>
    </w:p>
    <w:p w14:paraId="5034CD8D">
      <w:pPr>
        <w:pageBreakBefore w:val="0"/>
        <w:widowControl w:val="0"/>
        <w:kinsoku/>
        <w:wordWrap/>
        <w:overflowPunct/>
        <w:topLinePunct w:val="0"/>
        <w:autoSpaceDE/>
        <w:autoSpaceDN/>
        <w:bidi w:val="0"/>
        <w:spacing w:line="560" w:lineRule="exact"/>
        <w:ind w:firstLine="624" w:firstLineChars="200"/>
        <w:textAlignment w:val="auto"/>
        <w:outlineLvl w:val="9"/>
        <w:rPr>
          <w:rFonts w:hint="default" w:ascii="仿宋_GB2312" w:hAnsi="仿宋_GB2312" w:eastAsia="仿宋_GB2312" w:cs="仿宋_GB2312"/>
          <w:kern w:val="2"/>
          <w:sz w:val="32"/>
          <w:szCs w:val="32"/>
          <w:highlight w:val="none"/>
          <w:lang w:val="en-US" w:eastAsia="zh-CN" w:bidi="ar-SA"/>
        </w:rPr>
      </w:pPr>
      <w:r>
        <w:rPr>
          <w:rStyle w:val="22"/>
          <w:rFonts w:hint="eastAsia" w:ascii="仿宋_GB2312" w:hAnsi="仿宋_GB2312" w:eastAsia="仿宋_GB2312" w:cs="仿宋_GB2312"/>
          <w:b w:val="0"/>
          <w:bCs w:val="0"/>
          <w:color w:val="auto"/>
          <w:spacing w:val="-4"/>
          <w:sz w:val="32"/>
          <w:szCs w:val="32"/>
          <w:highlight w:val="none"/>
          <w:lang w:val="en-US" w:eastAsia="zh-CN"/>
        </w:rPr>
        <w:t>本项目根据关于印发《关于2021年度中央专项彩票公益金支持残疾人事业发展补助资金（第二批）的通知》（洛财社〔2021〕63号）、《关于2021年度中央专项彩票公益金支持残疾人事业发展补助资金（第二批）的通知》（和地财社〔2020〕48号）文件精神以及相关会议纪要立项并开始实施。</w:t>
      </w:r>
    </w:p>
    <w:p w14:paraId="2B15A26C">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32" w:name="_Toc30597"/>
      <w:r>
        <w:rPr>
          <w:rFonts w:hint="eastAsia" w:ascii="仿宋_GB2312" w:hAnsi="仿宋" w:eastAsia="仿宋_GB2312" w:cs="宋体"/>
          <w:b/>
          <w:bCs/>
          <w:sz w:val="32"/>
          <w:szCs w:val="32"/>
          <w:highlight w:val="none"/>
        </w:rPr>
        <w:t>（二）项目资金情况</w:t>
      </w:r>
      <w:bookmarkEnd w:id="32"/>
    </w:p>
    <w:p w14:paraId="3EF0B639">
      <w:pPr>
        <w:pStyle w:val="33"/>
        <w:tabs>
          <w:tab w:val="left" w:pos="1559"/>
        </w:tabs>
        <w:adjustRightInd w:val="0"/>
        <w:snapToGrid w:val="0"/>
        <w:spacing w:line="560" w:lineRule="exact"/>
        <w:ind w:firstLine="640"/>
        <w:outlineLvl w:val="9"/>
        <w:rPr>
          <w:rFonts w:ascii="楷体" w:hAnsi="楷体" w:eastAsia="楷体" w:cs="楷体"/>
          <w:bCs/>
          <w:sz w:val="32"/>
          <w:szCs w:val="32"/>
        </w:rPr>
      </w:pPr>
      <w:r>
        <w:rPr>
          <w:rFonts w:hint="eastAsia" w:ascii="楷体" w:hAnsi="楷体" w:eastAsia="楷体" w:cs="楷体"/>
          <w:bCs/>
          <w:sz w:val="32"/>
          <w:szCs w:val="32"/>
        </w:rPr>
        <w:t>1.项目资金预算及来源</w:t>
      </w:r>
    </w:p>
    <w:p w14:paraId="4759AE44">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outlineLvl w:val="9"/>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该项目预算资金为44.75万元，资金来源为中央专项资金，截止12月31日，到位资金为44.75万元，资金到位率100%。</w:t>
      </w:r>
    </w:p>
    <w:p w14:paraId="6F377A3D">
      <w:pPr>
        <w:pStyle w:val="33"/>
        <w:tabs>
          <w:tab w:val="left" w:pos="1559"/>
        </w:tabs>
        <w:adjustRightInd w:val="0"/>
        <w:snapToGrid w:val="0"/>
        <w:spacing w:line="560" w:lineRule="exact"/>
        <w:ind w:firstLine="640"/>
        <w:outlineLvl w:val="9"/>
        <w:rPr>
          <w:rFonts w:hint="eastAsia" w:ascii="楷体" w:hAnsi="楷体" w:eastAsia="楷体" w:cs="楷体"/>
          <w:bCs/>
          <w:sz w:val="32"/>
          <w:szCs w:val="32"/>
        </w:rPr>
      </w:pPr>
      <w:r>
        <w:rPr>
          <w:rFonts w:hint="eastAsia" w:ascii="楷体" w:hAnsi="楷体" w:eastAsia="楷体" w:cs="楷体"/>
          <w:bCs/>
          <w:sz w:val="32"/>
          <w:szCs w:val="32"/>
        </w:rPr>
        <w:t>2.预算执行及结果</w:t>
      </w:r>
    </w:p>
    <w:p w14:paraId="06EA4FF9">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 xml:space="preserve">截止绩效评价日，项目预算资金44.75万元，实际到位资金44.75万元，资金到位率100%，总支出44.75万元，预算执行率100%，该项目资金主要用于支付150名残疾人评定补贴，支付13名残疾人在康复过程中所需的费用。购买残疾儿童辅助器具等基本康复服务。                                                                </w:t>
      </w:r>
    </w:p>
    <w:p w14:paraId="0098D6F5">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33" w:name="_Toc4656"/>
      <w:r>
        <w:rPr>
          <w:rFonts w:hint="eastAsia" w:ascii="仿宋_GB2312" w:hAnsi="仿宋" w:eastAsia="仿宋_GB2312" w:cs="宋体"/>
          <w:b/>
          <w:bCs/>
          <w:sz w:val="32"/>
          <w:szCs w:val="32"/>
        </w:rPr>
        <w:t>（三）绩效目标设置情况</w:t>
      </w:r>
      <w:bookmarkEnd w:id="33"/>
    </w:p>
    <w:p w14:paraId="758A4008">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color w:val="auto"/>
          <w:sz w:val="32"/>
          <w:szCs w:val="32"/>
          <w:lang w:val="en-US" w:eastAsia="zh-CN"/>
        </w:rPr>
      </w:pPr>
      <w:bookmarkStart w:id="34" w:name="_Toc8400"/>
      <w:bookmarkStart w:id="35" w:name="_Toc1757"/>
      <w:bookmarkStart w:id="36" w:name="_Toc26467"/>
      <w:bookmarkStart w:id="37" w:name="_Toc25486"/>
      <w:r>
        <w:rPr>
          <w:rFonts w:hint="eastAsia" w:ascii="仿宋_GB2312" w:hAnsi="仿宋_GB2312" w:eastAsia="仿宋_GB2312" w:cs="仿宋_GB2312"/>
          <w:color w:val="auto"/>
          <w:sz w:val="32"/>
          <w:szCs w:val="32"/>
        </w:rPr>
        <w:t>该项目共设立一级指标3个，二级指标</w:t>
      </w:r>
      <w:r>
        <w:rPr>
          <w:rFonts w:hint="eastAsia" w:ascii="仿宋_GB2312" w:hAnsi="仿宋_GB2312" w:eastAsia="仿宋_GB2312" w:cs="仿宋_GB2312"/>
          <w:color w:val="auto"/>
          <w:sz w:val="32"/>
          <w:szCs w:val="32"/>
          <w:lang w:val="en-US" w:eastAsia="zh-CN"/>
        </w:rPr>
        <w:t>7</w:t>
      </w:r>
      <w:r>
        <w:rPr>
          <w:rFonts w:hint="eastAsia" w:ascii="仿宋_GB2312" w:hAnsi="仿宋_GB2312" w:eastAsia="仿宋_GB2312" w:cs="仿宋_GB2312"/>
          <w:color w:val="auto"/>
          <w:sz w:val="32"/>
          <w:szCs w:val="32"/>
        </w:rPr>
        <w:t>个，三级指标</w:t>
      </w:r>
      <w:r>
        <w:rPr>
          <w:rFonts w:hint="eastAsia" w:ascii="仿宋_GB2312" w:hAnsi="仿宋_GB2312" w:eastAsia="仿宋_GB2312" w:cs="仿宋_GB2312"/>
          <w:kern w:val="2"/>
          <w:sz w:val="32"/>
          <w:szCs w:val="32"/>
          <w:highlight w:val="none"/>
          <w:lang w:val="en-US" w:eastAsia="zh-CN" w:bidi="ar-SA"/>
        </w:rPr>
        <w:t>12</w:t>
      </w:r>
      <w:r>
        <w:rPr>
          <w:rFonts w:hint="eastAsia" w:ascii="仿宋_GB2312" w:hAnsi="仿宋_GB2312" w:eastAsia="仿宋_GB2312" w:cs="仿宋_GB2312"/>
          <w:color w:val="auto"/>
          <w:sz w:val="32"/>
          <w:szCs w:val="32"/>
        </w:rPr>
        <w:t>个，指标量</w:t>
      </w:r>
      <w:r>
        <w:rPr>
          <w:rFonts w:hint="eastAsia" w:ascii="仿宋_GB2312" w:hAnsi="仿宋_GB2312" w:eastAsia="仿宋_GB2312" w:cs="仿宋_GB2312"/>
          <w:color w:val="auto"/>
          <w:sz w:val="32"/>
          <w:szCs w:val="32"/>
          <w:highlight w:val="none"/>
        </w:rPr>
        <w:t>化率</w:t>
      </w:r>
      <w:r>
        <w:rPr>
          <w:rFonts w:hint="eastAsia" w:ascii="仿宋_GB2312" w:hAnsi="仿宋_GB2312" w:eastAsia="仿宋_GB2312" w:cs="仿宋_GB2312"/>
          <w:kern w:val="2"/>
          <w:sz w:val="32"/>
          <w:szCs w:val="32"/>
          <w:highlight w:val="none"/>
          <w:lang w:val="en-US" w:eastAsia="zh-CN" w:bidi="ar-SA"/>
        </w:rPr>
        <w:t>75</w:t>
      </w:r>
      <w:r>
        <w:rPr>
          <w:rFonts w:hint="eastAsia" w:ascii="仿宋_GB2312" w:hAnsi="仿宋_GB2312" w:eastAsia="仿宋_GB2312" w:cs="仿宋_GB2312"/>
          <w:color w:val="auto"/>
          <w:sz w:val="32"/>
          <w:szCs w:val="32"/>
          <w:highlight w:val="none"/>
        </w:rPr>
        <w:t>%。绩效目标明确了</w:t>
      </w:r>
      <w:r>
        <w:rPr>
          <w:rFonts w:hint="eastAsia" w:ascii="仿宋_GB2312" w:hAnsi="仿宋_GB2312" w:eastAsia="仿宋_GB2312" w:cs="仿宋_GB2312"/>
          <w:color w:val="auto"/>
          <w:sz w:val="32"/>
          <w:szCs w:val="32"/>
        </w:rPr>
        <w:t>项目产出数量和预期达到的效果，绩效目标指标制定明确、细化、量化。整体来看，目标设立合理清晰</w:t>
      </w:r>
      <w:r>
        <w:rPr>
          <w:rFonts w:hint="eastAsia" w:ascii="仿宋_GB2312" w:hAnsi="仿宋_GB2312" w:eastAsia="仿宋_GB2312" w:cs="仿宋_GB2312"/>
          <w:color w:val="auto"/>
          <w:sz w:val="32"/>
          <w:szCs w:val="32"/>
          <w:lang w:val="en-US" w:eastAsia="zh-CN"/>
        </w:rPr>
        <w:t>：</w:t>
      </w:r>
      <w:bookmarkEnd w:id="34"/>
      <w:bookmarkEnd w:id="35"/>
      <w:bookmarkEnd w:id="36"/>
    </w:p>
    <w:p w14:paraId="28291287">
      <w:pPr>
        <w:pStyle w:val="33"/>
        <w:tabs>
          <w:tab w:val="left" w:pos="1559"/>
        </w:tabs>
        <w:adjustRightInd w:val="0"/>
        <w:snapToGrid w:val="0"/>
        <w:spacing w:line="560" w:lineRule="exact"/>
        <w:ind w:firstLine="640"/>
        <w:outlineLvl w:val="9"/>
        <w:rPr>
          <w:rFonts w:hint="eastAsia"/>
          <w:highlight w:val="none"/>
          <w:lang w:val="en-US" w:eastAsia="zh-CN"/>
        </w:rPr>
      </w:pPr>
      <w:r>
        <w:rPr>
          <w:rFonts w:hint="eastAsia" w:ascii="楷体" w:hAnsi="楷体" w:eastAsia="楷体" w:cs="楷体"/>
          <w:bCs/>
          <w:color w:val="auto"/>
          <w:sz w:val="32"/>
          <w:szCs w:val="32"/>
          <w:highlight w:val="none"/>
          <w:lang w:val="en-US" w:eastAsia="zh-CN"/>
        </w:rPr>
        <w:t>1.</w:t>
      </w:r>
      <w:r>
        <w:rPr>
          <w:rFonts w:hint="eastAsia" w:ascii="楷体" w:hAnsi="楷体" w:eastAsia="楷体" w:cs="楷体"/>
          <w:bCs/>
          <w:color w:val="auto"/>
          <w:sz w:val="32"/>
          <w:szCs w:val="32"/>
          <w:highlight w:val="none"/>
        </w:rPr>
        <w:t>年度总目标</w:t>
      </w:r>
    </w:p>
    <w:p w14:paraId="6D997B42">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eastAsia="仿宋_GB2312" w:cs="宋体"/>
          <w:color w:val="auto"/>
          <w:sz w:val="32"/>
          <w:szCs w:val="32"/>
          <w:highlight w:val="none"/>
          <w:lang w:val="en-US" w:eastAsia="zh-CN"/>
        </w:rPr>
      </w:pPr>
      <w:r>
        <w:rPr>
          <w:rFonts w:hint="eastAsia" w:ascii="仿宋_GB2312" w:eastAsia="仿宋_GB2312" w:cs="宋体"/>
          <w:color w:val="auto"/>
          <w:sz w:val="32"/>
          <w:szCs w:val="32"/>
          <w:highlight w:val="none"/>
          <w:lang w:val="en-US" w:eastAsia="zh-CN"/>
        </w:rPr>
        <w:t>支付150名残疾人评定补贴，支付25名残疾人在康复过程中所需的费用。购买残疾儿童辅助器具等基本康复服务，改善残疾儿童功能状况，不断提高残疾儿童生活自理能力，增强社会参与能力。</w:t>
      </w:r>
    </w:p>
    <w:p w14:paraId="6CBED242">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outlineLvl w:val="9"/>
        <w:rPr>
          <w:rFonts w:hint="eastAsia" w:ascii="楷体" w:hAnsi="楷体" w:eastAsia="楷体" w:cs="楷体"/>
          <w:bCs/>
          <w:color w:val="auto"/>
          <w:sz w:val="32"/>
          <w:szCs w:val="32"/>
          <w:highlight w:val="none"/>
          <w:lang w:val="en-US" w:eastAsia="zh-CN"/>
        </w:rPr>
      </w:pPr>
      <w:r>
        <w:rPr>
          <w:rFonts w:hint="eastAsia" w:ascii="仿宋_GB2312" w:eastAsia="仿宋_GB2312" w:cs="宋体"/>
          <w:color w:val="auto"/>
          <w:sz w:val="32"/>
          <w:szCs w:val="32"/>
          <w:lang w:val="en-US" w:eastAsia="zh-CN"/>
        </w:rPr>
        <w:t>2.</w:t>
      </w:r>
      <w:r>
        <w:rPr>
          <w:rFonts w:hint="eastAsia" w:ascii="楷体" w:hAnsi="楷体" w:eastAsia="楷体" w:cs="楷体"/>
          <w:bCs/>
          <w:color w:val="auto"/>
          <w:sz w:val="32"/>
          <w:szCs w:val="32"/>
          <w:highlight w:val="none"/>
          <w:lang w:val="en-US" w:eastAsia="zh-CN"/>
        </w:rPr>
        <w:t>阶段性绩效目标</w:t>
      </w:r>
    </w:p>
    <w:p w14:paraId="5BB87A31">
      <w:pPr>
        <w:pageBreakBefore w:val="0"/>
        <w:widowControl w:val="0"/>
        <w:kinsoku/>
        <w:wordWrap/>
        <w:overflowPunct/>
        <w:topLinePunct w:val="0"/>
        <w:autoSpaceDE/>
        <w:autoSpaceDN/>
        <w:bidi w:val="0"/>
        <w:spacing w:line="560" w:lineRule="exact"/>
        <w:ind w:firstLine="624" w:firstLineChars="200"/>
        <w:textAlignment w:val="auto"/>
        <w:outlineLvl w:val="9"/>
        <w:rPr>
          <w:rFonts w:hint="eastAsia" w:ascii="仿宋_GB2312" w:eastAsia="仿宋_GB2312" w:cs="宋体"/>
          <w:color w:val="auto"/>
          <w:kern w:val="2"/>
          <w:sz w:val="32"/>
          <w:szCs w:val="32"/>
          <w:lang w:val="en-US" w:eastAsia="zh-CN" w:bidi="ar-SA"/>
        </w:rPr>
      </w:pPr>
      <w:r>
        <w:rPr>
          <w:rStyle w:val="22"/>
          <w:rFonts w:hint="eastAsia" w:ascii="仿宋_GB2312" w:hAnsi="仿宋_GB2312" w:eastAsia="仿宋_GB2312" w:cs="仿宋_GB2312"/>
          <w:b w:val="0"/>
          <w:bCs w:val="0"/>
          <w:color w:val="auto"/>
          <w:spacing w:val="-4"/>
          <w:sz w:val="32"/>
          <w:szCs w:val="32"/>
          <w:highlight w:val="none"/>
          <w:lang w:val="en-US" w:eastAsia="zh-CN"/>
        </w:rPr>
        <w:t>根据关于印发《关于2021年度中央专项彩票公益金支持残疾人事业发展补助资金（第二批）的通知》（洛财社〔2021〕63号）、《关于2021年度中央专项彩票公益金支持残疾人事业发展补助资金（第二批）的通知》（和地财社〔2020〕048号）文件</w:t>
      </w:r>
      <w:r>
        <w:rPr>
          <w:rFonts w:hint="eastAsia" w:ascii="仿宋_GB2312" w:eastAsia="仿宋_GB2312" w:cs="宋体" w:hAnsiTheme="minorHAnsi"/>
          <w:color w:val="auto"/>
          <w:kern w:val="2"/>
          <w:sz w:val="32"/>
          <w:szCs w:val="32"/>
          <w:lang w:val="en-US" w:eastAsia="zh-CN" w:bidi="ar-SA"/>
        </w:rPr>
        <w:t>，</w:t>
      </w:r>
      <w:r>
        <w:rPr>
          <w:rFonts w:hint="eastAsia" w:ascii="仿宋_GB2312" w:eastAsia="仿宋_GB2312" w:cs="宋体"/>
          <w:color w:val="auto"/>
          <w:kern w:val="2"/>
          <w:sz w:val="32"/>
          <w:szCs w:val="32"/>
          <w:lang w:val="en-US" w:eastAsia="zh-CN" w:bidi="ar-SA"/>
        </w:rPr>
        <w:t>2021年中央专项彩票公益金支持残疾人事业发展补助项目（第二批）总投资</w:t>
      </w:r>
      <w:r>
        <w:rPr>
          <w:rFonts w:hint="eastAsia" w:ascii="仿宋_GB2312" w:eastAsia="仿宋_GB2312" w:cs="宋体"/>
          <w:color w:val="auto"/>
          <w:kern w:val="2"/>
          <w:sz w:val="32"/>
          <w:szCs w:val="32"/>
          <w:highlight w:val="none"/>
          <w:lang w:val="en-US" w:eastAsia="zh-CN" w:bidi="ar-SA"/>
        </w:rPr>
        <w:t>44.75</w:t>
      </w:r>
      <w:r>
        <w:rPr>
          <w:rFonts w:hint="eastAsia" w:ascii="仿宋_GB2312" w:eastAsia="仿宋_GB2312" w:cs="宋体" w:hAnsiTheme="minorHAnsi"/>
          <w:color w:val="auto"/>
          <w:kern w:val="2"/>
          <w:sz w:val="32"/>
          <w:szCs w:val="32"/>
          <w:highlight w:val="none"/>
          <w:lang w:val="en-US" w:eastAsia="zh-CN" w:bidi="ar-SA"/>
        </w:rPr>
        <w:t>万元。设置了一级指标</w:t>
      </w:r>
      <w:r>
        <w:rPr>
          <w:rFonts w:hint="eastAsia" w:ascii="仿宋_GB2312" w:eastAsia="仿宋_GB2312" w:cs="宋体"/>
          <w:color w:val="auto"/>
          <w:kern w:val="2"/>
          <w:sz w:val="32"/>
          <w:szCs w:val="32"/>
          <w:highlight w:val="none"/>
          <w:lang w:val="en-US" w:eastAsia="zh-CN" w:bidi="ar-SA"/>
        </w:rPr>
        <w:t>3个，二级指标7个，三级指标12个</w:t>
      </w:r>
      <w:r>
        <w:rPr>
          <w:rFonts w:hint="eastAsia" w:ascii="仿宋_GB2312" w:eastAsia="仿宋_GB2312" w:cs="宋体" w:hAnsiTheme="minorHAnsi"/>
          <w:color w:val="auto"/>
          <w:kern w:val="2"/>
          <w:sz w:val="32"/>
          <w:szCs w:val="32"/>
          <w:lang w:val="en-US" w:eastAsia="zh-CN" w:bidi="ar-SA"/>
        </w:rPr>
        <w:t>，其中</w:t>
      </w:r>
      <w:r>
        <w:rPr>
          <w:rFonts w:hint="eastAsia" w:ascii="仿宋_GB2312" w:eastAsia="仿宋_GB2312" w:cs="宋体"/>
          <w:color w:val="auto"/>
          <w:kern w:val="2"/>
          <w:sz w:val="32"/>
          <w:szCs w:val="32"/>
          <w:lang w:val="en-US" w:eastAsia="zh-CN" w:bidi="ar-SA"/>
        </w:rPr>
        <w:t>：</w:t>
      </w:r>
    </w:p>
    <w:p w14:paraId="07E7EFCE">
      <w:pPr>
        <w:pStyle w:val="33"/>
        <w:numPr>
          <w:ilvl w:val="0"/>
          <w:numId w:val="5"/>
        </w:numPr>
        <w:tabs>
          <w:tab w:val="left" w:pos="1559"/>
        </w:tabs>
        <w:adjustRightInd w:val="0"/>
        <w:snapToGrid w:val="0"/>
        <w:spacing w:line="560" w:lineRule="exact"/>
        <w:ind w:firstLine="640"/>
        <w:outlineLvl w:val="9"/>
        <w:rPr>
          <w:rFonts w:hint="eastAsia" w:ascii="仿宋_GB2312" w:hAnsi="仿宋_GB2312" w:eastAsia="仿宋_GB2312" w:cs="仿宋_GB2312"/>
          <w:b w:val="0"/>
          <w:bCs/>
          <w:color w:val="auto"/>
          <w:sz w:val="32"/>
          <w:szCs w:val="32"/>
          <w:highlight w:val="none"/>
          <w:lang w:val="en-US" w:eastAsia="zh-CN"/>
        </w:rPr>
      </w:pPr>
      <w:r>
        <w:rPr>
          <w:rFonts w:hint="eastAsia" w:ascii="仿宋_GB2312" w:hAnsi="仿宋_GB2312" w:eastAsia="仿宋_GB2312" w:cs="仿宋_GB2312"/>
          <w:b w:val="0"/>
          <w:bCs/>
          <w:color w:val="auto"/>
          <w:sz w:val="32"/>
          <w:szCs w:val="32"/>
          <w:highlight w:val="none"/>
          <w:lang w:val="en-US" w:eastAsia="zh-CN"/>
        </w:rPr>
        <w:t>产出指标：</w:t>
      </w:r>
    </w:p>
    <w:p w14:paraId="269565B1">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9"/>
        <w:rPr>
          <w:rFonts w:hint="default" w:ascii="仿宋_GB2312" w:hAnsi="仿宋_GB2312" w:eastAsia="仿宋_GB2312" w:cs="仿宋_GB2312"/>
          <w:b w:val="0"/>
          <w:bCs/>
          <w:color w:val="auto"/>
          <w:kern w:val="2"/>
          <w:sz w:val="32"/>
          <w:szCs w:val="32"/>
          <w:lang w:val="en-US" w:eastAsia="zh-CN" w:bidi="ar-SA"/>
        </w:rPr>
      </w:pPr>
      <w:r>
        <w:rPr>
          <w:rFonts w:hint="eastAsia" w:ascii="仿宋_GB2312" w:hAnsi="仿宋_GB2312" w:eastAsia="仿宋_GB2312" w:cs="仿宋_GB2312"/>
          <w:b w:val="0"/>
          <w:bCs/>
          <w:color w:val="auto"/>
          <w:kern w:val="2"/>
          <w:sz w:val="32"/>
          <w:szCs w:val="32"/>
          <w:lang w:val="en-US" w:eastAsia="zh-CN" w:bidi="ar-SA"/>
        </w:rPr>
        <w:t>数量指标</w:t>
      </w:r>
    </w:p>
    <w:p w14:paraId="3B7FFC5B">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得到基本康复服务的残疾儿童数量指标，预期值为等于25人。</w:t>
      </w:r>
    </w:p>
    <w:p w14:paraId="57FEB464">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b w:val="0"/>
          <w:bCs w:val="0"/>
          <w:color w:val="auto"/>
          <w:kern w:val="2"/>
          <w:sz w:val="32"/>
          <w:szCs w:val="32"/>
          <w:lang w:val="en-US" w:eastAsia="zh-CN" w:bidi="ar-SA"/>
        </w:rPr>
      </w:pPr>
      <w:r>
        <w:rPr>
          <w:rFonts w:hint="default" w:ascii="仿宋_GB2312" w:hAnsi="仿宋_GB2312" w:eastAsia="仿宋_GB2312" w:cs="仿宋_GB2312"/>
          <w:b w:val="0"/>
          <w:bCs w:val="0"/>
          <w:color w:val="auto"/>
          <w:kern w:val="2"/>
          <w:sz w:val="32"/>
          <w:szCs w:val="32"/>
          <w:lang w:val="en-US" w:eastAsia="zh-CN" w:bidi="ar-SA"/>
        </w:rPr>
        <w:t>得到残疾评定补贴的残疾人数</w:t>
      </w:r>
      <w:r>
        <w:rPr>
          <w:rFonts w:hint="eastAsia" w:ascii="仿宋_GB2312" w:hAnsi="仿宋_GB2312" w:eastAsia="仿宋_GB2312" w:cs="仿宋_GB2312"/>
          <w:b w:val="0"/>
          <w:bCs w:val="0"/>
          <w:color w:val="auto"/>
          <w:kern w:val="2"/>
          <w:sz w:val="32"/>
          <w:szCs w:val="32"/>
          <w:lang w:val="en-US" w:eastAsia="zh-CN" w:bidi="ar-SA"/>
        </w:rPr>
        <w:t>指标，预期值为等于150人。</w:t>
      </w:r>
    </w:p>
    <w:p w14:paraId="25DC12AC">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9"/>
        <w:rPr>
          <w:rFonts w:hint="default" w:ascii="仿宋_GB2312" w:hAnsi="仿宋_GB2312" w:eastAsia="仿宋_GB2312" w:cs="仿宋_GB2312"/>
          <w:b w:val="0"/>
          <w:bCs w:val="0"/>
          <w:color w:val="auto"/>
          <w:kern w:val="2"/>
          <w:sz w:val="32"/>
          <w:szCs w:val="32"/>
          <w:lang w:val="en-US" w:eastAsia="zh-CN" w:bidi="ar-SA"/>
        </w:rPr>
      </w:pPr>
      <w:r>
        <w:rPr>
          <w:rFonts w:hint="default" w:ascii="仿宋_GB2312" w:hAnsi="仿宋_GB2312" w:eastAsia="仿宋_GB2312" w:cs="仿宋_GB2312"/>
          <w:b w:val="0"/>
          <w:bCs w:val="0"/>
          <w:color w:val="auto"/>
          <w:kern w:val="2"/>
          <w:sz w:val="32"/>
          <w:szCs w:val="32"/>
          <w:lang w:val="en-US" w:eastAsia="zh-CN" w:bidi="ar-SA"/>
        </w:rPr>
        <w:t>质量指标</w:t>
      </w:r>
    </w:p>
    <w:p w14:paraId="190A3415">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b w:val="0"/>
          <w:bCs w:val="0"/>
          <w:color w:val="auto"/>
          <w:kern w:val="2"/>
          <w:sz w:val="32"/>
          <w:szCs w:val="32"/>
          <w:lang w:val="en-US" w:eastAsia="zh-CN" w:bidi="ar-SA"/>
        </w:rPr>
      </w:pPr>
      <w:r>
        <w:rPr>
          <w:rFonts w:hint="default" w:ascii="仿宋_GB2312" w:hAnsi="仿宋_GB2312" w:eastAsia="仿宋_GB2312" w:cs="仿宋_GB2312"/>
          <w:b w:val="0"/>
          <w:bCs w:val="0"/>
          <w:color w:val="auto"/>
          <w:kern w:val="2"/>
          <w:sz w:val="32"/>
          <w:szCs w:val="32"/>
          <w:lang w:val="en-US" w:eastAsia="zh-CN" w:bidi="ar-SA"/>
        </w:rPr>
        <w:t>符合条件的残疾儿童接受基本康复服务率</w:t>
      </w:r>
      <w:r>
        <w:rPr>
          <w:rFonts w:hint="eastAsia" w:ascii="仿宋_GB2312" w:hAnsi="仿宋_GB2312" w:eastAsia="仿宋_GB2312" w:cs="仿宋_GB2312"/>
          <w:b w:val="0"/>
          <w:bCs w:val="0"/>
          <w:color w:val="auto"/>
          <w:kern w:val="2"/>
          <w:sz w:val="32"/>
          <w:szCs w:val="32"/>
          <w:lang w:val="en-US" w:eastAsia="zh-CN" w:bidi="ar-SA"/>
        </w:rPr>
        <w:t>指标，预期值为大于等于80%。</w:t>
      </w:r>
    </w:p>
    <w:p w14:paraId="776D7FFE">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补贴发放到位率指标，预期值为等于100%。</w:t>
      </w:r>
    </w:p>
    <w:p w14:paraId="440A63DF">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9"/>
        <w:rPr>
          <w:rFonts w:hint="default" w:ascii="仿宋_GB2312" w:hAnsi="仿宋_GB2312" w:eastAsia="仿宋_GB2312" w:cs="仿宋_GB2312"/>
          <w:b w:val="0"/>
          <w:bCs w:val="0"/>
          <w:color w:val="auto"/>
          <w:kern w:val="2"/>
          <w:sz w:val="32"/>
          <w:szCs w:val="32"/>
          <w:lang w:val="en-US" w:eastAsia="zh-CN" w:bidi="ar-SA"/>
        </w:rPr>
      </w:pPr>
      <w:r>
        <w:rPr>
          <w:rFonts w:hint="default" w:ascii="仿宋_GB2312" w:hAnsi="仿宋_GB2312" w:eastAsia="仿宋_GB2312" w:cs="仿宋_GB2312"/>
          <w:b w:val="0"/>
          <w:bCs w:val="0"/>
          <w:color w:val="auto"/>
          <w:kern w:val="2"/>
          <w:sz w:val="32"/>
          <w:szCs w:val="32"/>
          <w:lang w:val="en-US" w:eastAsia="zh-CN" w:bidi="ar-SA"/>
        </w:rPr>
        <w:t>时效指标</w:t>
      </w:r>
    </w:p>
    <w:p w14:paraId="187077F1">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截止时间指标，预期值为2022年12月。</w:t>
      </w:r>
    </w:p>
    <w:p w14:paraId="10B04107">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b w:val="0"/>
          <w:bCs w:val="0"/>
          <w:color w:val="auto"/>
          <w:kern w:val="2"/>
          <w:sz w:val="32"/>
          <w:szCs w:val="32"/>
          <w:lang w:val="en-US" w:eastAsia="zh-CN" w:bidi="ar-SA"/>
        </w:rPr>
      </w:pPr>
      <w:r>
        <w:rPr>
          <w:rFonts w:hint="default" w:ascii="仿宋_GB2312" w:hAnsi="仿宋_GB2312" w:eastAsia="仿宋_GB2312" w:cs="仿宋_GB2312"/>
          <w:b w:val="0"/>
          <w:bCs w:val="0"/>
          <w:color w:val="auto"/>
          <w:kern w:val="2"/>
          <w:sz w:val="32"/>
          <w:szCs w:val="32"/>
          <w:lang w:val="en-US" w:eastAsia="zh-CN" w:bidi="ar-SA"/>
        </w:rPr>
        <w:t>补助发放及时率</w:t>
      </w:r>
      <w:r>
        <w:rPr>
          <w:rFonts w:hint="eastAsia" w:ascii="仿宋_GB2312" w:hAnsi="仿宋_GB2312" w:eastAsia="仿宋_GB2312" w:cs="仿宋_GB2312"/>
          <w:b w:val="0"/>
          <w:bCs w:val="0"/>
          <w:color w:val="auto"/>
          <w:kern w:val="2"/>
          <w:sz w:val="32"/>
          <w:szCs w:val="32"/>
          <w:lang w:val="en-US" w:eastAsia="zh-CN" w:bidi="ar-SA"/>
        </w:rPr>
        <w:t>指标，预期值为100%。</w:t>
      </w:r>
    </w:p>
    <w:p w14:paraId="7851B4C7">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成本指标</w:t>
      </w:r>
    </w:p>
    <w:p w14:paraId="5EB1D70B">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b w:val="0"/>
          <w:bCs w:val="0"/>
          <w:color w:val="auto"/>
          <w:kern w:val="2"/>
          <w:sz w:val="32"/>
          <w:szCs w:val="32"/>
          <w:lang w:val="en-US" w:eastAsia="zh-CN" w:bidi="ar-SA"/>
        </w:rPr>
      </w:pPr>
      <w:r>
        <w:rPr>
          <w:rFonts w:hint="default" w:ascii="仿宋_GB2312" w:hAnsi="仿宋_GB2312" w:eastAsia="仿宋_GB2312" w:cs="仿宋_GB2312"/>
          <w:b w:val="0"/>
          <w:bCs w:val="0"/>
          <w:color w:val="auto"/>
          <w:kern w:val="2"/>
          <w:sz w:val="32"/>
          <w:szCs w:val="32"/>
          <w:lang w:val="en-US" w:eastAsia="zh-CN" w:bidi="ar-SA"/>
        </w:rPr>
        <w:t>残疾儿童康复</w:t>
      </w:r>
      <w:r>
        <w:rPr>
          <w:rFonts w:hint="eastAsia" w:ascii="仿宋_GB2312" w:hAnsi="仿宋_GB2312" w:eastAsia="仿宋_GB2312" w:cs="仿宋_GB2312"/>
          <w:b w:val="0"/>
          <w:bCs w:val="0"/>
          <w:color w:val="auto"/>
          <w:kern w:val="2"/>
          <w:sz w:val="32"/>
          <w:szCs w:val="32"/>
          <w:lang w:val="en-US" w:eastAsia="zh-CN" w:bidi="ar-SA"/>
        </w:rPr>
        <w:t>救助</w:t>
      </w:r>
      <w:r>
        <w:rPr>
          <w:rFonts w:hint="default" w:ascii="仿宋_GB2312" w:hAnsi="仿宋_GB2312" w:eastAsia="仿宋_GB2312" w:cs="仿宋_GB2312"/>
          <w:b w:val="0"/>
          <w:bCs w:val="0"/>
          <w:color w:val="auto"/>
          <w:kern w:val="2"/>
          <w:sz w:val="32"/>
          <w:szCs w:val="32"/>
          <w:lang w:val="en-US" w:eastAsia="zh-CN" w:bidi="ar-SA"/>
        </w:rPr>
        <w:t>人均标准</w:t>
      </w:r>
      <w:r>
        <w:rPr>
          <w:rFonts w:hint="eastAsia" w:ascii="仿宋_GB2312" w:hAnsi="仿宋_GB2312" w:eastAsia="仿宋_GB2312" w:cs="仿宋_GB2312"/>
          <w:b w:val="0"/>
          <w:bCs w:val="0"/>
          <w:color w:val="auto"/>
          <w:kern w:val="2"/>
          <w:sz w:val="32"/>
          <w:szCs w:val="32"/>
          <w:lang w:val="en-US" w:eastAsia="zh-CN" w:bidi="ar-SA"/>
        </w:rPr>
        <w:t>指标，预期值为小于等于1.7万元/人。</w:t>
      </w:r>
    </w:p>
    <w:p w14:paraId="1574E729">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9"/>
        <w:rPr>
          <w:rFonts w:hint="default" w:ascii="仿宋_GB2312" w:hAnsi="仿宋_GB2312" w:eastAsia="仿宋_GB2312" w:cs="仿宋_GB2312"/>
          <w:b w:val="0"/>
          <w:bCs w:val="0"/>
          <w:color w:val="auto"/>
          <w:kern w:val="2"/>
          <w:sz w:val="32"/>
          <w:szCs w:val="32"/>
          <w:lang w:val="en-US" w:eastAsia="zh-CN" w:bidi="ar-SA"/>
        </w:rPr>
      </w:pPr>
      <w:r>
        <w:rPr>
          <w:rFonts w:hint="default" w:ascii="仿宋_GB2312" w:hAnsi="仿宋_GB2312" w:eastAsia="仿宋_GB2312" w:cs="仿宋_GB2312"/>
          <w:b w:val="0"/>
          <w:bCs w:val="0"/>
          <w:color w:val="auto"/>
          <w:kern w:val="2"/>
          <w:sz w:val="32"/>
          <w:szCs w:val="32"/>
          <w:lang w:val="en-US" w:eastAsia="zh-CN" w:bidi="ar-SA"/>
        </w:rPr>
        <w:t>残疾评定补贴标准</w:t>
      </w:r>
      <w:r>
        <w:rPr>
          <w:rFonts w:hint="eastAsia" w:ascii="仿宋_GB2312" w:hAnsi="仿宋_GB2312" w:eastAsia="仿宋_GB2312" w:cs="仿宋_GB2312"/>
          <w:b w:val="0"/>
          <w:bCs w:val="0"/>
          <w:color w:val="auto"/>
          <w:kern w:val="2"/>
          <w:sz w:val="32"/>
          <w:szCs w:val="32"/>
          <w:lang w:val="en-US" w:eastAsia="zh-CN" w:bidi="ar-SA"/>
        </w:rPr>
        <w:t>指标，预期值为小于等于150元/人。</w:t>
      </w:r>
    </w:p>
    <w:p w14:paraId="438C159A">
      <w:pPr>
        <w:numPr>
          <w:ilvl w:val="0"/>
          <w:numId w:val="6"/>
        </w:numPr>
        <w:ind w:firstLine="640" w:firstLineChars="200"/>
        <w:outlineLvl w:val="9"/>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效益指标：</w:t>
      </w:r>
    </w:p>
    <w:p w14:paraId="6C041FA7">
      <w:pPr>
        <w:pStyle w:val="2"/>
        <w:outlineLvl w:val="9"/>
        <w:rPr>
          <w:rFonts w:hint="default"/>
          <w:b w:val="0"/>
          <w:bCs w:val="0"/>
          <w:lang w:val="en-US" w:eastAsia="zh-CN"/>
        </w:rPr>
      </w:pPr>
      <w:r>
        <w:rPr>
          <w:rFonts w:hint="eastAsia" w:ascii="仿宋_GB2312" w:hAnsi="仿宋_GB2312" w:eastAsia="仿宋_GB2312" w:cs="仿宋_GB2312"/>
          <w:b w:val="0"/>
          <w:bCs w:val="0"/>
          <w:color w:val="auto"/>
          <w:kern w:val="2"/>
          <w:sz w:val="32"/>
          <w:szCs w:val="32"/>
          <w:lang w:val="en-US" w:eastAsia="zh-CN" w:bidi="ar-SA"/>
        </w:rPr>
        <w:t>经济效益指标</w:t>
      </w:r>
    </w:p>
    <w:p w14:paraId="66899F9E">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该项目不涉及此指标。</w:t>
      </w:r>
    </w:p>
    <w:p w14:paraId="05DE216B">
      <w:pPr>
        <w:pStyle w:val="2"/>
        <w:outlineLvl w:val="9"/>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社会效益指标</w:t>
      </w:r>
    </w:p>
    <w:p w14:paraId="7E6957DE">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提高残疾人参与社会生产生活的能力指标，预期值为有效提高。</w:t>
      </w:r>
    </w:p>
    <w:p w14:paraId="55C65D4B">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b w:val="0"/>
          <w:bCs w:val="0"/>
          <w:color w:val="auto"/>
          <w:kern w:val="2"/>
          <w:sz w:val="32"/>
          <w:szCs w:val="32"/>
          <w:lang w:val="en-US" w:eastAsia="zh-CN" w:bidi="ar-SA"/>
        </w:rPr>
      </w:pPr>
      <w:r>
        <w:rPr>
          <w:rFonts w:hint="default" w:ascii="仿宋_GB2312" w:hAnsi="仿宋_GB2312" w:eastAsia="仿宋_GB2312" w:cs="仿宋_GB2312"/>
          <w:b w:val="0"/>
          <w:bCs w:val="0"/>
          <w:color w:val="auto"/>
          <w:kern w:val="2"/>
          <w:sz w:val="32"/>
          <w:szCs w:val="32"/>
          <w:lang w:val="en-US" w:eastAsia="zh-CN" w:bidi="ar-SA"/>
        </w:rPr>
        <w:t>提高残疾人康复服务水平</w:t>
      </w:r>
      <w:r>
        <w:rPr>
          <w:rFonts w:hint="eastAsia" w:ascii="仿宋_GB2312" w:hAnsi="仿宋_GB2312" w:eastAsia="仿宋_GB2312" w:cs="仿宋_GB2312"/>
          <w:b w:val="0"/>
          <w:bCs w:val="0"/>
          <w:color w:val="auto"/>
          <w:kern w:val="2"/>
          <w:sz w:val="32"/>
          <w:szCs w:val="32"/>
          <w:lang w:val="en-US" w:eastAsia="zh-CN" w:bidi="ar-SA"/>
        </w:rPr>
        <w:t>指标，预期值为有效提高。</w:t>
      </w:r>
    </w:p>
    <w:p w14:paraId="0BB263E3">
      <w:pPr>
        <w:pStyle w:val="2"/>
        <w:outlineLvl w:val="9"/>
        <w:rPr>
          <w:rFonts w:hint="default" w:ascii="仿宋_GB2312" w:hAnsi="仿宋_GB2312" w:eastAsia="仿宋_GB2312" w:cs="仿宋_GB2312"/>
          <w:b w:val="0"/>
          <w:bCs w:val="0"/>
          <w:color w:val="auto"/>
          <w:kern w:val="2"/>
          <w:sz w:val="32"/>
          <w:szCs w:val="32"/>
          <w:lang w:val="en-US" w:eastAsia="zh-CN" w:bidi="ar-SA"/>
        </w:rPr>
      </w:pPr>
      <w:r>
        <w:rPr>
          <w:rFonts w:hint="default" w:ascii="仿宋_GB2312" w:hAnsi="仿宋_GB2312" w:eastAsia="仿宋_GB2312" w:cs="仿宋_GB2312"/>
          <w:b w:val="0"/>
          <w:bCs w:val="0"/>
          <w:color w:val="auto"/>
          <w:kern w:val="2"/>
          <w:sz w:val="32"/>
          <w:szCs w:val="32"/>
          <w:lang w:val="en-US" w:eastAsia="zh-CN" w:bidi="ar-SA"/>
        </w:rPr>
        <w:t>生态效益指标</w:t>
      </w:r>
    </w:p>
    <w:p w14:paraId="320454C6">
      <w:pPr>
        <w:pStyle w:val="2"/>
        <w:outlineLvl w:val="9"/>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该项目不涉及此指标。</w:t>
      </w:r>
    </w:p>
    <w:p w14:paraId="3C48871C">
      <w:pPr>
        <w:pStyle w:val="2"/>
        <w:outlineLvl w:val="9"/>
        <w:rPr>
          <w:rFonts w:hint="default" w:ascii="仿宋_GB2312" w:hAnsi="仿宋_GB2312" w:eastAsia="仿宋_GB2312" w:cs="仿宋_GB2312"/>
          <w:b w:val="0"/>
          <w:bCs w:val="0"/>
          <w:color w:val="auto"/>
          <w:kern w:val="2"/>
          <w:sz w:val="32"/>
          <w:szCs w:val="32"/>
          <w:lang w:val="en-US" w:eastAsia="zh-CN" w:bidi="ar-SA"/>
        </w:rPr>
      </w:pPr>
      <w:r>
        <w:rPr>
          <w:rFonts w:hint="default" w:ascii="仿宋_GB2312" w:hAnsi="仿宋_GB2312" w:eastAsia="仿宋_GB2312" w:cs="仿宋_GB2312"/>
          <w:b w:val="0"/>
          <w:bCs w:val="0"/>
          <w:color w:val="auto"/>
          <w:kern w:val="2"/>
          <w:sz w:val="32"/>
          <w:szCs w:val="32"/>
          <w:lang w:val="en-US" w:eastAsia="zh-CN" w:bidi="ar-SA"/>
        </w:rPr>
        <w:t>可持续影响指标</w:t>
      </w:r>
    </w:p>
    <w:p w14:paraId="3DD5BE7E">
      <w:pPr>
        <w:pStyle w:val="2"/>
        <w:outlineLvl w:val="9"/>
        <w:rPr>
          <w:rFonts w:hint="default"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项目</w:t>
      </w:r>
      <w:r>
        <w:rPr>
          <w:rFonts w:hint="default" w:ascii="仿宋_GB2312" w:hAnsi="仿宋_GB2312" w:eastAsia="仿宋_GB2312" w:cs="仿宋_GB2312"/>
          <w:b w:val="0"/>
          <w:bCs w:val="0"/>
          <w:color w:val="auto"/>
          <w:kern w:val="2"/>
          <w:sz w:val="32"/>
          <w:szCs w:val="32"/>
          <w:lang w:val="en-US" w:eastAsia="zh-CN" w:bidi="ar-SA"/>
        </w:rPr>
        <w:t>保障时间</w:t>
      </w:r>
      <w:r>
        <w:rPr>
          <w:rFonts w:hint="eastAsia" w:ascii="仿宋_GB2312" w:hAnsi="仿宋_GB2312" w:eastAsia="仿宋_GB2312" w:cs="仿宋_GB2312"/>
          <w:b w:val="0"/>
          <w:bCs w:val="0"/>
          <w:color w:val="auto"/>
          <w:kern w:val="2"/>
          <w:sz w:val="32"/>
          <w:szCs w:val="32"/>
          <w:lang w:val="en-US" w:eastAsia="zh-CN" w:bidi="ar-SA"/>
        </w:rPr>
        <w:t>指标，预期值为5个月。</w:t>
      </w:r>
    </w:p>
    <w:p w14:paraId="382DC86B">
      <w:pPr>
        <w:keepNext w:val="0"/>
        <w:keepLines w:val="0"/>
        <w:pageBreakBefore w:val="0"/>
        <w:widowControl w:val="0"/>
        <w:numPr>
          <w:ilvl w:val="0"/>
          <w:numId w:val="0"/>
        </w:numPr>
        <w:kinsoku/>
        <w:wordWrap/>
        <w:overflowPunct/>
        <w:topLinePunct w:val="0"/>
        <w:autoSpaceDE/>
        <w:autoSpaceDN/>
        <w:bidi w:val="0"/>
        <w:adjustRightInd w:val="0"/>
        <w:snapToGrid w:val="0"/>
        <w:spacing w:before="0" w:afterAutospacing="0" w:line="560" w:lineRule="exact"/>
        <w:ind w:leftChars="200"/>
        <w:textAlignment w:val="auto"/>
        <w:outlineLvl w:val="9"/>
        <w:rPr>
          <w:rStyle w:val="22"/>
          <w:rFonts w:hint="eastAsia" w:ascii="仿宋_GB2312" w:hAnsi="仿宋" w:eastAsia="仿宋_GB2312"/>
          <w:b w:val="0"/>
          <w:bCs w:val="0"/>
          <w:spacing w:val="-4"/>
          <w:sz w:val="32"/>
          <w:szCs w:val="32"/>
          <w:lang w:eastAsia="zh-CN"/>
        </w:rPr>
      </w:pPr>
      <w:r>
        <w:rPr>
          <w:rStyle w:val="22"/>
          <w:rFonts w:hint="eastAsia" w:ascii="仿宋_GB2312" w:hAnsi="仿宋" w:eastAsia="仿宋_GB2312"/>
          <w:b w:val="0"/>
          <w:bCs w:val="0"/>
          <w:spacing w:val="-4"/>
          <w:sz w:val="32"/>
          <w:szCs w:val="32"/>
          <w:lang w:eastAsia="zh-CN"/>
        </w:rPr>
        <w:t>（</w:t>
      </w:r>
      <w:r>
        <w:rPr>
          <w:rStyle w:val="22"/>
          <w:rFonts w:hint="eastAsia" w:ascii="仿宋_GB2312" w:hAnsi="仿宋" w:eastAsia="仿宋_GB2312"/>
          <w:b w:val="0"/>
          <w:bCs w:val="0"/>
          <w:spacing w:val="-4"/>
          <w:sz w:val="32"/>
          <w:szCs w:val="32"/>
          <w:lang w:val="en-US" w:eastAsia="zh-CN"/>
        </w:rPr>
        <w:t>3</w:t>
      </w:r>
      <w:r>
        <w:rPr>
          <w:rStyle w:val="22"/>
          <w:rFonts w:hint="eastAsia" w:ascii="仿宋_GB2312" w:hAnsi="仿宋" w:eastAsia="仿宋_GB2312"/>
          <w:b w:val="0"/>
          <w:bCs w:val="0"/>
          <w:spacing w:val="-4"/>
          <w:sz w:val="32"/>
          <w:szCs w:val="32"/>
          <w:lang w:eastAsia="zh-CN"/>
        </w:rPr>
        <w:t>）满意度指标：</w:t>
      </w:r>
    </w:p>
    <w:p w14:paraId="28CBFBF8">
      <w:pPr>
        <w:numPr>
          <w:ilvl w:val="0"/>
          <w:numId w:val="0"/>
        </w:numPr>
        <w:ind w:firstLine="640" w:firstLineChars="200"/>
        <w:outlineLvl w:val="9"/>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受益人满意度指标，预期指标值为大于等于95%。</w:t>
      </w:r>
    </w:p>
    <w:p w14:paraId="39649566">
      <w:pPr>
        <w:adjustRightInd w:val="0"/>
        <w:snapToGrid w:val="0"/>
        <w:spacing w:line="560" w:lineRule="exact"/>
        <w:ind w:firstLine="640" w:firstLineChars="200"/>
        <w:jc w:val="left"/>
        <w:outlineLvl w:val="0"/>
        <w:rPr>
          <w:rFonts w:ascii="黑体" w:hAnsi="黑体" w:eastAsia="黑体" w:cs="宋体"/>
          <w:sz w:val="32"/>
          <w:szCs w:val="32"/>
          <w:highlight w:val="none"/>
        </w:rPr>
      </w:pPr>
      <w:r>
        <w:rPr>
          <w:rFonts w:hint="eastAsia" w:ascii="黑体" w:hAnsi="黑体" w:eastAsia="黑体" w:cs="宋体"/>
          <w:sz w:val="32"/>
          <w:szCs w:val="32"/>
          <w:highlight w:val="none"/>
        </w:rPr>
        <w:t>二、评价工作简述</w:t>
      </w:r>
      <w:bookmarkEnd w:id="37"/>
    </w:p>
    <w:p w14:paraId="4E3EFA3E">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eastAsia="仿宋_GB2312" w:cs="宋体" w:hAnsiTheme="minorHAnsi"/>
          <w:color w:val="auto"/>
          <w:kern w:val="2"/>
          <w:sz w:val="32"/>
          <w:szCs w:val="32"/>
          <w:lang w:val="en-US" w:eastAsia="zh-CN" w:bidi="ar-SA"/>
        </w:rPr>
      </w:pPr>
      <w:bookmarkStart w:id="38" w:name="_Toc3416"/>
      <w:bookmarkStart w:id="39" w:name="_Toc19614"/>
      <w:bookmarkStart w:id="40" w:name="_Toc7630"/>
      <w:r>
        <w:rPr>
          <w:rFonts w:hint="eastAsia" w:ascii="仿宋_GB2312" w:eastAsia="仿宋_GB2312" w:cs="宋体" w:hAnsiTheme="minorHAnsi"/>
          <w:color w:val="auto"/>
          <w:kern w:val="2"/>
          <w:sz w:val="32"/>
          <w:szCs w:val="32"/>
          <w:lang w:val="en-US" w:eastAsia="zh-CN" w:bidi="ar-SA"/>
        </w:rPr>
        <w:t>受</w:t>
      </w:r>
      <w:r>
        <w:rPr>
          <w:rFonts w:hint="eastAsia" w:ascii="仿宋_GB2312" w:eastAsia="仿宋_GB2312" w:cs="宋体"/>
          <w:color w:val="auto"/>
          <w:kern w:val="2"/>
          <w:sz w:val="32"/>
          <w:szCs w:val="32"/>
          <w:lang w:val="en-US" w:eastAsia="zh-CN" w:bidi="ar-SA"/>
        </w:rPr>
        <w:t>洛浦</w:t>
      </w:r>
      <w:r>
        <w:rPr>
          <w:rFonts w:hint="eastAsia" w:ascii="仿宋_GB2312" w:eastAsia="仿宋_GB2312" w:cs="宋体" w:hAnsiTheme="minorHAnsi"/>
          <w:color w:val="auto"/>
          <w:kern w:val="2"/>
          <w:sz w:val="32"/>
          <w:szCs w:val="32"/>
          <w:lang w:val="en-US" w:eastAsia="zh-CN" w:bidi="ar-SA"/>
        </w:rPr>
        <w:t>县财政局委托，中瑞诚会计师事务所（特殊普通合伙）喀什分所（以下简称“评价机构”）承担</w:t>
      </w:r>
      <w:r>
        <w:rPr>
          <w:rFonts w:hint="eastAsia" w:ascii="仿宋_GB2312" w:eastAsia="仿宋_GB2312" w:cs="宋体"/>
          <w:color w:val="auto"/>
          <w:kern w:val="2"/>
          <w:sz w:val="32"/>
          <w:szCs w:val="32"/>
          <w:lang w:val="en-US" w:eastAsia="zh-CN" w:bidi="ar-SA"/>
        </w:rPr>
        <w:t>2021年中央专项彩票公益金支持残疾人事业发展补助项目（第二批）</w:t>
      </w:r>
      <w:r>
        <w:rPr>
          <w:rFonts w:hint="eastAsia" w:ascii="仿宋_GB2312" w:eastAsia="仿宋_GB2312" w:cs="宋体" w:hAnsiTheme="minorHAnsi"/>
          <w:color w:val="auto"/>
          <w:kern w:val="2"/>
          <w:sz w:val="32"/>
          <w:szCs w:val="32"/>
          <w:lang w:val="en-US" w:eastAsia="zh-CN" w:bidi="ar-SA"/>
        </w:rPr>
        <w:t>支出的绩效评价工作。为更好地保障绩效评价工作的顺利实施，根据财政部颁发的《项目支出绩效评价管理办法》（财预〔2020〕10号）、新疆维吾尔自治区财政厅颁发的《自治区财政支出绩效评价管理暂行办法》（新财预〔2018〕189号）等文件规定，评价机构成立绩效评价工作组（以下简称“评价工</w:t>
      </w:r>
      <w:r>
        <w:rPr>
          <w:rFonts w:hint="eastAsia" w:ascii="仿宋_GB2312" w:eastAsia="仿宋_GB2312" w:cs="宋体" w:hAnsiTheme="minorHAnsi"/>
          <w:color w:val="auto"/>
          <w:kern w:val="2"/>
          <w:sz w:val="32"/>
          <w:szCs w:val="32"/>
          <w:highlight w:val="none"/>
          <w:lang w:val="en-US" w:eastAsia="zh-CN" w:bidi="ar-SA"/>
        </w:rPr>
        <w:t>作组”）对</w:t>
      </w:r>
      <w:r>
        <w:rPr>
          <w:rFonts w:hint="eastAsia" w:ascii="仿宋_GB2312" w:eastAsia="仿宋_GB2312" w:cs="宋体"/>
          <w:color w:val="auto"/>
          <w:kern w:val="2"/>
          <w:sz w:val="32"/>
          <w:szCs w:val="32"/>
          <w:highlight w:val="none"/>
          <w:lang w:val="en-US" w:eastAsia="zh-CN" w:bidi="ar-SA"/>
        </w:rPr>
        <w:t>中央</w:t>
      </w:r>
      <w:r>
        <w:rPr>
          <w:rFonts w:hint="eastAsia" w:ascii="仿宋_GB2312" w:eastAsia="仿宋_GB2312" w:cs="宋体" w:hAnsiTheme="minorHAnsi"/>
          <w:color w:val="auto"/>
          <w:kern w:val="2"/>
          <w:sz w:val="32"/>
          <w:szCs w:val="32"/>
          <w:highlight w:val="none"/>
          <w:lang w:val="en-US" w:eastAsia="zh-CN" w:bidi="ar-SA"/>
        </w:rPr>
        <w:t>专项资金</w:t>
      </w:r>
      <w:r>
        <w:rPr>
          <w:rFonts w:hint="eastAsia" w:ascii="仿宋_GB2312" w:eastAsia="仿宋_GB2312" w:cs="宋体" w:hAnsiTheme="minorHAnsi"/>
          <w:color w:val="auto"/>
          <w:kern w:val="2"/>
          <w:sz w:val="32"/>
          <w:szCs w:val="32"/>
          <w:lang w:val="en-US" w:eastAsia="zh-CN" w:bidi="ar-SA"/>
        </w:rPr>
        <w:t>投入、资金使用和资金使用效益等方面进行了绩效评价。</w:t>
      </w:r>
      <w:bookmarkEnd w:id="38"/>
      <w:bookmarkEnd w:id="39"/>
      <w:bookmarkEnd w:id="40"/>
    </w:p>
    <w:p w14:paraId="3488A6A2">
      <w:pPr>
        <w:pStyle w:val="33"/>
        <w:numPr>
          <w:ilvl w:val="0"/>
          <w:numId w:val="4"/>
        </w:numPr>
        <w:adjustRightInd w:val="0"/>
        <w:snapToGrid w:val="0"/>
        <w:spacing w:line="560" w:lineRule="exact"/>
        <w:ind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评价工作简述</w:t>
      </w:r>
    </w:p>
    <w:p w14:paraId="4CEC3B53">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41" w:name="_Toc8259"/>
      <w:r>
        <w:rPr>
          <w:rFonts w:hint="eastAsia" w:ascii="仿宋_GB2312" w:hAnsi="仿宋" w:eastAsia="仿宋_GB2312" w:cs="宋体"/>
          <w:b/>
          <w:bCs/>
          <w:sz w:val="32"/>
          <w:szCs w:val="32"/>
        </w:rPr>
        <w:t>（一）评价目的</w:t>
      </w:r>
      <w:bookmarkEnd w:id="41"/>
    </w:p>
    <w:p w14:paraId="46B780F8">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sz w:val="32"/>
          <w:szCs w:val="32"/>
          <w:highlight w:val="yellow"/>
        </w:rPr>
      </w:pPr>
      <w:bookmarkStart w:id="42" w:name="_Toc18186"/>
      <w:bookmarkStart w:id="43" w:name="_Toc22761"/>
      <w:r>
        <w:rPr>
          <w:rFonts w:hint="eastAsia" w:ascii="仿宋_GB2312" w:hAnsi="仿宋_GB2312" w:eastAsia="仿宋_GB2312" w:cs="仿宋_GB2312"/>
          <w:sz w:val="32"/>
          <w:szCs w:val="32"/>
        </w:rPr>
        <w:t>按照自治区财政厅和</w:t>
      </w:r>
      <w:r>
        <w:rPr>
          <w:rFonts w:hint="eastAsia" w:ascii="仿宋_GB2312" w:hAnsi="仿宋_GB2312" w:eastAsia="仿宋_GB2312" w:cs="仿宋_GB2312"/>
          <w:sz w:val="32"/>
          <w:szCs w:val="32"/>
          <w:lang w:val="en-US" w:eastAsia="zh-CN"/>
        </w:rPr>
        <w:t>和田</w:t>
      </w:r>
      <w:r>
        <w:rPr>
          <w:rFonts w:hint="eastAsia" w:ascii="仿宋_GB2312" w:hAnsi="仿宋_GB2312" w:eastAsia="仿宋_GB2312" w:cs="仿宋_GB2312"/>
          <w:sz w:val="32"/>
          <w:szCs w:val="32"/>
        </w:rPr>
        <w:t>地区财政局“加强财政支出管理，强化支出责任，建立科学、合理的财政支出绩效评价管理体系，提高财政资金使用效益”的要求，通过</w:t>
      </w:r>
      <w:r>
        <w:rPr>
          <w:rFonts w:hint="eastAsia" w:ascii="仿宋_GB2312" w:hAnsi="仿宋_GB2312" w:eastAsia="仿宋_GB2312" w:cs="仿宋_GB2312"/>
          <w:sz w:val="32"/>
          <w:szCs w:val="32"/>
          <w:lang w:eastAsia="zh-CN"/>
        </w:rPr>
        <w:t>项目</w:t>
      </w:r>
      <w:r>
        <w:rPr>
          <w:rFonts w:hint="eastAsia" w:ascii="仿宋_GB2312" w:hAnsi="仿宋_GB2312" w:eastAsia="仿宋_GB2312" w:cs="仿宋_GB2312"/>
          <w:sz w:val="32"/>
          <w:szCs w:val="32"/>
        </w:rPr>
        <w:t>决策、过程、产出、效益的全过程梳理、评价，客观公正反映项目立项的科学性、项目实施的规范性、项目管理的有效性和项目</w:t>
      </w:r>
      <w:r>
        <w:rPr>
          <w:rFonts w:hint="eastAsia" w:ascii="仿宋_GB2312" w:hAnsi="仿宋_GB2312" w:eastAsia="仿宋_GB2312" w:cs="仿宋_GB2312"/>
          <w:sz w:val="32"/>
          <w:szCs w:val="32"/>
          <w:highlight w:val="none"/>
        </w:rPr>
        <w:t>效果</w:t>
      </w:r>
      <w:r>
        <w:rPr>
          <w:rFonts w:hint="eastAsia" w:ascii="仿宋_GB2312" w:hAnsi="仿宋_GB2312" w:eastAsia="仿宋_GB2312" w:cs="仿宋_GB2312"/>
          <w:sz w:val="32"/>
          <w:szCs w:val="32"/>
          <w:highlight w:val="none"/>
          <w:lang w:eastAsia="zh-CN"/>
        </w:rPr>
        <w:t>，</w:t>
      </w:r>
      <w:r>
        <w:rPr>
          <w:rFonts w:hint="eastAsia" w:ascii="仿宋_GB2312" w:hAnsi="仿宋_GB2312" w:eastAsia="仿宋_GB2312" w:cs="仿宋_GB2312"/>
          <w:sz w:val="32"/>
          <w:szCs w:val="32"/>
          <w:highlight w:val="none"/>
        </w:rPr>
        <w:t>总结项目实施经验，发现存在</w:t>
      </w:r>
      <w:r>
        <w:rPr>
          <w:rFonts w:hint="eastAsia" w:ascii="仿宋_GB2312" w:hAnsi="仿宋_GB2312" w:eastAsia="仿宋_GB2312" w:cs="仿宋_GB2312"/>
          <w:sz w:val="32"/>
          <w:szCs w:val="32"/>
          <w:highlight w:val="none"/>
          <w:lang w:eastAsia="zh-CN"/>
        </w:rPr>
        <w:t>的</w:t>
      </w:r>
      <w:r>
        <w:rPr>
          <w:rFonts w:hint="eastAsia" w:ascii="仿宋_GB2312" w:hAnsi="仿宋_GB2312" w:eastAsia="仿宋_GB2312" w:cs="仿宋_GB2312"/>
          <w:sz w:val="32"/>
          <w:szCs w:val="32"/>
          <w:highlight w:val="none"/>
        </w:rPr>
        <w:t>问题，提出针对性建议</w:t>
      </w:r>
      <w:r>
        <w:rPr>
          <w:rFonts w:hint="eastAsia" w:ascii="仿宋_GB2312" w:hAnsi="仿宋_GB2312" w:eastAsia="仿宋_GB2312" w:cs="仿宋_GB2312"/>
          <w:sz w:val="32"/>
          <w:szCs w:val="32"/>
          <w:highlight w:val="none"/>
          <w:lang w:eastAsia="zh-CN"/>
        </w:rPr>
        <w:t>，</w:t>
      </w:r>
      <w:r>
        <w:rPr>
          <w:rFonts w:hint="eastAsia" w:ascii="仿宋_GB2312" w:hAnsi="仿宋_GB2312" w:eastAsia="仿宋_GB2312" w:cs="仿宋_GB2312"/>
          <w:sz w:val="32"/>
          <w:szCs w:val="32"/>
          <w:highlight w:val="none"/>
        </w:rPr>
        <w:t>为</w:t>
      </w:r>
      <w:r>
        <w:rPr>
          <w:rFonts w:hint="eastAsia" w:ascii="仿宋_GB2312" w:hAnsi="仿宋_GB2312" w:eastAsia="仿宋_GB2312" w:cs="仿宋_GB2312"/>
          <w:sz w:val="32"/>
          <w:szCs w:val="32"/>
          <w:highlight w:val="none"/>
          <w:lang w:val="en-US" w:eastAsia="zh-CN"/>
        </w:rPr>
        <w:t>以后年度专项资金</w:t>
      </w:r>
      <w:r>
        <w:rPr>
          <w:rFonts w:hint="eastAsia" w:ascii="仿宋_GB2312" w:hAnsi="仿宋_GB2312" w:eastAsia="仿宋_GB2312" w:cs="仿宋_GB2312"/>
          <w:sz w:val="32"/>
          <w:szCs w:val="32"/>
          <w:highlight w:val="none"/>
          <w:lang w:eastAsia="zh-CN"/>
        </w:rPr>
        <w:t>的绩效</w:t>
      </w:r>
      <w:r>
        <w:rPr>
          <w:rFonts w:hint="eastAsia" w:ascii="仿宋_GB2312" w:hAnsi="仿宋_GB2312" w:eastAsia="仿宋_GB2312" w:cs="仿宋_GB2312"/>
          <w:sz w:val="32"/>
          <w:szCs w:val="32"/>
          <w:highlight w:val="none"/>
        </w:rPr>
        <w:t>管理提供参考依据。</w:t>
      </w:r>
    </w:p>
    <w:p w14:paraId="0FFEC4E4">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（二）绩效评价工作</w:t>
      </w:r>
      <w:r>
        <w:rPr>
          <w:rFonts w:hint="eastAsia" w:ascii="仿宋_GB2312" w:hAnsi="仿宋" w:eastAsia="仿宋_GB2312" w:cs="宋体"/>
          <w:b/>
          <w:bCs/>
          <w:sz w:val="32"/>
          <w:szCs w:val="32"/>
          <w:lang w:val="en-US" w:eastAsia="zh-CN"/>
        </w:rPr>
        <w:t>的基本</w:t>
      </w:r>
      <w:r>
        <w:rPr>
          <w:rFonts w:hint="eastAsia" w:ascii="仿宋_GB2312" w:hAnsi="仿宋" w:eastAsia="仿宋_GB2312" w:cs="宋体"/>
          <w:b/>
          <w:bCs/>
          <w:sz w:val="32"/>
          <w:szCs w:val="32"/>
        </w:rPr>
        <w:t>思路</w:t>
      </w:r>
      <w:bookmarkEnd w:id="42"/>
      <w:bookmarkEnd w:id="43"/>
    </w:p>
    <w:p w14:paraId="1D1DCFCD">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eastAsia="仿宋_GB2312" w:cs="宋体" w:hAnsiTheme="minorHAnsi"/>
          <w:color w:val="auto"/>
          <w:kern w:val="2"/>
          <w:sz w:val="32"/>
          <w:szCs w:val="32"/>
          <w:highlight w:val="none"/>
          <w:lang w:val="en-US" w:eastAsia="zh-CN" w:bidi="ar-SA"/>
        </w:rPr>
      </w:pPr>
      <w:bookmarkStart w:id="44" w:name="_Toc27651416"/>
      <w:bookmarkStart w:id="45" w:name="_Toc27648031"/>
      <w:bookmarkStart w:id="46" w:name="_Toc27493321"/>
      <w:bookmarkStart w:id="47" w:name="_Toc14072"/>
      <w:bookmarkStart w:id="48" w:name="_Toc7209"/>
      <w:r>
        <w:rPr>
          <w:rFonts w:hint="eastAsia" w:ascii="仿宋_GB2312" w:eastAsia="仿宋_GB2312" w:cs="宋体" w:hAnsiTheme="minorHAnsi"/>
          <w:color w:val="auto"/>
          <w:kern w:val="2"/>
          <w:sz w:val="32"/>
          <w:szCs w:val="32"/>
          <w:lang w:val="en-US" w:eastAsia="zh-CN" w:bidi="ar-SA"/>
        </w:rPr>
        <w:t>本次评价从项目决策（包括项目立项依据的充分性和立项程序的规范性、绩效目标的合理性和绩效指标的明确性、预算编制的科学性和资金分配的合理性）、项目过程（包括项目资金中的资金到位、预算执行、资金使用的合规性、管理制度的健全性和制度执行的有效性）、项目产出（包括项目产出中的产出数量、产出质量、产出时效、产出成本）和项目效益（包括项目效果中的经济效益、社会效益、生态效益、可持续影响、服务对象满意度）四个维度进</w:t>
      </w:r>
      <w:r>
        <w:rPr>
          <w:rFonts w:hint="eastAsia" w:ascii="仿宋_GB2312" w:eastAsia="仿宋_GB2312" w:cs="宋体" w:hAnsiTheme="minorHAnsi"/>
          <w:color w:val="auto"/>
          <w:kern w:val="2"/>
          <w:sz w:val="32"/>
          <w:szCs w:val="32"/>
          <w:highlight w:val="none"/>
          <w:lang w:val="en-US" w:eastAsia="zh-CN" w:bidi="ar-SA"/>
        </w:rPr>
        <w:t>行评价。评价对象为</w:t>
      </w:r>
      <w:r>
        <w:rPr>
          <w:rFonts w:hint="eastAsia" w:ascii="仿宋_GB2312" w:eastAsia="仿宋_GB2312" w:cs="宋体"/>
          <w:color w:val="auto"/>
          <w:kern w:val="2"/>
          <w:sz w:val="32"/>
          <w:szCs w:val="32"/>
          <w:highlight w:val="none"/>
          <w:lang w:val="en-US" w:eastAsia="zh-CN" w:bidi="ar-SA"/>
        </w:rPr>
        <w:t>中央专项资金</w:t>
      </w:r>
      <w:r>
        <w:rPr>
          <w:rFonts w:hint="eastAsia" w:ascii="仿宋_GB2312" w:eastAsia="仿宋_GB2312" w:cs="宋体" w:hAnsiTheme="minorHAnsi"/>
          <w:color w:val="auto"/>
          <w:kern w:val="2"/>
          <w:sz w:val="32"/>
          <w:szCs w:val="32"/>
          <w:highlight w:val="none"/>
          <w:lang w:val="en-US" w:eastAsia="zh-CN" w:bidi="ar-SA"/>
        </w:rPr>
        <w:t>，评价核心为</w:t>
      </w:r>
      <w:r>
        <w:rPr>
          <w:rFonts w:hint="eastAsia" w:ascii="仿宋_GB2312" w:eastAsia="仿宋_GB2312" w:cs="宋体"/>
          <w:color w:val="auto"/>
          <w:kern w:val="2"/>
          <w:sz w:val="32"/>
          <w:szCs w:val="32"/>
          <w:highlight w:val="none"/>
          <w:lang w:val="en-US" w:eastAsia="zh-CN" w:bidi="ar-SA"/>
        </w:rPr>
        <w:t>中央</w:t>
      </w:r>
      <w:r>
        <w:rPr>
          <w:rFonts w:hint="eastAsia" w:ascii="仿宋_GB2312" w:eastAsia="仿宋_GB2312" w:cs="宋体" w:hAnsiTheme="minorHAnsi"/>
          <w:color w:val="auto"/>
          <w:kern w:val="2"/>
          <w:sz w:val="32"/>
          <w:szCs w:val="32"/>
          <w:highlight w:val="none"/>
          <w:lang w:val="en-US" w:eastAsia="zh-CN" w:bidi="ar-SA"/>
        </w:rPr>
        <w:t>专项资金的支出完成情况和效果。</w:t>
      </w:r>
      <w:bookmarkEnd w:id="44"/>
      <w:bookmarkEnd w:id="45"/>
      <w:bookmarkEnd w:id="46"/>
      <w:bookmarkEnd w:id="47"/>
      <w:bookmarkEnd w:id="48"/>
    </w:p>
    <w:p w14:paraId="0CAD8AEA">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49" w:name="_Toc7962"/>
      <w:r>
        <w:rPr>
          <w:rFonts w:hint="eastAsia" w:ascii="仿宋_GB2312" w:hAnsi="仿宋" w:eastAsia="仿宋_GB2312" w:cs="宋体"/>
          <w:b/>
          <w:bCs/>
          <w:sz w:val="32"/>
          <w:szCs w:val="32"/>
        </w:rPr>
        <w:t>（三）评价原则</w:t>
      </w:r>
      <w:bookmarkEnd w:id="49"/>
    </w:p>
    <w:p w14:paraId="0AC20D6F">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9"/>
        <w:rPr>
          <w:rFonts w:hint="eastAsia" w:ascii="仿宋_GB2312" w:hAnsi="仿宋_GB2312" w:eastAsia="仿宋_GB2312" w:cs="仿宋_GB2312"/>
          <w:sz w:val="32"/>
          <w:szCs w:val="32"/>
        </w:rPr>
      </w:pPr>
      <w:bookmarkStart w:id="50" w:name="_Toc1742"/>
      <w:r>
        <w:rPr>
          <w:rFonts w:hint="eastAsia" w:ascii="仿宋_GB2312" w:hAnsi="仿宋_GB2312" w:eastAsia="仿宋_GB2312" w:cs="仿宋_GB2312"/>
          <w:sz w:val="32"/>
          <w:szCs w:val="32"/>
          <w:lang w:val="en-US" w:eastAsia="zh-CN"/>
        </w:rPr>
        <w:t>1.</w:t>
      </w:r>
      <w:r>
        <w:rPr>
          <w:rFonts w:hint="eastAsia" w:ascii="仿宋_GB2312" w:hAnsi="仿宋_GB2312" w:eastAsia="仿宋_GB2312" w:cs="仿宋_GB2312"/>
          <w:sz w:val="32"/>
          <w:szCs w:val="32"/>
        </w:rPr>
        <w:t>相关性原则。绩效评价指标与绩效目标有直接的联系，能够恰当反映目标的实现程度。</w:t>
      </w:r>
    </w:p>
    <w:p w14:paraId="4581018F">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9"/>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2.</w:t>
      </w:r>
      <w:r>
        <w:rPr>
          <w:rFonts w:hint="eastAsia" w:ascii="仿宋_GB2312" w:hAnsi="仿宋_GB2312" w:eastAsia="仿宋_GB2312" w:cs="仿宋_GB2312"/>
          <w:sz w:val="32"/>
          <w:szCs w:val="32"/>
        </w:rPr>
        <w:t>重要性原则。优先使用最具评价对象代表性、最能反映评价要求的核心指标。</w:t>
      </w:r>
    </w:p>
    <w:p w14:paraId="4D7B6757">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9"/>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3.</w:t>
      </w:r>
      <w:r>
        <w:rPr>
          <w:rFonts w:hint="eastAsia" w:ascii="仿宋_GB2312" w:hAnsi="仿宋_GB2312" w:eastAsia="仿宋_GB2312" w:cs="仿宋_GB2312"/>
          <w:sz w:val="32"/>
          <w:szCs w:val="32"/>
        </w:rPr>
        <w:t>可比性原则。对同类评价对象设定共性的绩效评价指标，以便于评价标准的规范和评价结果可相互比较。</w:t>
      </w:r>
    </w:p>
    <w:p w14:paraId="5C2FA8ED">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9"/>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4.</w:t>
      </w:r>
      <w:r>
        <w:rPr>
          <w:rFonts w:hint="eastAsia" w:ascii="仿宋_GB2312" w:hAnsi="仿宋_GB2312" w:eastAsia="仿宋_GB2312" w:cs="仿宋_GB2312"/>
          <w:sz w:val="32"/>
          <w:szCs w:val="32"/>
        </w:rPr>
        <w:t>系统性原则。将定量指标与定性指标相结合，定量指标量化，定性指标可衡量，系统反映财政支出所产生的社会效益</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经济效益、环境效益和可持续影响等。</w:t>
      </w:r>
    </w:p>
    <w:p w14:paraId="6FF688EE">
      <w:pPr>
        <w:pStyle w:val="33"/>
        <w:keepNext w:val="0"/>
        <w:keepLines w:val="0"/>
        <w:pageBreakBefore w:val="0"/>
        <w:widowControl w:val="0"/>
        <w:kinsoku/>
        <w:wordWrap/>
        <w:overflowPunct/>
        <w:topLinePunct w:val="0"/>
        <w:autoSpaceDE/>
        <w:autoSpaceDN/>
        <w:bidi w:val="0"/>
        <w:adjustRightInd w:val="0"/>
        <w:snapToGrid w:val="0"/>
        <w:spacing w:line="560" w:lineRule="exact"/>
        <w:textAlignment w:val="auto"/>
        <w:outlineLvl w:val="9"/>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5.</w:t>
      </w:r>
      <w:r>
        <w:rPr>
          <w:rFonts w:hint="eastAsia" w:ascii="仿宋_GB2312" w:hAnsi="仿宋_GB2312" w:eastAsia="仿宋_GB2312" w:cs="仿宋_GB2312"/>
          <w:sz w:val="32"/>
          <w:szCs w:val="32"/>
        </w:rPr>
        <w:t>经济性原则。通俗易懂、简便易行，数据的获得考虑现实条件和可操作性，符合成本效益原则。</w:t>
      </w:r>
    </w:p>
    <w:p w14:paraId="66C38232">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（四）评价方法</w:t>
      </w:r>
      <w:bookmarkEnd w:id="50"/>
    </w:p>
    <w:p w14:paraId="051AE22F">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9"/>
        <w:rPr>
          <w:rFonts w:hint="eastAsia" w:ascii="仿宋_GB2312" w:hAnsi="仿宋_GB2312" w:eastAsia="仿宋_GB2312" w:cs="仿宋_GB2312"/>
          <w:sz w:val="32"/>
          <w:szCs w:val="32"/>
          <w:lang w:val="en-US" w:eastAsia="zh-CN"/>
        </w:rPr>
      </w:pPr>
      <w:bookmarkStart w:id="51" w:name="_Toc16588"/>
      <w:r>
        <w:rPr>
          <w:rFonts w:hint="eastAsia" w:ascii="仿宋_GB2312" w:hAnsi="仿宋_GB2312" w:eastAsia="仿宋_GB2312" w:cs="仿宋_GB2312"/>
          <w:sz w:val="32"/>
          <w:szCs w:val="32"/>
          <w:lang w:val="en-US" w:eastAsia="zh-CN"/>
        </w:rPr>
        <w:t>本次绩效评价主要采用以下评价方法：</w:t>
      </w:r>
    </w:p>
    <w:p w14:paraId="381E8B5D">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9"/>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1.比较法，通过对绩效目标与实施效果、历史与当期情况、不同部门和地区同类支出的比较，综合分析绩效目标实现程度。</w:t>
      </w:r>
    </w:p>
    <w:p w14:paraId="0FD416BA">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9"/>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2.因素分析法，通过综合分析影响绩效目标实现、实施效果的内外因素，评价绩效目标实现程度。</w:t>
      </w:r>
    </w:p>
    <w:p w14:paraId="227BDA39">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9"/>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3.公众评判法，通过专家评估、公众问卷及抽样调查等对财政支出效果进行评判，评价绩效目标实现程度。</w:t>
      </w:r>
    </w:p>
    <w:p w14:paraId="0614ECA7">
      <w:pPr>
        <w:pStyle w:val="33"/>
        <w:numPr>
          <w:ilvl w:val="0"/>
          <w:numId w:val="7"/>
        </w:numPr>
        <w:adjustRightInd w:val="0"/>
        <w:snapToGrid w:val="0"/>
        <w:spacing w:line="560" w:lineRule="exact"/>
        <w:ind w:left="420" w:leftChars="200" w:firstLine="321" w:firstLineChars="100"/>
        <w:outlineLvl w:val="1"/>
        <w:rPr>
          <w:rFonts w:hint="eastAsia" w:ascii="仿宋_GB2312" w:hAnsi="仿宋" w:eastAsia="仿宋_GB2312" w:cs="宋体"/>
          <w:b/>
          <w:bCs/>
          <w:sz w:val="32"/>
          <w:szCs w:val="32"/>
        </w:rPr>
      </w:pPr>
      <w:r>
        <w:rPr>
          <w:rFonts w:hint="eastAsia" w:ascii="仿宋_GB2312" w:hAnsi="仿宋" w:eastAsia="仿宋_GB2312" w:cs="宋体"/>
          <w:b/>
          <w:bCs/>
          <w:sz w:val="32"/>
          <w:szCs w:val="32"/>
        </w:rPr>
        <w:t>指标体系</w:t>
      </w:r>
      <w:bookmarkEnd w:id="51"/>
    </w:p>
    <w:p w14:paraId="6F421062">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sz w:val="32"/>
          <w:szCs w:val="32"/>
          <w:highlight w:val="none"/>
          <w:lang w:val="en-US" w:eastAsia="zh-CN"/>
        </w:rPr>
      </w:pPr>
      <w:bookmarkStart w:id="52" w:name="_Toc16677"/>
      <w:bookmarkStart w:id="53" w:name="_Toc10934"/>
      <w:bookmarkStart w:id="54" w:name="_Toc986"/>
      <w:bookmarkStart w:id="55" w:name="_Toc22089"/>
      <w:bookmarkStart w:id="56" w:name="_Toc32612"/>
      <w:bookmarkStart w:id="57" w:name="_Toc8115"/>
      <w:bookmarkStart w:id="58" w:name="_Toc16367"/>
      <w:bookmarkStart w:id="59" w:name="_Toc31692"/>
      <w:r>
        <w:rPr>
          <w:rFonts w:hint="eastAsia" w:ascii="仿宋_GB2312" w:hAnsi="仿宋_GB2312" w:eastAsia="仿宋_GB2312" w:cs="仿宋_GB2312"/>
          <w:sz w:val="32"/>
          <w:szCs w:val="32"/>
          <w:highlight w:val="none"/>
          <w:lang w:val="en-US" w:eastAsia="zh-CN"/>
        </w:rPr>
        <w:t>根据财政部颁发的《项目支出绩效评价管理办法》（财预〔2020〕10号）等相关文件精神，结合重点项目特点，在与专家组、项目单位充分协商的基础上，评价工作组细化了该专项的绩效评价指标体系，详见附件一。</w:t>
      </w:r>
      <w:bookmarkEnd w:id="52"/>
      <w:bookmarkEnd w:id="53"/>
      <w:bookmarkEnd w:id="54"/>
      <w:bookmarkEnd w:id="55"/>
      <w:bookmarkEnd w:id="56"/>
      <w:bookmarkEnd w:id="57"/>
    </w:p>
    <w:p w14:paraId="6C23F27D">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（六）评价等级划分</w:t>
      </w:r>
      <w:bookmarkEnd w:id="58"/>
      <w:bookmarkEnd w:id="59"/>
    </w:p>
    <w:p w14:paraId="5C21CB9A">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根据财政部颁发的《项目支出绩效评价管理办法》（财预〔2020〕10号）等相关文件精神，本次绩效评价结果主要采取评分和评级相结合的方式，具体分值和等级可根据不同评价的内容设定。总分一般设置为100分，其中项目决策20分、项目过程20分、项目产出30分、项目绩效30分。评价结果分为优、良、中、差四个等级：</w:t>
      </w:r>
    </w:p>
    <w:p w14:paraId="27E24A49">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优（90分（含）—100分）；</w:t>
      </w:r>
    </w:p>
    <w:p w14:paraId="4CD69891">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良（80分（含）—90分）；</w:t>
      </w:r>
    </w:p>
    <w:p w14:paraId="04FB6A09">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中（60分（含）—80分）；</w:t>
      </w:r>
    </w:p>
    <w:p w14:paraId="0ED074CD">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差（0分—60分）。</w:t>
      </w:r>
    </w:p>
    <w:p w14:paraId="408D44FC">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sz w:val="32"/>
          <w:szCs w:val="32"/>
        </w:rPr>
      </w:pPr>
      <w:r>
        <w:rPr>
          <w:rFonts w:hint="eastAsia" w:ascii="仿宋_GB2312" w:hAnsi="仿宋_GB2312" w:eastAsia="仿宋_GB2312" w:cs="仿宋_GB2312"/>
          <w:sz w:val="32"/>
          <w:szCs w:val="32"/>
          <w:highlight w:val="none"/>
          <w:lang w:val="en-US" w:eastAsia="zh-CN"/>
        </w:rPr>
        <w:t>对在项目进行绩效评价的过程中，如果实施单位有弄虚作假、瞒报谎报情况之行为，绩效评价组将如实上报至洛浦县财政局，并予以通报批评；情节严重的，绩效评价结果将直接判定为不合格等级。</w:t>
      </w:r>
    </w:p>
    <w:p w14:paraId="69C6CF57">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60" w:name="_Toc24267"/>
      <w:r>
        <w:rPr>
          <w:rFonts w:hint="eastAsia" w:ascii="仿宋_GB2312" w:hAnsi="仿宋" w:eastAsia="仿宋_GB2312" w:cs="宋体"/>
          <w:b/>
          <w:bCs/>
          <w:sz w:val="32"/>
          <w:szCs w:val="32"/>
        </w:rPr>
        <w:t>（七）评价工作实施情况</w:t>
      </w:r>
      <w:bookmarkEnd w:id="60"/>
    </w:p>
    <w:p w14:paraId="511599C3">
      <w:pPr>
        <w:pStyle w:val="33"/>
        <w:tabs>
          <w:tab w:val="left" w:pos="1559"/>
        </w:tabs>
        <w:adjustRightInd w:val="0"/>
        <w:snapToGrid w:val="0"/>
        <w:spacing w:line="560" w:lineRule="exact"/>
        <w:ind w:firstLine="640"/>
        <w:outlineLvl w:val="9"/>
        <w:rPr>
          <w:rFonts w:ascii="楷体" w:hAnsi="楷体" w:eastAsia="楷体" w:cs="楷体"/>
          <w:bCs/>
          <w:sz w:val="32"/>
          <w:szCs w:val="32"/>
        </w:rPr>
      </w:pPr>
      <w:bookmarkStart w:id="61" w:name="_Toc12973"/>
      <w:bookmarkStart w:id="62" w:name="_Toc8898"/>
      <w:r>
        <w:rPr>
          <w:rFonts w:hint="eastAsia" w:ascii="楷体" w:hAnsi="楷体" w:eastAsia="楷体" w:cs="楷体"/>
          <w:bCs/>
          <w:sz w:val="32"/>
          <w:szCs w:val="32"/>
        </w:rPr>
        <w:t>1.评价工作程序和时间安排</w:t>
      </w:r>
      <w:bookmarkEnd w:id="61"/>
      <w:bookmarkEnd w:id="62"/>
    </w:p>
    <w:p w14:paraId="28D6D955">
      <w:pPr>
        <w:adjustRightInd w:val="0"/>
        <w:snapToGrid w:val="0"/>
        <w:spacing w:line="560" w:lineRule="exact"/>
        <w:ind w:firstLine="640" w:firstLineChars="200"/>
        <w:outlineLvl w:val="9"/>
        <w:rPr>
          <w:rFonts w:ascii="Times New Roman" w:hAnsi="Times New Roman" w:eastAsia="仿宋" w:cs="Times New Roman"/>
          <w:sz w:val="32"/>
          <w:szCs w:val="32"/>
        </w:rPr>
      </w:pPr>
      <w:r>
        <w:rPr>
          <w:rFonts w:hint="eastAsia" w:ascii="仿宋_GB2312" w:hAnsi="仿宋_GB2312" w:eastAsia="仿宋_GB2312" w:cs="仿宋_GB2312"/>
          <w:sz w:val="32"/>
          <w:szCs w:val="32"/>
          <w:highlight w:val="none"/>
          <w:lang w:val="en-US" w:eastAsia="zh-CN"/>
        </w:rPr>
        <w:t>本次绩效评价各阶段具体工作内容及时间进度安排详见</w:t>
      </w:r>
      <w:r>
        <w:rPr>
          <w:rFonts w:hint="eastAsia" w:ascii="仿宋" w:hAnsi="仿宋" w:eastAsia="仿宋" w:cs="仿宋"/>
          <w:sz w:val="32"/>
          <w:szCs w:val="32"/>
        </w:rPr>
        <w:t>下表：</w:t>
      </w:r>
    </w:p>
    <w:p w14:paraId="22955B4A">
      <w:pPr>
        <w:spacing w:after="156" w:afterLines="50" w:line="560" w:lineRule="exact"/>
        <w:jc w:val="center"/>
        <w:outlineLvl w:val="9"/>
        <w:rPr>
          <w:rFonts w:ascii="Times New Roman" w:hAnsi="Times New Roman" w:eastAsia="黑体" w:cs="Times New Roman"/>
          <w:sz w:val="32"/>
          <w:szCs w:val="32"/>
          <w:highlight w:val="none"/>
        </w:rPr>
      </w:pPr>
      <w:bookmarkStart w:id="63" w:name="_Toc28992"/>
      <w:bookmarkStart w:id="64" w:name="_Toc3615"/>
      <w:r>
        <w:rPr>
          <w:rFonts w:ascii="Times New Roman" w:hAnsi="Times New Roman" w:eastAsia="黑体" w:cs="Times New Roman"/>
          <w:sz w:val="32"/>
          <w:szCs w:val="32"/>
          <w:highlight w:val="none"/>
        </w:rPr>
        <w:t>绩效评价工作程序和时间安排表</w:t>
      </w:r>
    </w:p>
    <w:tbl>
      <w:tblPr>
        <w:tblStyle w:val="19"/>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8"/>
        <w:gridCol w:w="534"/>
        <w:gridCol w:w="4293"/>
        <w:gridCol w:w="1814"/>
        <w:gridCol w:w="1175"/>
      </w:tblGrid>
      <w:tr w14:paraId="57BBE9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4" w:hRule="atLeast"/>
          <w:jc w:val="center"/>
        </w:trPr>
        <w:tc>
          <w:tcPr>
            <w:tcW w:w="688" w:type="dxa"/>
            <w:shd w:val="clear" w:color="auto" w:fill="C0C0C0"/>
            <w:vAlign w:val="center"/>
          </w:tcPr>
          <w:p w14:paraId="6EC56C4E">
            <w:pPr>
              <w:adjustRightInd w:val="0"/>
              <w:snapToGrid w:val="0"/>
              <w:jc w:val="distribute"/>
              <w:outlineLvl w:val="9"/>
              <w:rPr>
                <w:rFonts w:hint="eastAsia" w:ascii="仿宋" w:hAnsi="仿宋" w:eastAsia="仿宋" w:cs="仿宋"/>
                <w:b/>
                <w:bCs/>
                <w:sz w:val="20"/>
                <w:szCs w:val="20"/>
              </w:rPr>
            </w:pPr>
            <w:r>
              <w:rPr>
                <w:rFonts w:hint="eastAsia" w:ascii="仿宋" w:hAnsi="仿宋" w:eastAsia="仿宋" w:cs="仿宋"/>
                <w:b/>
                <w:bCs/>
                <w:sz w:val="20"/>
                <w:szCs w:val="20"/>
              </w:rPr>
              <w:t>阶段</w:t>
            </w:r>
          </w:p>
          <w:p w14:paraId="45DE17EA">
            <w:pPr>
              <w:adjustRightInd w:val="0"/>
              <w:snapToGrid w:val="0"/>
              <w:jc w:val="distribute"/>
              <w:outlineLvl w:val="9"/>
              <w:rPr>
                <w:rFonts w:hint="eastAsia" w:ascii="仿宋" w:hAnsi="仿宋" w:eastAsia="仿宋" w:cs="仿宋"/>
                <w:b/>
                <w:bCs/>
                <w:sz w:val="20"/>
                <w:szCs w:val="20"/>
              </w:rPr>
            </w:pPr>
            <w:r>
              <w:rPr>
                <w:rFonts w:hint="eastAsia" w:ascii="仿宋" w:hAnsi="仿宋" w:eastAsia="仿宋" w:cs="仿宋"/>
                <w:b/>
                <w:bCs/>
                <w:sz w:val="20"/>
                <w:szCs w:val="20"/>
              </w:rPr>
              <w:t>安排</w:t>
            </w:r>
          </w:p>
        </w:tc>
        <w:tc>
          <w:tcPr>
            <w:tcW w:w="4827" w:type="dxa"/>
            <w:gridSpan w:val="2"/>
            <w:shd w:val="clear" w:color="auto" w:fill="C0C0C0"/>
            <w:vAlign w:val="center"/>
          </w:tcPr>
          <w:p w14:paraId="3DBF9453">
            <w:pPr>
              <w:adjustRightInd w:val="0"/>
              <w:snapToGrid w:val="0"/>
              <w:jc w:val="center"/>
              <w:outlineLvl w:val="9"/>
              <w:rPr>
                <w:rFonts w:hint="eastAsia" w:ascii="仿宋" w:hAnsi="仿宋" w:eastAsia="仿宋" w:cs="仿宋"/>
                <w:b/>
                <w:bCs/>
                <w:sz w:val="20"/>
                <w:szCs w:val="20"/>
              </w:rPr>
            </w:pPr>
            <w:r>
              <w:rPr>
                <w:rFonts w:hint="eastAsia" w:ascii="仿宋" w:hAnsi="仿宋" w:eastAsia="仿宋" w:cs="仿宋"/>
                <w:b/>
                <w:bCs/>
                <w:sz w:val="20"/>
                <w:szCs w:val="20"/>
              </w:rPr>
              <w:t>工作内容</w:t>
            </w:r>
          </w:p>
        </w:tc>
        <w:tc>
          <w:tcPr>
            <w:tcW w:w="1814" w:type="dxa"/>
            <w:shd w:val="clear" w:color="auto" w:fill="C0C0C0"/>
            <w:vAlign w:val="center"/>
          </w:tcPr>
          <w:p w14:paraId="420CC1B2">
            <w:pPr>
              <w:adjustRightInd w:val="0"/>
              <w:snapToGrid w:val="0"/>
              <w:jc w:val="center"/>
              <w:outlineLvl w:val="9"/>
              <w:rPr>
                <w:rFonts w:hint="eastAsia" w:ascii="仿宋" w:hAnsi="仿宋" w:eastAsia="仿宋" w:cs="仿宋"/>
                <w:b/>
                <w:bCs/>
                <w:sz w:val="20"/>
                <w:szCs w:val="20"/>
              </w:rPr>
            </w:pPr>
            <w:r>
              <w:rPr>
                <w:rFonts w:hint="eastAsia" w:ascii="仿宋" w:hAnsi="仿宋" w:eastAsia="仿宋" w:cs="仿宋"/>
                <w:b/>
                <w:bCs/>
                <w:sz w:val="20"/>
                <w:szCs w:val="20"/>
              </w:rPr>
              <w:t>进度安排</w:t>
            </w:r>
          </w:p>
        </w:tc>
        <w:tc>
          <w:tcPr>
            <w:tcW w:w="1175" w:type="dxa"/>
            <w:shd w:val="clear" w:color="auto" w:fill="C0C0C0"/>
            <w:vAlign w:val="center"/>
          </w:tcPr>
          <w:p w14:paraId="15DCB983">
            <w:pPr>
              <w:adjustRightInd w:val="0"/>
              <w:snapToGrid w:val="0"/>
              <w:jc w:val="center"/>
              <w:outlineLvl w:val="9"/>
              <w:rPr>
                <w:rFonts w:hint="eastAsia" w:ascii="仿宋" w:hAnsi="仿宋" w:eastAsia="仿宋" w:cs="仿宋"/>
                <w:b/>
                <w:bCs/>
                <w:sz w:val="20"/>
                <w:szCs w:val="20"/>
              </w:rPr>
            </w:pPr>
            <w:r>
              <w:rPr>
                <w:rFonts w:hint="eastAsia" w:ascii="仿宋" w:hAnsi="仿宋" w:eastAsia="仿宋" w:cs="仿宋"/>
                <w:b/>
                <w:bCs/>
                <w:sz w:val="20"/>
                <w:szCs w:val="20"/>
              </w:rPr>
              <w:t>参与方</w:t>
            </w:r>
          </w:p>
        </w:tc>
      </w:tr>
      <w:tr w14:paraId="26F658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8" w:hRule="atLeast"/>
          <w:jc w:val="center"/>
        </w:trPr>
        <w:tc>
          <w:tcPr>
            <w:tcW w:w="688" w:type="dxa"/>
            <w:vMerge w:val="restart"/>
            <w:shd w:val="clear" w:color="auto" w:fill="auto"/>
            <w:vAlign w:val="center"/>
          </w:tcPr>
          <w:p w14:paraId="29DFFA0A">
            <w:pPr>
              <w:adjustRightInd w:val="0"/>
              <w:snapToGrid w:val="0"/>
              <w:jc w:val="center"/>
              <w:outlineLvl w:val="9"/>
              <w:rPr>
                <w:rFonts w:hint="eastAsia" w:ascii="仿宋" w:hAnsi="仿宋" w:eastAsia="仿宋" w:cs="仿宋"/>
                <w:b/>
                <w:bCs/>
                <w:sz w:val="20"/>
                <w:szCs w:val="20"/>
              </w:rPr>
            </w:pPr>
            <w:r>
              <w:rPr>
                <w:rFonts w:hint="eastAsia" w:ascii="Times New Roman" w:hAnsi="Times New Roman" w:eastAsia="仿宋_GB2312" w:cs="仿宋"/>
                <w:b/>
                <w:bCs/>
                <w:spacing w:val="40"/>
                <w:sz w:val="20"/>
                <w:szCs w:val="20"/>
              </w:rPr>
              <w:t>评价准备阶段</w:t>
            </w:r>
          </w:p>
        </w:tc>
        <w:tc>
          <w:tcPr>
            <w:tcW w:w="4827" w:type="dxa"/>
            <w:gridSpan w:val="2"/>
            <w:shd w:val="clear" w:color="auto" w:fill="auto"/>
            <w:vAlign w:val="center"/>
          </w:tcPr>
          <w:p w14:paraId="683DE88C">
            <w:pPr>
              <w:adjustRightInd w:val="0"/>
              <w:snapToGrid w:val="0"/>
              <w:jc w:val="left"/>
              <w:outlineLvl w:val="9"/>
              <w:rPr>
                <w:rFonts w:hint="eastAsia" w:ascii="仿宋" w:hAnsi="仿宋" w:eastAsia="仿宋" w:cs="仿宋"/>
                <w:b/>
                <w:bCs/>
                <w:sz w:val="20"/>
                <w:szCs w:val="20"/>
              </w:rPr>
            </w:pPr>
            <w:r>
              <w:rPr>
                <w:rFonts w:hint="eastAsia" w:ascii="Times New Roman" w:hAnsi="Times New Roman" w:eastAsia="仿宋_GB2312" w:cs="仿宋"/>
                <w:sz w:val="20"/>
                <w:szCs w:val="20"/>
              </w:rPr>
              <w:t>制定《项目实施工作方案》，收集并研究分析项目政策资料，编制指标评价体系和资料清单，并发送被评价单位准备资料。</w:t>
            </w:r>
          </w:p>
        </w:tc>
        <w:tc>
          <w:tcPr>
            <w:tcW w:w="1814" w:type="dxa"/>
            <w:shd w:val="clear" w:color="auto" w:fill="auto"/>
            <w:vAlign w:val="center"/>
          </w:tcPr>
          <w:p w14:paraId="7C0F510F">
            <w:pPr>
              <w:adjustRightInd w:val="0"/>
              <w:snapToGrid w:val="0"/>
              <w:jc w:val="left"/>
              <w:outlineLvl w:val="9"/>
              <w:rPr>
                <w:rFonts w:hint="eastAsia" w:ascii="仿宋" w:hAnsi="仿宋" w:eastAsia="仿宋" w:cs="仿宋"/>
                <w:b/>
                <w:bCs/>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01</w:t>
            </w:r>
            <w:r>
              <w:rPr>
                <w:rFonts w:hint="eastAsia" w:ascii="Times New Roman" w:hAnsi="Times New Roman" w:eastAsia="仿宋_GB2312" w:cs="仿宋"/>
                <w:sz w:val="20"/>
                <w:szCs w:val="20"/>
              </w:rPr>
              <w:t>日</w:t>
            </w:r>
          </w:p>
        </w:tc>
        <w:tc>
          <w:tcPr>
            <w:tcW w:w="1175" w:type="dxa"/>
            <w:shd w:val="clear" w:color="auto" w:fill="auto"/>
            <w:vAlign w:val="center"/>
          </w:tcPr>
          <w:p w14:paraId="5F2ABF39">
            <w:pPr>
              <w:adjustRightInd w:val="0"/>
              <w:snapToGrid w:val="0"/>
              <w:jc w:val="center"/>
              <w:outlineLvl w:val="9"/>
              <w:rPr>
                <w:rFonts w:hint="eastAsia" w:ascii="仿宋" w:hAnsi="仿宋" w:eastAsia="仿宋" w:cs="仿宋"/>
                <w:b/>
                <w:bCs/>
                <w:sz w:val="20"/>
                <w:szCs w:val="20"/>
              </w:rPr>
            </w:pPr>
            <w:r>
              <w:rPr>
                <w:rFonts w:hint="eastAsia" w:ascii="Times New Roman" w:hAnsi="Times New Roman" w:eastAsia="仿宋_GB2312" w:cs="仿宋"/>
                <w:sz w:val="20"/>
                <w:szCs w:val="20"/>
              </w:rPr>
              <w:t>评价机构</w:t>
            </w:r>
          </w:p>
        </w:tc>
      </w:tr>
      <w:tr w14:paraId="5EA99D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3" w:hRule="atLeast"/>
          <w:jc w:val="center"/>
        </w:trPr>
        <w:tc>
          <w:tcPr>
            <w:tcW w:w="688" w:type="dxa"/>
            <w:vMerge w:val="continue"/>
            <w:shd w:val="clear" w:color="auto" w:fill="auto"/>
            <w:vAlign w:val="center"/>
          </w:tcPr>
          <w:p w14:paraId="1F0C9124">
            <w:pPr>
              <w:adjustRightInd w:val="0"/>
              <w:snapToGrid w:val="0"/>
              <w:ind w:firstLine="560" w:firstLineChars="200"/>
              <w:jc w:val="center"/>
              <w:outlineLvl w:val="9"/>
              <w:rPr>
                <w:rFonts w:hint="eastAsia" w:ascii="仿宋" w:hAnsi="仿宋" w:eastAsia="仿宋" w:cs="仿宋"/>
                <w:spacing w:val="40"/>
                <w:sz w:val="20"/>
                <w:szCs w:val="20"/>
              </w:rPr>
            </w:pPr>
          </w:p>
        </w:tc>
        <w:tc>
          <w:tcPr>
            <w:tcW w:w="534" w:type="dxa"/>
            <w:vMerge w:val="restart"/>
            <w:shd w:val="clear" w:color="auto" w:fill="auto"/>
            <w:vAlign w:val="center"/>
          </w:tcPr>
          <w:p w14:paraId="382B069C">
            <w:pPr>
              <w:adjustRightInd w:val="0"/>
              <w:snapToGrid w:val="0"/>
              <w:jc w:val="left"/>
              <w:outlineLvl w:val="9"/>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编写相关文本</w:t>
            </w:r>
          </w:p>
          <w:p w14:paraId="26ECA27B">
            <w:pPr>
              <w:adjustRightInd w:val="0"/>
              <w:snapToGrid w:val="0"/>
              <w:jc w:val="left"/>
              <w:outlineLvl w:val="9"/>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w:t>
            </w:r>
          </w:p>
          <w:p w14:paraId="126652AF">
            <w:pPr>
              <w:adjustRightInd w:val="0"/>
              <w:snapToGrid w:val="0"/>
              <w:jc w:val="left"/>
              <w:outlineLvl w:val="9"/>
              <w:rPr>
                <w:rFonts w:hint="eastAsia" w:ascii="仿宋" w:hAnsi="仿宋" w:eastAsia="仿宋" w:cs="仿宋"/>
                <w:sz w:val="20"/>
                <w:szCs w:val="20"/>
              </w:rPr>
            </w:pPr>
            <w:r>
              <w:rPr>
                <w:rFonts w:hint="eastAsia" w:ascii="Times New Roman" w:hAnsi="Times New Roman" w:eastAsia="仿宋_GB2312" w:cs="仿宋"/>
                <w:b/>
                <w:bCs/>
                <w:sz w:val="20"/>
                <w:szCs w:val="20"/>
              </w:rPr>
              <w:t>准备资料</w:t>
            </w:r>
          </w:p>
        </w:tc>
        <w:tc>
          <w:tcPr>
            <w:tcW w:w="4293" w:type="dxa"/>
            <w:shd w:val="clear" w:color="auto" w:fill="auto"/>
            <w:vAlign w:val="center"/>
          </w:tcPr>
          <w:p w14:paraId="36E30334">
            <w:pPr>
              <w:adjustRightInd w:val="0"/>
              <w:snapToGrid w:val="0"/>
              <w:jc w:val="left"/>
              <w:outlineLvl w:val="9"/>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首轮提交文本及资料：</w:t>
            </w:r>
          </w:p>
          <w:p w14:paraId="75E38DBF">
            <w:pPr>
              <w:adjustRightInd w:val="0"/>
              <w:snapToGrid w:val="0"/>
              <w:jc w:val="left"/>
              <w:outlineLvl w:val="9"/>
              <w:rPr>
                <w:rFonts w:hint="eastAsia" w:ascii="Times New Roman" w:hAnsi="Times New Roman" w:eastAsia="仿宋_GB2312" w:cs="仿宋"/>
                <w:sz w:val="20"/>
                <w:szCs w:val="20"/>
              </w:rPr>
            </w:pPr>
            <w:r>
              <w:rPr>
                <w:rFonts w:hint="eastAsia" w:ascii="Times New Roman" w:hAnsi="Times New Roman" w:eastAsia="仿宋_GB2312" w:cs="仿宋"/>
                <w:sz w:val="20"/>
                <w:szCs w:val="20"/>
              </w:rPr>
              <w:t>1.项目单位提交自评绩效报告；</w:t>
            </w:r>
          </w:p>
          <w:p w14:paraId="724F260D">
            <w:pPr>
              <w:adjustRightInd w:val="0"/>
              <w:snapToGrid w:val="0"/>
              <w:jc w:val="left"/>
              <w:outlineLvl w:val="9"/>
              <w:rPr>
                <w:rFonts w:hint="eastAsia" w:ascii="仿宋" w:hAnsi="仿宋" w:eastAsia="仿宋" w:cs="仿宋"/>
                <w:sz w:val="20"/>
                <w:szCs w:val="20"/>
              </w:rPr>
            </w:pPr>
            <w:r>
              <w:rPr>
                <w:rFonts w:hint="eastAsia" w:ascii="Times New Roman" w:hAnsi="Times New Roman" w:eastAsia="仿宋_GB2312" w:cs="仿宋"/>
                <w:sz w:val="20"/>
                <w:szCs w:val="20"/>
              </w:rPr>
              <w:t>2.项目单位按照资料清单要求准备相关资料，提交评价工作组。</w:t>
            </w:r>
          </w:p>
        </w:tc>
        <w:tc>
          <w:tcPr>
            <w:tcW w:w="1814" w:type="dxa"/>
            <w:shd w:val="clear" w:color="auto" w:fill="auto"/>
            <w:vAlign w:val="center"/>
          </w:tcPr>
          <w:p w14:paraId="61736CE0">
            <w:pPr>
              <w:adjustRightInd w:val="0"/>
              <w:snapToGrid w:val="0"/>
              <w:jc w:val="center"/>
              <w:outlineLvl w:val="9"/>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13</w:t>
            </w:r>
            <w:r>
              <w:rPr>
                <w:rFonts w:hint="eastAsia" w:ascii="Times New Roman" w:hAnsi="Times New Roman" w:eastAsia="仿宋_GB2312" w:cs="仿宋"/>
                <w:sz w:val="20"/>
                <w:szCs w:val="20"/>
              </w:rPr>
              <w:t>日</w:t>
            </w:r>
          </w:p>
        </w:tc>
        <w:tc>
          <w:tcPr>
            <w:tcW w:w="1175" w:type="dxa"/>
            <w:vMerge w:val="restart"/>
            <w:shd w:val="clear" w:color="auto" w:fill="auto"/>
            <w:vAlign w:val="center"/>
          </w:tcPr>
          <w:p w14:paraId="46AB5C0B">
            <w:pPr>
              <w:adjustRightInd w:val="0"/>
              <w:snapToGrid w:val="0"/>
              <w:jc w:val="center"/>
              <w:outlineLvl w:val="9"/>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14:paraId="13EDEA97">
            <w:pPr>
              <w:adjustRightInd w:val="0"/>
              <w:snapToGrid w:val="0"/>
              <w:jc w:val="center"/>
              <w:outlineLvl w:val="9"/>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14:paraId="353C7D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0" w:hRule="atLeast"/>
          <w:jc w:val="center"/>
        </w:trPr>
        <w:tc>
          <w:tcPr>
            <w:tcW w:w="688" w:type="dxa"/>
            <w:vMerge w:val="continue"/>
            <w:shd w:val="clear" w:color="auto" w:fill="auto"/>
            <w:vAlign w:val="center"/>
          </w:tcPr>
          <w:p w14:paraId="34D70A0E">
            <w:pPr>
              <w:adjustRightInd w:val="0"/>
              <w:snapToGrid w:val="0"/>
              <w:ind w:firstLine="560" w:firstLineChars="200"/>
              <w:jc w:val="center"/>
              <w:outlineLvl w:val="9"/>
              <w:rPr>
                <w:rFonts w:hint="eastAsia" w:ascii="仿宋" w:hAnsi="仿宋" w:eastAsia="仿宋" w:cs="仿宋"/>
                <w:spacing w:val="40"/>
                <w:sz w:val="20"/>
                <w:szCs w:val="20"/>
              </w:rPr>
            </w:pPr>
          </w:p>
        </w:tc>
        <w:tc>
          <w:tcPr>
            <w:tcW w:w="534" w:type="dxa"/>
            <w:vMerge w:val="continue"/>
            <w:shd w:val="clear" w:color="auto" w:fill="auto"/>
            <w:vAlign w:val="center"/>
          </w:tcPr>
          <w:p w14:paraId="01E1B039">
            <w:pPr>
              <w:adjustRightInd w:val="0"/>
              <w:snapToGrid w:val="0"/>
              <w:jc w:val="left"/>
              <w:outlineLvl w:val="9"/>
              <w:rPr>
                <w:rFonts w:hint="eastAsia" w:ascii="仿宋" w:hAnsi="仿宋" w:eastAsia="仿宋" w:cs="仿宋"/>
                <w:sz w:val="20"/>
                <w:szCs w:val="20"/>
              </w:rPr>
            </w:pPr>
          </w:p>
        </w:tc>
        <w:tc>
          <w:tcPr>
            <w:tcW w:w="4293" w:type="dxa"/>
            <w:tcBorders>
              <w:bottom w:val="single" w:color="auto" w:sz="4" w:space="0"/>
            </w:tcBorders>
            <w:shd w:val="clear" w:color="auto" w:fill="auto"/>
            <w:vAlign w:val="center"/>
          </w:tcPr>
          <w:p w14:paraId="5FE06FDC">
            <w:pPr>
              <w:adjustRightInd w:val="0"/>
              <w:snapToGrid w:val="0"/>
              <w:jc w:val="left"/>
              <w:outlineLvl w:val="9"/>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修改文本及补充资料：</w:t>
            </w:r>
          </w:p>
          <w:p w14:paraId="3C141AA5">
            <w:pPr>
              <w:adjustRightInd w:val="0"/>
              <w:snapToGrid w:val="0"/>
              <w:jc w:val="left"/>
              <w:outlineLvl w:val="9"/>
              <w:rPr>
                <w:rFonts w:hint="eastAsia" w:ascii="Times New Roman" w:hAnsi="Times New Roman" w:eastAsia="仿宋_GB2312" w:cs="仿宋"/>
                <w:sz w:val="20"/>
                <w:szCs w:val="20"/>
              </w:rPr>
            </w:pPr>
            <w:r>
              <w:rPr>
                <w:rFonts w:hint="eastAsia" w:ascii="Times New Roman" w:hAnsi="Times New Roman" w:eastAsia="仿宋_GB2312" w:cs="仿宋"/>
                <w:sz w:val="20"/>
                <w:szCs w:val="20"/>
              </w:rPr>
              <w:t>1.评价工作组提出绩效报告修改意见，并反馈项目单位进行修改；</w:t>
            </w:r>
          </w:p>
          <w:p w14:paraId="23386BE0">
            <w:pPr>
              <w:adjustRightInd w:val="0"/>
              <w:snapToGrid w:val="0"/>
              <w:jc w:val="left"/>
              <w:outlineLvl w:val="9"/>
              <w:rPr>
                <w:rFonts w:hint="eastAsia" w:ascii="仿宋" w:hAnsi="仿宋" w:eastAsia="仿宋" w:cs="仿宋"/>
                <w:sz w:val="20"/>
                <w:szCs w:val="20"/>
              </w:rPr>
            </w:pPr>
            <w:r>
              <w:rPr>
                <w:rFonts w:hint="eastAsia" w:ascii="Times New Roman" w:hAnsi="Times New Roman" w:eastAsia="仿宋_GB2312" w:cs="仿宋"/>
                <w:sz w:val="20"/>
                <w:szCs w:val="20"/>
              </w:rPr>
              <w:t>2.评价工作组对资料进行审核，提出补充修改意见。</w:t>
            </w:r>
          </w:p>
        </w:tc>
        <w:tc>
          <w:tcPr>
            <w:tcW w:w="1814" w:type="dxa"/>
            <w:tcBorders>
              <w:bottom w:val="single" w:color="auto" w:sz="4" w:space="0"/>
            </w:tcBorders>
            <w:shd w:val="clear" w:color="auto" w:fill="auto"/>
            <w:vAlign w:val="center"/>
          </w:tcPr>
          <w:p w14:paraId="16301409">
            <w:pPr>
              <w:adjustRightInd w:val="0"/>
              <w:snapToGrid w:val="0"/>
              <w:jc w:val="center"/>
              <w:outlineLvl w:val="9"/>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20</w:t>
            </w:r>
            <w:r>
              <w:rPr>
                <w:rFonts w:hint="eastAsia" w:ascii="Times New Roman" w:hAnsi="Times New Roman" w:eastAsia="仿宋_GB2312" w:cs="仿宋"/>
                <w:sz w:val="20"/>
                <w:szCs w:val="20"/>
              </w:rPr>
              <w:t>日</w:t>
            </w:r>
          </w:p>
        </w:tc>
        <w:tc>
          <w:tcPr>
            <w:tcW w:w="1175" w:type="dxa"/>
            <w:vMerge w:val="continue"/>
            <w:shd w:val="clear" w:color="auto" w:fill="auto"/>
            <w:vAlign w:val="center"/>
          </w:tcPr>
          <w:p w14:paraId="3DDB2ECB">
            <w:pPr>
              <w:adjustRightInd w:val="0"/>
              <w:snapToGrid w:val="0"/>
              <w:jc w:val="center"/>
              <w:outlineLvl w:val="9"/>
              <w:rPr>
                <w:rFonts w:hint="eastAsia" w:ascii="仿宋" w:hAnsi="仿宋" w:eastAsia="仿宋" w:cs="仿宋"/>
                <w:sz w:val="20"/>
                <w:szCs w:val="20"/>
              </w:rPr>
            </w:pPr>
          </w:p>
        </w:tc>
      </w:tr>
      <w:tr w14:paraId="6AA463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97" w:hRule="atLeast"/>
          <w:jc w:val="center"/>
        </w:trPr>
        <w:tc>
          <w:tcPr>
            <w:tcW w:w="688" w:type="dxa"/>
            <w:vMerge w:val="continue"/>
            <w:shd w:val="clear" w:color="auto" w:fill="auto"/>
            <w:vAlign w:val="center"/>
          </w:tcPr>
          <w:p w14:paraId="319ADEAA">
            <w:pPr>
              <w:adjustRightInd w:val="0"/>
              <w:snapToGrid w:val="0"/>
              <w:ind w:firstLine="560" w:firstLineChars="200"/>
              <w:jc w:val="center"/>
              <w:outlineLvl w:val="9"/>
              <w:rPr>
                <w:rFonts w:hint="eastAsia" w:ascii="仿宋" w:hAnsi="仿宋" w:eastAsia="仿宋" w:cs="仿宋"/>
                <w:spacing w:val="40"/>
                <w:sz w:val="20"/>
                <w:szCs w:val="20"/>
              </w:rPr>
            </w:pPr>
          </w:p>
        </w:tc>
        <w:tc>
          <w:tcPr>
            <w:tcW w:w="534" w:type="dxa"/>
            <w:vMerge w:val="continue"/>
            <w:shd w:val="clear" w:color="auto" w:fill="auto"/>
            <w:vAlign w:val="center"/>
          </w:tcPr>
          <w:p w14:paraId="77F83FC9">
            <w:pPr>
              <w:adjustRightInd w:val="0"/>
              <w:snapToGrid w:val="0"/>
              <w:spacing w:after="120"/>
              <w:jc w:val="left"/>
              <w:outlineLvl w:val="9"/>
              <w:rPr>
                <w:rFonts w:hint="eastAsia" w:ascii="仿宋" w:hAnsi="仿宋" w:eastAsia="仿宋" w:cs="仿宋"/>
                <w:b/>
                <w:bCs/>
                <w:sz w:val="20"/>
                <w:szCs w:val="20"/>
              </w:rPr>
            </w:pPr>
          </w:p>
        </w:tc>
        <w:tc>
          <w:tcPr>
            <w:tcW w:w="4293" w:type="dxa"/>
            <w:shd w:val="clear" w:color="auto" w:fill="auto"/>
            <w:vAlign w:val="center"/>
          </w:tcPr>
          <w:p w14:paraId="4678E081">
            <w:pPr>
              <w:adjustRightInd w:val="0"/>
              <w:snapToGrid w:val="0"/>
              <w:jc w:val="left"/>
              <w:outlineLvl w:val="9"/>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确定终版文本及资料：</w:t>
            </w:r>
          </w:p>
          <w:p w14:paraId="20837049">
            <w:pPr>
              <w:adjustRightInd w:val="0"/>
              <w:snapToGrid w:val="0"/>
              <w:jc w:val="left"/>
              <w:outlineLvl w:val="9"/>
              <w:rPr>
                <w:rFonts w:hint="eastAsia" w:ascii="Times New Roman" w:hAnsi="Times New Roman" w:eastAsia="仿宋_GB2312" w:cs="仿宋"/>
                <w:sz w:val="20"/>
                <w:szCs w:val="20"/>
              </w:rPr>
            </w:pPr>
            <w:r>
              <w:rPr>
                <w:rFonts w:hint="eastAsia" w:ascii="Times New Roman" w:hAnsi="Times New Roman" w:eastAsia="仿宋_GB2312" w:cs="仿宋"/>
                <w:sz w:val="20"/>
                <w:szCs w:val="20"/>
              </w:rPr>
              <w:t>1.评价工作组再次审核绩效报告，项目单位参照修改意见进行修改并定稿；</w:t>
            </w:r>
          </w:p>
          <w:p w14:paraId="4C094200">
            <w:pPr>
              <w:adjustRightInd w:val="0"/>
              <w:snapToGrid w:val="0"/>
              <w:jc w:val="left"/>
              <w:outlineLvl w:val="9"/>
              <w:rPr>
                <w:rFonts w:hint="eastAsia" w:ascii="仿宋" w:hAnsi="仿宋" w:eastAsia="仿宋" w:cs="仿宋"/>
                <w:b/>
                <w:bCs/>
                <w:sz w:val="20"/>
                <w:szCs w:val="20"/>
              </w:rPr>
            </w:pPr>
            <w:r>
              <w:rPr>
                <w:rFonts w:hint="eastAsia" w:ascii="Times New Roman" w:hAnsi="Times New Roman" w:eastAsia="仿宋_GB2312" w:cs="仿宋"/>
                <w:sz w:val="20"/>
                <w:szCs w:val="20"/>
              </w:rPr>
              <w:t>2.项目单位按照补充修改意见完善资料，并将终版资料提交评价工作组，并签署资料确认单。</w:t>
            </w:r>
          </w:p>
        </w:tc>
        <w:tc>
          <w:tcPr>
            <w:tcW w:w="1814" w:type="dxa"/>
            <w:shd w:val="clear" w:color="auto" w:fill="auto"/>
            <w:vAlign w:val="center"/>
          </w:tcPr>
          <w:p w14:paraId="192282C3">
            <w:pPr>
              <w:adjustRightInd w:val="0"/>
              <w:snapToGrid w:val="0"/>
              <w:jc w:val="center"/>
              <w:outlineLvl w:val="9"/>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22</w:t>
            </w:r>
            <w:r>
              <w:rPr>
                <w:rFonts w:hint="eastAsia" w:ascii="Times New Roman" w:hAnsi="Times New Roman" w:eastAsia="仿宋_GB2312" w:cs="仿宋"/>
                <w:sz w:val="20"/>
                <w:szCs w:val="20"/>
              </w:rPr>
              <w:t>日</w:t>
            </w:r>
          </w:p>
        </w:tc>
        <w:tc>
          <w:tcPr>
            <w:tcW w:w="1175" w:type="dxa"/>
            <w:vMerge w:val="continue"/>
            <w:shd w:val="clear" w:color="auto" w:fill="auto"/>
            <w:vAlign w:val="center"/>
          </w:tcPr>
          <w:p w14:paraId="5F9CB493">
            <w:pPr>
              <w:adjustRightInd w:val="0"/>
              <w:snapToGrid w:val="0"/>
              <w:jc w:val="center"/>
              <w:outlineLvl w:val="9"/>
              <w:rPr>
                <w:rFonts w:hint="eastAsia" w:ascii="仿宋" w:hAnsi="仿宋" w:eastAsia="仿宋" w:cs="仿宋"/>
                <w:sz w:val="20"/>
                <w:szCs w:val="20"/>
              </w:rPr>
            </w:pPr>
          </w:p>
        </w:tc>
      </w:tr>
      <w:tr w14:paraId="65D72E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8" w:hRule="atLeast"/>
          <w:jc w:val="center"/>
        </w:trPr>
        <w:tc>
          <w:tcPr>
            <w:tcW w:w="688" w:type="dxa"/>
            <w:vMerge w:val="continue"/>
            <w:shd w:val="clear" w:color="auto" w:fill="auto"/>
            <w:textDirection w:val="tbRlV"/>
            <w:vAlign w:val="center"/>
          </w:tcPr>
          <w:p w14:paraId="62BC18D2">
            <w:pPr>
              <w:adjustRightInd w:val="0"/>
              <w:snapToGrid w:val="0"/>
              <w:ind w:firstLine="560" w:firstLineChars="200"/>
              <w:jc w:val="center"/>
              <w:outlineLvl w:val="9"/>
              <w:rPr>
                <w:rFonts w:hint="eastAsia" w:ascii="仿宋" w:hAnsi="仿宋" w:eastAsia="仿宋" w:cs="仿宋"/>
                <w:spacing w:val="40"/>
                <w:sz w:val="20"/>
                <w:szCs w:val="20"/>
              </w:rPr>
            </w:pPr>
          </w:p>
        </w:tc>
        <w:tc>
          <w:tcPr>
            <w:tcW w:w="4827" w:type="dxa"/>
            <w:gridSpan w:val="2"/>
            <w:shd w:val="clear" w:color="auto" w:fill="auto"/>
            <w:vAlign w:val="center"/>
          </w:tcPr>
          <w:p w14:paraId="6697F59F">
            <w:pPr>
              <w:adjustRightInd w:val="0"/>
              <w:snapToGrid w:val="0"/>
              <w:jc w:val="left"/>
              <w:outlineLvl w:val="9"/>
              <w:rPr>
                <w:rFonts w:hint="eastAsia" w:ascii="仿宋" w:hAnsi="仿宋" w:eastAsia="仿宋" w:cs="仿宋"/>
                <w:b/>
                <w:bCs/>
                <w:sz w:val="20"/>
                <w:szCs w:val="20"/>
              </w:rPr>
            </w:pPr>
            <w:r>
              <w:rPr>
                <w:rFonts w:hint="eastAsia" w:ascii="Times New Roman" w:hAnsi="Times New Roman" w:eastAsia="仿宋_GB2312" w:cs="仿宋"/>
                <w:b/>
                <w:bCs/>
                <w:sz w:val="20"/>
                <w:szCs w:val="20"/>
              </w:rPr>
              <w:t>整理、分析资料：</w:t>
            </w:r>
            <w:r>
              <w:rPr>
                <w:rFonts w:hint="eastAsia" w:ascii="Times New Roman" w:hAnsi="Times New Roman" w:eastAsia="仿宋_GB2312" w:cs="仿宋"/>
                <w:sz w:val="20"/>
                <w:szCs w:val="20"/>
              </w:rPr>
              <w:t>评价工作组对所收集资料进行整理、对资金支出情况进行分析，就有关问题与项目单位核实。</w:t>
            </w:r>
          </w:p>
        </w:tc>
        <w:tc>
          <w:tcPr>
            <w:tcW w:w="1814" w:type="dxa"/>
            <w:shd w:val="clear" w:color="auto" w:fill="auto"/>
            <w:vAlign w:val="center"/>
          </w:tcPr>
          <w:p w14:paraId="4632D274">
            <w:pPr>
              <w:adjustRightInd w:val="0"/>
              <w:snapToGrid w:val="0"/>
              <w:jc w:val="center"/>
              <w:outlineLvl w:val="9"/>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04</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3</w:t>
            </w:r>
            <w:r>
              <w:rPr>
                <w:rFonts w:hint="eastAsia" w:ascii="Times New Roman" w:hAnsi="Times New Roman" w:eastAsia="仿宋_GB2312" w:cs="仿宋"/>
                <w:sz w:val="20"/>
                <w:szCs w:val="20"/>
              </w:rPr>
              <w:t>日</w:t>
            </w:r>
          </w:p>
        </w:tc>
        <w:tc>
          <w:tcPr>
            <w:tcW w:w="1175" w:type="dxa"/>
            <w:shd w:val="clear" w:color="auto" w:fill="auto"/>
            <w:vAlign w:val="center"/>
          </w:tcPr>
          <w:p w14:paraId="78360B81">
            <w:pPr>
              <w:adjustRightInd w:val="0"/>
              <w:snapToGrid w:val="0"/>
              <w:jc w:val="center"/>
              <w:outlineLvl w:val="9"/>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14:paraId="2045C288">
            <w:pPr>
              <w:adjustRightInd w:val="0"/>
              <w:snapToGrid w:val="0"/>
              <w:jc w:val="center"/>
              <w:outlineLvl w:val="9"/>
              <w:rPr>
                <w:rFonts w:hint="eastAsia" w:ascii="仿宋" w:hAnsi="仿宋" w:eastAsia="仿宋" w:cs="仿宋"/>
                <w:sz w:val="20"/>
                <w:szCs w:val="20"/>
              </w:rPr>
            </w:pPr>
            <w:r>
              <w:rPr>
                <w:rFonts w:hint="eastAsia" w:ascii="Times New Roman" w:hAnsi="Times New Roman" w:eastAsia="仿宋_GB2312" w:cs="仿宋"/>
                <w:sz w:val="20"/>
                <w:szCs w:val="20"/>
              </w:rPr>
              <w:t>项目单位</w:t>
            </w:r>
          </w:p>
        </w:tc>
      </w:tr>
      <w:tr w14:paraId="455374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10" w:hRule="atLeast"/>
          <w:jc w:val="center"/>
        </w:trPr>
        <w:tc>
          <w:tcPr>
            <w:tcW w:w="688" w:type="dxa"/>
            <w:vMerge w:val="continue"/>
            <w:shd w:val="clear" w:color="auto" w:fill="auto"/>
            <w:textDirection w:val="tbRlV"/>
            <w:vAlign w:val="center"/>
          </w:tcPr>
          <w:p w14:paraId="687C01B8">
            <w:pPr>
              <w:adjustRightInd w:val="0"/>
              <w:snapToGrid w:val="0"/>
              <w:ind w:left="113" w:leftChars="0" w:firstLine="560" w:firstLineChars="200"/>
              <w:jc w:val="center"/>
              <w:outlineLvl w:val="9"/>
              <w:rPr>
                <w:rFonts w:hint="eastAsia" w:ascii="仿宋" w:hAnsi="仿宋" w:eastAsia="仿宋" w:cs="仿宋"/>
                <w:spacing w:val="40"/>
                <w:sz w:val="20"/>
                <w:szCs w:val="20"/>
              </w:rPr>
            </w:pPr>
          </w:p>
        </w:tc>
        <w:tc>
          <w:tcPr>
            <w:tcW w:w="4827" w:type="dxa"/>
            <w:gridSpan w:val="2"/>
            <w:tcBorders>
              <w:bottom w:val="single" w:color="auto" w:sz="4" w:space="0"/>
            </w:tcBorders>
            <w:shd w:val="clear" w:color="auto" w:fill="auto"/>
            <w:vAlign w:val="center"/>
          </w:tcPr>
          <w:p w14:paraId="6FAE2536">
            <w:pPr>
              <w:adjustRightInd w:val="0"/>
              <w:snapToGrid w:val="0"/>
              <w:jc w:val="left"/>
              <w:outlineLvl w:val="9"/>
              <w:rPr>
                <w:rFonts w:hint="eastAsia" w:ascii="仿宋" w:hAnsi="仿宋" w:eastAsia="仿宋" w:cs="仿宋"/>
                <w:b/>
                <w:bCs/>
                <w:sz w:val="20"/>
                <w:szCs w:val="20"/>
              </w:rPr>
            </w:pPr>
            <w:r>
              <w:rPr>
                <w:rFonts w:hint="eastAsia" w:ascii="Times New Roman" w:hAnsi="Times New Roman" w:eastAsia="仿宋_GB2312" w:cs="仿宋"/>
                <w:b/>
                <w:bCs/>
                <w:sz w:val="20"/>
                <w:szCs w:val="20"/>
              </w:rPr>
              <w:t>成立评价工作小组：</w:t>
            </w:r>
            <w:r>
              <w:rPr>
                <w:rFonts w:hint="eastAsia" w:ascii="Times New Roman" w:hAnsi="Times New Roman" w:eastAsia="仿宋_GB2312" w:cs="仿宋"/>
                <w:sz w:val="20"/>
                <w:szCs w:val="20"/>
              </w:rPr>
              <w:t>遴选相关业务、财务、管理等组成评价工作小组，并对小组成员进行培训。</w:t>
            </w:r>
          </w:p>
        </w:tc>
        <w:tc>
          <w:tcPr>
            <w:tcW w:w="1814" w:type="dxa"/>
            <w:tcBorders>
              <w:bottom w:val="single" w:color="auto" w:sz="4" w:space="0"/>
            </w:tcBorders>
            <w:shd w:val="clear" w:color="auto" w:fill="auto"/>
            <w:vAlign w:val="center"/>
          </w:tcPr>
          <w:p w14:paraId="79E22DE6">
            <w:pPr>
              <w:adjustRightInd w:val="0"/>
              <w:snapToGrid w:val="0"/>
              <w:spacing w:before="120" w:after="120"/>
              <w:jc w:val="center"/>
              <w:outlineLvl w:val="9"/>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04</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4</w:t>
            </w:r>
            <w:r>
              <w:rPr>
                <w:rFonts w:hint="eastAsia" w:ascii="Times New Roman" w:hAnsi="Times New Roman" w:eastAsia="仿宋_GB2312" w:cs="仿宋"/>
                <w:sz w:val="20"/>
                <w:szCs w:val="20"/>
              </w:rPr>
              <w:t>日</w:t>
            </w:r>
          </w:p>
        </w:tc>
        <w:tc>
          <w:tcPr>
            <w:tcW w:w="1175" w:type="dxa"/>
            <w:tcBorders>
              <w:bottom w:val="single" w:color="auto" w:sz="4" w:space="0"/>
            </w:tcBorders>
            <w:shd w:val="clear" w:color="auto" w:fill="auto"/>
            <w:vAlign w:val="center"/>
          </w:tcPr>
          <w:p w14:paraId="18E1814F">
            <w:pPr>
              <w:adjustRightInd w:val="0"/>
              <w:snapToGrid w:val="0"/>
              <w:jc w:val="center"/>
              <w:outlineLvl w:val="9"/>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14:paraId="694ECC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4" w:hRule="atLeast"/>
          <w:jc w:val="center"/>
        </w:trPr>
        <w:tc>
          <w:tcPr>
            <w:tcW w:w="688" w:type="dxa"/>
            <w:vMerge w:val="restart"/>
            <w:shd w:val="clear" w:color="auto" w:fill="auto"/>
            <w:textDirection w:val="tbRlV"/>
            <w:vAlign w:val="center"/>
          </w:tcPr>
          <w:p w14:paraId="3D7DA61F">
            <w:pPr>
              <w:adjustRightInd w:val="0"/>
              <w:snapToGrid w:val="0"/>
              <w:ind w:firstLine="281" w:firstLineChars="100"/>
              <w:outlineLvl w:val="9"/>
              <w:rPr>
                <w:rFonts w:hint="eastAsia" w:ascii="仿宋" w:hAnsi="仿宋" w:eastAsia="仿宋" w:cs="仿宋"/>
                <w:spacing w:val="40"/>
                <w:sz w:val="20"/>
                <w:szCs w:val="20"/>
              </w:rPr>
            </w:pPr>
            <w:r>
              <w:rPr>
                <w:rFonts w:hint="eastAsia" w:ascii="Times New Roman" w:hAnsi="Times New Roman" w:eastAsia="仿宋_GB2312" w:cs="仿宋"/>
                <w:b/>
                <w:bCs/>
                <w:spacing w:val="40"/>
                <w:sz w:val="20"/>
                <w:szCs w:val="20"/>
              </w:rPr>
              <w:t>评价实施阶段</w:t>
            </w:r>
          </w:p>
        </w:tc>
        <w:tc>
          <w:tcPr>
            <w:tcW w:w="4827" w:type="dxa"/>
            <w:gridSpan w:val="2"/>
            <w:tcBorders>
              <w:bottom w:val="single" w:color="auto" w:sz="4" w:space="0"/>
            </w:tcBorders>
            <w:shd w:val="clear" w:color="auto" w:fill="auto"/>
            <w:vAlign w:val="center"/>
          </w:tcPr>
          <w:p w14:paraId="1674A760">
            <w:pPr>
              <w:adjustRightInd w:val="0"/>
              <w:snapToGrid w:val="0"/>
              <w:jc w:val="left"/>
              <w:outlineLvl w:val="9"/>
              <w:rPr>
                <w:rFonts w:hint="eastAsia" w:ascii="仿宋" w:hAnsi="仿宋" w:eastAsia="仿宋" w:cs="仿宋"/>
                <w:sz w:val="20"/>
                <w:szCs w:val="20"/>
              </w:rPr>
            </w:pPr>
            <w:r>
              <w:rPr>
                <w:rFonts w:hint="eastAsia" w:ascii="Times New Roman" w:hAnsi="Times New Roman" w:eastAsia="仿宋_GB2312" w:cs="仿宋"/>
                <w:b/>
                <w:bCs/>
                <w:sz w:val="20"/>
                <w:szCs w:val="20"/>
              </w:rPr>
              <w:t>现场调研：</w:t>
            </w:r>
            <w:r>
              <w:rPr>
                <w:rFonts w:hint="eastAsia" w:ascii="Times New Roman" w:hAnsi="Times New Roman" w:eastAsia="仿宋_GB2312" w:cs="仿宋"/>
                <w:sz w:val="20"/>
                <w:szCs w:val="20"/>
              </w:rPr>
              <w:t>根据项目情况，评价工作组对项目现场进行调研，核实项目完成情况及效益实现情况。</w:t>
            </w:r>
          </w:p>
        </w:tc>
        <w:tc>
          <w:tcPr>
            <w:tcW w:w="1814" w:type="dxa"/>
            <w:tcBorders>
              <w:bottom w:val="single" w:color="auto" w:sz="4" w:space="0"/>
            </w:tcBorders>
            <w:shd w:val="clear" w:color="auto" w:fill="auto"/>
            <w:vAlign w:val="center"/>
          </w:tcPr>
          <w:p w14:paraId="14930297">
            <w:pPr>
              <w:adjustRightInd w:val="0"/>
              <w:snapToGrid w:val="0"/>
              <w:spacing w:before="120" w:after="120"/>
              <w:jc w:val="center"/>
              <w:outlineLvl w:val="9"/>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05</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10</w:t>
            </w:r>
            <w:r>
              <w:rPr>
                <w:rFonts w:hint="eastAsia" w:ascii="Times New Roman" w:hAnsi="Times New Roman" w:eastAsia="仿宋_GB2312" w:cs="仿宋"/>
                <w:sz w:val="20"/>
                <w:szCs w:val="20"/>
              </w:rPr>
              <w:t>日</w:t>
            </w:r>
          </w:p>
        </w:tc>
        <w:tc>
          <w:tcPr>
            <w:tcW w:w="1175" w:type="dxa"/>
            <w:tcBorders>
              <w:bottom w:val="single" w:color="auto" w:sz="4" w:space="0"/>
            </w:tcBorders>
            <w:shd w:val="clear" w:color="auto" w:fill="auto"/>
            <w:vAlign w:val="center"/>
          </w:tcPr>
          <w:p w14:paraId="3C7E7AD6">
            <w:pPr>
              <w:adjustRightInd w:val="0"/>
              <w:snapToGrid w:val="0"/>
              <w:jc w:val="center"/>
              <w:outlineLvl w:val="9"/>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14:paraId="62AB141C">
            <w:pPr>
              <w:adjustRightInd w:val="0"/>
              <w:snapToGrid w:val="0"/>
              <w:jc w:val="center"/>
              <w:outlineLvl w:val="9"/>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14:paraId="0D1857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60" w:hRule="atLeast"/>
          <w:jc w:val="center"/>
        </w:trPr>
        <w:tc>
          <w:tcPr>
            <w:tcW w:w="688" w:type="dxa"/>
            <w:vMerge w:val="continue"/>
            <w:shd w:val="clear" w:color="auto" w:fill="auto"/>
            <w:textDirection w:val="tbRlV"/>
            <w:vAlign w:val="center"/>
          </w:tcPr>
          <w:p w14:paraId="3ABD61DF">
            <w:pPr>
              <w:adjustRightInd w:val="0"/>
              <w:snapToGrid w:val="0"/>
              <w:ind w:firstLine="400" w:firstLineChars="200"/>
              <w:jc w:val="center"/>
              <w:outlineLvl w:val="9"/>
              <w:rPr>
                <w:rFonts w:hint="eastAsia" w:ascii="仿宋" w:hAnsi="仿宋" w:eastAsia="仿宋" w:cs="仿宋"/>
                <w:sz w:val="20"/>
                <w:szCs w:val="20"/>
              </w:rPr>
            </w:pPr>
          </w:p>
        </w:tc>
        <w:tc>
          <w:tcPr>
            <w:tcW w:w="4827" w:type="dxa"/>
            <w:gridSpan w:val="2"/>
            <w:shd w:val="clear" w:color="auto" w:fill="auto"/>
            <w:vAlign w:val="center"/>
          </w:tcPr>
          <w:p w14:paraId="4CF62748">
            <w:pPr>
              <w:outlineLvl w:val="9"/>
              <w:rPr>
                <w:rFonts w:hint="eastAsia" w:ascii="仿宋" w:hAnsi="仿宋" w:eastAsia="仿宋" w:cs="仿宋"/>
                <w:b/>
                <w:bCs/>
                <w:sz w:val="20"/>
                <w:szCs w:val="20"/>
              </w:rPr>
            </w:pPr>
            <w:r>
              <w:rPr>
                <w:rFonts w:hint="eastAsia" w:ascii="Times New Roman" w:hAnsi="Times New Roman" w:eastAsia="仿宋_GB2312" w:cs="仿宋"/>
                <w:b/>
                <w:bCs/>
                <w:sz w:val="20"/>
                <w:szCs w:val="20"/>
              </w:rPr>
              <w:t>组织针对性培训：</w:t>
            </w:r>
            <w:r>
              <w:rPr>
                <w:rFonts w:hint="eastAsia" w:ascii="Times New Roman" w:hAnsi="Times New Roman" w:eastAsia="仿宋_GB2312" w:cs="仿宋"/>
                <w:sz w:val="20"/>
                <w:szCs w:val="20"/>
              </w:rPr>
              <w:t>评价工作组根据预算部门（单位）的不同需求，开展有针对性的培训工作。</w:t>
            </w:r>
          </w:p>
        </w:tc>
        <w:tc>
          <w:tcPr>
            <w:tcW w:w="1814" w:type="dxa"/>
            <w:shd w:val="clear" w:color="auto" w:fill="auto"/>
            <w:vAlign w:val="center"/>
          </w:tcPr>
          <w:p w14:paraId="2365DED4">
            <w:pPr>
              <w:adjustRightInd w:val="0"/>
              <w:snapToGrid w:val="0"/>
              <w:spacing w:before="120" w:after="120"/>
              <w:jc w:val="center"/>
              <w:outlineLvl w:val="9"/>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05</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12</w:t>
            </w:r>
            <w:r>
              <w:rPr>
                <w:rFonts w:hint="eastAsia" w:ascii="Times New Roman" w:hAnsi="Times New Roman" w:eastAsia="仿宋_GB2312" w:cs="仿宋"/>
                <w:sz w:val="20"/>
                <w:szCs w:val="20"/>
              </w:rPr>
              <w:t>日</w:t>
            </w:r>
          </w:p>
        </w:tc>
        <w:tc>
          <w:tcPr>
            <w:tcW w:w="1175" w:type="dxa"/>
            <w:shd w:val="clear" w:color="auto" w:fill="auto"/>
            <w:vAlign w:val="center"/>
          </w:tcPr>
          <w:p w14:paraId="41A85EA8">
            <w:pPr>
              <w:adjustRightInd w:val="0"/>
              <w:snapToGrid w:val="0"/>
              <w:jc w:val="center"/>
              <w:outlineLvl w:val="9"/>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14:paraId="26255F27">
            <w:pPr>
              <w:adjustRightInd w:val="0"/>
              <w:snapToGrid w:val="0"/>
              <w:jc w:val="center"/>
              <w:outlineLvl w:val="9"/>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r w14:paraId="3F9D12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688" w:type="dxa"/>
            <w:vMerge w:val="continue"/>
            <w:shd w:val="clear" w:color="auto" w:fill="auto"/>
            <w:textDirection w:val="tbRlV"/>
            <w:vAlign w:val="center"/>
          </w:tcPr>
          <w:p w14:paraId="7AF99DDE">
            <w:pPr>
              <w:adjustRightInd w:val="0"/>
              <w:snapToGrid w:val="0"/>
              <w:ind w:firstLine="400" w:firstLineChars="200"/>
              <w:jc w:val="center"/>
              <w:outlineLvl w:val="9"/>
              <w:rPr>
                <w:rFonts w:hint="eastAsia" w:ascii="仿宋" w:hAnsi="仿宋" w:eastAsia="仿宋" w:cs="仿宋"/>
                <w:sz w:val="20"/>
                <w:szCs w:val="20"/>
              </w:rPr>
            </w:pPr>
          </w:p>
        </w:tc>
        <w:tc>
          <w:tcPr>
            <w:tcW w:w="4827" w:type="dxa"/>
            <w:gridSpan w:val="2"/>
            <w:shd w:val="clear" w:color="auto" w:fill="auto"/>
            <w:vAlign w:val="center"/>
          </w:tcPr>
          <w:p w14:paraId="4D02C902">
            <w:pPr>
              <w:adjustRightInd w:val="0"/>
              <w:snapToGrid w:val="0"/>
              <w:jc w:val="left"/>
              <w:outlineLvl w:val="9"/>
              <w:rPr>
                <w:rFonts w:hint="eastAsia" w:ascii="仿宋" w:hAnsi="仿宋" w:eastAsia="仿宋" w:cs="仿宋"/>
                <w:b/>
                <w:bCs/>
                <w:sz w:val="20"/>
                <w:szCs w:val="20"/>
              </w:rPr>
            </w:pPr>
            <w:r>
              <w:rPr>
                <w:rFonts w:hint="eastAsia" w:ascii="Times New Roman" w:hAnsi="Times New Roman" w:eastAsia="仿宋_GB2312" w:cs="仿宋"/>
                <w:b/>
                <w:bCs/>
                <w:sz w:val="20"/>
                <w:szCs w:val="20"/>
              </w:rPr>
              <w:t>现场评价会：</w:t>
            </w:r>
            <w:r>
              <w:rPr>
                <w:rFonts w:hint="eastAsia" w:ascii="Times New Roman" w:hAnsi="Times New Roman" w:eastAsia="仿宋_GB2312" w:cs="仿宋"/>
                <w:sz w:val="20"/>
                <w:szCs w:val="20"/>
              </w:rPr>
              <w:t>召开现场评价会议，核实项目执行情况，出具评价意见。</w:t>
            </w:r>
          </w:p>
        </w:tc>
        <w:tc>
          <w:tcPr>
            <w:tcW w:w="1814" w:type="dxa"/>
            <w:shd w:val="clear" w:color="auto" w:fill="auto"/>
            <w:vAlign w:val="center"/>
          </w:tcPr>
          <w:p w14:paraId="13877F8B">
            <w:pPr>
              <w:adjustRightInd w:val="0"/>
              <w:snapToGrid w:val="0"/>
              <w:spacing w:before="120" w:after="120"/>
              <w:jc w:val="center"/>
              <w:outlineLvl w:val="9"/>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13</w:t>
            </w:r>
            <w:r>
              <w:rPr>
                <w:rFonts w:hint="eastAsia" w:ascii="Times New Roman" w:hAnsi="Times New Roman" w:eastAsia="仿宋_GB2312" w:cs="仿宋"/>
                <w:sz w:val="20"/>
                <w:szCs w:val="20"/>
              </w:rPr>
              <w:t>日</w:t>
            </w:r>
          </w:p>
        </w:tc>
        <w:tc>
          <w:tcPr>
            <w:tcW w:w="1175" w:type="dxa"/>
            <w:shd w:val="clear" w:color="auto" w:fill="auto"/>
            <w:vAlign w:val="center"/>
          </w:tcPr>
          <w:p w14:paraId="663EA383">
            <w:pPr>
              <w:adjustRightInd w:val="0"/>
              <w:snapToGrid w:val="0"/>
              <w:jc w:val="center"/>
              <w:outlineLvl w:val="9"/>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14:paraId="783E60F6">
            <w:pPr>
              <w:adjustRightInd w:val="0"/>
              <w:snapToGrid w:val="0"/>
              <w:jc w:val="center"/>
              <w:outlineLvl w:val="9"/>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14:paraId="5DE89E62">
            <w:pPr>
              <w:adjustRightInd w:val="0"/>
              <w:snapToGrid w:val="0"/>
              <w:jc w:val="center"/>
              <w:outlineLvl w:val="9"/>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r w14:paraId="42CD08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8" w:hRule="atLeast"/>
          <w:jc w:val="center"/>
        </w:trPr>
        <w:tc>
          <w:tcPr>
            <w:tcW w:w="688" w:type="dxa"/>
            <w:vMerge w:val="restart"/>
            <w:shd w:val="clear" w:color="auto" w:fill="auto"/>
            <w:textDirection w:val="tbRlV"/>
            <w:vAlign w:val="center"/>
          </w:tcPr>
          <w:p w14:paraId="5648B49D">
            <w:pPr>
              <w:adjustRightInd w:val="0"/>
              <w:snapToGrid w:val="0"/>
              <w:ind w:firstLine="120" w:firstLineChars="50"/>
              <w:outlineLvl w:val="9"/>
              <w:rPr>
                <w:rFonts w:hint="eastAsia" w:ascii="仿宋" w:hAnsi="仿宋" w:eastAsia="仿宋" w:cs="仿宋"/>
                <w:spacing w:val="20"/>
                <w:sz w:val="20"/>
                <w:szCs w:val="20"/>
              </w:rPr>
            </w:pPr>
            <w:r>
              <w:rPr>
                <w:rFonts w:hint="eastAsia" w:ascii="Times New Roman" w:hAnsi="Times New Roman" w:eastAsia="仿宋_GB2312" w:cs="仿宋"/>
                <w:b/>
                <w:bCs/>
                <w:spacing w:val="20"/>
                <w:sz w:val="20"/>
                <w:szCs w:val="20"/>
              </w:rPr>
              <w:t>形成报告阶段</w:t>
            </w:r>
          </w:p>
        </w:tc>
        <w:tc>
          <w:tcPr>
            <w:tcW w:w="4827" w:type="dxa"/>
            <w:gridSpan w:val="2"/>
            <w:shd w:val="clear" w:color="auto" w:fill="auto"/>
            <w:vAlign w:val="center"/>
          </w:tcPr>
          <w:p w14:paraId="7DB9A8F7">
            <w:pPr>
              <w:adjustRightInd w:val="0"/>
              <w:snapToGrid w:val="0"/>
              <w:jc w:val="left"/>
              <w:outlineLvl w:val="9"/>
              <w:rPr>
                <w:rFonts w:hint="eastAsia" w:ascii="仿宋" w:hAnsi="仿宋" w:eastAsia="仿宋" w:cs="仿宋"/>
                <w:sz w:val="20"/>
                <w:szCs w:val="20"/>
              </w:rPr>
            </w:pPr>
            <w:r>
              <w:rPr>
                <w:rFonts w:hint="eastAsia" w:ascii="Times New Roman" w:hAnsi="Times New Roman" w:eastAsia="仿宋_GB2312" w:cs="仿宋"/>
                <w:b/>
                <w:bCs/>
                <w:sz w:val="20"/>
                <w:szCs w:val="20"/>
              </w:rPr>
              <w:t>撰写报告：</w:t>
            </w:r>
            <w:r>
              <w:rPr>
                <w:rFonts w:hint="eastAsia" w:ascii="Times New Roman" w:hAnsi="Times New Roman" w:eastAsia="仿宋_GB2312" w:cs="仿宋"/>
                <w:sz w:val="20"/>
                <w:szCs w:val="20"/>
              </w:rPr>
              <w:t>评价工作组撰写项目绩效评价报告。</w:t>
            </w:r>
          </w:p>
        </w:tc>
        <w:tc>
          <w:tcPr>
            <w:tcW w:w="1814" w:type="dxa"/>
            <w:shd w:val="clear" w:color="auto" w:fill="auto"/>
            <w:vAlign w:val="center"/>
          </w:tcPr>
          <w:p w14:paraId="35116536">
            <w:pPr>
              <w:adjustRightInd w:val="0"/>
              <w:snapToGrid w:val="0"/>
              <w:jc w:val="center"/>
              <w:outlineLvl w:val="9"/>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16</w:t>
            </w:r>
            <w:r>
              <w:rPr>
                <w:rFonts w:hint="eastAsia" w:ascii="Times New Roman" w:hAnsi="Times New Roman" w:eastAsia="仿宋_GB2312" w:cs="仿宋"/>
                <w:sz w:val="20"/>
                <w:szCs w:val="20"/>
              </w:rPr>
              <w:t>日</w:t>
            </w:r>
          </w:p>
        </w:tc>
        <w:tc>
          <w:tcPr>
            <w:tcW w:w="1175" w:type="dxa"/>
            <w:shd w:val="clear" w:color="auto" w:fill="auto"/>
            <w:vAlign w:val="center"/>
          </w:tcPr>
          <w:p w14:paraId="2AE3E9B5">
            <w:pPr>
              <w:adjustRightInd w:val="0"/>
              <w:snapToGrid w:val="0"/>
              <w:jc w:val="center"/>
              <w:outlineLvl w:val="9"/>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14:paraId="197ABC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0" w:hRule="atLeast"/>
          <w:jc w:val="center"/>
        </w:trPr>
        <w:tc>
          <w:tcPr>
            <w:tcW w:w="688" w:type="dxa"/>
            <w:vMerge w:val="continue"/>
            <w:shd w:val="clear" w:color="auto" w:fill="auto"/>
            <w:vAlign w:val="center"/>
          </w:tcPr>
          <w:p w14:paraId="579915F9">
            <w:pPr>
              <w:adjustRightInd w:val="0"/>
              <w:snapToGrid w:val="0"/>
              <w:ind w:firstLine="400" w:firstLineChars="200"/>
              <w:jc w:val="center"/>
              <w:outlineLvl w:val="9"/>
              <w:rPr>
                <w:rFonts w:hint="eastAsia" w:ascii="仿宋" w:hAnsi="仿宋" w:eastAsia="仿宋" w:cs="仿宋"/>
                <w:sz w:val="20"/>
                <w:szCs w:val="20"/>
              </w:rPr>
            </w:pPr>
          </w:p>
        </w:tc>
        <w:tc>
          <w:tcPr>
            <w:tcW w:w="4827" w:type="dxa"/>
            <w:gridSpan w:val="2"/>
            <w:tcBorders>
              <w:bottom w:val="single" w:color="auto" w:sz="4" w:space="0"/>
            </w:tcBorders>
            <w:shd w:val="clear" w:color="auto" w:fill="auto"/>
            <w:vAlign w:val="center"/>
          </w:tcPr>
          <w:p w14:paraId="4FF69025">
            <w:pPr>
              <w:adjustRightInd w:val="0"/>
              <w:snapToGrid w:val="0"/>
              <w:jc w:val="left"/>
              <w:outlineLvl w:val="9"/>
              <w:rPr>
                <w:rFonts w:hint="eastAsia" w:ascii="仿宋" w:hAnsi="仿宋" w:eastAsia="仿宋" w:cs="仿宋"/>
                <w:sz w:val="20"/>
                <w:szCs w:val="20"/>
              </w:rPr>
            </w:pPr>
            <w:r>
              <w:rPr>
                <w:rFonts w:hint="eastAsia" w:ascii="Times New Roman" w:hAnsi="Times New Roman" w:eastAsia="仿宋_GB2312" w:cs="仿宋"/>
                <w:b/>
                <w:bCs/>
                <w:sz w:val="20"/>
                <w:szCs w:val="20"/>
              </w:rPr>
              <w:t>报告征求意见：</w:t>
            </w:r>
            <w:r>
              <w:rPr>
                <w:rFonts w:hint="eastAsia" w:ascii="Times New Roman" w:hAnsi="Times New Roman" w:eastAsia="仿宋_GB2312" w:cs="仿宋"/>
                <w:sz w:val="20"/>
                <w:szCs w:val="20"/>
              </w:rPr>
              <w:t>评价报告经评价机构三级审核后，送交委托方及项目单位征求意见。</w:t>
            </w:r>
          </w:p>
        </w:tc>
        <w:tc>
          <w:tcPr>
            <w:tcW w:w="1814" w:type="dxa"/>
            <w:tcBorders>
              <w:bottom w:val="single" w:color="auto" w:sz="4" w:space="0"/>
            </w:tcBorders>
            <w:shd w:val="clear" w:color="auto" w:fill="auto"/>
            <w:vAlign w:val="center"/>
          </w:tcPr>
          <w:p w14:paraId="5EDE3E93">
            <w:pPr>
              <w:adjustRightInd w:val="0"/>
              <w:snapToGrid w:val="0"/>
              <w:jc w:val="center"/>
              <w:outlineLvl w:val="9"/>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23</w:t>
            </w:r>
            <w:r>
              <w:rPr>
                <w:rFonts w:hint="eastAsia" w:ascii="Times New Roman" w:hAnsi="Times New Roman" w:eastAsia="仿宋_GB2312" w:cs="仿宋"/>
                <w:sz w:val="20"/>
                <w:szCs w:val="20"/>
              </w:rPr>
              <w:t>日</w:t>
            </w:r>
          </w:p>
        </w:tc>
        <w:tc>
          <w:tcPr>
            <w:tcW w:w="1175" w:type="dxa"/>
            <w:shd w:val="clear" w:color="auto" w:fill="auto"/>
            <w:vAlign w:val="center"/>
          </w:tcPr>
          <w:p w14:paraId="11215732">
            <w:pPr>
              <w:adjustRightInd w:val="0"/>
              <w:snapToGrid w:val="0"/>
              <w:jc w:val="center"/>
              <w:outlineLvl w:val="9"/>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14:paraId="47445DE1">
            <w:pPr>
              <w:adjustRightInd w:val="0"/>
              <w:snapToGrid w:val="0"/>
              <w:jc w:val="center"/>
              <w:outlineLvl w:val="9"/>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14:paraId="72FBF150">
            <w:pPr>
              <w:adjustRightInd w:val="0"/>
              <w:snapToGrid w:val="0"/>
              <w:jc w:val="center"/>
              <w:outlineLvl w:val="9"/>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r w14:paraId="37FCB0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38" w:hRule="atLeast"/>
          <w:jc w:val="center"/>
        </w:trPr>
        <w:tc>
          <w:tcPr>
            <w:tcW w:w="688" w:type="dxa"/>
            <w:vMerge w:val="continue"/>
            <w:shd w:val="clear" w:color="auto" w:fill="auto"/>
            <w:vAlign w:val="center"/>
          </w:tcPr>
          <w:p w14:paraId="7C869FB4">
            <w:pPr>
              <w:adjustRightInd w:val="0"/>
              <w:snapToGrid w:val="0"/>
              <w:ind w:firstLine="400" w:firstLineChars="200"/>
              <w:jc w:val="center"/>
              <w:outlineLvl w:val="9"/>
              <w:rPr>
                <w:rFonts w:hint="eastAsia" w:ascii="仿宋" w:hAnsi="仿宋" w:eastAsia="仿宋" w:cs="仿宋"/>
                <w:sz w:val="20"/>
                <w:szCs w:val="20"/>
              </w:rPr>
            </w:pPr>
          </w:p>
        </w:tc>
        <w:tc>
          <w:tcPr>
            <w:tcW w:w="4827" w:type="dxa"/>
            <w:gridSpan w:val="2"/>
            <w:shd w:val="clear" w:color="auto" w:fill="auto"/>
            <w:vAlign w:val="center"/>
          </w:tcPr>
          <w:p w14:paraId="0269F0F3">
            <w:pPr>
              <w:adjustRightInd w:val="0"/>
              <w:snapToGrid w:val="0"/>
              <w:jc w:val="left"/>
              <w:outlineLvl w:val="9"/>
              <w:rPr>
                <w:rFonts w:hint="eastAsia" w:ascii="仿宋" w:hAnsi="仿宋" w:eastAsia="仿宋" w:cs="仿宋"/>
                <w:sz w:val="20"/>
                <w:szCs w:val="20"/>
              </w:rPr>
            </w:pPr>
            <w:r>
              <w:rPr>
                <w:rFonts w:hint="eastAsia" w:ascii="Times New Roman" w:hAnsi="Times New Roman" w:eastAsia="仿宋_GB2312" w:cs="仿宋"/>
                <w:b/>
                <w:bCs/>
                <w:sz w:val="20"/>
                <w:szCs w:val="20"/>
              </w:rPr>
              <w:t>报送报告：</w:t>
            </w:r>
            <w:r>
              <w:rPr>
                <w:rFonts w:hint="eastAsia" w:ascii="Times New Roman" w:hAnsi="Times New Roman" w:eastAsia="仿宋_GB2312" w:cs="仿宋"/>
                <w:sz w:val="20"/>
                <w:szCs w:val="20"/>
              </w:rPr>
              <w:t>根据委托方意见修改报告，在规定时间内正式向委托方报送绩效评价报告。</w:t>
            </w:r>
          </w:p>
        </w:tc>
        <w:tc>
          <w:tcPr>
            <w:tcW w:w="1814" w:type="dxa"/>
            <w:shd w:val="clear" w:color="auto" w:fill="auto"/>
            <w:vAlign w:val="center"/>
          </w:tcPr>
          <w:p w14:paraId="37F66796">
            <w:pPr>
              <w:adjustRightInd w:val="0"/>
              <w:snapToGrid w:val="0"/>
              <w:spacing w:after="120"/>
              <w:jc w:val="center"/>
              <w:outlineLvl w:val="9"/>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highlight w:val="none"/>
                <w:lang w:val="en-US" w:eastAsia="zh-CN"/>
              </w:rPr>
              <w:t>30</w:t>
            </w:r>
            <w:r>
              <w:rPr>
                <w:rFonts w:hint="eastAsia" w:ascii="Times New Roman" w:hAnsi="Times New Roman" w:eastAsia="仿宋_GB2312" w:cs="仿宋"/>
                <w:sz w:val="20"/>
                <w:szCs w:val="20"/>
              </w:rPr>
              <w:t>日</w:t>
            </w:r>
          </w:p>
        </w:tc>
        <w:tc>
          <w:tcPr>
            <w:tcW w:w="1175" w:type="dxa"/>
            <w:shd w:val="clear" w:color="auto" w:fill="auto"/>
            <w:vAlign w:val="center"/>
          </w:tcPr>
          <w:p w14:paraId="24C3F123">
            <w:pPr>
              <w:adjustRightInd w:val="0"/>
              <w:snapToGrid w:val="0"/>
              <w:jc w:val="center"/>
              <w:outlineLvl w:val="9"/>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14:paraId="59189940">
            <w:pPr>
              <w:adjustRightInd w:val="0"/>
              <w:snapToGrid w:val="0"/>
              <w:jc w:val="center"/>
              <w:outlineLvl w:val="9"/>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14:paraId="0BA474A8">
            <w:pPr>
              <w:adjustRightInd w:val="0"/>
              <w:snapToGrid w:val="0"/>
              <w:jc w:val="center"/>
              <w:outlineLvl w:val="9"/>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bl>
    <w:p w14:paraId="20C39F2F">
      <w:pPr>
        <w:pStyle w:val="33"/>
        <w:tabs>
          <w:tab w:val="left" w:pos="1559"/>
        </w:tabs>
        <w:adjustRightInd w:val="0"/>
        <w:snapToGrid w:val="0"/>
        <w:spacing w:line="560" w:lineRule="exact"/>
        <w:ind w:left="0" w:leftChars="0" w:firstLine="640" w:firstLineChars="200"/>
        <w:outlineLvl w:val="9"/>
        <w:rPr>
          <w:rFonts w:ascii="楷体" w:hAnsi="楷体" w:eastAsia="楷体" w:cs="楷体"/>
          <w:bCs/>
          <w:sz w:val="32"/>
          <w:szCs w:val="32"/>
        </w:rPr>
      </w:pPr>
      <w:r>
        <w:rPr>
          <w:rFonts w:hint="eastAsia" w:ascii="楷体" w:hAnsi="楷体" w:eastAsia="楷体" w:cs="楷体"/>
          <w:bCs/>
          <w:sz w:val="32"/>
          <w:szCs w:val="32"/>
        </w:rPr>
        <w:t>2.实地调研概况</w:t>
      </w:r>
      <w:bookmarkEnd w:id="63"/>
      <w:bookmarkEnd w:id="64"/>
    </w:p>
    <w:p w14:paraId="2C95CF04">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走访调查：采取现场走访调查的形式，了解项目实际情况。到项目实施单位及实施现场，深入实地进行调研和分析，严格按照项目实施方案进行管理，了解前期工作及项目实施情况。</w:t>
      </w:r>
    </w:p>
    <w:p w14:paraId="468283D8">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研读文件：通过检查实施单位自评（总结）报告、研读相关制度文件等，了解在项目实施过程中，作为项目主管单位，是否对项目实施进行协调监督管理，是否制定相关、有效的监督管理制度，是否监督落实项目建设质量情况。</w:t>
      </w:r>
    </w:p>
    <w:p w14:paraId="3CF7AF34">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审阅项目财务收支情况：审阅该项目实施单位记录资金收支的凭证、后附单据及相关文件，审阅该项目的相关规定，审核资金收支是否合规等。</w:t>
      </w:r>
    </w:p>
    <w:p w14:paraId="3897CBF8">
      <w:pPr>
        <w:adjustRightInd w:val="0"/>
        <w:snapToGrid w:val="0"/>
        <w:spacing w:line="560" w:lineRule="exact"/>
        <w:ind w:firstLine="640" w:firstLineChars="200"/>
        <w:jc w:val="left"/>
        <w:outlineLvl w:val="0"/>
        <w:rPr>
          <w:rFonts w:ascii="黑体" w:hAnsi="黑体" w:eastAsia="黑体" w:cs="宋体"/>
          <w:sz w:val="32"/>
          <w:szCs w:val="32"/>
        </w:rPr>
      </w:pPr>
      <w:bookmarkStart w:id="65" w:name="_Toc27359"/>
      <w:r>
        <w:rPr>
          <w:rFonts w:hint="eastAsia" w:ascii="黑体" w:hAnsi="黑体" w:eastAsia="黑体" w:cs="宋体"/>
          <w:sz w:val="32"/>
          <w:szCs w:val="32"/>
        </w:rPr>
        <w:t>三、绩效评价分析</w:t>
      </w:r>
      <w:bookmarkEnd w:id="65"/>
    </w:p>
    <w:p w14:paraId="435350FF">
      <w:pPr>
        <w:pStyle w:val="33"/>
        <w:numPr>
          <w:ilvl w:val="0"/>
          <w:numId w:val="4"/>
        </w:numPr>
        <w:adjustRightInd w:val="0"/>
        <w:snapToGrid w:val="0"/>
        <w:spacing w:line="560" w:lineRule="exact"/>
        <w:ind w:left="0"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绩效评价分析</w:t>
      </w:r>
    </w:p>
    <w:p w14:paraId="63CECE49">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66" w:name="_Toc5787"/>
      <w:r>
        <w:rPr>
          <w:rFonts w:hint="eastAsia" w:ascii="仿宋_GB2312" w:hAnsi="仿宋" w:eastAsia="仿宋_GB2312" w:cs="宋体"/>
          <w:b/>
          <w:bCs/>
          <w:sz w:val="32"/>
          <w:szCs w:val="32"/>
          <w:highlight w:val="none"/>
        </w:rPr>
        <w:t>（一）项目决策分析</w:t>
      </w:r>
      <w:bookmarkEnd w:id="66"/>
    </w:p>
    <w:p w14:paraId="223B9EB2">
      <w:pPr>
        <w:pStyle w:val="33"/>
        <w:tabs>
          <w:tab w:val="left" w:pos="1559"/>
        </w:tabs>
        <w:adjustRightInd w:val="0"/>
        <w:snapToGrid w:val="0"/>
        <w:spacing w:line="560" w:lineRule="exact"/>
        <w:ind w:firstLine="640"/>
        <w:outlineLvl w:val="9"/>
        <w:rPr>
          <w:rFonts w:hint="eastAsia" w:ascii="楷体" w:hAnsi="楷体" w:eastAsia="楷体" w:cs="楷体"/>
          <w:bCs/>
          <w:sz w:val="32"/>
          <w:szCs w:val="32"/>
          <w:highlight w:val="none"/>
          <w:lang w:val="en-US" w:eastAsia="zh-CN"/>
        </w:rPr>
      </w:pPr>
      <w:bookmarkStart w:id="67" w:name="_Toc27861"/>
      <w:r>
        <w:rPr>
          <w:rFonts w:hint="eastAsia" w:ascii="楷体" w:hAnsi="楷体" w:eastAsia="楷体" w:cs="楷体"/>
          <w:bCs/>
          <w:sz w:val="32"/>
          <w:szCs w:val="32"/>
          <w:highlight w:val="none"/>
        </w:rPr>
        <w:t>1.</w:t>
      </w:r>
      <w:r>
        <w:rPr>
          <w:rFonts w:hint="eastAsia" w:ascii="楷体" w:hAnsi="楷体" w:eastAsia="楷体" w:cs="楷体"/>
          <w:bCs/>
          <w:sz w:val="32"/>
          <w:szCs w:val="32"/>
          <w:highlight w:val="none"/>
          <w:lang w:val="en-US" w:eastAsia="zh-CN"/>
        </w:rPr>
        <w:t xml:space="preserve">项目立项情况  </w:t>
      </w:r>
    </w:p>
    <w:p w14:paraId="571F2088">
      <w:pPr>
        <w:adjustRightInd w:val="0"/>
        <w:snapToGrid w:val="0"/>
        <w:spacing w:line="560" w:lineRule="exact"/>
        <w:ind w:firstLine="640" w:firstLineChars="200"/>
        <w:outlineLvl w:val="9"/>
        <w:rPr>
          <w:rFonts w:hint="eastAsia" w:ascii="仿宋_GB2312" w:hAnsi="仿宋_GB2312" w:eastAsia="仿宋_GB2312" w:cs="仿宋_GB2312"/>
          <w:sz w:val="32"/>
          <w:szCs w:val="32"/>
          <w:highlight w:val="yellow"/>
          <w:lang w:val="en-US" w:eastAsia="zh-CN"/>
        </w:rPr>
      </w:pP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1</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立项依据的充分性</w:t>
      </w:r>
    </w:p>
    <w:p w14:paraId="4916D9D6">
      <w:pPr>
        <w:pStyle w:val="41"/>
        <w:keepNext w:val="0"/>
        <w:keepLines w:val="0"/>
        <w:pageBreakBefore w:val="0"/>
        <w:widowControl w:val="0"/>
        <w:kinsoku/>
        <w:wordWrap/>
        <w:overflowPunct/>
        <w:topLinePunct w:val="0"/>
        <w:autoSpaceDE/>
        <w:autoSpaceDN/>
        <w:bidi w:val="0"/>
        <w:adjustRightInd/>
        <w:snapToGrid/>
        <w:spacing w:line="560" w:lineRule="exact"/>
        <w:ind w:left="0" w:firstLine="560"/>
        <w:textAlignment w:val="auto"/>
        <w:outlineLvl w:val="9"/>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该项目符合</w:t>
      </w:r>
      <w:r>
        <w:rPr>
          <w:rStyle w:val="22"/>
          <w:rFonts w:hint="eastAsia" w:ascii="仿宋_GB2312" w:hAnsi="仿宋_GB2312" w:eastAsia="仿宋_GB2312" w:cs="仿宋_GB2312"/>
          <w:b w:val="0"/>
          <w:bCs w:val="0"/>
          <w:color w:val="auto"/>
          <w:spacing w:val="-4"/>
          <w:sz w:val="32"/>
          <w:szCs w:val="32"/>
          <w:highlight w:val="none"/>
          <w:lang w:val="en-US" w:eastAsia="zh-CN"/>
        </w:rPr>
        <w:t>《关于2021年度中央专项彩票公益金支持残疾人事业发展补助资金（第二批）的通知》（洛财社〔2021〕63号）、《关于2021年度中央专项彩票公益金支持残疾人事业发展补助资金（第二批）的通知》（和地财社〔2020〕48号）文件</w:t>
      </w:r>
      <w:r>
        <w:rPr>
          <w:rFonts w:hint="eastAsia" w:ascii="仿宋_GB2312" w:hAnsi="仿宋" w:eastAsia="仿宋_GB2312" w:cs="宋体"/>
          <w:color w:val="auto"/>
          <w:kern w:val="2"/>
          <w:sz w:val="32"/>
          <w:szCs w:val="32"/>
          <w:highlight w:val="none"/>
          <w:lang w:val="en-US" w:eastAsia="zh-CN" w:bidi="ar"/>
        </w:rPr>
        <w:t>等相关政策文件与规定</w:t>
      </w:r>
      <w:r>
        <w:rPr>
          <w:rFonts w:hint="eastAsia" w:ascii="仿宋_GB2312" w:hAnsi="仿宋_GB2312" w:eastAsia="仿宋_GB2312" w:cs="仿宋_GB2312"/>
          <w:kern w:val="2"/>
          <w:sz w:val="32"/>
          <w:szCs w:val="32"/>
          <w:highlight w:val="none"/>
          <w:lang w:val="en-US" w:eastAsia="zh-CN" w:bidi="ar-SA"/>
        </w:rPr>
        <w:t>文件内容，符合单位部门职责，依据充分；项目是按照规定的程序申请设立；审批文件、材料符合相关要求，项目前期是已经过必要的集体决策。</w:t>
      </w:r>
    </w:p>
    <w:p w14:paraId="79198386">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（2）立项程序规范性</w:t>
      </w:r>
    </w:p>
    <w:p w14:paraId="075C0B27">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依决策据情况：项目符合洛浦县残疾人事业发展规划和部门年度工作计划，为在“十四五”时期，残疾人事业以高质量发展为主题，进一步巩固脱贫攻坚成果，提升就业质量，促进残疾人基本公共服务均等化，改善无障碍环境，实现残疾人共同富裕，制定《洛浦县2021年中央专项彩票公益金支持残疾人事业发展补助项目（第二批）实施方案》，对该项目进行实施。</w:t>
      </w:r>
    </w:p>
    <w:p w14:paraId="00E89EAD">
      <w:pPr>
        <w:pStyle w:val="41"/>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bCs/>
          <w:sz w:val="32"/>
          <w:szCs w:val="32"/>
          <w:highlight w:val="cyan"/>
          <w:lang w:val="en-US"/>
        </w:rPr>
      </w:pPr>
      <w:r>
        <w:rPr>
          <w:rFonts w:hint="eastAsia" w:ascii="仿宋_GB2312" w:hAnsi="仿宋_GB2312" w:eastAsia="仿宋_GB2312" w:cs="仿宋_GB2312"/>
          <w:sz w:val="32"/>
          <w:szCs w:val="32"/>
          <w:highlight w:val="none"/>
          <w:lang w:val="en-US" w:eastAsia="zh-CN"/>
        </w:rPr>
        <w:t>决策程序情况：按照地区印发的实施方案，由洛浦县残疾人联合会牵头编辑实施方案并报人民政府审批，在项目具体实施过程中，浦县残疾人联合会负责确定和田地区康复定点机构，统计基本康复服务的残疾儿童数量以及残疾评定补贴的残疾人数，协调在训练过程中出现的问题，并发放残疾评定补贴；</w:t>
      </w:r>
      <w:bookmarkEnd w:id="67"/>
      <w:r>
        <w:rPr>
          <w:rFonts w:hint="eastAsia" w:ascii="仿宋_GB2312" w:hAnsi="仿宋_GB2312" w:eastAsia="仿宋_GB2312" w:cs="仿宋_GB2312"/>
          <w:sz w:val="32"/>
          <w:szCs w:val="32"/>
          <w:highlight w:val="none"/>
          <w:lang w:val="en-US" w:eastAsia="zh-CN"/>
        </w:rPr>
        <w:t>和田金庚罗克曼康复医疗中心按照洛浦县残疾人联合会提供的名单完成康复训练，</w:t>
      </w:r>
      <w:r>
        <w:rPr>
          <w:rFonts w:hint="eastAsia" w:ascii="仿宋_GB2312" w:hAnsi="仿宋_GB2312" w:eastAsia="仿宋_GB2312" w:cs="仿宋_GB2312"/>
          <w:kern w:val="2"/>
          <w:sz w:val="32"/>
          <w:szCs w:val="32"/>
          <w:highlight w:val="none"/>
          <w:lang w:val="en-US" w:eastAsia="zh-CN" w:bidi="ar"/>
        </w:rPr>
        <w:t>对康复儿童进行系统评估，观察，制定康复计划，达到患儿有疗效，家长满意，社会认可的目的；填写残疾儿童康复训练档案及信息录入工作</w:t>
      </w:r>
      <w:r>
        <w:rPr>
          <w:rFonts w:hint="eastAsia" w:ascii="仿宋_GB2312" w:hAnsi="仿宋_GB2312" w:eastAsia="仿宋_GB2312" w:cs="仿宋_GB2312"/>
          <w:sz w:val="32"/>
          <w:szCs w:val="32"/>
          <w:highlight w:val="none"/>
          <w:lang w:val="en-US" w:eastAsia="zh-CN"/>
        </w:rPr>
        <w:t>；由此可见项目立项程序简洁规范。</w:t>
      </w:r>
    </w:p>
    <w:p w14:paraId="50C1E542">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outlineLvl w:val="9"/>
        <w:rPr>
          <w:rFonts w:hint="default" w:ascii="楷体" w:hAnsi="楷体" w:eastAsia="楷体" w:cs="楷体"/>
          <w:bCs/>
          <w:kern w:val="2"/>
          <w:sz w:val="32"/>
          <w:szCs w:val="32"/>
          <w:lang w:val="en-US" w:eastAsia="zh-CN" w:bidi="ar-SA"/>
        </w:rPr>
      </w:pPr>
      <w:r>
        <w:rPr>
          <w:rFonts w:hint="eastAsia" w:ascii="楷体" w:hAnsi="楷体" w:eastAsia="楷体" w:cs="楷体"/>
          <w:bCs/>
          <w:kern w:val="2"/>
          <w:sz w:val="32"/>
          <w:szCs w:val="32"/>
          <w:lang w:val="en-US" w:eastAsia="zh-CN" w:bidi="ar-SA"/>
        </w:rPr>
        <w:t>2.绩效目标设立情况</w:t>
      </w:r>
    </w:p>
    <w:p w14:paraId="25320DAF">
      <w:pPr>
        <w:adjustRightInd w:val="0"/>
        <w:snapToGrid w:val="0"/>
        <w:spacing w:line="560" w:lineRule="exact"/>
        <w:ind w:firstLine="640" w:firstLineChars="200"/>
        <w:outlineLvl w:val="9"/>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（1）绩效目标合理性</w:t>
      </w:r>
    </w:p>
    <w:p w14:paraId="26E51AF7">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绩效目标的内涵明确、具体、可衡量。所设立的绩效目标可以考核并能够指导洛浦县残疾人联合会2021年中央专项彩票公益金支持残疾人事业发展补助项目（第二批）的业务工作。指标与评价对象密切相关，全面反映项目实施内容及项目预期绩效情况，绩效目标设立符合洛浦县2021年中央专项彩票公益金支持残疾人事业发展补助项目（第二批）要求和洛浦县残疾人联合会2021年工作计划，明确了项目产出数量和预期达到的效果。整体来看，绩效目标设立比较明确。</w:t>
      </w:r>
    </w:p>
    <w:p w14:paraId="7488A999">
      <w:pPr>
        <w:adjustRightInd w:val="0"/>
        <w:snapToGrid w:val="0"/>
        <w:spacing w:line="560" w:lineRule="exact"/>
        <w:ind w:firstLine="640" w:firstLineChars="200"/>
        <w:outlineLvl w:val="9"/>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（2）绩效指标明确性</w:t>
      </w:r>
    </w:p>
    <w:p w14:paraId="2273D586">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该项目所设置绩效目标是：一级指标3条，二级指标7条，三级指标12条，可量化指标9条，指标量化率75%，该项目总体绩效目标明确，符合绩效目标明确、细化、量化条件。</w:t>
      </w:r>
    </w:p>
    <w:p w14:paraId="5219316C">
      <w:pPr>
        <w:adjustRightInd w:val="0"/>
        <w:snapToGrid w:val="0"/>
        <w:spacing w:line="560" w:lineRule="exact"/>
        <w:ind w:firstLine="640" w:firstLineChars="200"/>
        <w:outlineLvl w:val="9"/>
        <w:rPr>
          <w:rFonts w:hint="default" w:ascii="楷体" w:hAnsi="楷体" w:eastAsia="楷体" w:cs="楷体"/>
          <w:bCs/>
          <w:kern w:val="2"/>
          <w:sz w:val="32"/>
          <w:szCs w:val="32"/>
          <w:lang w:val="en-US" w:eastAsia="zh-CN" w:bidi="ar-SA"/>
        </w:rPr>
      </w:pPr>
      <w:r>
        <w:rPr>
          <w:rFonts w:hint="eastAsia" w:ascii="楷体" w:hAnsi="楷体" w:eastAsia="楷体" w:cs="楷体"/>
          <w:bCs/>
          <w:kern w:val="2"/>
          <w:sz w:val="32"/>
          <w:szCs w:val="32"/>
          <w:lang w:val="en-US" w:eastAsia="zh-CN" w:bidi="ar-SA"/>
        </w:rPr>
        <w:t>3.资金投入情况</w:t>
      </w:r>
    </w:p>
    <w:p w14:paraId="37CF4B2D">
      <w:pPr>
        <w:adjustRightInd w:val="0"/>
        <w:snapToGrid w:val="0"/>
        <w:spacing w:line="560" w:lineRule="exact"/>
        <w:ind w:firstLine="640" w:firstLineChars="200"/>
        <w:outlineLvl w:val="9"/>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（1）预算编制科学性</w:t>
      </w:r>
    </w:p>
    <w:p w14:paraId="15B13558">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该项目主要是支付150名残疾人评定补贴，支付25名残疾人在康复过程中所需的费用。购买残疾儿童辅助器具等基本康复服务，改善残疾儿童功能状况，不断提高残疾儿童生活自理能力，增强社会参与能力。</w:t>
      </w:r>
    </w:p>
    <w:p w14:paraId="1D1844D1">
      <w:pPr>
        <w:adjustRightInd w:val="0"/>
        <w:snapToGrid w:val="0"/>
        <w:spacing w:line="560" w:lineRule="exact"/>
        <w:ind w:firstLine="640" w:firstLineChars="200"/>
        <w:outlineLvl w:val="9"/>
        <w:rPr>
          <w:rFonts w:hint="eastAsia"/>
          <w:lang w:val="en-US" w:eastAsia="zh-CN"/>
        </w:rPr>
      </w:pPr>
      <w:r>
        <w:rPr>
          <w:rFonts w:hint="eastAsia" w:ascii="仿宋_GB2312" w:hAnsi="仿宋_GB2312" w:eastAsia="仿宋_GB2312" w:cs="仿宋_GB2312"/>
          <w:kern w:val="2"/>
          <w:sz w:val="32"/>
          <w:szCs w:val="32"/>
          <w:highlight w:val="none"/>
          <w:lang w:val="en-US" w:eastAsia="zh-CN" w:bidi="ar-SA"/>
        </w:rPr>
        <w:t>该项目在资金投入方面，预算编制是按照上级下达指标额度，确保资金额度与2021年的年度绩效目标相适应，反映了项目预算编制的科学性、合理性，预算资金分配有测算依据，与洛浦县的实际相适应。因此可见该项目立项依据较充分。</w:t>
      </w:r>
    </w:p>
    <w:p w14:paraId="40BBDFF2">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sz w:val="32"/>
          <w:szCs w:val="32"/>
          <w:highlight w:val="yellow"/>
          <w:lang w:val="en-US" w:eastAsia="zh-CN"/>
        </w:rPr>
      </w:pPr>
      <w:r>
        <w:rPr>
          <w:rFonts w:hint="eastAsia" w:ascii="仿宋_GB2312" w:hAnsi="仿宋_GB2312" w:eastAsia="仿宋_GB2312" w:cs="仿宋_GB2312"/>
          <w:sz w:val="32"/>
          <w:szCs w:val="32"/>
          <w:highlight w:val="none"/>
          <w:lang w:val="en-US" w:eastAsia="zh-CN"/>
        </w:rPr>
        <w:t>洛浦县残疾人联合会根据项目情况进行预算编制，使项目的资金额度与年度目标相适应，制定了明确详细的项目资金支出计划和进度，该项目预算编制比较科学合理。</w:t>
      </w:r>
    </w:p>
    <w:p w14:paraId="5985614C">
      <w:pPr>
        <w:adjustRightInd w:val="0"/>
        <w:snapToGrid w:val="0"/>
        <w:spacing w:line="560" w:lineRule="exact"/>
        <w:ind w:firstLine="640" w:firstLineChars="200"/>
        <w:outlineLvl w:val="9"/>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（2）资金分配合理性</w:t>
      </w:r>
    </w:p>
    <w:p w14:paraId="543A28FD">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sz w:val="32"/>
          <w:szCs w:val="32"/>
          <w:highlight w:val="none"/>
          <w:lang w:val="en-US" w:eastAsia="zh-CN"/>
        </w:rPr>
      </w:pPr>
      <w:bookmarkStart w:id="68" w:name="_Toc5610"/>
      <w:r>
        <w:rPr>
          <w:rFonts w:hint="eastAsia" w:ascii="仿宋_GB2312" w:hAnsi="仿宋_GB2312" w:eastAsia="仿宋_GB2312" w:cs="仿宋_GB2312"/>
          <w:sz w:val="32"/>
          <w:szCs w:val="32"/>
          <w:highlight w:val="none"/>
          <w:lang w:val="en-US" w:eastAsia="zh-CN"/>
        </w:rPr>
        <w:t>项目预算资金分配具有测算依据，分配额度合理，与补助单位或地方实际相适应，与工作任务相匹配，充分体现了资金分配的合理性。</w:t>
      </w:r>
    </w:p>
    <w:p w14:paraId="2306F875">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（二）项目管理</w:t>
      </w:r>
      <w:r>
        <w:rPr>
          <w:rFonts w:hint="eastAsia" w:ascii="仿宋_GB2312" w:hAnsi="仿宋" w:eastAsia="仿宋_GB2312" w:cs="宋体"/>
          <w:b/>
          <w:bCs/>
          <w:sz w:val="32"/>
          <w:szCs w:val="32"/>
          <w:lang w:val="en-US" w:eastAsia="zh-CN"/>
        </w:rPr>
        <w:t>过程</w:t>
      </w:r>
      <w:r>
        <w:rPr>
          <w:rFonts w:hint="eastAsia" w:ascii="仿宋_GB2312" w:hAnsi="仿宋" w:eastAsia="仿宋_GB2312" w:cs="宋体"/>
          <w:b/>
          <w:bCs/>
          <w:sz w:val="32"/>
          <w:szCs w:val="32"/>
        </w:rPr>
        <w:t>情况分析</w:t>
      </w:r>
      <w:bookmarkEnd w:id="68"/>
    </w:p>
    <w:p w14:paraId="47B564EC">
      <w:pPr>
        <w:pStyle w:val="33"/>
        <w:tabs>
          <w:tab w:val="left" w:pos="1559"/>
        </w:tabs>
        <w:adjustRightInd w:val="0"/>
        <w:snapToGrid w:val="0"/>
        <w:spacing w:line="560" w:lineRule="exact"/>
        <w:ind w:firstLine="640"/>
        <w:outlineLvl w:val="9"/>
        <w:rPr>
          <w:rFonts w:hint="eastAsia" w:ascii="楷体" w:hAnsi="楷体" w:eastAsia="楷体" w:cs="楷体"/>
          <w:bCs/>
          <w:sz w:val="32"/>
          <w:szCs w:val="32"/>
          <w:lang w:val="en-US" w:eastAsia="zh-CN"/>
        </w:rPr>
      </w:pPr>
      <w:bookmarkStart w:id="69" w:name="_Toc11398"/>
      <w:r>
        <w:rPr>
          <w:rFonts w:hint="eastAsia" w:ascii="楷体" w:hAnsi="楷体" w:eastAsia="楷体" w:cs="楷体"/>
          <w:bCs/>
          <w:sz w:val="32"/>
          <w:szCs w:val="32"/>
        </w:rPr>
        <w:t>1.项目资金</w:t>
      </w:r>
      <w:bookmarkEnd w:id="69"/>
      <w:r>
        <w:rPr>
          <w:rFonts w:hint="eastAsia" w:ascii="楷体" w:hAnsi="楷体" w:eastAsia="楷体" w:cs="楷体"/>
          <w:bCs/>
          <w:sz w:val="32"/>
          <w:szCs w:val="32"/>
          <w:lang w:val="en-US" w:eastAsia="zh-CN"/>
        </w:rPr>
        <w:t>情况</w:t>
      </w:r>
    </w:p>
    <w:p w14:paraId="7234D1B9">
      <w:pPr>
        <w:adjustRightInd w:val="0"/>
        <w:snapToGrid w:val="0"/>
        <w:spacing w:line="560" w:lineRule="exact"/>
        <w:ind w:firstLine="640" w:firstLineChars="200"/>
        <w:outlineLvl w:val="9"/>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w:t>
      </w:r>
      <w:r>
        <w:rPr>
          <w:rFonts w:hint="eastAsia" w:ascii="仿宋_GB2312" w:hAnsi="仿宋_GB2312" w:eastAsia="仿宋_GB2312" w:cs="仿宋_GB2312"/>
          <w:sz w:val="32"/>
          <w:szCs w:val="32"/>
          <w:lang w:val="en-US" w:eastAsia="zh-CN"/>
        </w:rPr>
        <w:t>1</w:t>
      </w:r>
      <w:r>
        <w:rPr>
          <w:rFonts w:hint="eastAsia" w:ascii="仿宋_GB2312" w:hAnsi="仿宋_GB2312" w:eastAsia="仿宋_GB2312" w:cs="仿宋_GB2312"/>
          <w:sz w:val="32"/>
          <w:szCs w:val="32"/>
        </w:rPr>
        <w:t>）资金到位情况</w:t>
      </w:r>
    </w:p>
    <w:p w14:paraId="1CFA9CD5">
      <w:pPr>
        <w:pStyle w:val="41"/>
        <w:keepNext w:val="0"/>
        <w:keepLines w:val="0"/>
        <w:pageBreakBefore w:val="0"/>
        <w:widowControl w:val="0"/>
        <w:kinsoku/>
        <w:wordWrap/>
        <w:overflowPunct/>
        <w:topLinePunct w:val="0"/>
        <w:autoSpaceDE/>
        <w:autoSpaceDN/>
        <w:bidi w:val="0"/>
        <w:adjustRightInd/>
        <w:snapToGrid/>
        <w:spacing w:line="560" w:lineRule="exact"/>
        <w:ind w:firstLine="560"/>
        <w:textAlignment w:val="auto"/>
        <w:outlineLvl w:val="9"/>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本项目预算资金为44.75万元，实际到位资金为44.75万元；资金来源为中央专项</w:t>
      </w:r>
      <w:r>
        <w:rPr>
          <w:rFonts w:hint="eastAsia" w:ascii="仿宋_GB2312" w:hAnsi="仿宋_GB2312" w:eastAsia="仿宋_GB2312" w:cs="仿宋_GB2312"/>
          <w:kern w:val="2"/>
          <w:sz w:val="32"/>
          <w:szCs w:val="32"/>
          <w:highlight w:val="none"/>
          <w:lang w:val="en-US" w:eastAsia="zh-CN" w:bidi="ar-SA"/>
        </w:rPr>
        <w:t>。</w:t>
      </w:r>
      <w:r>
        <w:rPr>
          <w:rFonts w:hint="eastAsia" w:ascii="仿宋_GB2312" w:hAnsi="仿宋_GB2312" w:eastAsia="仿宋_GB2312" w:cs="仿宋_GB2312"/>
          <w:sz w:val="32"/>
          <w:szCs w:val="32"/>
          <w:highlight w:val="none"/>
          <w:lang w:val="en-US" w:eastAsia="zh-CN"/>
        </w:rPr>
        <w:t>资金到位率100%。</w:t>
      </w:r>
    </w:p>
    <w:p w14:paraId="40747DC9">
      <w:pPr>
        <w:pStyle w:val="41"/>
        <w:keepNext w:val="0"/>
        <w:keepLines w:val="0"/>
        <w:pageBreakBefore w:val="0"/>
        <w:widowControl w:val="0"/>
        <w:kinsoku/>
        <w:wordWrap/>
        <w:overflowPunct/>
        <w:topLinePunct w:val="0"/>
        <w:autoSpaceDE/>
        <w:autoSpaceDN/>
        <w:bidi w:val="0"/>
        <w:spacing w:line="560" w:lineRule="exact"/>
        <w:ind w:firstLine="560"/>
        <w:textAlignment w:val="auto"/>
        <w:outlineLvl w:val="9"/>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（2）预算管理情况</w:t>
      </w:r>
    </w:p>
    <w:p w14:paraId="2DF93D96">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outlineLvl w:val="9"/>
        <w:rPr>
          <w:rFonts w:hint="default"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预算执行与预算编制基本一致，项目预算44.75万元，实际支出44.75万元，预算执行率100%。</w:t>
      </w:r>
    </w:p>
    <w:p w14:paraId="545D2536">
      <w:pPr>
        <w:numPr>
          <w:ilvl w:val="0"/>
          <w:numId w:val="8"/>
        </w:numPr>
        <w:adjustRightInd w:val="0"/>
        <w:snapToGrid w:val="0"/>
        <w:spacing w:line="560" w:lineRule="exact"/>
        <w:ind w:firstLine="640" w:firstLineChars="200"/>
        <w:outlineLvl w:val="9"/>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资金使用合规性</w:t>
      </w:r>
    </w:p>
    <w:p w14:paraId="206FEC96">
      <w:pPr>
        <w:pStyle w:val="9"/>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资金严格按照《自治区财政资金使用跟踪反馈管理暂行办法》（新财预〔2016〕113号）文件要求支付资金；资金的支付有完整的审批程序和手续，符合制度要求；项目资金进行单独核算，财务手续基本合理、完整，资金支付是按照自治区和洛浦县专项资金管理办法规定执行，资金使用规范合理。未发现专项资金有截留、挤占、挪用、虚列开支等情况。</w:t>
      </w:r>
    </w:p>
    <w:p w14:paraId="1B820F91">
      <w:pPr>
        <w:pStyle w:val="33"/>
        <w:tabs>
          <w:tab w:val="left" w:pos="1559"/>
        </w:tabs>
        <w:adjustRightInd w:val="0"/>
        <w:snapToGrid w:val="0"/>
        <w:spacing w:line="560" w:lineRule="exact"/>
        <w:ind w:firstLine="640"/>
        <w:outlineLvl w:val="9"/>
        <w:rPr>
          <w:rFonts w:hint="default" w:ascii="楷体" w:hAnsi="楷体" w:eastAsia="楷体" w:cs="楷体"/>
          <w:bCs/>
          <w:sz w:val="32"/>
          <w:szCs w:val="32"/>
          <w:lang w:val="en-US" w:eastAsia="zh-CN"/>
        </w:rPr>
      </w:pPr>
      <w:r>
        <w:rPr>
          <w:rFonts w:hint="eastAsia" w:ascii="楷体" w:hAnsi="楷体" w:eastAsia="楷体" w:cs="楷体"/>
          <w:bCs/>
          <w:sz w:val="32"/>
          <w:szCs w:val="32"/>
          <w:lang w:val="en-US" w:eastAsia="zh-CN"/>
        </w:rPr>
        <w:t>2</w:t>
      </w:r>
      <w:r>
        <w:rPr>
          <w:rFonts w:hint="eastAsia" w:ascii="楷体" w:hAnsi="楷体" w:eastAsia="楷体" w:cs="楷体"/>
          <w:bCs/>
          <w:sz w:val="32"/>
          <w:szCs w:val="32"/>
        </w:rPr>
        <w:t>.</w:t>
      </w:r>
      <w:r>
        <w:rPr>
          <w:rFonts w:hint="eastAsia" w:ascii="楷体" w:hAnsi="楷体" w:eastAsia="楷体" w:cs="楷体"/>
          <w:bCs/>
          <w:sz w:val="32"/>
          <w:szCs w:val="32"/>
          <w:lang w:val="en-US" w:eastAsia="zh-CN"/>
        </w:rPr>
        <w:t>组织实施情况</w:t>
      </w:r>
    </w:p>
    <w:p w14:paraId="7EF34064">
      <w:pPr>
        <w:adjustRightInd w:val="0"/>
        <w:snapToGrid w:val="0"/>
        <w:spacing w:line="560" w:lineRule="exact"/>
        <w:ind w:firstLine="640" w:firstLineChars="200"/>
        <w:outlineLvl w:val="9"/>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（1）管理制度健全性</w:t>
      </w:r>
    </w:p>
    <w:p w14:paraId="0792FEAA">
      <w:pPr>
        <w:adjustRightInd w:val="0"/>
        <w:snapToGrid w:val="0"/>
        <w:spacing w:line="560" w:lineRule="exact"/>
        <w:ind w:firstLine="640" w:firstLineChars="200"/>
        <w:outlineLvl w:val="9"/>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洛浦县残疾人联合会项目管理参照</w:t>
      </w:r>
      <w:r>
        <w:rPr>
          <w:rStyle w:val="22"/>
          <w:rFonts w:hint="eastAsia" w:ascii="仿宋_GB2312" w:hAnsi="仿宋_GB2312" w:eastAsia="仿宋_GB2312" w:cs="仿宋_GB2312"/>
          <w:b w:val="0"/>
          <w:bCs w:val="0"/>
          <w:color w:val="auto"/>
          <w:spacing w:val="-4"/>
          <w:sz w:val="32"/>
          <w:szCs w:val="32"/>
          <w:highlight w:val="none"/>
          <w:lang w:val="en-US" w:eastAsia="zh-CN"/>
        </w:rPr>
        <w:t>《关于2021年度中央专项彩票公益金支持残疾人事业发展补助资金（第二批）的通知》（洛财社〔2021〕63号）、《关于2021年度中央专项彩票公益金支持残疾人事业发展补助资金（第二批）的通知》（和地财社〔2020〕48号）文件</w:t>
      </w:r>
      <w:r>
        <w:rPr>
          <w:rFonts w:hint="eastAsia" w:ascii="仿宋_GB2312" w:hAnsi="仿宋_GB2312" w:eastAsia="仿宋_GB2312" w:cs="仿宋_GB2312"/>
          <w:sz w:val="32"/>
          <w:szCs w:val="32"/>
          <w:highlight w:val="none"/>
          <w:lang w:val="en-US" w:eastAsia="zh-CN"/>
        </w:rPr>
        <w:t>等，规范了项目资金使用标准，确保项目实施单位的资金预算申请、资金执行、资金调整、监督检查、验收等过程在相关制度和流程的有效监督管控之下。项目单位建立《项目管理制度》，制度涵盖了项目的设立、质量管理、安全管理、成本控制、项目验收等流程管理制度，项目管理制度健全。</w:t>
      </w:r>
    </w:p>
    <w:p w14:paraId="4B7D4A78">
      <w:pPr>
        <w:adjustRightInd w:val="0"/>
        <w:snapToGrid w:val="0"/>
        <w:spacing w:line="560" w:lineRule="exact"/>
        <w:ind w:firstLine="640" w:firstLineChars="200"/>
        <w:outlineLvl w:val="9"/>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（2）制度执行有效性</w:t>
      </w:r>
    </w:p>
    <w:p w14:paraId="3A5A718F">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项目资金支出严格按照自治区、地区（市）、县专项资金管理办法运行，项目启动实施后，为了加快该项目的实施，项目严格按照有关管理制度和资金管理制度实施。按照合同约定提出资金拨付申请，按程序审批后报账。</w:t>
      </w:r>
      <w:r>
        <w:rPr>
          <w:rFonts w:hint="eastAsia" w:ascii="仿宋_GB2312" w:hAnsi="仿宋_GB2312" w:eastAsia="仿宋_GB2312" w:cs="仿宋_GB2312"/>
          <w:kern w:val="2"/>
          <w:sz w:val="32"/>
          <w:szCs w:val="32"/>
          <w:lang w:val="en-US" w:eastAsia="zh-CN" w:bidi="ar-SA"/>
        </w:rPr>
        <w:t>建立健全财务管理制度，健</w:t>
      </w:r>
      <w:r>
        <w:rPr>
          <w:rFonts w:hint="eastAsia" w:ascii="仿宋_GB2312" w:hAnsi="仿宋_GB2312" w:eastAsia="仿宋_GB2312" w:cs="仿宋_GB2312"/>
          <w:kern w:val="2"/>
          <w:sz w:val="32"/>
          <w:szCs w:val="32"/>
          <w:highlight w:val="none"/>
          <w:lang w:val="en-US" w:eastAsia="zh-CN" w:bidi="ar-SA"/>
        </w:rPr>
        <w:t>全民政专项资金发放台账，做好与金融机构的定期对账工</w:t>
      </w:r>
      <w:r>
        <w:rPr>
          <w:rFonts w:hint="eastAsia" w:ascii="仿宋_GB2312" w:hAnsi="仿宋_GB2312" w:eastAsia="仿宋_GB2312" w:cs="仿宋_GB2312"/>
          <w:kern w:val="2"/>
          <w:sz w:val="32"/>
          <w:szCs w:val="32"/>
          <w:lang w:val="en-US" w:eastAsia="zh-CN" w:bidi="ar-SA"/>
        </w:rPr>
        <w:t>作，确保项目专项资金安全使用，</w:t>
      </w:r>
      <w:r>
        <w:rPr>
          <w:rFonts w:hint="eastAsia" w:ascii="仿宋_GB2312" w:hAnsi="仿宋_GB2312" w:eastAsia="仿宋_GB2312" w:cs="仿宋_GB2312"/>
          <w:sz w:val="32"/>
          <w:szCs w:val="32"/>
          <w:lang w:val="en-US" w:eastAsia="zh-CN"/>
        </w:rPr>
        <w:t>资金的支付有完整的审批程序和手续，符合制度要求；项目资金进行单独核算，财务手续基本合理、完整，未发现专项资金有截留、挤占、挪用、虚列开支等情况。</w:t>
      </w:r>
      <w:r>
        <w:rPr>
          <w:rFonts w:hint="eastAsia" w:ascii="仿宋_GB2312" w:hAnsi="仿宋_GB2312" w:eastAsia="仿宋_GB2312" w:cs="仿宋_GB2312"/>
          <w:sz w:val="32"/>
          <w:szCs w:val="32"/>
          <w:highlight w:val="none"/>
          <w:lang w:val="en-US" w:eastAsia="zh-CN"/>
        </w:rPr>
        <w:t>但是，单位缺乏对项目后期工作的监管监督跟踪，无相关资料。</w:t>
      </w:r>
    </w:p>
    <w:p w14:paraId="3DDEA93C">
      <w:pPr>
        <w:pStyle w:val="33"/>
        <w:adjustRightInd w:val="0"/>
        <w:snapToGrid w:val="0"/>
        <w:spacing w:line="560" w:lineRule="exact"/>
        <w:ind w:left="420" w:leftChars="200" w:firstLine="321" w:firstLineChars="100"/>
        <w:outlineLvl w:val="1"/>
        <w:rPr>
          <w:rFonts w:hint="eastAsia" w:ascii="楷体" w:hAnsi="楷体" w:eastAsia="楷体" w:cs="楷体"/>
          <w:bCs/>
          <w:sz w:val="32"/>
          <w:szCs w:val="32"/>
          <w:lang w:val="en-US" w:eastAsia="zh-CN"/>
        </w:rPr>
      </w:pPr>
      <w:bookmarkStart w:id="70" w:name="_Toc31015"/>
      <w:r>
        <w:rPr>
          <w:rFonts w:hint="eastAsia" w:ascii="仿宋_GB2312" w:hAnsi="仿宋" w:eastAsia="仿宋_GB2312" w:cs="宋体"/>
          <w:b/>
          <w:bCs/>
          <w:sz w:val="32"/>
          <w:szCs w:val="32"/>
        </w:rPr>
        <w:t>（</w:t>
      </w:r>
      <w:r>
        <w:rPr>
          <w:rFonts w:hint="eastAsia" w:ascii="仿宋_GB2312" w:hAnsi="仿宋" w:eastAsia="仿宋_GB2312" w:cs="宋体"/>
          <w:b/>
          <w:bCs/>
          <w:sz w:val="32"/>
          <w:szCs w:val="32"/>
          <w:lang w:val="en-US" w:eastAsia="zh-CN"/>
        </w:rPr>
        <w:t>三</w:t>
      </w:r>
      <w:r>
        <w:rPr>
          <w:rFonts w:hint="eastAsia" w:ascii="仿宋_GB2312" w:hAnsi="仿宋" w:eastAsia="仿宋_GB2312" w:cs="宋体"/>
          <w:b/>
          <w:bCs/>
          <w:sz w:val="32"/>
          <w:szCs w:val="32"/>
        </w:rPr>
        <w:t>）项目</w:t>
      </w:r>
      <w:r>
        <w:rPr>
          <w:rFonts w:hint="eastAsia" w:ascii="仿宋_GB2312" w:hAnsi="仿宋" w:eastAsia="仿宋_GB2312" w:cs="宋体"/>
          <w:b/>
          <w:bCs/>
          <w:sz w:val="32"/>
          <w:szCs w:val="32"/>
          <w:lang w:val="en-US" w:eastAsia="zh-CN"/>
        </w:rPr>
        <w:t>产出</w:t>
      </w:r>
      <w:r>
        <w:rPr>
          <w:rFonts w:hint="eastAsia" w:ascii="仿宋_GB2312" w:hAnsi="仿宋" w:eastAsia="仿宋_GB2312" w:cs="宋体"/>
          <w:b/>
          <w:bCs/>
          <w:sz w:val="32"/>
          <w:szCs w:val="32"/>
        </w:rPr>
        <w:t>情况分析</w:t>
      </w:r>
      <w:bookmarkEnd w:id="70"/>
    </w:p>
    <w:p w14:paraId="6532F0B8">
      <w:pPr>
        <w:pStyle w:val="33"/>
        <w:tabs>
          <w:tab w:val="left" w:pos="1559"/>
        </w:tabs>
        <w:adjustRightInd w:val="0"/>
        <w:snapToGrid w:val="0"/>
        <w:spacing w:line="560" w:lineRule="exact"/>
        <w:ind w:firstLine="640"/>
        <w:outlineLvl w:val="9"/>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1.产出数量情况</w:t>
      </w:r>
    </w:p>
    <w:p w14:paraId="3D0CB615">
      <w:pPr>
        <w:pStyle w:val="33"/>
        <w:tabs>
          <w:tab w:val="left" w:pos="1559"/>
        </w:tabs>
        <w:adjustRightInd w:val="0"/>
        <w:snapToGrid w:val="0"/>
        <w:spacing w:line="560" w:lineRule="exact"/>
        <w:ind w:firstLine="640"/>
        <w:outlineLvl w:val="9"/>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截止评价日，该项目完成了支付150名残疾人评定补贴，支付了13名残疾人在康复过程所需的费用，购买了矫形鞋，矫形器，轮椅，假肢接受腔，听书机，助听器，拐杖，餐具等器具；得到基本康复服务的残疾儿童数量自治区下达任务为25人，实际符合条件受益残疾人人数13人存在偏差。</w:t>
      </w:r>
    </w:p>
    <w:p w14:paraId="05A6BA08">
      <w:pPr>
        <w:pStyle w:val="33"/>
        <w:tabs>
          <w:tab w:val="left" w:pos="1559"/>
        </w:tabs>
        <w:adjustRightInd w:val="0"/>
        <w:snapToGrid w:val="0"/>
        <w:spacing w:line="560" w:lineRule="exact"/>
        <w:ind w:firstLine="640"/>
        <w:outlineLvl w:val="9"/>
        <w:rPr>
          <w:rFonts w:hint="eastAsia" w:ascii="楷体" w:hAnsi="楷体" w:eastAsia="楷体" w:cs="楷体"/>
          <w:bCs/>
          <w:sz w:val="32"/>
          <w:szCs w:val="32"/>
          <w:highlight w:val="none"/>
          <w:lang w:val="en-US" w:eastAsia="zh-CN"/>
        </w:rPr>
      </w:pPr>
      <w:r>
        <w:rPr>
          <w:rFonts w:hint="eastAsia" w:ascii="楷体" w:hAnsi="楷体" w:eastAsia="楷体" w:cs="楷体"/>
          <w:bCs/>
          <w:sz w:val="32"/>
          <w:szCs w:val="32"/>
          <w:highlight w:val="none"/>
          <w:lang w:val="en-US" w:eastAsia="zh-CN"/>
        </w:rPr>
        <w:t>2.产出质量情况</w:t>
      </w:r>
    </w:p>
    <w:p w14:paraId="790E23D9">
      <w:pPr>
        <w:pStyle w:val="33"/>
        <w:tabs>
          <w:tab w:val="left" w:pos="1559"/>
        </w:tabs>
        <w:adjustRightInd w:val="0"/>
        <w:snapToGrid w:val="0"/>
        <w:spacing w:line="560" w:lineRule="exact"/>
        <w:ind w:firstLine="640"/>
        <w:outlineLvl w:val="9"/>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符合条件的残疾儿童接受基本康复服务率80%，补贴资金到位率达到了100%。</w:t>
      </w:r>
    </w:p>
    <w:p w14:paraId="5C9253DA">
      <w:pPr>
        <w:pStyle w:val="33"/>
        <w:tabs>
          <w:tab w:val="left" w:pos="1559"/>
        </w:tabs>
        <w:adjustRightInd w:val="0"/>
        <w:snapToGrid w:val="0"/>
        <w:spacing w:line="560" w:lineRule="exact"/>
        <w:ind w:firstLine="640"/>
        <w:outlineLvl w:val="9"/>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3.产出时效情况</w:t>
      </w:r>
    </w:p>
    <w:p w14:paraId="0394B9A7">
      <w:pPr>
        <w:pStyle w:val="33"/>
        <w:tabs>
          <w:tab w:val="left" w:pos="1559"/>
        </w:tabs>
        <w:adjustRightInd w:val="0"/>
        <w:snapToGrid w:val="0"/>
        <w:spacing w:line="560" w:lineRule="exact"/>
        <w:ind w:firstLine="640"/>
        <w:outlineLvl w:val="9"/>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2021年中央专项彩票公益金支持残疾人事业发展补助项目（第二批）项目截止时间为2022年12月，该项目及时完成情况达到了年初预期指标。</w:t>
      </w:r>
    </w:p>
    <w:p w14:paraId="0A8570E7">
      <w:pPr>
        <w:pStyle w:val="33"/>
        <w:tabs>
          <w:tab w:val="left" w:pos="1559"/>
        </w:tabs>
        <w:adjustRightInd w:val="0"/>
        <w:snapToGrid w:val="0"/>
        <w:spacing w:line="560" w:lineRule="exact"/>
        <w:ind w:firstLine="640"/>
        <w:outlineLvl w:val="9"/>
        <w:rPr>
          <w:rFonts w:hint="eastAsia" w:ascii="楷体" w:hAnsi="楷体" w:eastAsia="楷体" w:cs="楷体"/>
          <w:bCs/>
          <w:sz w:val="32"/>
          <w:szCs w:val="32"/>
          <w:highlight w:val="yellow"/>
          <w:lang w:val="en-US" w:eastAsia="zh-CN"/>
        </w:rPr>
      </w:pPr>
      <w:r>
        <w:rPr>
          <w:rFonts w:hint="eastAsia" w:ascii="楷体" w:hAnsi="楷体" w:eastAsia="楷体" w:cs="楷体"/>
          <w:bCs/>
          <w:sz w:val="32"/>
          <w:szCs w:val="32"/>
          <w:highlight w:val="none"/>
          <w:lang w:val="en-US" w:eastAsia="zh-CN"/>
        </w:rPr>
        <w:t>4.产出成本情况</w:t>
      </w:r>
    </w:p>
    <w:p w14:paraId="0E72164B">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kern w:val="2"/>
          <w:sz w:val="32"/>
          <w:szCs w:val="32"/>
          <w:highlight w:val="none"/>
          <w:lang w:val="en-US" w:eastAsia="zh-CN" w:bidi="ar-SA"/>
        </w:rPr>
      </w:pPr>
      <w:bookmarkStart w:id="71" w:name="_Toc3708"/>
      <w:r>
        <w:rPr>
          <w:rFonts w:hint="eastAsia" w:ascii="仿宋_GB2312" w:hAnsi="仿宋_GB2312" w:eastAsia="仿宋_GB2312" w:cs="仿宋_GB2312"/>
          <w:kern w:val="2"/>
          <w:sz w:val="32"/>
          <w:szCs w:val="32"/>
          <w:highlight w:val="none"/>
          <w:lang w:val="en-US" w:eastAsia="zh-CN" w:bidi="ar-SA"/>
        </w:rPr>
        <w:t>项目计划总投资44.75万元，项目实际支出金额为 44.75万元，项目支出有效控制在预算范围内。</w:t>
      </w:r>
    </w:p>
    <w:p w14:paraId="35F21484">
      <w:pPr>
        <w:pStyle w:val="8"/>
        <w:ind w:firstLine="321" w:firstLineChars="100"/>
        <w:outlineLvl w:val="1"/>
        <w:rPr>
          <w:rFonts w:hint="eastAsia" w:ascii="仿宋_GB2312" w:hAnsi="仿宋" w:eastAsia="仿宋_GB2312" w:cs="宋体"/>
          <w:b/>
          <w:bCs/>
          <w:sz w:val="32"/>
          <w:szCs w:val="32"/>
          <w:lang w:val="en-US" w:eastAsia="zh-CN"/>
        </w:rPr>
      </w:pPr>
      <w:r>
        <w:rPr>
          <w:rFonts w:hint="eastAsia" w:ascii="仿宋_GB2312" w:hAnsi="仿宋" w:eastAsia="仿宋_GB2312" w:cs="宋体"/>
          <w:b/>
          <w:bCs/>
          <w:sz w:val="32"/>
          <w:szCs w:val="32"/>
          <w:lang w:val="en-US" w:eastAsia="zh-CN"/>
        </w:rPr>
        <w:t>（四）项目效益评价分析</w:t>
      </w:r>
      <w:bookmarkEnd w:id="71"/>
    </w:p>
    <w:p w14:paraId="130586F1">
      <w:pPr>
        <w:pStyle w:val="33"/>
        <w:tabs>
          <w:tab w:val="left" w:pos="1559"/>
        </w:tabs>
        <w:adjustRightInd w:val="0"/>
        <w:snapToGrid w:val="0"/>
        <w:spacing w:line="560" w:lineRule="exact"/>
        <w:ind w:firstLine="640"/>
        <w:outlineLvl w:val="9"/>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1.经济效益情况</w:t>
      </w:r>
    </w:p>
    <w:p w14:paraId="1BE07C93">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9"/>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该项目未涉及经济效益。</w:t>
      </w:r>
    </w:p>
    <w:p w14:paraId="6397A222">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9"/>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2.社会效益情况</w:t>
      </w:r>
    </w:p>
    <w:p w14:paraId="00ECDC84">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通过实施2021年中央专项彩票公益金支持残疾人事业发展补助项目（第二批），保障了13名残疾人在康复过程所需的费用，提供了矫形鞋，矫形器，轮椅，假肢接受腔，听书机，助听器，拐杖，餐具等器具，改善了残疾儿童功能状况，提高了残疾人参与社会生产生活的能力，提高了残疾人康复服务水平。</w:t>
      </w:r>
    </w:p>
    <w:p w14:paraId="0394BDBB">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9"/>
        <w:rPr>
          <w:rFonts w:hint="default" w:ascii="楷体" w:hAnsi="楷体" w:eastAsia="楷体" w:cs="楷体"/>
          <w:bCs/>
          <w:sz w:val="32"/>
          <w:szCs w:val="32"/>
          <w:lang w:val="en-US" w:eastAsia="zh-CN"/>
        </w:rPr>
      </w:pPr>
      <w:r>
        <w:rPr>
          <w:rFonts w:hint="eastAsia" w:ascii="楷体" w:hAnsi="楷体" w:eastAsia="楷体" w:cs="楷体"/>
          <w:bCs/>
          <w:sz w:val="32"/>
          <w:szCs w:val="32"/>
          <w:lang w:val="en-US" w:eastAsia="zh-CN"/>
        </w:rPr>
        <w:t>3.生态效益情况</w:t>
      </w:r>
    </w:p>
    <w:p w14:paraId="221B348D">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9"/>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该项目未涉及生态效益。</w:t>
      </w:r>
    </w:p>
    <w:p w14:paraId="6392746D">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textAlignment w:val="auto"/>
        <w:outlineLvl w:val="9"/>
        <w:rPr>
          <w:rFonts w:hint="eastAsia" w:ascii="楷体" w:hAnsi="楷体" w:eastAsia="楷体" w:cs="楷体"/>
          <w:bCs/>
          <w:sz w:val="32"/>
          <w:szCs w:val="32"/>
          <w:highlight w:val="none"/>
          <w:lang w:val="en-US" w:eastAsia="zh-CN"/>
        </w:rPr>
      </w:pPr>
      <w:r>
        <w:rPr>
          <w:rFonts w:hint="eastAsia" w:ascii="楷体" w:hAnsi="楷体" w:eastAsia="楷体" w:cs="楷体"/>
          <w:bCs/>
          <w:sz w:val="32"/>
          <w:szCs w:val="32"/>
          <w:highlight w:val="none"/>
          <w:lang w:val="en-US" w:eastAsia="zh-CN"/>
        </w:rPr>
        <w:t>4.可持续影响情况</w:t>
      </w:r>
    </w:p>
    <w:p w14:paraId="1DD61BEA">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9"/>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项目保障时间为5个月。</w:t>
      </w:r>
    </w:p>
    <w:p w14:paraId="60C51C68">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9"/>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5.服务对象满意度情况</w:t>
      </w:r>
    </w:p>
    <w:p w14:paraId="04F1BD61">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9"/>
        <w:rPr>
          <w:rFonts w:hint="eastAsia" w:ascii="仿宋_GB2312" w:hAnsi="仿宋_GB2312" w:eastAsia="仿宋_GB2312" w:cs="仿宋_GB2312"/>
          <w:kern w:val="2"/>
          <w:sz w:val="32"/>
          <w:szCs w:val="32"/>
          <w:highlight w:val="none"/>
          <w:lang w:val="en-US" w:eastAsia="zh-CN" w:bidi="ar-SA"/>
        </w:rPr>
      </w:pPr>
      <w:bookmarkStart w:id="72" w:name="_Toc6584"/>
      <w:r>
        <w:rPr>
          <w:rFonts w:hint="eastAsia" w:ascii="仿宋_GB2312" w:hAnsi="仿宋_GB2312" w:eastAsia="仿宋_GB2312" w:cs="仿宋_GB2312"/>
          <w:kern w:val="2"/>
          <w:sz w:val="32"/>
          <w:szCs w:val="32"/>
          <w:highlight w:val="none"/>
          <w:lang w:val="en-US" w:eastAsia="zh-CN" w:bidi="ar-SA"/>
        </w:rPr>
        <w:t>通过走访受益对象，发放调查问卷一共35份，回收有效问卷共计35份，按照调查问卷来看，服务对象对项目实施效果的满意程度达到了100%。</w:t>
      </w:r>
    </w:p>
    <w:p w14:paraId="4F4A72A7">
      <w:pPr>
        <w:numPr>
          <w:ilvl w:val="0"/>
          <w:numId w:val="0"/>
        </w:numPr>
        <w:adjustRightInd w:val="0"/>
        <w:snapToGrid w:val="0"/>
        <w:spacing w:line="560" w:lineRule="exact"/>
        <w:ind w:firstLine="640" w:firstLineChars="200"/>
        <w:jc w:val="left"/>
        <w:outlineLvl w:val="0"/>
        <w:rPr>
          <w:rFonts w:ascii="黑体" w:hAnsi="黑体" w:eastAsia="黑体" w:cs="宋体"/>
          <w:sz w:val="32"/>
          <w:szCs w:val="32"/>
          <w:highlight w:val="none"/>
        </w:rPr>
      </w:pPr>
      <w:r>
        <w:rPr>
          <w:rFonts w:hint="eastAsia" w:ascii="黑体" w:hAnsi="黑体" w:eastAsia="黑体" w:cs="宋体"/>
          <w:sz w:val="32"/>
          <w:szCs w:val="32"/>
          <w:highlight w:val="none"/>
          <w:lang w:val="en-US" w:eastAsia="zh-CN"/>
        </w:rPr>
        <w:t>四、</w:t>
      </w:r>
      <w:r>
        <w:rPr>
          <w:rFonts w:hint="eastAsia" w:ascii="黑体" w:hAnsi="黑体" w:eastAsia="黑体" w:cs="宋体"/>
          <w:sz w:val="32"/>
          <w:szCs w:val="32"/>
          <w:highlight w:val="none"/>
        </w:rPr>
        <w:t>评价结论</w:t>
      </w:r>
      <w:bookmarkEnd w:id="72"/>
    </w:p>
    <w:p w14:paraId="568D5A8F">
      <w:pPr>
        <w:pStyle w:val="33"/>
        <w:adjustRightInd w:val="0"/>
        <w:snapToGrid w:val="0"/>
        <w:spacing w:line="560" w:lineRule="exact"/>
        <w:ind w:firstLine="643"/>
        <w:outlineLvl w:val="1"/>
        <w:rPr>
          <w:rFonts w:ascii="仿宋_GB2312" w:hAnsi="仿宋" w:eastAsia="仿宋_GB2312" w:cs="宋体"/>
          <w:b/>
          <w:bCs/>
          <w:sz w:val="32"/>
          <w:szCs w:val="32"/>
        </w:rPr>
      </w:pPr>
      <w:bookmarkStart w:id="73" w:name="_Toc13481"/>
      <w:r>
        <w:rPr>
          <w:rFonts w:hint="eastAsia" w:ascii="仿宋_GB2312" w:hAnsi="仿宋" w:eastAsia="仿宋_GB2312" w:cs="宋体"/>
          <w:b/>
          <w:bCs/>
          <w:sz w:val="32"/>
          <w:szCs w:val="32"/>
        </w:rPr>
        <w:t>（一）评分结果</w:t>
      </w:r>
      <w:bookmarkEnd w:id="73"/>
    </w:p>
    <w:p w14:paraId="354BED4E">
      <w:pPr>
        <w:spacing w:line="560" w:lineRule="exact"/>
        <w:ind w:firstLine="640" w:firstLineChars="200"/>
        <w:outlineLvl w:val="9"/>
        <w:rPr>
          <w:rFonts w:ascii="仿宋" w:hAnsi="仿宋" w:eastAsia="仿宋" w:cs="仿宋_GB2312"/>
          <w:sz w:val="32"/>
          <w:szCs w:val="32"/>
          <w:highlight w:val="yellow"/>
        </w:rPr>
      </w:pPr>
      <w:r>
        <w:rPr>
          <w:rFonts w:hint="eastAsia" w:ascii="仿宋_GB2312" w:hAnsi="仿宋_GB2312" w:eastAsia="仿宋_GB2312" w:cs="仿宋_GB2312"/>
          <w:kern w:val="2"/>
          <w:sz w:val="32"/>
          <w:szCs w:val="32"/>
          <w:highlight w:val="none"/>
          <w:lang w:val="en-US" w:eastAsia="zh-CN" w:bidi="ar-SA"/>
        </w:rPr>
        <w:t>经综合评价，项目得分为96.58分，评价等级为优，一级指标各项得分情况见下表：</w:t>
      </w:r>
    </w:p>
    <w:p w14:paraId="32D4B504">
      <w:pPr>
        <w:pStyle w:val="40"/>
        <w:outlineLvl w:val="9"/>
      </w:pPr>
      <w:r>
        <w:rPr>
          <w:rFonts w:hint="eastAsia"/>
          <w:lang w:eastAsia="zh-CN"/>
        </w:rPr>
        <w:t>202</w:t>
      </w:r>
      <w:r>
        <w:rPr>
          <w:rFonts w:hint="eastAsia"/>
          <w:lang w:val="en-US" w:eastAsia="zh-CN"/>
        </w:rPr>
        <w:t>1</w:t>
      </w:r>
      <w:r>
        <w:rPr>
          <w:rFonts w:hint="eastAsia"/>
        </w:rPr>
        <w:t>年度该项目绩效评价</w:t>
      </w:r>
      <w:r>
        <w:t>得分情况表</w:t>
      </w:r>
    </w:p>
    <w:tbl>
      <w:tblPr>
        <w:tblStyle w:val="19"/>
        <w:tblW w:w="830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17"/>
        <w:gridCol w:w="1543"/>
        <w:gridCol w:w="1413"/>
        <w:gridCol w:w="1152"/>
        <w:gridCol w:w="1290"/>
        <w:gridCol w:w="1388"/>
      </w:tblGrid>
      <w:tr w14:paraId="677712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1517" w:type="dxa"/>
            <w:tcBorders>
              <w:bottom w:val="single" w:color="auto" w:sz="4" w:space="0"/>
            </w:tcBorders>
            <w:shd w:val="clear" w:color="auto" w:fill="A6A6A6"/>
            <w:vAlign w:val="center"/>
          </w:tcPr>
          <w:p w14:paraId="27B3E8B0">
            <w:pPr>
              <w:pStyle w:val="40"/>
              <w:outlineLvl w:val="9"/>
              <w:rPr>
                <w:rFonts w:ascii="仿宋" w:hAnsi="仿宋" w:eastAsia="仿宋" w:cs="仿宋"/>
                <w:sz w:val="21"/>
                <w:szCs w:val="21"/>
                <w:highlight w:val="none"/>
              </w:rPr>
            </w:pPr>
            <w:r>
              <w:rPr>
                <w:rFonts w:hint="eastAsia" w:ascii="仿宋" w:hAnsi="仿宋" w:eastAsia="仿宋" w:cs="仿宋"/>
                <w:sz w:val="21"/>
                <w:szCs w:val="21"/>
                <w:highlight w:val="none"/>
              </w:rPr>
              <w:t>指标</w:t>
            </w:r>
          </w:p>
        </w:tc>
        <w:tc>
          <w:tcPr>
            <w:tcW w:w="1543" w:type="dxa"/>
            <w:tcBorders>
              <w:bottom w:val="single" w:color="auto" w:sz="4" w:space="0"/>
            </w:tcBorders>
            <w:shd w:val="clear" w:color="auto" w:fill="A6A6A6"/>
            <w:vAlign w:val="center"/>
          </w:tcPr>
          <w:p w14:paraId="1E74283D">
            <w:pPr>
              <w:pStyle w:val="40"/>
              <w:outlineLvl w:val="9"/>
              <w:rPr>
                <w:rFonts w:ascii="仿宋" w:hAnsi="仿宋" w:eastAsia="仿宋" w:cs="仿宋"/>
                <w:sz w:val="21"/>
                <w:szCs w:val="21"/>
                <w:highlight w:val="none"/>
              </w:rPr>
            </w:pPr>
            <w:r>
              <w:rPr>
                <w:rFonts w:hint="eastAsia" w:ascii="仿宋" w:hAnsi="仿宋" w:eastAsia="仿宋" w:cs="仿宋"/>
                <w:sz w:val="21"/>
                <w:szCs w:val="21"/>
                <w:highlight w:val="none"/>
              </w:rPr>
              <w:t>项目决策</w:t>
            </w:r>
          </w:p>
        </w:tc>
        <w:tc>
          <w:tcPr>
            <w:tcW w:w="1413" w:type="dxa"/>
            <w:tcBorders>
              <w:bottom w:val="single" w:color="auto" w:sz="4" w:space="0"/>
            </w:tcBorders>
            <w:shd w:val="clear" w:color="auto" w:fill="A6A6A6"/>
            <w:vAlign w:val="center"/>
          </w:tcPr>
          <w:p w14:paraId="702CC27D">
            <w:pPr>
              <w:pStyle w:val="40"/>
              <w:outlineLvl w:val="9"/>
              <w:rPr>
                <w:rFonts w:hint="eastAsia" w:ascii="仿宋" w:hAnsi="仿宋" w:eastAsia="仿宋" w:cs="仿宋"/>
                <w:sz w:val="21"/>
                <w:szCs w:val="21"/>
                <w:highlight w:val="none"/>
                <w:lang w:val="en-US" w:eastAsia="zh-CN"/>
              </w:rPr>
            </w:pPr>
            <w:r>
              <w:rPr>
                <w:rFonts w:hint="eastAsia" w:ascii="仿宋" w:hAnsi="仿宋" w:eastAsia="仿宋" w:cs="仿宋"/>
                <w:sz w:val="21"/>
                <w:szCs w:val="21"/>
                <w:highlight w:val="none"/>
              </w:rPr>
              <w:t>项目</w:t>
            </w:r>
            <w:r>
              <w:rPr>
                <w:rFonts w:hint="eastAsia" w:ascii="仿宋" w:hAnsi="仿宋" w:eastAsia="仿宋" w:cs="仿宋"/>
                <w:sz w:val="21"/>
                <w:szCs w:val="21"/>
                <w:highlight w:val="none"/>
                <w:lang w:val="en-US" w:eastAsia="zh-CN"/>
              </w:rPr>
              <w:t>过程</w:t>
            </w:r>
          </w:p>
        </w:tc>
        <w:tc>
          <w:tcPr>
            <w:tcW w:w="1152" w:type="dxa"/>
            <w:tcBorders>
              <w:bottom w:val="single" w:color="auto" w:sz="4" w:space="0"/>
            </w:tcBorders>
            <w:shd w:val="clear" w:color="auto" w:fill="A6A6A6"/>
            <w:vAlign w:val="center"/>
          </w:tcPr>
          <w:p w14:paraId="4A1641F7">
            <w:pPr>
              <w:pStyle w:val="40"/>
              <w:outlineLvl w:val="9"/>
              <w:rPr>
                <w:rFonts w:hint="default" w:ascii="仿宋" w:hAnsi="仿宋" w:eastAsia="仿宋" w:cs="仿宋"/>
                <w:sz w:val="21"/>
                <w:szCs w:val="21"/>
                <w:highlight w:val="none"/>
                <w:lang w:val="en-US" w:eastAsia="zh-CN"/>
              </w:rPr>
            </w:pPr>
            <w:r>
              <w:rPr>
                <w:rFonts w:hint="eastAsia" w:ascii="仿宋" w:hAnsi="仿宋" w:eastAsia="仿宋" w:cs="仿宋"/>
                <w:sz w:val="21"/>
                <w:szCs w:val="21"/>
                <w:highlight w:val="none"/>
                <w:lang w:val="en-US" w:eastAsia="zh-CN"/>
              </w:rPr>
              <w:t>项目产出</w:t>
            </w:r>
          </w:p>
        </w:tc>
        <w:tc>
          <w:tcPr>
            <w:tcW w:w="1290" w:type="dxa"/>
            <w:tcBorders>
              <w:bottom w:val="single" w:color="auto" w:sz="4" w:space="0"/>
            </w:tcBorders>
            <w:shd w:val="clear" w:color="auto" w:fill="A6A6A6"/>
            <w:vAlign w:val="center"/>
          </w:tcPr>
          <w:p w14:paraId="482D5124">
            <w:pPr>
              <w:pStyle w:val="40"/>
              <w:outlineLvl w:val="9"/>
              <w:rPr>
                <w:rFonts w:hint="eastAsia" w:ascii="仿宋" w:hAnsi="仿宋" w:eastAsia="仿宋" w:cs="仿宋"/>
                <w:sz w:val="21"/>
                <w:szCs w:val="21"/>
                <w:highlight w:val="none"/>
                <w:lang w:eastAsia="zh-CN"/>
              </w:rPr>
            </w:pPr>
            <w:r>
              <w:rPr>
                <w:rFonts w:hint="eastAsia" w:ascii="仿宋" w:hAnsi="仿宋" w:eastAsia="仿宋" w:cs="仿宋"/>
                <w:sz w:val="21"/>
                <w:szCs w:val="21"/>
                <w:highlight w:val="none"/>
              </w:rPr>
              <w:t>项目</w:t>
            </w:r>
            <w:r>
              <w:rPr>
                <w:rFonts w:hint="eastAsia" w:ascii="仿宋" w:hAnsi="仿宋" w:eastAsia="仿宋" w:cs="仿宋"/>
                <w:sz w:val="21"/>
                <w:szCs w:val="21"/>
                <w:highlight w:val="none"/>
                <w:lang w:val="en-US" w:eastAsia="zh-CN"/>
              </w:rPr>
              <w:t>效益</w:t>
            </w:r>
          </w:p>
        </w:tc>
        <w:tc>
          <w:tcPr>
            <w:tcW w:w="1388" w:type="dxa"/>
            <w:tcBorders>
              <w:bottom w:val="single" w:color="auto" w:sz="4" w:space="0"/>
            </w:tcBorders>
            <w:shd w:val="clear" w:color="auto" w:fill="A6A6A6"/>
            <w:vAlign w:val="center"/>
          </w:tcPr>
          <w:p w14:paraId="067C86E6">
            <w:pPr>
              <w:pStyle w:val="40"/>
              <w:outlineLvl w:val="9"/>
              <w:rPr>
                <w:rFonts w:ascii="仿宋" w:hAnsi="仿宋" w:eastAsia="仿宋" w:cs="仿宋"/>
                <w:sz w:val="21"/>
                <w:szCs w:val="21"/>
                <w:highlight w:val="none"/>
              </w:rPr>
            </w:pPr>
            <w:r>
              <w:rPr>
                <w:rFonts w:hint="eastAsia" w:ascii="仿宋" w:hAnsi="仿宋" w:eastAsia="仿宋" w:cs="仿宋"/>
                <w:sz w:val="21"/>
                <w:szCs w:val="21"/>
                <w:highlight w:val="none"/>
              </w:rPr>
              <w:t>合计</w:t>
            </w:r>
          </w:p>
        </w:tc>
      </w:tr>
      <w:tr w14:paraId="34FD7C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517" w:type="dxa"/>
            <w:vAlign w:val="center"/>
          </w:tcPr>
          <w:p w14:paraId="57475FB9">
            <w:pPr>
              <w:pStyle w:val="40"/>
              <w:outlineLvl w:val="9"/>
              <w:rPr>
                <w:rFonts w:ascii="仿宋" w:hAnsi="仿宋" w:eastAsia="仿宋" w:cs="仿宋"/>
                <w:sz w:val="21"/>
                <w:szCs w:val="21"/>
                <w:highlight w:val="none"/>
              </w:rPr>
            </w:pPr>
            <w:r>
              <w:rPr>
                <w:rFonts w:hint="eastAsia" w:ascii="仿宋" w:hAnsi="仿宋" w:eastAsia="仿宋" w:cs="仿宋"/>
                <w:sz w:val="21"/>
                <w:szCs w:val="21"/>
                <w:highlight w:val="none"/>
              </w:rPr>
              <w:t>权重</w:t>
            </w:r>
          </w:p>
        </w:tc>
        <w:tc>
          <w:tcPr>
            <w:tcW w:w="1543" w:type="dxa"/>
            <w:vAlign w:val="center"/>
          </w:tcPr>
          <w:p w14:paraId="7D38A283">
            <w:pPr>
              <w:pStyle w:val="40"/>
              <w:outlineLvl w:val="9"/>
              <w:rPr>
                <w:rFonts w:hint="eastAsia" w:ascii="仿宋" w:hAnsi="仿宋" w:eastAsia="仿宋" w:cs="仿宋"/>
                <w:b w:val="0"/>
                <w:sz w:val="21"/>
                <w:szCs w:val="21"/>
                <w:highlight w:val="none"/>
                <w:lang w:eastAsia="zh-CN"/>
              </w:rPr>
            </w:pPr>
            <w:r>
              <w:rPr>
                <w:rFonts w:hint="eastAsia" w:ascii="仿宋" w:hAnsi="仿宋" w:eastAsia="仿宋" w:cs="仿宋"/>
                <w:b w:val="0"/>
                <w:sz w:val="21"/>
                <w:szCs w:val="21"/>
                <w:highlight w:val="none"/>
              </w:rPr>
              <w:t>2</w:t>
            </w:r>
            <w:r>
              <w:rPr>
                <w:rFonts w:hint="eastAsia" w:ascii="仿宋" w:hAnsi="仿宋" w:eastAsia="仿宋" w:cs="仿宋"/>
                <w:b w:val="0"/>
                <w:sz w:val="21"/>
                <w:szCs w:val="21"/>
                <w:highlight w:val="none"/>
                <w:lang w:val="en-US" w:eastAsia="zh-CN"/>
              </w:rPr>
              <w:t>0</w:t>
            </w:r>
          </w:p>
        </w:tc>
        <w:tc>
          <w:tcPr>
            <w:tcW w:w="1413" w:type="dxa"/>
            <w:vAlign w:val="center"/>
          </w:tcPr>
          <w:p w14:paraId="67CE07B2">
            <w:pPr>
              <w:pStyle w:val="40"/>
              <w:outlineLvl w:val="9"/>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20</w:t>
            </w:r>
          </w:p>
        </w:tc>
        <w:tc>
          <w:tcPr>
            <w:tcW w:w="1152" w:type="dxa"/>
            <w:vAlign w:val="center"/>
          </w:tcPr>
          <w:p w14:paraId="18FB61D2">
            <w:pPr>
              <w:pStyle w:val="40"/>
              <w:outlineLvl w:val="9"/>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30</w:t>
            </w:r>
          </w:p>
        </w:tc>
        <w:tc>
          <w:tcPr>
            <w:tcW w:w="1290" w:type="dxa"/>
            <w:vAlign w:val="center"/>
          </w:tcPr>
          <w:p w14:paraId="1F1815EB">
            <w:pPr>
              <w:pStyle w:val="40"/>
              <w:outlineLvl w:val="9"/>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30</w:t>
            </w:r>
          </w:p>
        </w:tc>
        <w:tc>
          <w:tcPr>
            <w:tcW w:w="1388" w:type="dxa"/>
            <w:vAlign w:val="center"/>
          </w:tcPr>
          <w:p w14:paraId="3D384CDB">
            <w:pPr>
              <w:pStyle w:val="40"/>
              <w:outlineLvl w:val="9"/>
              <w:rPr>
                <w:rFonts w:ascii="仿宋" w:hAnsi="仿宋" w:eastAsia="仿宋" w:cs="仿宋"/>
                <w:b w:val="0"/>
                <w:sz w:val="21"/>
                <w:szCs w:val="21"/>
                <w:highlight w:val="none"/>
              </w:rPr>
            </w:pPr>
            <w:r>
              <w:rPr>
                <w:rFonts w:hint="eastAsia" w:ascii="仿宋" w:hAnsi="仿宋" w:eastAsia="仿宋" w:cs="仿宋"/>
                <w:b w:val="0"/>
                <w:sz w:val="21"/>
                <w:szCs w:val="21"/>
                <w:highlight w:val="none"/>
              </w:rPr>
              <w:t>100</w:t>
            </w:r>
          </w:p>
        </w:tc>
      </w:tr>
      <w:tr w14:paraId="65F2EF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517" w:type="dxa"/>
            <w:vAlign w:val="center"/>
          </w:tcPr>
          <w:p w14:paraId="5E79C12D">
            <w:pPr>
              <w:pStyle w:val="40"/>
              <w:outlineLvl w:val="9"/>
              <w:rPr>
                <w:rFonts w:ascii="仿宋" w:hAnsi="仿宋" w:eastAsia="仿宋" w:cs="仿宋"/>
                <w:sz w:val="21"/>
                <w:szCs w:val="21"/>
                <w:highlight w:val="none"/>
              </w:rPr>
            </w:pPr>
            <w:r>
              <w:rPr>
                <w:rFonts w:hint="eastAsia" w:ascii="仿宋" w:hAnsi="仿宋" w:eastAsia="仿宋" w:cs="仿宋"/>
                <w:sz w:val="21"/>
                <w:szCs w:val="21"/>
                <w:highlight w:val="none"/>
              </w:rPr>
              <w:t>分值</w:t>
            </w:r>
          </w:p>
        </w:tc>
        <w:tc>
          <w:tcPr>
            <w:tcW w:w="1543" w:type="dxa"/>
            <w:vAlign w:val="center"/>
          </w:tcPr>
          <w:p w14:paraId="2AB48848">
            <w:pPr>
              <w:pStyle w:val="40"/>
              <w:outlineLvl w:val="9"/>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20</w:t>
            </w:r>
          </w:p>
        </w:tc>
        <w:tc>
          <w:tcPr>
            <w:tcW w:w="1413" w:type="dxa"/>
            <w:vAlign w:val="center"/>
          </w:tcPr>
          <w:p w14:paraId="3EC1C622">
            <w:pPr>
              <w:pStyle w:val="40"/>
              <w:outlineLvl w:val="9"/>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18.5</w:t>
            </w:r>
          </w:p>
        </w:tc>
        <w:tc>
          <w:tcPr>
            <w:tcW w:w="1152" w:type="dxa"/>
            <w:vAlign w:val="center"/>
          </w:tcPr>
          <w:p w14:paraId="5B856B21">
            <w:pPr>
              <w:pStyle w:val="40"/>
              <w:outlineLvl w:val="9"/>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28.08</w:t>
            </w:r>
          </w:p>
        </w:tc>
        <w:tc>
          <w:tcPr>
            <w:tcW w:w="1290" w:type="dxa"/>
            <w:vAlign w:val="center"/>
          </w:tcPr>
          <w:p w14:paraId="006317CF">
            <w:pPr>
              <w:pStyle w:val="40"/>
              <w:outlineLvl w:val="9"/>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30</w:t>
            </w:r>
          </w:p>
        </w:tc>
        <w:tc>
          <w:tcPr>
            <w:tcW w:w="1388" w:type="dxa"/>
            <w:vAlign w:val="center"/>
          </w:tcPr>
          <w:p w14:paraId="5DE4DCCA">
            <w:pPr>
              <w:pStyle w:val="40"/>
              <w:outlineLvl w:val="9"/>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96.58</w:t>
            </w:r>
          </w:p>
        </w:tc>
      </w:tr>
      <w:tr w14:paraId="7728C5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517" w:type="dxa"/>
            <w:vAlign w:val="center"/>
          </w:tcPr>
          <w:p w14:paraId="02833C06">
            <w:pPr>
              <w:pStyle w:val="40"/>
              <w:outlineLvl w:val="9"/>
              <w:rPr>
                <w:rFonts w:ascii="仿宋" w:hAnsi="仿宋" w:eastAsia="仿宋" w:cs="仿宋"/>
                <w:sz w:val="21"/>
                <w:szCs w:val="21"/>
                <w:highlight w:val="none"/>
              </w:rPr>
            </w:pPr>
            <w:r>
              <w:rPr>
                <w:rFonts w:hint="eastAsia" w:ascii="仿宋" w:hAnsi="仿宋" w:eastAsia="仿宋" w:cs="仿宋"/>
                <w:sz w:val="21"/>
                <w:szCs w:val="21"/>
                <w:highlight w:val="none"/>
              </w:rPr>
              <w:t>得分率</w:t>
            </w:r>
          </w:p>
        </w:tc>
        <w:tc>
          <w:tcPr>
            <w:tcW w:w="1543" w:type="dxa"/>
            <w:vAlign w:val="center"/>
          </w:tcPr>
          <w:p w14:paraId="69C019F3">
            <w:pPr>
              <w:pStyle w:val="40"/>
              <w:outlineLvl w:val="9"/>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100</w:t>
            </w:r>
            <w:r>
              <w:rPr>
                <w:rFonts w:hint="eastAsia" w:ascii="仿宋" w:hAnsi="仿宋" w:eastAsia="仿宋" w:cs="仿宋"/>
                <w:b w:val="0"/>
                <w:sz w:val="21"/>
                <w:szCs w:val="21"/>
                <w:highlight w:val="none"/>
              </w:rPr>
              <w:t>%</w:t>
            </w:r>
          </w:p>
        </w:tc>
        <w:tc>
          <w:tcPr>
            <w:tcW w:w="1413" w:type="dxa"/>
            <w:vAlign w:val="center"/>
          </w:tcPr>
          <w:p w14:paraId="4B242BA5">
            <w:pPr>
              <w:pStyle w:val="40"/>
              <w:outlineLvl w:val="9"/>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92.5</w:t>
            </w:r>
            <w:r>
              <w:rPr>
                <w:rFonts w:hint="eastAsia" w:ascii="仿宋" w:hAnsi="仿宋" w:eastAsia="仿宋" w:cs="仿宋"/>
                <w:b w:val="0"/>
                <w:sz w:val="21"/>
                <w:szCs w:val="21"/>
                <w:highlight w:val="none"/>
              </w:rPr>
              <w:t>%</w:t>
            </w:r>
          </w:p>
        </w:tc>
        <w:tc>
          <w:tcPr>
            <w:tcW w:w="1152" w:type="dxa"/>
            <w:vAlign w:val="center"/>
          </w:tcPr>
          <w:p w14:paraId="39D82E2C">
            <w:pPr>
              <w:pStyle w:val="40"/>
              <w:outlineLvl w:val="9"/>
              <w:rPr>
                <w:rFonts w:hint="eastAsia"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93.6</w:t>
            </w:r>
            <w:r>
              <w:rPr>
                <w:rFonts w:hint="eastAsia" w:ascii="仿宋" w:hAnsi="仿宋" w:eastAsia="仿宋" w:cs="仿宋"/>
                <w:b w:val="0"/>
                <w:sz w:val="21"/>
                <w:szCs w:val="21"/>
                <w:highlight w:val="none"/>
              </w:rPr>
              <w:t>%</w:t>
            </w:r>
          </w:p>
        </w:tc>
        <w:tc>
          <w:tcPr>
            <w:tcW w:w="1290" w:type="dxa"/>
            <w:vAlign w:val="center"/>
          </w:tcPr>
          <w:p w14:paraId="7AF124A1">
            <w:pPr>
              <w:pStyle w:val="40"/>
              <w:outlineLvl w:val="9"/>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100</w:t>
            </w:r>
            <w:r>
              <w:rPr>
                <w:rFonts w:hint="eastAsia" w:ascii="仿宋" w:hAnsi="仿宋" w:eastAsia="仿宋" w:cs="仿宋"/>
                <w:b w:val="0"/>
                <w:sz w:val="21"/>
                <w:szCs w:val="21"/>
                <w:highlight w:val="none"/>
              </w:rPr>
              <w:t>%</w:t>
            </w:r>
          </w:p>
        </w:tc>
        <w:tc>
          <w:tcPr>
            <w:tcW w:w="1388" w:type="dxa"/>
            <w:vAlign w:val="center"/>
          </w:tcPr>
          <w:p w14:paraId="1CE3288F">
            <w:pPr>
              <w:pStyle w:val="40"/>
              <w:outlineLvl w:val="9"/>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96.58</w:t>
            </w:r>
            <w:r>
              <w:rPr>
                <w:rFonts w:hint="eastAsia" w:ascii="仿宋" w:hAnsi="仿宋" w:eastAsia="仿宋" w:cs="仿宋"/>
                <w:b w:val="0"/>
                <w:sz w:val="21"/>
                <w:szCs w:val="21"/>
                <w:highlight w:val="none"/>
              </w:rPr>
              <w:t>%</w:t>
            </w:r>
          </w:p>
        </w:tc>
      </w:tr>
    </w:tbl>
    <w:p w14:paraId="06726354">
      <w:pPr>
        <w:pStyle w:val="18"/>
        <w:ind w:firstLine="0" w:firstLineChars="0"/>
        <w:rPr>
          <w:highlight w:val="none"/>
        </w:rPr>
      </w:pPr>
    </w:p>
    <w:p w14:paraId="468BA434">
      <w:pPr>
        <w:pStyle w:val="33"/>
        <w:numPr>
          <w:ilvl w:val="0"/>
          <w:numId w:val="4"/>
        </w:numPr>
        <w:adjustRightInd w:val="0"/>
        <w:snapToGrid w:val="0"/>
        <w:spacing w:line="560" w:lineRule="exact"/>
        <w:ind w:left="0"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评价结论</w:t>
      </w:r>
    </w:p>
    <w:p w14:paraId="23595539">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74" w:name="_Toc3803"/>
      <w:r>
        <w:rPr>
          <w:rFonts w:hint="eastAsia" w:ascii="仿宋_GB2312" w:hAnsi="仿宋" w:eastAsia="仿宋_GB2312" w:cs="宋体"/>
          <w:b/>
          <w:bCs/>
          <w:sz w:val="32"/>
          <w:szCs w:val="32"/>
        </w:rPr>
        <w:t>（二）项目总体评价结论</w:t>
      </w:r>
      <w:bookmarkEnd w:id="74"/>
    </w:p>
    <w:p w14:paraId="57B26F86">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项目立项较规范，绩效目标合理，绩效指标明确，项目管理制度较健全，制度建设基本有效执行。项目总投资44.75万元，财政资金到位率100%，实际支出44.75万元，预算资金执行率100%。资金使用程序较规范，能够做到专项资金专款专用，未发现截留、挤占、挪用、虚列支出等情况。项目实施后保障了13名残疾人在康复过程所需的费用，提供了矫形鞋，矫形器，轮椅，假肢接受腔，听书机，助听器，拐杖，餐具等器具，改善了残疾儿童功能状况，提高了残疾人参与社会生产生活的能力，提高了残疾人康复服务水平。</w:t>
      </w:r>
    </w:p>
    <w:p w14:paraId="2AD347E9">
      <w:pPr>
        <w:adjustRightInd w:val="0"/>
        <w:snapToGrid w:val="0"/>
        <w:spacing w:line="560" w:lineRule="exact"/>
        <w:ind w:firstLine="640" w:firstLineChars="200"/>
        <w:jc w:val="left"/>
        <w:outlineLvl w:val="0"/>
        <w:rPr>
          <w:rFonts w:hint="default" w:ascii="黑体" w:hAnsi="黑体" w:eastAsia="黑体" w:cs="宋体"/>
          <w:sz w:val="32"/>
          <w:szCs w:val="32"/>
          <w:highlight w:val="none"/>
          <w:lang w:val="en-US" w:eastAsia="zh-CN"/>
        </w:rPr>
      </w:pPr>
      <w:bookmarkStart w:id="75" w:name="_Toc7267"/>
      <w:r>
        <w:rPr>
          <w:rFonts w:hint="eastAsia" w:ascii="黑体" w:hAnsi="黑体" w:eastAsia="黑体" w:cs="宋体"/>
          <w:sz w:val="32"/>
          <w:szCs w:val="32"/>
          <w:highlight w:val="none"/>
        </w:rPr>
        <w:t>五、问题</w:t>
      </w:r>
      <w:bookmarkEnd w:id="75"/>
      <w:r>
        <w:rPr>
          <w:rFonts w:hint="eastAsia" w:ascii="黑体" w:hAnsi="黑体" w:eastAsia="黑体" w:cs="宋体"/>
          <w:sz w:val="32"/>
          <w:szCs w:val="32"/>
          <w:highlight w:val="none"/>
          <w:lang w:val="en-US" w:eastAsia="zh-CN"/>
        </w:rPr>
        <w:t>及建议</w:t>
      </w:r>
    </w:p>
    <w:p w14:paraId="76198068">
      <w:pPr>
        <w:pStyle w:val="33"/>
        <w:adjustRightInd w:val="0"/>
        <w:snapToGrid w:val="0"/>
        <w:spacing w:line="560" w:lineRule="exact"/>
        <w:ind w:left="420" w:leftChars="200" w:firstLine="321" w:firstLineChars="100"/>
        <w:jc w:val="left"/>
        <w:outlineLvl w:val="1"/>
        <w:rPr>
          <w:rFonts w:ascii="仿宋_GB2312" w:hAnsi="仿宋" w:eastAsia="仿宋_GB2312" w:cs="宋体"/>
          <w:b/>
          <w:bCs/>
          <w:sz w:val="32"/>
          <w:szCs w:val="32"/>
          <w:highlight w:val="none"/>
        </w:rPr>
      </w:pPr>
      <w:bookmarkStart w:id="76" w:name="_Toc2013"/>
      <w:bookmarkStart w:id="77" w:name="_Toc14039"/>
      <w:r>
        <w:rPr>
          <w:rFonts w:hint="eastAsia" w:ascii="仿宋_GB2312" w:hAnsi="仿宋" w:eastAsia="仿宋_GB2312" w:cs="宋体"/>
          <w:b/>
          <w:bCs/>
          <w:sz w:val="32"/>
          <w:szCs w:val="32"/>
          <w:highlight w:val="none"/>
        </w:rPr>
        <w:t>（一）问题</w:t>
      </w:r>
      <w:bookmarkEnd w:id="76"/>
    </w:p>
    <w:p w14:paraId="4849597B">
      <w:pPr>
        <w:pStyle w:val="33"/>
        <w:adjustRightInd w:val="0"/>
        <w:snapToGrid w:val="0"/>
        <w:spacing w:line="560" w:lineRule="exact"/>
        <w:outlineLvl w:val="9"/>
        <w:rPr>
          <w:rFonts w:hint="eastAsia" w:ascii="仿宋_GB2312" w:hAnsi="仿宋_GB2312" w:eastAsia="仿宋_GB2312" w:cs="仿宋_GB2312"/>
          <w:kern w:val="2"/>
          <w:sz w:val="32"/>
          <w:szCs w:val="32"/>
          <w:highlight w:val="none"/>
          <w:lang w:val="en-US" w:eastAsia="zh-CN" w:bidi="ar-SA"/>
        </w:rPr>
      </w:pPr>
      <w:bookmarkStart w:id="78" w:name="_Toc4075"/>
      <w:r>
        <w:rPr>
          <w:rFonts w:hint="eastAsia" w:ascii="仿宋_GB2312" w:hAnsi="仿宋_GB2312" w:eastAsia="仿宋_GB2312" w:cs="仿宋_GB2312"/>
          <w:kern w:val="2"/>
          <w:sz w:val="32"/>
          <w:szCs w:val="32"/>
          <w:highlight w:val="none"/>
          <w:lang w:val="en-US" w:eastAsia="zh-CN" w:bidi="ar-SA"/>
        </w:rPr>
        <w:t>洛浦县残疾人联合会认真实施项目，按照实际需求基本完成了年度绩效目标，但是辅助器具购买并发放给医院之后单位没有跟踪后期工作，未监督器具使用情况，缺乏对项目后期工作的监管监督跟踪。</w:t>
      </w:r>
    </w:p>
    <w:p w14:paraId="07C8C41F">
      <w:pPr>
        <w:pStyle w:val="33"/>
        <w:adjustRightInd w:val="0"/>
        <w:snapToGrid w:val="0"/>
        <w:spacing w:line="560" w:lineRule="exact"/>
        <w:outlineLvl w:val="1"/>
        <w:rPr>
          <w:rFonts w:ascii="仿宋_GB2312" w:hAnsi="仿宋" w:eastAsia="仿宋_GB2312" w:cs="宋体"/>
          <w:b/>
          <w:bCs/>
          <w:sz w:val="32"/>
          <w:szCs w:val="32"/>
          <w:highlight w:val="none"/>
        </w:rPr>
      </w:pPr>
      <w:r>
        <w:rPr>
          <w:rFonts w:hint="eastAsia" w:ascii="仿宋_GB2312" w:hAnsi="仿宋" w:eastAsia="仿宋_GB2312" w:cs="宋体"/>
          <w:b/>
          <w:bCs/>
          <w:sz w:val="32"/>
          <w:szCs w:val="32"/>
          <w:highlight w:val="none"/>
        </w:rPr>
        <w:t>（</w:t>
      </w:r>
      <w:r>
        <w:rPr>
          <w:rFonts w:hint="eastAsia" w:ascii="仿宋_GB2312" w:hAnsi="仿宋" w:eastAsia="仿宋_GB2312" w:cs="宋体"/>
          <w:b/>
          <w:bCs/>
          <w:sz w:val="32"/>
          <w:szCs w:val="32"/>
          <w:highlight w:val="none"/>
          <w:lang w:val="en-US" w:eastAsia="zh-CN"/>
        </w:rPr>
        <w:t>二</w:t>
      </w:r>
      <w:r>
        <w:rPr>
          <w:rFonts w:hint="eastAsia" w:ascii="仿宋_GB2312" w:hAnsi="仿宋" w:eastAsia="仿宋_GB2312" w:cs="宋体"/>
          <w:b/>
          <w:bCs/>
          <w:sz w:val="32"/>
          <w:szCs w:val="32"/>
          <w:highlight w:val="none"/>
        </w:rPr>
        <w:t>）意见和建议</w:t>
      </w:r>
      <w:bookmarkEnd w:id="78"/>
    </w:p>
    <w:p w14:paraId="5EF16202">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kern w:val="2"/>
          <w:sz w:val="32"/>
          <w:szCs w:val="32"/>
          <w:highlight w:val="none"/>
          <w:lang w:val="en-US" w:eastAsia="zh-CN" w:bidi="ar-SA"/>
        </w:rPr>
      </w:pPr>
      <w:bookmarkStart w:id="79" w:name="_Toc17475"/>
      <w:r>
        <w:rPr>
          <w:rFonts w:hint="eastAsia" w:ascii="仿宋_GB2312" w:hAnsi="仿宋_GB2312" w:eastAsia="仿宋_GB2312" w:cs="仿宋_GB2312"/>
          <w:kern w:val="2"/>
          <w:sz w:val="32"/>
          <w:szCs w:val="32"/>
          <w:highlight w:val="none"/>
          <w:lang w:val="en-US" w:eastAsia="zh-CN" w:bidi="ar-SA"/>
        </w:rPr>
        <w:t>进一步落实单位项目管理办法，提高项目管理规范性，明确各级管理部门对项目管理的责任，进一步完善项目监督管理机制，做好项目后期跟踪监管工作，时刻了解项目带来的效益情况，为后年度项目实施积累经验，推动各项残疾人政策的落实，改善残疾儿童功能状况。</w:t>
      </w:r>
    </w:p>
    <w:p w14:paraId="37ECC018">
      <w:pPr>
        <w:adjustRightInd w:val="0"/>
        <w:snapToGrid w:val="0"/>
        <w:spacing w:line="560" w:lineRule="exact"/>
        <w:ind w:firstLine="640" w:firstLineChars="200"/>
        <w:jc w:val="left"/>
        <w:outlineLvl w:val="0"/>
        <w:rPr>
          <w:rFonts w:ascii="黑体" w:hAnsi="黑体" w:eastAsia="黑体" w:cs="宋体"/>
          <w:sz w:val="32"/>
          <w:szCs w:val="32"/>
          <w:highlight w:val="none"/>
        </w:rPr>
      </w:pPr>
      <w:r>
        <w:rPr>
          <w:rFonts w:hint="eastAsia" w:ascii="黑体" w:hAnsi="黑体" w:eastAsia="黑体" w:cs="宋体"/>
          <w:sz w:val="32"/>
          <w:szCs w:val="32"/>
          <w:highlight w:val="none"/>
        </w:rPr>
        <w:t>六、主要经验及做法</w:t>
      </w:r>
      <w:bookmarkEnd w:id="77"/>
      <w:bookmarkEnd w:id="79"/>
    </w:p>
    <w:p w14:paraId="1B2C57DE">
      <w:pPr>
        <w:pStyle w:val="33"/>
        <w:adjustRightInd w:val="0"/>
        <w:snapToGrid w:val="0"/>
        <w:spacing w:line="560" w:lineRule="exact"/>
        <w:ind w:left="0" w:leftChars="0" w:firstLine="643" w:firstLineChars="200"/>
        <w:outlineLvl w:val="1"/>
        <w:rPr>
          <w:rFonts w:ascii="仿宋_GB2312" w:hAnsi="仿宋" w:eastAsia="仿宋_GB2312" w:cs="宋体"/>
          <w:b/>
          <w:bCs/>
          <w:sz w:val="32"/>
          <w:szCs w:val="32"/>
        </w:rPr>
      </w:pPr>
      <w:bookmarkStart w:id="80" w:name="_Toc32230"/>
      <w:bookmarkStart w:id="81" w:name="_Toc25465"/>
      <w:bookmarkStart w:id="82" w:name="_Toc16919"/>
      <w:r>
        <w:rPr>
          <w:rFonts w:hint="eastAsia" w:ascii="仿宋_GB2312" w:hAnsi="仿宋" w:eastAsia="仿宋_GB2312" w:cs="宋体"/>
          <w:b/>
          <w:bCs/>
          <w:sz w:val="32"/>
          <w:szCs w:val="32"/>
        </w:rPr>
        <w:t>（一）项目实施过程有效监控</w:t>
      </w:r>
      <w:bookmarkEnd w:id="80"/>
      <w:bookmarkEnd w:id="81"/>
    </w:p>
    <w:p w14:paraId="4DC9727B">
      <w:pPr>
        <w:adjustRightInd w:val="0"/>
        <w:snapToGrid w:val="0"/>
        <w:spacing w:line="560" w:lineRule="exact"/>
        <w:ind w:firstLine="640" w:firstLineChars="200"/>
        <w:outlineLvl w:val="9"/>
        <w:rPr>
          <w:rFonts w:hint="eastAsia" w:ascii="仿宋_GB2312" w:hAnsi="仿宋_GB2312" w:eastAsia="仿宋_GB2312" w:cs="仿宋_GB2312"/>
          <w:sz w:val="32"/>
          <w:szCs w:val="32"/>
          <w:highlight w:val="none"/>
        </w:rPr>
      </w:pPr>
      <w:bookmarkStart w:id="83" w:name="_Toc22631"/>
      <w:bookmarkStart w:id="84" w:name="_Toc191"/>
      <w:r>
        <w:rPr>
          <w:rFonts w:hint="eastAsia" w:ascii="仿宋_GB2312" w:hAnsi="仿宋_GB2312" w:eastAsia="仿宋_GB2312" w:cs="仿宋_GB2312"/>
          <w:sz w:val="32"/>
          <w:szCs w:val="32"/>
          <w:highlight w:val="none"/>
          <w:lang w:val="en-US" w:eastAsia="zh-CN"/>
        </w:rPr>
        <w:t>洛浦县</w:t>
      </w:r>
      <w:r>
        <w:rPr>
          <w:rFonts w:hint="eastAsia" w:ascii="仿宋_GB2312" w:hAnsi="仿宋_GB2312" w:eastAsia="仿宋_GB2312" w:cs="仿宋_GB2312"/>
          <w:sz w:val="32"/>
          <w:szCs w:val="32"/>
          <w:highlight w:val="none"/>
        </w:rPr>
        <w:t>财政局</w:t>
      </w:r>
      <w:r>
        <w:rPr>
          <w:rFonts w:hint="eastAsia" w:ascii="仿宋_GB2312" w:hAnsi="仿宋_GB2312" w:eastAsia="仿宋_GB2312" w:cs="仿宋_GB2312"/>
          <w:sz w:val="32"/>
          <w:szCs w:val="32"/>
          <w:highlight w:val="none"/>
          <w:lang w:val="en-US" w:eastAsia="zh-CN"/>
        </w:rPr>
        <w:t>针对项目</w:t>
      </w:r>
      <w:r>
        <w:rPr>
          <w:rFonts w:hint="eastAsia" w:ascii="仿宋_GB2312" w:hAnsi="仿宋_GB2312" w:eastAsia="仿宋_GB2312" w:cs="仿宋_GB2312"/>
          <w:sz w:val="32"/>
          <w:szCs w:val="32"/>
          <w:highlight w:val="none"/>
        </w:rPr>
        <w:t>实施全过程</w:t>
      </w:r>
      <w:r>
        <w:rPr>
          <w:rFonts w:hint="eastAsia" w:ascii="仿宋_GB2312" w:hAnsi="仿宋_GB2312" w:eastAsia="仿宋_GB2312" w:cs="仿宋_GB2312"/>
          <w:sz w:val="32"/>
          <w:szCs w:val="32"/>
          <w:highlight w:val="none"/>
          <w:lang w:val="en-US" w:eastAsia="zh-CN"/>
        </w:rPr>
        <w:t>进行</w:t>
      </w:r>
      <w:r>
        <w:rPr>
          <w:rFonts w:hint="eastAsia" w:ascii="仿宋_GB2312" w:hAnsi="仿宋_GB2312" w:eastAsia="仿宋_GB2312" w:cs="仿宋_GB2312"/>
          <w:sz w:val="32"/>
          <w:szCs w:val="32"/>
          <w:highlight w:val="none"/>
        </w:rPr>
        <w:t>绩效管理</w:t>
      </w:r>
      <w:r>
        <w:rPr>
          <w:rFonts w:hint="eastAsia" w:ascii="仿宋_GB2312" w:hAnsi="仿宋_GB2312" w:eastAsia="仿宋_GB2312" w:cs="仿宋_GB2312"/>
          <w:sz w:val="32"/>
          <w:szCs w:val="32"/>
          <w:highlight w:val="none"/>
          <w:lang w:eastAsia="zh-CN"/>
        </w:rPr>
        <w:t>；根据</w:t>
      </w:r>
      <w:r>
        <w:rPr>
          <w:rFonts w:hint="eastAsia" w:ascii="仿宋_GB2312" w:hAnsi="仿宋_GB2312" w:eastAsia="仿宋_GB2312" w:cs="仿宋_GB2312"/>
          <w:sz w:val="32"/>
          <w:szCs w:val="32"/>
          <w:highlight w:val="none"/>
          <w:lang w:val="en-US" w:eastAsia="zh-CN"/>
        </w:rPr>
        <w:t>专项</w:t>
      </w:r>
      <w:r>
        <w:rPr>
          <w:rFonts w:hint="eastAsia" w:ascii="仿宋_GB2312" w:hAnsi="仿宋_GB2312" w:eastAsia="仿宋_GB2312" w:cs="仿宋_GB2312"/>
          <w:sz w:val="32"/>
          <w:szCs w:val="32"/>
          <w:highlight w:val="none"/>
          <w:lang w:eastAsia="zh-CN"/>
        </w:rPr>
        <w:t>资金管理工作，于</w:t>
      </w:r>
      <w:r>
        <w:rPr>
          <w:rFonts w:hint="eastAsia" w:ascii="仿宋_GB2312" w:hAnsi="仿宋_GB2312" w:eastAsia="仿宋_GB2312" w:cs="仿宋_GB2312"/>
          <w:sz w:val="32"/>
          <w:szCs w:val="32"/>
          <w:highlight w:val="none"/>
          <w:lang w:val="en-US" w:eastAsia="zh-CN"/>
        </w:rPr>
        <w:t>8月</w:t>
      </w:r>
      <w:r>
        <w:rPr>
          <w:rFonts w:hint="eastAsia" w:ascii="仿宋_GB2312" w:hAnsi="仿宋_GB2312" w:eastAsia="仿宋_GB2312" w:cs="仿宋_GB2312"/>
          <w:sz w:val="32"/>
          <w:szCs w:val="32"/>
          <w:highlight w:val="none"/>
        </w:rPr>
        <w:t>对</w:t>
      </w:r>
      <w:r>
        <w:rPr>
          <w:rFonts w:hint="eastAsia" w:ascii="仿宋_GB2312" w:hAnsi="仿宋_GB2312" w:eastAsia="仿宋_GB2312" w:cs="仿宋_GB2312"/>
          <w:sz w:val="32"/>
          <w:szCs w:val="32"/>
          <w:highlight w:val="none"/>
          <w:lang w:eastAsia="zh-CN"/>
        </w:rPr>
        <w:t>该</w:t>
      </w:r>
      <w:r>
        <w:rPr>
          <w:rFonts w:hint="eastAsia" w:ascii="仿宋_GB2312" w:hAnsi="仿宋_GB2312" w:eastAsia="仿宋_GB2312" w:cs="仿宋_GB2312"/>
          <w:sz w:val="32"/>
          <w:szCs w:val="32"/>
          <w:highlight w:val="none"/>
        </w:rPr>
        <w:t>项目开展绩效监控，实行项目</w:t>
      </w:r>
      <w:r>
        <w:rPr>
          <w:rFonts w:hint="eastAsia" w:ascii="仿宋_GB2312" w:hAnsi="仿宋_GB2312" w:eastAsia="仿宋_GB2312" w:cs="仿宋_GB2312"/>
          <w:sz w:val="32"/>
          <w:szCs w:val="32"/>
          <w:highlight w:val="none"/>
          <w:lang w:eastAsia="zh-CN"/>
        </w:rPr>
        <w:t>预算执行率与</w:t>
      </w:r>
      <w:r>
        <w:rPr>
          <w:rFonts w:hint="eastAsia" w:ascii="仿宋_GB2312" w:hAnsi="仿宋_GB2312" w:eastAsia="仿宋_GB2312" w:cs="仿宋_GB2312"/>
          <w:sz w:val="32"/>
          <w:szCs w:val="32"/>
          <w:highlight w:val="none"/>
        </w:rPr>
        <w:t>工作完成进度双监控</w:t>
      </w:r>
      <w:r>
        <w:rPr>
          <w:rFonts w:hint="eastAsia" w:ascii="仿宋_GB2312" w:hAnsi="仿宋_GB2312" w:eastAsia="仿宋_GB2312" w:cs="仿宋_GB2312"/>
          <w:sz w:val="32"/>
          <w:szCs w:val="32"/>
          <w:highlight w:val="none"/>
          <w:lang w:eastAsia="zh-CN"/>
        </w:rPr>
        <w:t>，并</w:t>
      </w:r>
      <w:r>
        <w:rPr>
          <w:rFonts w:hint="eastAsia" w:ascii="仿宋_GB2312" w:hAnsi="仿宋_GB2312" w:eastAsia="仿宋_GB2312" w:cs="仿宋_GB2312"/>
          <w:sz w:val="32"/>
          <w:szCs w:val="32"/>
          <w:highlight w:val="none"/>
        </w:rPr>
        <w:t>全面把握资金使用效率和项目实施开展进度，督促相关责任人按期保质完成工作。</w:t>
      </w:r>
    </w:p>
    <w:p w14:paraId="5A40B628">
      <w:pPr>
        <w:adjustRightInd w:val="0"/>
        <w:snapToGrid w:val="0"/>
        <w:spacing w:line="560" w:lineRule="exact"/>
        <w:ind w:firstLine="640"/>
        <w:outlineLvl w:val="1"/>
        <w:rPr>
          <w:rFonts w:ascii="仿宋_GB2312" w:hAnsi="仿宋" w:eastAsia="仿宋_GB2312" w:cs="宋体"/>
          <w:b/>
          <w:bCs/>
          <w:sz w:val="32"/>
          <w:szCs w:val="32"/>
        </w:rPr>
      </w:pPr>
      <w:r>
        <w:rPr>
          <w:rFonts w:hint="eastAsia" w:ascii="仿宋_GB2312" w:hAnsi="仿宋" w:eastAsia="仿宋_GB2312" w:cs="宋体"/>
          <w:b/>
          <w:bCs/>
          <w:sz w:val="32"/>
          <w:szCs w:val="32"/>
        </w:rPr>
        <w:t>（二）强化领导，明确职责，合理安排使用资金</w:t>
      </w:r>
      <w:bookmarkEnd w:id="83"/>
      <w:bookmarkEnd w:id="84"/>
    </w:p>
    <w:bookmarkEnd w:id="82"/>
    <w:p w14:paraId="6A939588">
      <w:pPr>
        <w:adjustRightInd w:val="0"/>
        <w:snapToGrid w:val="0"/>
        <w:spacing w:line="560" w:lineRule="exact"/>
        <w:ind w:firstLine="640" w:firstLineChars="200"/>
        <w:outlineLvl w:val="9"/>
        <w:rPr>
          <w:rFonts w:hint="eastAsia" w:ascii="仿宋_GB2312" w:hAnsi="仿宋_GB2312" w:eastAsia="仿宋_GB2312" w:cs="仿宋_GB2312"/>
          <w:sz w:val="32"/>
          <w:szCs w:val="32"/>
          <w:highlight w:val="none"/>
          <w:lang w:val="en-US" w:eastAsia="zh-CN"/>
        </w:rPr>
      </w:pPr>
      <w:bookmarkStart w:id="85" w:name="_Toc13108"/>
      <w:bookmarkStart w:id="86" w:name="_Toc31915"/>
      <w:bookmarkStart w:id="87" w:name="_Toc20562"/>
      <w:bookmarkStart w:id="88" w:name="_Toc14650"/>
      <w:bookmarkStart w:id="89" w:name="_Toc30107"/>
      <w:bookmarkStart w:id="90" w:name="_Toc24288"/>
      <w:bookmarkStart w:id="91" w:name="_Toc7837"/>
      <w:bookmarkStart w:id="92" w:name="_Toc22725"/>
      <w:bookmarkStart w:id="93" w:name="_Toc14723"/>
      <w:r>
        <w:rPr>
          <w:rFonts w:hint="eastAsia" w:ascii="仿宋_GB2312" w:hAnsi="仿宋_GB2312" w:eastAsia="仿宋_GB2312" w:cs="仿宋_GB2312"/>
          <w:sz w:val="32"/>
          <w:szCs w:val="32"/>
          <w:highlight w:val="none"/>
          <w:lang w:val="en-US" w:eastAsia="zh-CN"/>
        </w:rPr>
        <w:t>项目管理单位按照财务管理制度，认真落实项目工作任务，资金安排、资金配套数额、项目监管制度等方面做出了相应的规定，并高度重视，提高政治站位，牢固树立“花钱必问效、无效必问责”的绩效理念，切实增强绩效管理工作的主动性、积极性，对项目资金进行监管，从而提高资金的效益。</w:t>
      </w:r>
      <w:bookmarkEnd w:id="85"/>
      <w:bookmarkEnd w:id="86"/>
      <w:bookmarkEnd w:id="87"/>
    </w:p>
    <w:p w14:paraId="7E6CC299">
      <w:pPr>
        <w:tabs>
          <w:tab w:val="left" w:pos="938"/>
        </w:tabs>
        <w:spacing w:line="560" w:lineRule="exact"/>
        <w:ind w:firstLine="640" w:firstLineChars="200"/>
        <w:outlineLvl w:val="0"/>
        <w:rPr>
          <w:rFonts w:ascii="黑体" w:hAnsi="黑体" w:eastAsia="黑体" w:cs="宋体"/>
          <w:sz w:val="32"/>
          <w:szCs w:val="32"/>
        </w:rPr>
      </w:pPr>
      <w:r>
        <w:rPr>
          <w:rFonts w:hint="eastAsia" w:ascii="黑体" w:hAnsi="黑体" w:eastAsia="黑体" w:cs="宋体"/>
          <w:sz w:val="32"/>
          <w:szCs w:val="32"/>
        </w:rPr>
        <w:t>七、评价结果应用建议</w:t>
      </w:r>
      <w:bookmarkEnd w:id="88"/>
      <w:bookmarkEnd w:id="89"/>
    </w:p>
    <w:p w14:paraId="5ECC70ED">
      <w:pPr>
        <w:spacing w:line="560" w:lineRule="exact"/>
        <w:ind w:firstLine="643" w:firstLineChars="200"/>
        <w:outlineLvl w:val="1"/>
        <w:rPr>
          <w:rFonts w:ascii="仿宋_GB2312" w:hAnsi="黑体" w:eastAsia="仿宋_GB2312" w:cs="Times New Roman"/>
          <w:b/>
          <w:bCs/>
          <w:sz w:val="32"/>
          <w:szCs w:val="32"/>
        </w:rPr>
      </w:pPr>
      <w:bookmarkStart w:id="94" w:name="_Toc6072"/>
      <w:r>
        <w:rPr>
          <w:rFonts w:hint="eastAsia" w:ascii="仿宋_GB2312" w:hAnsi="黑体" w:eastAsia="仿宋_GB2312" w:cs="Times New Roman"/>
          <w:b/>
          <w:bCs/>
          <w:sz w:val="32"/>
          <w:szCs w:val="32"/>
        </w:rPr>
        <w:t>（一）及时对发现的问题进行整改</w:t>
      </w:r>
      <w:bookmarkEnd w:id="90"/>
      <w:bookmarkEnd w:id="94"/>
    </w:p>
    <w:p w14:paraId="50C6B857">
      <w:pPr>
        <w:adjustRightInd w:val="0"/>
        <w:snapToGrid w:val="0"/>
        <w:spacing w:line="560" w:lineRule="exact"/>
        <w:ind w:firstLine="640" w:firstLineChars="200"/>
        <w:outlineLvl w:val="9"/>
        <w:rPr>
          <w:rFonts w:hint="eastAsia" w:ascii="仿宋_GB2312" w:hAnsi="仿宋_GB2312" w:eastAsia="仿宋_GB2312" w:cs="仿宋_GB2312"/>
          <w:sz w:val="32"/>
          <w:szCs w:val="32"/>
          <w:highlight w:val="none"/>
          <w:lang w:val="en-US" w:eastAsia="zh-CN"/>
        </w:rPr>
      </w:pPr>
      <w:bookmarkStart w:id="95" w:name="_Toc20240"/>
      <w:bookmarkStart w:id="96" w:name="_Toc31513"/>
      <w:r>
        <w:rPr>
          <w:rFonts w:hint="eastAsia" w:ascii="仿宋_GB2312" w:hAnsi="仿宋_GB2312" w:eastAsia="仿宋_GB2312" w:cs="仿宋_GB2312"/>
          <w:sz w:val="32"/>
          <w:szCs w:val="32"/>
          <w:highlight w:val="none"/>
          <w:lang w:val="en-US" w:eastAsia="zh-CN"/>
        </w:rPr>
        <w:t>在绩效管理工作中，针对绩效评价中发现的问题，建议项目管理单位进行梳理，对能够整改的问题及时进行整改，并将整改过程及佐证资料形成档案，提交财政局进行备案，不能整改的问题以后加强管理，切实提高财政资源配置效率和使用效益。</w:t>
      </w:r>
    </w:p>
    <w:p w14:paraId="7E372596">
      <w:pPr>
        <w:spacing w:line="560" w:lineRule="exact"/>
        <w:ind w:firstLine="643" w:firstLineChars="200"/>
        <w:outlineLvl w:val="1"/>
        <w:rPr>
          <w:rFonts w:hint="eastAsia" w:ascii="仿宋_GB2312" w:hAnsi="黑体" w:eastAsia="仿宋_GB2312" w:cs="Times New Roman"/>
          <w:b/>
          <w:bCs/>
          <w:sz w:val="32"/>
          <w:szCs w:val="32"/>
        </w:rPr>
      </w:pPr>
      <w:r>
        <w:rPr>
          <w:rFonts w:hint="eastAsia" w:ascii="仿宋_GB2312" w:hAnsi="黑体" w:eastAsia="仿宋_GB2312" w:cs="Times New Roman"/>
          <w:b/>
          <w:bCs/>
          <w:sz w:val="32"/>
          <w:szCs w:val="32"/>
          <w:lang w:val="en-US" w:eastAsia="zh-CN"/>
        </w:rPr>
        <w:t>(二)</w:t>
      </w:r>
      <w:r>
        <w:rPr>
          <w:rFonts w:hint="eastAsia" w:ascii="仿宋_GB2312" w:hAnsi="黑体" w:eastAsia="仿宋_GB2312" w:cs="Times New Roman"/>
          <w:b/>
          <w:bCs/>
          <w:sz w:val="32"/>
          <w:szCs w:val="32"/>
        </w:rPr>
        <w:t>建立绩效评价结果应用制度</w:t>
      </w:r>
      <w:bookmarkEnd w:id="95"/>
      <w:bookmarkEnd w:id="96"/>
    </w:p>
    <w:p w14:paraId="04FFAFE3">
      <w:pPr>
        <w:pStyle w:val="18"/>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绩效评价结果应用，既是开展绩效评价工作的基本前提，又是加强财政支出管理、增强资金绩效理念、合理配置公共资源、优化财政支出结构、强化资金管理水平、提高资金使用效益的重要手段。为使绩效评价结果得到合理应用，应将此次绩效评价结果作为以后年度建设资金分配的重要依据。应将此次绩效评价结果作为以后年度建设资金分配的重要依据。</w:t>
      </w:r>
    </w:p>
    <w:p w14:paraId="2B875913">
      <w:pPr>
        <w:tabs>
          <w:tab w:val="left" w:pos="938"/>
        </w:tabs>
        <w:spacing w:line="560" w:lineRule="exact"/>
        <w:ind w:firstLine="640" w:firstLineChars="200"/>
        <w:outlineLvl w:val="9"/>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1.建议建立实施绩效评价结果公开制度（结果反馈制度、结果共享制度、结果报告制度、结果公示制度）；</w:t>
      </w:r>
    </w:p>
    <w:p w14:paraId="417D7420">
      <w:pPr>
        <w:tabs>
          <w:tab w:val="left" w:pos="938"/>
        </w:tabs>
        <w:spacing w:line="560" w:lineRule="exact"/>
        <w:ind w:firstLine="640" w:firstLineChars="200"/>
        <w:outlineLvl w:val="9"/>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2.建议建立绩效评价结果通报、约谈和问责机制；</w:t>
      </w:r>
    </w:p>
    <w:p w14:paraId="632AB44B">
      <w:pPr>
        <w:tabs>
          <w:tab w:val="left" w:pos="938"/>
        </w:tabs>
        <w:spacing w:line="560" w:lineRule="exact"/>
        <w:ind w:firstLine="640" w:firstLineChars="200"/>
        <w:outlineLvl w:val="9"/>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3.建议建立绩效评价结果在部门预算中激励与约束挂钩机制；</w:t>
      </w:r>
    </w:p>
    <w:p w14:paraId="6EE111B7">
      <w:pPr>
        <w:tabs>
          <w:tab w:val="left" w:pos="938"/>
        </w:tabs>
        <w:spacing w:line="560" w:lineRule="exact"/>
        <w:ind w:firstLine="640" w:firstLineChars="200"/>
        <w:outlineLvl w:val="9"/>
        <w:rPr>
          <w:rFonts w:hint="eastAsia" w:ascii="仿宋_GB2312" w:hAnsi="仿宋_GB2312" w:eastAsia="仿宋_GB2312" w:cs="仿宋_GB2312"/>
          <w:sz w:val="32"/>
          <w:szCs w:val="32"/>
        </w:rPr>
      </w:pPr>
      <w:r>
        <w:rPr>
          <w:rFonts w:hint="eastAsia" w:ascii="仿宋_GB2312" w:hAnsi="仿宋_GB2312" w:eastAsia="仿宋_GB2312" w:cs="仿宋_GB2312"/>
          <w:kern w:val="2"/>
          <w:sz w:val="32"/>
          <w:szCs w:val="32"/>
          <w:highlight w:val="none"/>
          <w:lang w:val="en-US" w:eastAsia="zh-CN" w:bidi="ar-SA"/>
        </w:rPr>
        <w:t>4.建议建立评价结果惩处机制。</w:t>
      </w:r>
    </w:p>
    <w:p w14:paraId="31C5DDEC">
      <w:pPr>
        <w:spacing w:line="560" w:lineRule="exact"/>
        <w:ind w:firstLine="643" w:firstLineChars="200"/>
        <w:outlineLvl w:val="1"/>
        <w:rPr>
          <w:rFonts w:ascii="仿宋_GB2312" w:hAnsi="黑体" w:eastAsia="仿宋_GB2312" w:cs="Times New Roman"/>
          <w:b/>
          <w:bCs/>
          <w:sz w:val="32"/>
          <w:szCs w:val="32"/>
        </w:rPr>
      </w:pPr>
      <w:bookmarkStart w:id="97" w:name="_Toc5443"/>
      <w:bookmarkStart w:id="98" w:name="_Toc10628"/>
      <w:r>
        <w:rPr>
          <w:rFonts w:hint="eastAsia" w:ascii="仿宋_GB2312" w:hAnsi="黑体" w:eastAsia="仿宋_GB2312" w:cs="Times New Roman"/>
          <w:b/>
          <w:bCs/>
          <w:sz w:val="32"/>
          <w:szCs w:val="32"/>
        </w:rPr>
        <w:t>（三）</w:t>
      </w:r>
      <w:r>
        <w:rPr>
          <w:rFonts w:hint="eastAsia" w:ascii="仿宋_GB2312" w:hAnsi="黑体" w:eastAsia="仿宋_GB2312" w:cs="Times New Roman"/>
          <w:b/>
          <w:bCs/>
          <w:sz w:val="32"/>
          <w:szCs w:val="32"/>
          <w:lang w:val="en-US" w:eastAsia="zh-CN"/>
        </w:rPr>
        <w:t>强化</w:t>
      </w:r>
      <w:r>
        <w:rPr>
          <w:rFonts w:hint="eastAsia" w:ascii="仿宋_GB2312" w:hAnsi="黑体" w:eastAsia="仿宋_GB2312" w:cs="Times New Roman"/>
          <w:b/>
          <w:bCs/>
          <w:sz w:val="32"/>
          <w:szCs w:val="32"/>
        </w:rPr>
        <w:t>绩效评价结果应用</w:t>
      </w:r>
      <w:bookmarkEnd w:id="97"/>
      <w:bookmarkEnd w:id="98"/>
    </w:p>
    <w:p w14:paraId="6047B63A">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一是严格落实评价结果与预算安排挂钩制度。要严格执行《洛浦县财政支出绩效评价结果应用暂行办法》文件规定，充分应用评价结果，对低效无效资金一律削减或取消。</w:t>
      </w:r>
    </w:p>
    <w:p w14:paraId="6E45D0A1">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二是将此次评价工作开展情况及评价结果纳入洛浦县全面实施预算绩效管理年度综合评价考核范畴，年终形成总结报告，上报县政府、发改委和县人大。</w:t>
      </w:r>
    </w:p>
    <w:p w14:paraId="49AA4BDF">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三是进一步加大对评价结果的应用，洛浦县2021年度项目绩效评价情况，可作为以后年度部门单位项目预算编制和安排财政资金的重要依据。</w:t>
      </w:r>
    </w:p>
    <w:p w14:paraId="421D3AF3">
      <w:pPr>
        <w:spacing w:line="560" w:lineRule="exact"/>
        <w:ind w:firstLine="643" w:firstLineChars="200"/>
        <w:outlineLvl w:val="1"/>
        <w:rPr>
          <w:rFonts w:ascii="仿宋_GB2312" w:hAnsi="黑体" w:eastAsia="仿宋_GB2312" w:cs="Times New Roman"/>
          <w:b/>
          <w:bCs/>
          <w:sz w:val="32"/>
          <w:szCs w:val="32"/>
        </w:rPr>
      </w:pPr>
      <w:bookmarkStart w:id="99" w:name="_Toc13172"/>
      <w:bookmarkStart w:id="100" w:name="_Toc4069"/>
      <w:r>
        <w:rPr>
          <w:rFonts w:hint="eastAsia" w:ascii="仿宋_GB2312" w:hAnsi="黑体" w:eastAsia="仿宋_GB2312" w:cs="Times New Roman"/>
          <w:b/>
          <w:bCs/>
          <w:sz w:val="32"/>
          <w:szCs w:val="32"/>
        </w:rPr>
        <w:t>（四）评价结果公开</w:t>
      </w:r>
      <w:bookmarkEnd w:id="99"/>
      <w:bookmarkEnd w:id="100"/>
    </w:p>
    <w:p w14:paraId="26D06A0D">
      <w:pPr>
        <w:tabs>
          <w:tab w:val="left" w:pos="938"/>
        </w:tabs>
        <w:spacing w:line="560" w:lineRule="exact"/>
        <w:ind w:firstLine="640" w:firstLineChars="200"/>
        <w:outlineLvl w:val="9"/>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建议按照政府信息公开管理的相关规定将绩效评价结果向社会公开评价结果，提高工作透明度，接受社会公众的监督。</w:t>
      </w:r>
      <w:bookmarkEnd w:id="91"/>
    </w:p>
    <w:p w14:paraId="216CFF1F">
      <w:pPr>
        <w:tabs>
          <w:tab w:val="left" w:pos="938"/>
        </w:tabs>
        <w:spacing w:line="560" w:lineRule="exact"/>
        <w:ind w:firstLine="640" w:firstLineChars="200"/>
        <w:outlineLvl w:val="0"/>
        <w:rPr>
          <w:rFonts w:hint="eastAsia" w:ascii="黑体" w:hAnsi="黑体" w:eastAsia="黑体" w:cs="宋体"/>
          <w:sz w:val="32"/>
          <w:szCs w:val="32"/>
          <w:lang w:val="en-US" w:eastAsia="zh-CN"/>
        </w:rPr>
      </w:pPr>
      <w:bookmarkStart w:id="101" w:name="_Toc17018"/>
      <w:r>
        <w:rPr>
          <w:rFonts w:hint="eastAsia" w:ascii="黑体" w:hAnsi="黑体" w:eastAsia="黑体" w:cs="宋体"/>
          <w:sz w:val="32"/>
          <w:szCs w:val="32"/>
          <w:lang w:val="en-US" w:eastAsia="zh-CN"/>
        </w:rPr>
        <w:t>八、其他需说明的问题</w:t>
      </w:r>
      <w:bookmarkEnd w:id="92"/>
      <w:bookmarkEnd w:id="93"/>
      <w:bookmarkEnd w:id="101"/>
    </w:p>
    <w:p w14:paraId="331E1C87">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第一，该项目部分间接产生的效果无法准确在短期内衡量，因此很难认定项目产生的全部效果。通过指标来反映绩效，指标的科学性和全面性需要不断地完善和研究。</w:t>
      </w:r>
    </w:p>
    <w:p w14:paraId="4C1D956F">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第二，评价结果作为安排政府预算、完善政策和改进管理的重要依据。原则上，对评价等级为优、良的，根据情况予以支持；对评价等级为中、差的，要完善政策、改进管理，根据情况核减预算。</w:t>
      </w:r>
    </w:p>
    <w:p w14:paraId="6077EFB7">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第三，评价结果分别编入政府决算和部门预算，报送本级人民代表大会常务委员会，并依法予以公开。</w:t>
      </w:r>
    </w:p>
    <w:p w14:paraId="2A774E82">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四，对使用财政资金严重低效无效并造成重大损失的责任人，要按照相关规定追责问责。对绩效评价过程中发现的资金使用单位和个人的财政违法行为，依照《中华人民共和国预算法》、《财政违法行为处罚处分条例》等有关规定追究责任；发现违纪违法问题线索的，应当及时移送纪检监察机关。</w:t>
      </w:r>
    </w:p>
    <w:p w14:paraId="25EF4FAD">
      <w:pPr>
        <w:pStyle w:val="18"/>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outlineLvl w:val="9"/>
        <w:rPr>
          <w:rFonts w:hint="eastAsia" w:ascii="黑体" w:hAnsi="黑体" w:eastAsia="黑体" w:cs="宋体"/>
          <w:sz w:val="32"/>
          <w:szCs w:val="32"/>
        </w:rPr>
      </w:pPr>
      <w:r>
        <w:rPr>
          <w:rFonts w:hint="eastAsia" w:ascii="仿宋_GB2312" w:hAnsi="仿宋_GB2312" w:eastAsia="仿宋_GB2312" w:cs="仿宋_GB2312"/>
          <w:kern w:val="2"/>
          <w:sz w:val="32"/>
          <w:szCs w:val="32"/>
          <w:highlight w:val="none"/>
          <w:lang w:val="en-US" w:eastAsia="zh-CN" w:bidi="ar-SA"/>
        </w:rPr>
        <w:t>第五，各级财政部门、预算部门和单位及其工作人员在绩效评价管理工作中存在违反《项目支出绩效评价管理办法》（财预〔2020〕10号）文件行为，以及其他滥用职权、玩忽职守、徇私舞弊等违法违纪行为的，依照《中华人民共和国预算法》、《中华人民共和国公务员法》、《中华人民共和国监察法》、《财政违法行为处罚处分条例》等国家有关规定追究相应责任；涉嫌犯罪的，依法移送司法机关处理。</w:t>
      </w:r>
      <w:bookmarkStart w:id="102" w:name="_Toc25791"/>
    </w:p>
    <w:p w14:paraId="3ACE396A">
      <w:pPr>
        <w:adjustRightInd w:val="0"/>
        <w:snapToGrid w:val="0"/>
        <w:spacing w:line="560" w:lineRule="exact"/>
        <w:ind w:firstLine="640" w:firstLineChars="200"/>
        <w:jc w:val="left"/>
        <w:outlineLvl w:val="0"/>
        <w:rPr>
          <w:rFonts w:ascii="黑体" w:hAnsi="黑体" w:eastAsia="黑体" w:cs="宋体"/>
          <w:sz w:val="32"/>
          <w:szCs w:val="32"/>
        </w:rPr>
      </w:pPr>
      <w:r>
        <w:rPr>
          <w:rFonts w:hint="eastAsia" w:ascii="黑体" w:hAnsi="黑体" w:eastAsia="黑体" w:cs="宋体"/>
          <w:sz w:val="32"/>
          <w:szCs w:val="32"/>
        </w:rPr>
        <w:t>九、附件</w:t>
      </w:r>
      <w:bookmarkEnd w:id="102"/>
    </w:p>
    <w:bookmarkEnd w:id="30"/>
    <w:p w14:paraId="1FB70AFC">
      <w:pPr>
        <w:pStyle w:val="33"/>
        <w:numPr>
          <w:ilvl w:val="0"/>
          <w:numId w:val="4"/>
        </w:numPr>
        <w:adjustRightInd w:val="0"/>
        <w:snapToGrid w:val="0"/>
        <w:spacing w:line="560" w:lineRule="exact"/>
        <w:ind w:left="0"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附件</w:t>
      </w:r>
    </w:p>
    <w:p w14:paraId="6880CF4A">
      <w:pPr>
        <w:pStyle w:val="33"/>
        <w:spacing w:line="560" w:lineRule="exact"/>
        <w:ind w:firstLine="640"/>
        <w:outlineLvl w:val="9"/>
        <w:rPr>
          <w:rFonts w:hint="default" w:ascii="仿宋_GB2312" w:hAnsi="仿宋_GB2312" w:eastAsia="仿宋_GB2312" w:cs="仿宋_GB2312"/>
          <w:kern w:val="2"/>
          <w:sz w:val="32"/>
          <w:szCs w:val="32"/>
          <w:highlight w:val="none"/>
          <w:lang w:val="en-US" w:eastAsia="zh-CN" w:bidi="ar-SA"/>
        </w:rPr>
      </w:pPr>
      <w:bookmarkStart w:id="103" w:name="_Toc13969"/>
      <w:bookmarkStart w:id="104" w:name="_Toc9070"/>
      <w:bookmarkStart w:id="105" w:name="_Toc11156"/>
      <w:bookmarkStart w:id="106" w:name="_Toc3379"/>
      <w:bookmarkStart w:id="107" w:name="_Toc5066"/>
      <w:r>
        <w:rPr>
          <w:rFonts w:hint="eastAsia" w:ascii="仿宋_GB2312" w:hAnsi="仿宋_GB2312" w:eastAsia="仿宋_GB2312" w:cs="仿宋_GB2312"/>
          <w:kern w:val="2"/>
          <w:sz w:val="32"/>
          <w:szCs w:val="32"/>
          <w:highlight w:val="none"/>
          <w:lang w:val="en-US" w:eastAsia="zh-CN" w:bidi="ar-SA"/>
        </w:rPr>
        <w:t>附件一、2021年中央专项彩票公益金支持残疾人事业发展补助项目（第二批）项目支出绩效评价指标体系</w:t>
      </w:r>
      <w:bookmarkEnd w:id="103"/>
      <w:bookmarkEnd w:id="104"/>
      <w:bookmarkEnd w:id="105"/>
      <w:bookmarkEnd w:id="106"/>
      <w:bookmarkEnd w:id="107"/>
    </w:p>
    <w:p w14:paraId="5B17FC8D">
      <w:pPr>
        <w:pStyle w:val="33"/>
        <w:spacing w:line="560" w:lineRule="exact"/>
        <w:ind w:firstLine="640"/>
        <w:outlineLvl w:val="9"/>
        <w:rPr>
          <w:rFonts w:hint="default" w:ascii="仿宋_GB2312" w:hAnsi="仿宋_GB2312" w:eastAsia="仿宋_GB2312" w:cs="仿宋_GB2312"/>
          <w:kern w:val="2"/>
          <w:sz w:val="32"/>
          <w:szCs w:val="32"/>
          <w:highlight w:val="none"/>
          <w:lang w:val="en-US" w:eastAsia="zh-CN" w:bidi="ar-SA"/>
        </w:rPr>
      </w:pPr>
      <w:bookmarkStart w:id="108" w:name="_Toc19426"/>
      <w:bookmarkStart w:id="109" w:name="_Toc5753"/>
      <w:bookmarkStart w:id="110" w:name="_Toc32762"/>
      <w:bookmarkStart w:id="111" w:name="_Toc31506"/>
      <w:bookmarkStart w:id="112" w:name="_Toc17647"/>
      <w:r>
        <w:rPr>
          <w:rFonts w:hint="eastAsia" w:ascii="仿宋_GB2312" w:hAnsi="仿宋_GB2312" w:eastAsia="仿宋_GB2312" w:cs="仿宋_GB2312"/>
          <w:kern w:val="2"/>
          <w:sz w:val="32"/>
          <w:szCs w:val="32"/>
          <w:highlight w:val="none"/>
          <w:lang w:val="en-US" w:eastAsia="zh-CN" w:bidi="ar-SA"/>
        </w:rPr>
        <w:t>附件二、2021年中央专项彩票公益金支持残疾人事业发展补助项目（第二批）项目资金使用明细表</w:t>
      </w:r>
      <w:bookmarkEnd w:id="108"/>
      <w:bookmarkEnd w:id="109"/>
      <w:bookmarkEnd w:id="110"/>
      <w:bookmarkEnd w:id="111"/>
      <w:bookmarkEnd w:id="112"/>
    </w:p>
    <w:p w14:paraId="4AAEA15C">
      <w:pPr>
        <w:pStyle w:val="33"/>
        <w:spacing w:line="560" w:lineRule="exact"/>
        <w:ind w:firstLine="640"/>
        <w:outlineLvl w:val="9"/>
        <w:rPr>
          <w:rFonts w:hint="eastAsia" w:ascii="仿宋_GB2312" w:hAnsi="仿宋_GB2312" w:eastAsia="仿宋_GB2312" w:cs="仿宋_GB2312"/>
          <w:kern w:val="2"/>
          <w:sz w:val="32"/>
          <w:szCs w:val="32"/>
          <w:highlight w:val="none"/>
          <w:lang w:val="en-US" w:eastAsia="zh-CN" w:bidi="ar-SA"/>
        </w:rPr>
      </w:pPr>
      <w:bookmarkStart w:id="113" w:name="_Toc16544"/>
      <w:bookmarkStart w:id="114" w:name="_Toc21161"/>
      <w:bookmarkStart w:id="115" w:name="_Toc27332"/>
      <w:bookmarkStart w:id="116" w:name="_Toc27746"/>
      <w:bookmarkStart w:id="117" w:name="_Toc22995"/>
      <w:r>
        <w:rPr>
          <w:rFonts w:hint="eastAsia" w:ascii="仿宋_GB2312" w:hAnsi="仿宋_GB2312" w:eastAsia="仿宋_GB2312" w:cs="仿宋_GB2312"/>
          <w:kern w:val="2"/>
          <w:sz w:val="32"/>
          <w:szCs w:val="32"/>
          <w:highlight w:val="none"/>
          <w:lang w:val="en-US" w:eastAsia="zh-CN" w:bidi="ar-SA"/>
        </w:rPr>
        <w:t>附件三、2021年中央专项彩票公益金支持残疾人事业发展补助项目（第二批）项目绩效评价工作记录单</w:t>
      </w:r>
      <w:bookmarkEnd w:id="113"/>
      <w:bookmarkEnd w:id="114"/>
      <w:bookmarkEnd w:id="115"/>
      <w:bookmarkEnd w:id="116"/>
      <w:bookmarkEnd w:id="117"/>
      <w:bookmarkStart w:id="118" w:name="_Toc16822"/>
      <w:bookmarkStart w:id="119" w:name="_Toc18769"/>
      <w:bookmarkStart w:id="120" w:name="_Toc20564"/>
    </w:p>
    <w:p w14:paraId="22162AD8">
      <w:pPr>
        <w:pStyle w:val="33"/>
        <w:spacing w:line="560" w:lineRule="exact"/>
        <w:ind w:firstLine="640"/>
        <w:outlineLvl w:val="9"/>
        <w:rPr>
          <w:rFonts w:hint="default" w:ascii="仿宋_GB2312" w:hAnsi="仿宋_GB2312" w:eastAsia="仿宋_GB2312" w:cs="仿宋_GB2312"/>
          <w:kern w:val="2"/>
          <w:sz w:val="32"/>
          <w:szCs w:val="32"/>
          <w:highlight w:val="none"/>
          <w:lang w:val="en-US" w:eastAsia="zh-CN" w:bidi="ar-SA"/>
        </w:rPr>
      </w:pPr>
      <w:bookmarkStart w:id="121" w:name="_Toc27218"/>
      <w:r>
        <w:rPr>
          <w:rFonts w:hint="eastAsia" w:ascii="仿宋_GB2312" w:hAnsi="仿宋_GB2312" w:eastAsia="仿宋_GB2312" w:cs="仿宋_GB2312"/>
          <w:kern w:val="2"/>
          <w:sz w:val="32"/>
          <w:szCs w:val="32"/>
          <w:highlight w:val="none"/>
          <w:lang w:val="en-US" w:eastAsia="zh-CN" w:bidi="ar-SA"/>
        </w:rPr>
        <w:t>附件四、2021年中央专项彩票公益金支持残疾人事业发展补助项目（第二批）项目调查问卷统计表</w:t>
      </w:r>
      <w:bookmarkEnd w:id="118"/>
      <w:bookmarkEnd w:id="119"/>
      <w:bookmarkEnd w:id="120"/>
      <w:bookmarkEnd w:id="121"/>
    </w:p>
    <w:p w14:paraId="0A5CB4C4">
      <w:pPr>
        <w:widowControl/>
        <w:adjustRightInd w:val="0"/>
        <w:snapToGrid w:val="0"/>
        <w:spacing w:line="560" w:lineRule="exact"/>
        <w:jc w:val="left"/>
        <w:rPr>
          <w:rFonts w:hint="default" w:ascii="仿宋_GB2312" w:hAnsi="仿宋_GB2312" w:eastAsia="仿宋_GB2312" w:cs="仿宋_GB2312"/>
          <w:kern w:val="2"/>
          <w:sz w:val="32"/>
          <w:szCs w:val="32"/>
          <w:highlight w:val="none"/>
          <w:lang w:val="en-US" w:eastAsia="zh-CN" w:bidi="ar-SA"/>
        </w:rPr>
      </w:pPr>
    </w:p>
    <w:p w14:paraId="2A37FE7F">
      <w:pPr>
        <w:pStyle w:val="6"/>
        <w:rPr>
          <w:rFonts w:hint="default"/>
          <w:lang w:val="en-US" w:eastAsia="zh-CN"/>
        </w:rPr>
      </w:pPr>
    </w:p>
    <w:p w14:paraId="6631D38A">
      <w:pPr>
        <w:spacing w:line="560" w:lineRule="exact"/>
        <w:ind w:firstLine="640" w:firstLineChars="200"/>
        <w:jc w:val="right"/>
        <w:outlineLvl w:val="9"/>
        <w:rPr>
          <w:rFonts w:ascii="仿宋_GB2312" w:hAnsi="仿宋" w:eastAsia="仿宋_GB2312" w:cs="宋体"/>
          <w:sz w:val="32"/>
          <w:szCs w:val="32"/>
          <w:lang w:bidi="ar"/>
        </w:rPr>
      </w:pPr>
      <w:r>
        <w:rPr>
          <w:rFonts w:hint="eastAsia" w:ascii="仿宋_GB2312" w:hAnsi="仿宋" w:eastAsia="仿宋_GB2312" w:cs="宋体"/>
          <w:sz w:val="32"/>
          <w:szCs w:val="32"/>
          <w:lang w:bidi="ar"/>
        </w:rPr>
        <w:t>中瑞诚会计师事务所</w:t>
      </w:r>
      <w:r>
        <w:rPr>
          <w:rFonts w:hint="eastAsia" w:ascii="仿宋_GB2312" w:hAnsi="仿宋" w:eastAsia="仿宋_GB2312" w:cs="宋体"/>
          <w:sz w:val="32"/>
          <w:szCs w:val="32"/>
          <w:lang w:eastAsia="zh-CN" w:bidi="ar"/>
        </w:rPr>
        <w:t>（特殊普通合伙）</w:t>
      </w:r>
      <w:r>
        <w:rPr>
          <w:rFonts w:hint="eastAsia" w:ascii="仿宋_GB2312" w:hAnsi="仿宋" w:eastAsia="仿宋_GB2312" w:cs="宋体"/>
          <w:sz w:val="32"/>
          <w:szCs w:val="32"/>
          <w:lang w:bidi="ar"/>
        </w:rPr>
        <w:t>喀什分所</w:t>
      </w:r>
    </w:p>
    <w:p w14:paraId="3D3D2C0F">
      <w:pPr>
        <w:spacing w:line="560" w:lineRule="exact"/>
        <w:ind w:firstLine="3827" w:firstLineChars="1196"/>
        <w:jc w:val="right"/>
        <w:outlineLvl w:val="9"/>
        <w:rPr>
          <w:rFonts w:ascii="仿宋_GB2312" w:hAnsi="仿宋" w:eastAsia="仿宋_GB2312" w:cs="宋体"/>
          <w:sz w:val="32"/>
          <w:szCs w:val="32"/>
          <w:lang w:bidi="ar"/>
        </w:rPr>
      </w:pPr>
      <w:r>
        <w:rPr>
          <w:rFonts w:hint="eastAsia" w:ascii="仿宋_GB2312" w:hAnsi="仿宋" w:eastAsia="仿宋_GB2312" w:cs="宋体"/>
          <w:sz w:val="32"/>
          <w:szCs w:val="32"/>
          <w:lang w:bidi="ar"/>
        </w:rPr>
        <w:t xml:space="preserve">  </w:t>
      </w:r>
      <w:r>
        <w:rPr>
          <w:rFonts w:hint="eastAsia" w:ascii="仿宋_GB2312" w:hAnsi="仿宋" w:eastAsia="仿宋_GB2312" w:cs="宋体"/>
          <w:sz w:val="32"/>
          <w:szCs w:val="32"/>
          <w:lang w:eastAsia="zh-CN" w:bidi="ar"/>
        </w:rPr>
        <w:t>202</w:t>
      </w:r>
      <w:r>
        <w:rPr>
          <w:rFonts w:hint="eastAsia" w:ascii="仿宋_GB2312" w:hAnsi="仿宋" w:eastAsia="仿宋_GB2312" w:cs="宋体"/>
          <w:sz w:val="32"/>
          <w:szCs w:val="32"/>
          <w:lang w:val="en-US" w:eastAsia="zh-CN" w:bidi="ar"/>
        </w:rPr>
        <w:t>2</w:t>
      </w:r>
      <w:r>
        <w:rPr>
          <w:rFonts w:hint="eastAsia" w:ascii="仿宋_GB2312" w:hAnsi="仿宋" w:eastAsia="仿宋_GB2312" w:cs="宋体"/>
          <w:sz w:val="32"/>
          <w:szCs w:val="32"/>
          <w:highlight w:val="none"/>
          <w:lang w:bidi="ar"/>
        </w:rPr>
        <w:t>年</w:t>
      </w:r>
      <w:r>
        <w:rPr>
          <w:rFonts w:hint="eastAsia" w:ascii="仿宋_GB2312" w:hAnsi="仿宋" w:eastAsia="仿宋_GB2312" w:cs="宋体"/>
          <w:sz w:val="32"/>
          <w:szCs w:val="32"/>
          <w:highlight w:val="none"/>
          <w:lang w:val="en-US" w:eastAsia="zh-CN" w:bidi="ar"/>
        </w:rPr>
        <w:t>06</w:t>
      </w:r>
      <w:r>
        <w:rPr>
          <w:rFonts w:hint="eastAsia" w:ascii="仿宋_GB2312" w:hAnsi="仿宋" w:eastAsia="仿宋_GB2312" w:cs="宋体"/>
          <w:sz w:val="32"/>
          <w:szCs w:val="32"/>
          <w:lang w:bidi="ar"/>
        </w:rPr>
        <w:t>月</w:t>
      </w:r>
      <w:r>
        <w:rPr>
          <w:rFonts w:hint="eastAsia" w:ascii="仿宋_GB2312" w:hAnsi="仿宋" w:eastAsia="仿宋_GB2312" w:cs="宋体"/>
          <w:sz w:val="32"/>
          <w:szCs w:val="32"/>
          <w:lang w:val="en-US" w:eastAsia="zh-CN" w:bidi="ar"/>
        </w:rPr>
        <w:t>30</w:t>
      </w:r>
      <w:r>
        <w:rPr>
          <w:rFonts w:hint="eastAsia" w:ascii="仿宋_GB2312" w:hAnsi="仿宋" w:eastAsia="仿宋_GB2312" w:cs="宋体"/>
          <w:sz w:val="32"/>
          <w:szCs w:val="32"/>
          <w:lang w:bidi="ar"/>
        </w:rPr>
        <w:t>日</w:t>
      </w:r>
    </w:p>
    <w:sectPr>
      <w:footerReference r:id="rId3" w:type="default"/>
      <w:pgSz w:w="11906" w:h="16838"/>
      <w:pgMar w:top="1440" w:right="17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AF6C7C3A-BD34-46A4-94C7-38B7354B8943}"/>
  </w:font>
  <w:font w:name="Arial">
    <w:panose1 w:val="020B0604020202020204"/>
    <w:charset w:val="01"/>
    <w:family w:val="swiss"/>
    <w:pitch w:val="default"/>
    <w:sig w:usb0="E0002EFF" w:usb1="C000785B" w:usb2="00000009" w:usb3="00000000" w:csb0="400001FF" w:csb1="FFFF0000"/>
    <w:embedRegular r:id="rId2" w:fontKey="{5191C367-2B1D-4141-94BE-306E4C8DD333}"/>
  </w:font>
  <w:font w:name="黑体">
    <w:panose1 w:val="02010609060101010101"/>
    <w:charset w:val="86"/>
    <w:family w:val="auto"/>
    <w:pitch w:val="default"/>
    <w:sig w:usb0="800002BF" w:usb1="38CF7CFA" w:usb2="00000016" w:usb3="00000000" w:csb0="00040001" w:csb1="00000000"/>
    <w:embedRegular r:id="rId3" w:fontKey="{FF6B034C-2AD0-497A-811B-472C7A5B5586}"/>
  </w:font>
  <w:font w:name="Courier New">
    <w:panose1 w:val="02070309020205020404"/>
    <w:charset w:val="01"/>
    <w:family w:val="modern"/>
    <w:pitch w:val="default"/>
    <w:sig w:usb0="E0002EFF" w:usb1="C0007843" w:usb2="00000009" w:usb3="00000000" w:csb0="400001FF" w:csb1="FFFF0000"/>
    <w:embedRegular r:id="rId4" w:fontKey="{319C8C6D-99CA-4FAA-82B8-4CBF7088AADF}"/>
  </w:font>
  <w:font w:name="Symbol">
    <w:panose1 w:val="05050102010706020507"/>
    <w:charset w:val="02"/>
    <w:family w:val="roman"/>
    <w:pitch w:val="default"/>
    <w:sig w:usb0="00000000" w:usb1="00000000" w:usb2="00000000" w:usb3="00000000" w:csb0="80000000" w:csb1="00000000"/>
    <w:embedRegular r:id="rId5" w:fontKey="{D9307C4B-9569-460A-B894-5210DF8135DF}"/>
  </w:font>
  <w:font w:name="Calibri">
    <w:panose1 w:val="020F0502020204030204"/>
    <w:charset w:val="00"/>
    <w:family w:val="swiss"/>
    <w:pitch w:val="default"/>
    <w:sig w:usb0="E4002EFF" w:usb1="C200247B" w:usb2="00000009" w:usb3="00000000" w:csb0="200001FF" w:csb1="00000000"/>
    <w:embedRegular r:id="rId6" w:fontKey="{EE832B2F-0DB1-446A-AAA9-E49DF8E8ABAA}"/>
  </w:font>
  <w:font w:name="仿宋">
    <w:panose1 w:val="02010609060101010101"/>
    <w:charset w:val="86"/>
    <w:family w:val="modern"/>
    <w:pitch w:val="default"/>
    <w:sig w:usb0="800002BF" w:usb1="38CF7CFA" w:usb2="00000016" w:usb3="00000000" w:csb0="00040001" w:csb1="00000000"/>
    <w:embedRegular r:id="rId7" w:fontKey="{7ADEDDB9-3529-4219-AEA5-49F931E76C7D}"/>
  </w:font>
  <w:font w:name="Cambria">
    <w:panose1 w:val="02040503050406030204"/>
    <w:charset w:val="00"/>
    <w:family w:val="roman"/>
    <w:pitch w:val="default"/>
    <w:sig w:usb0="E00006FF" w:usb1="420024FF" w:usb2="02000000" w:usb3="00000000" w:csb0="2000019F" w:csb1="00000000"/>
    <w:embedRegular r:id="rId8" w:fontKey="{F3A603B9-7D6B-4430-B62F-02619251D7A2}"/>
  </w:font>
  <w:font w:name="HYb2gj">
    <w:altName w:val="宋体"/>
    <w:panose1 w:val="00000000000000000000"/>
    <w:charset w:val="86"/>
    <w:family w:val="modern"/>
    <w:pitch w:val="default"/>
    <w:sig w:usb0="00000000" w:usb1="00000000" w:usb2="00000010" w:usb3="00000000" w:csb0="00040000" w:csb1="00000000"/>
  </w:font>
  <w:font w:name="仿宋_GB2312">
    <w:panose1 w:val="02010609030101010101"/>
    <w:charset w:val="86"/>
    <w:family w:val="modern"/>
    <w:pitch w:val="default"/>
    <w:sig w:usb0="00000001" w:usb1="080E0000" w:usb2="00000000" w:usb3="00000000" w:csb0="00040000" w:csb1="00000000"/>
    <w:embedRegular r:id="rId9" w:fontKey="{EBD7A395-7871-4B97-BE3D-78B86FE2CF3B}"/>
  </w:font>
  <w:font w:name="方正小标宋简体">
    <w:panose1 w:val="02010601030101010101"/>
    <w:charset w:val="86"/>
    <w:family w:val="auto"/>
    <w:pitch w:val="default"/>
    <w:sig w:usb0="00000001" w:usb1="080E0000" w:usb2="00000000" w:usb3="00000000" w:csb0="00040000" w:csb1="00000000"/>
  </w:font>
  <w:font w:name="方正小标宋_GBK">
    <w:panose1 w:val="03000509000000000000"/>
    <w:charset w:val="86"/>
    <w:family w:val="script"/>
    <w:pitch w:val="default"/>
    <w:sig w:usb0="00000001" w:usb1="080E0000" w:usb2="00000000" w:usb3="00000000" w:csb0="00040000" w:csb1="00000000"/>
    <w:embedRegular r:id="rId10" w:fontKey="{BCD8DD84-C4FB-4FD5-8D71-718A1A39DA85}"/>
  </w:font>
  <w:font w:name="楷体">
    <w:panose1 w:val="02010609060101010101"/>
    <w:charset w:val="86"/>
    <w:family w:val="modern"/>
    <w:pitch w:val="default"/>
    <w:sig w:usb0="800002BF" w:usb1="38CF7CFA" w:usb2="00000016" w:usb3="00000000" w:csb0="00040001" w:csb1="00000000"/>
    <w:embedRegular r:id="rId11" w:fontKey="{79F47A02-13E2-4AE3-9BEC-30480A366F67}"/>
  </w:font>
  <w:font w:name="微软雅黑">
    <w:panose1 w:val="020B0503020204020204"/>
    <w:charset w:val="86"/>
    <w:family w:val="auto"/>
    <w:pitch w:val="default"/>
    <w:sig w:usb0="80000287" w:usb1="2ACF3C50" w:usb2="00000016" w:usb3="00000000" w:csb0="0004001F" w:csb1="00000000"/>
    <w:embedRegular r:id="rId12" w:fontKey="{DBD38140-BD23-4101-B22B-69C86CEF901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0FBBB55">
    <w:pPr>
      <w:pStyle w:val="12"/>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4B2DEB7">
                          <w:pPr>
                            <w:pStyle w:val="12"/>
                          </w:pPr>
                          <w:r>
                            <w:fldChar w:fldCharType="begin"/>
                          </w:r>
                          <w:r>
                            <w:instrText xml:space="preserve"> PAGE  \* MERGEFORMAT </w:instrText>
                          </w:r>
                          <w:r>
                            <w:fldChar w:fldCharType="separate"/>
                          </w:r>
                          <w:r>
                            <w:t>13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2Zxg5DICAABjBAAADgAAAAAAAAABACAAAAAfAQAAZHJzL2Uyb0RvYy54bWxQSwUG&#10;AAAAAAYABgBZAQAAwwUAAAAA&#10;">
              <v:fill on="f" focussize="0,0"/>
              <v:stroke on="f" weight="0.5pt"/>
              <v:imagedata o:title=""/>
              <o:lock v:ext="edit" aspectratio="f"/>
              <v:textbox inset="0mm,0mm,0mm,0mm" style="mso-fit-shape-to-text:t;">
                <w:txbxContent>
                  <w:p w14:paraId="44B2DEB7">
                    <w:pPr>
                      <w:pStyle w:val="12"/>
                    </w:pPr>
                    <w:r>
                      <w:fldChar w:fldCharType="begin"/>
                    </w:r>
                    <w:r>
                      <w:instrText xml:space="preserve"> PAGE  \* MERGEFORMAT </w:instrText>
                    </w:r>
                    <w:r>
                      <w:fldChar w:fldCharType="separate"/>
                    </w:r>
                    <w:r>
                      <w:t>13</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3C38CFD"/>
    <w:multiLevelType w:val="singleLevel"/>
    <w:tmpl w:val="C3C38CFD"/>
    <w:lvl w:ilvl="0" w:tentative="0">
      <w:start w:val="3"/>
      <w:numFmt w:val="decimal"/>
      <w:suff w:val="nothing"/>
      <w:lvlText w:val="（%1）"/>
      <w:lvlJc w:val="left"/>
    </w:lvl>
  </w:abstractNum>
  <w:abstractNum w:abstractNumId="1">
    <w:nsid w:val="E8DA9C4C"/>
    <w:multiLevelType w:val="singleLevel"/>
    <w:tmpl w:val="E8DA9C4C"/>
    <w:lvl w:ilvl="0" w:tentative="0">
      <w:start w:val="5"/>
      <w:numFmt w:val="chineseCounting"/>
      <w:suff w:val="nothing"/>
      <w:lvlText w:val="（%1）"/>
      <w:lvlJc w:val="left"/>
      <w:rPr>
        <w:rFonts w:hint="eastAsia"/>
      </w:rPr>
    </w:lvl>
  </w:abstractNum>
  <w:abstractNum w:abstractNumId="2">
    <w:nsid w:val="ED537D19"/>
    <w:multiLevelType w:val="singleLevel"/>
    <w:tmpl w:val="ED537D19"/>
    <w:lvl w:ilvl="0" w:tentative="0">
      <w:start w:val="2"/>
      <w:numFmt w:val="decimal"/>
      <w:lvlText w:val="(%1)"/>
      <w:lvlJc w:val="left"/>
      <w:pPr>
        <w:tabs>
          <w:tab w:val="left" w:pos="312"/>
        </w:tabs>
      </w:pPr>
    </w:lvl>
  </w:abstractNum>
  <w:abstractNum w:abstractNumId="3">
    <w:nsid w:val="06830D9A"/>
    <w:multiLevelType w:val="multilevel"/>
    <w:tmpl w:val="06830D9A"/>
    <w:lvl w:ilvl="0" w:tentative="0">
      <w:start w:val="1"/>
      <w:numFmt w:val="decimal"/>
      <w:lvlText w:val="%1"/>
      <w:lvlJc w:val="left"/>
      <w:pPr>
        <w:ind w:left="425" w:hanging="425"/>
      </w:pPr>
      <w:rPr>
        <w:rFonts w:hint="eastAsia"/>
      </w:rPr>
    </w:lvl>
    <w:lvl w:ilvl="1" w:tentative="0">
      <w:start w:val="1"/>
      <w:numFmt w:val="decimal"/>
      <w:lvlText w:val="%1.%2"/>
      <w:lvlJc w:val="left"/>
      <w:pPr>
        <w:ind w:left="992" w:hanging="567"/>
      </w:pPr>
      <w:rPr>
        <w:rFonts w:hint="eastAsia"/>
      </w:rPr>
    </w:lvl>
    <w:lvl w:ilvl="2" w:tentative="0">
      <w:start w:val="1"/>
      <w:numFmt w:val="decimal"/>
      <w:lvlText w:val="%1.%2.%3"/>
      <w:lvlJc w:val="left"/>
      <w:pPr>
        <w:ind w:left="1702"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4">
    <w:nsid w:val="3A7260C0"/>
    <w:multiLevelType w:val="multilevel"/>
    <w:tmpl w:val="3A7260C0"/>
    <w:lvl w:ilvl="0" w:tentative="0">
      <w:start w:val="1"/>
      <w:numFmt w:val="chineseCountingThousand"/>
      <w:pStyle w:val="43"/>
      <w:lvlText w:val="(%1)"/>
      <w:lvlJc w:val="left"/>
      <w:pPr>
        <w:ind w:left="988"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4BBB029A"/>
    <w:multiLevelType w:val="multilevel"/>
    <w:tmpl w:val="4BBB029A"/>
    <w:lvl w:ilvl="0" w:tentative="0">
      <w:start w:val="1"/>
      <w:numFmt w:val="decimal"/>
      <w:pStyle w:val="4"/>
      <w:lvlText w:val="%1.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586DE0EC"/>
    <w:multiLevelType w:val="singleLevel"/>
    <w:tmpl w:val="586DE0EC"/>
    <w:lvl w:ilvl="0" w:tentative="0">
      <w:start w:val="1"/>
      <w:numFmt w:val="decimal"/>
      <w:suff w:val="nothing"/>
      <w:lvlText w:val="（%1）"/>
      <w:lvlJc w:val="left"/>
    </w:lvl>
  </w:abstractNum>
  <w:abstractNum w:abstractNumId="7">
    <w:nsid w:val="6EA16E0C"/>
    <w:multiLevelType w:val="multilevel"/>
    <w:tmpl w:val="6EA16E0C"/>
    <w:lvl w:ilvl="0" w:tentative="0">
      <w:start w:val="1"/>
      <w:numFmt w:val="decimal"/>
      <w:pStyle w:val="5"/>
      <w:lvlText w:val="%1.1.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5"/>
  </w:num>
  <w:num w:numId="2">
    <w:abstractNumId w:val="7"/>
  </w:num>
  <w:num w:numId="3">
    <w:abstractNumId w:val="4"/>
  </w:num>
  <w:num w:numId="4">
    <w:abstractNumId w:val="3"/>
  </w:num>
  <w:num w:numId="5">
    <w:abstractNumId w:val="6"/>
  </w:num>
  <w:num w:numId="6">
    <w:abstractNumId w:val="2"/>
  </w:num>
  <w:num w:numId="7">
    <w:abstractNumId w:val="1"/>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TrueTypeFonts/>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hdrShapeDefaults>
    <o:shapelayout v:ext="edit">
      <o:idmap v:ext="edit" data="1"/>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TQxYWQ0OWQxNDM3Y2IxYWFiMWMxZjMzN2QxNjEzZDUifQ=="/>
  </w:docVars>
  <w:rsids>
    <w:rsidRoot w:val="00414B7D"/>
    <w:rsid w:val="00016E08"/>
    <w:rsid w:val="00021851"/>
    <w:rsid w:val="00024B57"/>
    <w:rsid w:val="00036D0D"/>
    <w:rsid w:val="00036D41"/>
    <w:rsid w:val="00046D50"/>
    <w:rsid w:val="000475FC"/>
    <w:rsid w:val="00082C50"/>
    <w:rsid w:val="0008358D"/>
    <w:rsid w:val="00083F67"/>
    <w:rsid w:val="00087E49"/>
    <w:rsid w:val="000B0B81"/>
    <w:rsid w:val="000B1623"/>
    <w:rsid w:val="000B1CCE"/>
    <w:rsid w:val="000C3557"/>
    <w:rsid w:val="000C5082"/>
    <w:rsid w:val="000D57B9"/>
    <w:rsid w:val="000E1377"/>
    <w:rsid w:val="000F719E"/>
    <w:rsid w:val="00103F61"/>
    <w:rsid w:val="001040BC"/>
    <w:rsid w:val="00107A8F"/>
    <w:rsid w:val="00130F27"/>
    <w:rsid w:val="00136B2F"/>
    <w:rsid w:val="00160CDB"/>
    <w:rsid w:val="00161F5F"/>
    <w:rsid w:val="00162F2E"/>
    <w:rsid w:val="001764F0"/>
    <w:rsid w:val="00176DFF"/>
    <w:rsid w:val="001825A2"/>
    <w:rsid w:val="00186F45"/>
    <w:rsid w:val="00187575"/>
    <w:rsid w:val="001C1801"/>
    <w:rsid w:val="001C64B5"/>
    <w:rsid w:val="0020463E"/>
    <w:rsid w:val="0021140C"/>
    <w:rsid w:val="00230276"/>
    <w:rsid w:val="00230A7C"/>
    <w:rsid w:val="002358FA"/>
    <w:rsid w:val="0023779B"/>
    <w:rsid w:val="002443C4"/>
    <w:rsid w:val="0025623B"/>
    <w:rsid w:val="00257940"/>
    <w:rsid w:val="0027097D"/>
    <w:rsid w:val="00271E15"/>
    <w:rsid w:val="0027684A"/>
    <w:rsid w:val="00276A45"/>
    <w:rsid w:val="00282C28"/>
    <w:rsid w:val="0029663F"/>
    <w:rsid w:val="00297D3C"/>
    <w:rsid w:val="002A49E8"/>
    <w:rsid w:val="002A64D8"/>
    <w:rsid w:val="002A6ECE"/>
    <w:rsid w:val="002B2807"/>
    <w:rsid w:val="002C092D"/>
    <w:rsid w:val="002C1471"/>
    <w:rsid w:val="002C7301"/>
    <w:rsid w:val="002D239F"/>
    <w:rsid w:val="002D49A2"/>
    <w:rsid w:val="002E3475"/>
    <w:rsid w:val="002F2ABF"/>
    <w:rsid w:val="002F5C69"/>
    <w:rsid w:val="00300C5C"/>
    <w:rsid w:val="00334AA6"/>
    <w:rsid w:val="00335ABC"/>
    <w:rsid w:val="0035174C"/>
    <w:rsid w:val="00353891"/>
    <w:rsid w:val="00357062"/>
    <w:rsid w:val="003762B7"/>
    <w:rsid w:val="00377AB2"/>
    <w:rsid w:val="003963D0"/>
    <w:rsid w:val="003A243D"/>
    <w:rsid w:val="003A3F8A"/>
    <w:rsid w:val="003D3349"/>
    <w:rsid w:val="003F5B9B"/>
    <w:rsid w:val="003F5E87"/>
    <w:rsid w:val="003F7B44"/>
    <w:rsid w:val="00403605"/>
    <w:rsid w:val="00414B7D"/>
    <w:rsid w:val="00425B0B"/>
    <w:rsid w:val="00427588"/>
    <w:rsid w:val="0044086E"/>
    <w:rsid w:val="0044115C"/>
    <w:rsid w:val="004419BF"/>
    <w:rsid w:val="004446AF"/>
    <w:rsid w:val="00456D64"/>
    <w:rsid w:val="00461A03"/>
    <w:rsid w:val="00461C13"/>
    <w:rsid w:val="00466D62"/>
    <w:rsid w:val="00480EBB"/>
    <w:rsid w:val="004837BC"/>
    <w:rsid w:val="00491DC0"/>
    <w:rsid w:val="0049279D"/>
    <w:rsid w:val="004929DD"/>
    <w:rsid w:val="004A17A9"/>
    <w:rsid w:val="004A3BA3"/>
    <w:rsid w:val="004C27AA"/>
    <w:rsid w:val="004C4305"/>
    <w:rsid w:val="004C48B5"/>
    <w:rsid w:val="004D64A9"/>
    <w:rsid w:val="004F5174"/>
    <w:rsid w:val="004F7E0C"/>
    <w:rsid w:val="00505ACA"/>
    <w:rsid w:val="00520F1C"/>
    <w:rsid w:val="0052602D"/>
    <w:rsid w:val="00535343"/>
    <w:rsid w:val="0054358D"/>
    <w:rsid w:val="005510BE"/>
    <w:rsid w:val="0055540B"/>
    <w:rsid w:val="005674C1"/>
    <w:rsid w:val="005A11A3"/>
    <w:rsid w:val="005A299C"/>
    <w:rsid w:val="005B40F5"/>
    <w:rsid w:val="005B5C85"/>
    <w:rsid w:val="005D2E62"/>
    <w:rsid w:val="005D3B9D"/>
    <w:rsid w:val="00621D18"/>
    <w:rsid w:val="006264C5"/>
    <w:rsid w:val="006276D2"/>
    <w:rsid w:val="00633F43"/>
    <w:rsid w:val="00635FD4"/>
    <w:rsid w:val="006451C9"/>
    <w:rsid w:val="00682CC7"/>
    <w:rsid w:val="006838D1"/>
    <w:rsid w:val="00683B82"/>
    <w:rsid w:val="006A0C6F"/>
    <w:rsid w:val="006A530D"/>
    <w:rsid w:val="006B5D89"/>
    <w:rsid w:val="006E0F22"/>
    <w:rsid w:val="006F03CF"/>
    <w:rsid w:val="006F614A"/>
    <w:rsid w:val="00706A4E"/>
    <w:rsid w:val="007115C8"/>
    <w:rsid w:val="00722E10"/>
    <w:rsid w:val="00752CB5"/>
    <w:rsid w:val="00760C80"/>
    <w:rsid w:val="00765FA0"/>
    <w:rsid w:val="00770E0C"/>
    <w:rsid w:val="00776C05"/>
    <w:rsid w:val="00783B17"/>
    <w:rsid w:val="00796661"/>
    <w:rsid w:val="007A3C4B"/>
    <w:rsid w:val="007B38F5"/>
    <w:rsid w:val="007C462B"/>
    <w:rsid w:val="007C6866"/>
    <w:rsid w:val="007D1B86"/>
    <w:rsid w:val="007D58AE"/>
    <w:rsid w:val="007E49F4"/>
    <w:rsid w:val="007F5B60"/>
    <w:rsid w:val="00804413"/>
    <w:rsid w:val="0080484E"/>
    <w:rsid w:val="00807F37"/>
    <w:rsid w:val="00813205"/>
    <w:rsid w:val="00853D02"/>
    <w:rsid w:val="008726A9"/>
    <w:rsid w:val="00873B68"/>
    <w:rsid w:val="008741FC"/>
    <w:rsid w:val="008764E8"/>
    <w:rsid w:val="008B08D1"/>
    <w:rsid w:val="008C646A"/>
    <w:rsid w:val="008C6AA7"/>
    <w:rsid w:val="008D2C5C"/>
    <w:rsid w:val="008E0491"/>
    <w:rsid w:val="008E496C"/>
    <w:rsid w:val="009167F1"/>
    <w:rsid w:val="00932232"/>
    <w:rsid w:val="00942A28"/>
    <w:rsid w:val="00952F6D"/>
    <w:rsid w:val="00957616"/>
    <w:rsid w:val="00960A8B"/>
    <w:rsid w:val="00974DAE"/>
    <w:rsid w:val="00975A3A"/>
    <w:rsid w:val="00987C5A"/>
    <w:rsid w:val="0099597E"/>
    <w:rsid w:val="0099715E"/>
    <w:rsid w:val="009A4DCB"/>
    <w:rsid w:val="009A507D"/>
    <w:rsid w:val="009B213F"/>
    <w:rsid w:val="009B47A3"/>
    <w:rsid w:val="009B5649"/>
    <w:rsid w:val="009B56E1"/>
    <w:rsid w:val="009C110C"/>
    <w:rsid w:val="009C79C7"/>
    <w:rsid w:val="009D79E4"/>
    <w:rsid w:val="009E5C35"/>
    <w:rsid w:val="009F3991"/>
    <w:rsid w:val="009F3EFC"/>
    <w:rsid w:val="009F6B69"/>
    <w:rsid w:val="00A10B96"/>
    <w:rsid w:val="00A177CD"/>
    <w:rsid w:val="00A202D7"/>
    <w:rsid w:val="00A21618"/>
    <w:rsid w:val="00A21665"/>
    <w:rsid w:val="00A225EB"/>
    <w:rsid w:val="00A262B3"/>
    <w:rsid w:val="00A35141"/>
    <w:rsid w:val="00A35A5E"/>
    <w:rsid w:val="00A415E3"/>
    <w:rsid w:val="00A426D9"/>
    <w:rsid w:val="00A45F48"/>
    <w:rsid w:val="00A621B0"/>
    <w:rsid w:val="00A72180"/>
    <w:rsid w:val="00A74E49"/>
    <w:rsid w:val="00A773A3"/>
    <w:rsid w:val="00AA252A"/>
    <w:rsid w:val="00AA2C44"/>
    <w:rsid w:val="00AC2A90"/>
    <w:rsid w:val="00AD43E3"/>
    <w:rsid w:val="00AE34E7"/>
    <w:rsid w:val="00AF0AFB"/>
    <w:rsid w:val="00AF7214"/>
    <w:rsid w:val="00B03232"/>
    <w:rsid w:val="00B053C8"/>
    <w:rsid w:val="00B05937"/>
    <w:rsid w:val="00B10C7D"/>
    <w:rsid w:val="00B12A63"/>
    <w:rsid w:val="00B143E3"/>
    <w:rsid w:val="00B20D12"/>
    <w:rsid w:val="00B219EF"/>
    <w:rsid w:val="00B4360F"/>
    <w:rsid w:val="00B46B99"/>
    <w:rsid w:val="00B4775C"/>
    <w:rsid w:val="00B54402"/>
    <w:rsid w:val="00B6760A"/>
    <w:rsid w:val="00B83DC4"/>
    <w:rsid w:val="00BB7563"/>
    <w:rsid w:val="00BC0899"/>
    <w:rsid w:val="00BE28B4"/>
    <w:rsid w:val="00C0298E"/>
    <w:rsid w:val="00C13121"/>
    <w:rsid w:val="00C17077"/>
    <w:rsid w:val="00C1762E"/>
    <w:rsid w:val="00C20D59"/>
    <w:rsid w:val="00C37C3C"/>
    <w:rsid w:val="00C47601"/>
    <w:rsid w:val="00C53CE0"/>
    <w:rsid w:val="00C553E8"/>
    <w:rsid w:val="00C64B66"/>
    <w:rsid w:val="00C669C6"/>
    <w:rsid w:val="00C735FC"/>
    <w:rsid w:val="00C7792A"/>
    <w:rsid w:val="00C87D33"/>
    <w:rsid w:val="00C900CB"/>
    <w:rsid w:val="00C90434"/>
    <w:rsid w:val="00CA6ECC"/>
    <w:rsid w:val="00CB23FF"/>
    <w:rsid w:val="00CD5385"/>
    <w:rsid w:val="00CF007C"/>
    <w:rsid w:val="00CF08F6"/>
    <w:rsid w:val="00D02D71"/>
    <w:rsid w:val="00D21A15"/>
    <w:rsid w:val="00D51B3C"/>
    <w:rsid w:val="00D70DBE"/>
    <w:rsid w:val="00D85954"/>
    <w:rsid w:val="00D868FA"/>
    <w:rsid w:val="00D942D8"/>
    <w:rsid w:val="00DA1E6E"/>
    <w:rsid w:val="00DF6D58"/>
    <w:rsid w:val="00DF79A0"/>
    <w:rsid w:val="00E01285"/>
    <w:rsid w:val="00E06E72"/>
    <w:rsid w:val="00E101C5"/>
    <w:rsid w:val="00E14352"/>
    <w:rsid w:val="00E25CE9"/>
    <w:rsid w:val="00E25E58"/>
    <w:rsid w:val="00E274D7"/>
    <w:rsid w:val="00E35680"/>
    <w:rsid w:val="00E52AFF"/>
    <w:rsid w:val="00E54E41"/>
    <w:rsid w:val="00E77BFD"/>
    <w:rsid w:val="00EA4F02"/>
    <w:rsid w:val="00EA52D5"/>
    <w:rsid w:val="00EA62F4"/>
    <w:rsid w:val="00EE64AF"/>
    <w:rsid w:val="00EF0362"/>
    <w:rsid w:val="00EF7923"/>
    <w:rsid w:val="00F0169E"/>
    <w:rsid w:val="00F02ECD"/>
    <w:rsid w:val="00F03FEA"/>
    <w:rsid w:val="00F32F3A"/>
    <w:rsid w:val="00F3638E"/>
    <w:rsid w:val="00F37675"/>
    <w:rsid w:val="00F52189"/>
    <w:rsid w:val="00F843F0"/>
    <w:rsid w:val="00F845E1"/>
    <w:rsid w:val="00F87D7A"/>
    <w:rsid w:val="00F90E9A"/>
    <w:rsid w:val="00F9178B"/>
    <w:rsid w:val="00FA2D92"/>
    <w:rsid w:val="00FA79ED"/>
    <w:rsid w:val="00FB055D"/>
    <w:rsid w:val="00FB13FC"/>
    <w:rsid w:val="00FB20DA"/>
    <w:rsid w:val="00FB212B"/>
    <w:rsid w:val="00FC0C10"/>
    <w:rsid w:val="00FC1F1B"/>
    <w:rsid w:val="00FC312F"/>
    <w:rsid w:val="00FD336C"/>
    <w:rsid w:val="011C5968"/>
    <w:rsid w:val="017A1376"/>
    <w:rsid w:val="019C1042"/>
    <w:rsid w:val="01D976F9"/>
    <w:rsid w:val="01DB05CA"/>
    <w:rsid w:val="02C624B1"/>
    <w:rsid w:val="02E24B65"/>
    <w:rsid w:val="031B4FD7"/>
    <w:rsid w:val="03384BB1"/>
    <w:rsid w:val="033B3541"/>
    <w:rsid w:val="03685B95"/>
    <w:rsid w:val="03A17C2D"/>
    <w:rsid w:val="03C9420E"/>
    <w:rsid w:val="03EC6EBA"/>
    <w:rsid w:val="03EE2230"/>
    <w:rsid w:val="043F0DA3"/>
    <w:rsid w:val="045545F7"/>
    <w:rsid w:val="04A406D7"/>
    <w:rsid w:val="04BC5076"/>
    <w:rsid w:val="04DD3CEE"/>
    <w:rsid w:val="05403880"/>
    <w:rsid w:val="05466AD0"/>
    <w:rsid w:val="057D1D75"/>
    <w:rsid w:val="05AE6F6A"/>
    <w:rsid w:val="063F521C"/>
    <w:rsid w:val="06766A33"/>
    <w:rsid w:val="068D2C76"/>
    <w:rsid w:val="06D21523"/>
    <w:rsid w:val="072D56D3"/>
    <w:rsid w:val="073076D9"/>
    <w:rsid w:val="07722B91"/>
    <w:rsid w:val="07867BF0"/>
    <w:rsid w:val="07E36243"/>
    <w:rsid w:val="0822779D"/>
    <w:rsid w:val="086039B5"/>
    <w:rsid w:val="089C44B6"/>
    <w:rsid w:val="08E806AC"/>
    <w:rsid w:val="09035DC8"/>
    <w:rsid w:val="092B1014"/>
    <w:rsid w:val="093A1BBD"/>
    <w:rsid w:val="09415222"/>
    <w:rsid w:val="09580A5C"/>
    <w:rsid w:val="09A37E69"/>
    <w:rsid w:val="09CA6A7A"/>
    <w:rsid w:val="09CB150A"/>
    <w:rsid w:val="09DC263D"/>
    <w:rsid w:val="09EC6DE6"/>
    <w:rsid w:val="0A037E2F"/>
    <w:rsid w:val="0A0402F4"/>
    <w:rsid w:val="0A5343BB"/>
    <w:rsid w:val="0A844F3D"/>
    <w:rsid w:val="0A870EFF"/>
    <w:rsid w:val="0A9224F0"/>
    <w:rsid w:val="0AA243BD"/>
    <w:rsid w:val="0AB358AB"/>
    <w:rsid w:val="0AC26F81"/>
    <w:rsid w:val="0AE64A4E"/>
    <w:rsid w:val="0B4777AE"/>
    <w:rsid w:val="0BC43BCA"/>
    <w:rsid w:val="0C1E6CF7"/>
    <w:rsid w:val="0C4C516B"/>
    <w:rsid w:val="0C5149F8"/>
    <w:rsid w:val="0C6100E9"/>
    <w:rsid w:val="0C9408B1"/>
    <w:rsid w:val="0CD12227"/>
    <w:rsid w:val="0D4A7C88"/>
    <w:rsid w:val="0D681993"/>
    <w:rsid w:val="0D9E1D21"/>
    <w:rsid w:val="0D9F2933"/>
    <w:rsid w:val="0DA94513"/>
    <w:rsid w:val="0DBD4354"/>
    <w:rsid w:val="0DC93204"/>
    <w:rsid w:val="0E020B6B"/>
    <w:rsid w:val="0E1D36E7"/>
    <w:rsid w:val="0E5C62A4"/>
    <w:rsid w:val="0EC72756"/>
    <w:rsid w:val="0EFF4355"/>
    <w:rsid w:val="0F397B92"/>
    <w:rsid w:val="0F4C711B"/>
    <w:rsid w:val="0F6B1F68"/>
    <w:rsid w:val="0F704B97"/>
    <w:rsid w:val="0FCC46EF"/>
    <w:rsid w:val="104D2185"/>
    <w:rsid w:val="107E409D"/>
    <w:rsid w:val="10F351D8"/>
    <w:rsid w:val="10F54453"/>
    <w:rsid w:val="10FE360A"/>
    <w:rsid w:val="110A197C"/>
    <w:rsid w:val="11542761"/>
    <w:rsid w:val="11792180"/>
    <w:rsid w:val="1188035B"/>
    <w:rsid w:val="11C16297"/>
    <w:rsid w:val="11C87659"/>
    <w:rsid w:val="11F87298"/>
    <w:rsid w:val="128D210B"/>
    <w:rsid w:val="12940E0B"/>
    <w:rsid w:val="12BC68F7"/>
    <w:rsid w:val="12EB67CB"/>
    <w:rsid w:val="131D1FC0"/>
    <w:rsid w:val="13200321"/>
    <w:rsid w:val="133E3F47"/>
    <w:rsid w:val="14530434"/>
    <w:rsid w:val="145D32C7"/>
    <w:rsid w:val="148D2343"/>
    <w:rsid w:val="14FD2BB2"/>
    <w:rsid w:val="151547B8"/>
    <w:rsid w:val="15294C1C"/>
    <w:rsid w:val="154510DF"/>
    <w:rsid w:val="15AE6A1E"/>
    <w:rsid w:val="16181B81"/>
    <w:rsid w:val="163E45AA"/>
    <w:rsid w:val="16453E27"/>
    <w:rsid w:val="16465A40"/>
    <w:rsid w:val="16AD702C"/>
    <w:rsid w:val="16DD6B31"/>
    <w:rsid w:val="17393921"/>
    <w:rsid w:val="17461C62"/>
    <w:rsid w:val="17AA48DE"/>
    <w:rsid w:val="17E62AA7"/>
    <w:rsid w:val="17EF2C21"/>
    <w:rsid w:val="17F4424E"/>
    <w:rsid w:val="189A61CB"/>
    <w:rsid w:val="18EF46F1"/>
    <w:rsid w:val="19165ED3"/>
    <w:rsid w:val="196116C8"/>
    <w:rsid w:val="19837757"/>
    <w:rsid w:val="1A2447D6"/>
    <w:rsid w:val="1A4F2ED7"/>
    <w:rsid w:val="1A6B70D6"/>
    <w:rsid w:val="1B2D22B9"/>
    <w:rsid w:val="1B3C6251"/>
    <w:rsid w:val="1BDB434B"/>
    <w:rsid w:val="1BFF75B4"/>
    <w:rsid w:val="1CCD3ED3"/>
    <w:rsid w:val="1D0826D3"/>
    <w:rsid w:val="1D3C33F2"/>
    <w:rsid w:val="1D74030A"/>
    <w:rsid w:val="1DFB75CB"/>
    <w:rsid w:val="1E1910DF"/>
    <w:rsid w:val="1E6D4B2B"/>
    <w:rsid w:val="1E765D9E"/>
    <w:rsid w:val="1E852558"/>
    <w:rsid w:val="1EA43555"/>
    <w:rsid w:val="1EC62B79"/>
    <w:rsid w:val="1F270062"/>
    <w:rsid w:val="1F3D026E"/>
    <w:rsid w:val="1F4024E6"/>
    <w:rsid w:val="1F8054F8"/>
    <w:rsid w:val="1FC90F95"/>
    <w:rsid w:val="201A26D0"/>
    <w:rsid w:val="20413C5F"/>
    <w:rsid w:val="209E1CA7"/>
    <w:rsid w:val="20B31AFE"/>
    <w:rsid w:val="20D47D98"/>
    <w:rsid w:val="21164FA2"/>
    <w:rsid w:val="211A247A"/>
    <w:rsid w:val="21311EA5"/>
    <w:rsid w:val="213F555E"/>
    <w:rsid w:val="216C490B"/>
    <w:rsid w:val="21832154"/>
    <w:rsid w:val="2183368C"/>
    <w:rsid w:val="21C25F7F"/>
    <w:rsid w:val="21C86D7A"/>
    <w:rsid w:val="21F148E9"/>
    <w:rsid w:val="21F9422C"/>
    <w:rsid w:val="21FA4D09"/>
    <w:rsid w:val="22A23A20"/>
    <w:rsid w:val="22F35566"/>
    <w:rsid w:val="23B679CE"/>
    <w:rsid w:val="23DE067B"/>
    <w:rsid w:val="2449672E"/>
    <w:rsid w:val="25177E64"/>
    <w:rsid w:val="25BC2B1C"/>
    <w:rsid w:val="26311933"/>
    <w:rsid w:val="263521FC"/>
    <w:rsid w:val="26A02230"/>
    <w:rsid w:val="26A946F1"/>
    <w:rsid w:val="270F717E"/>
    <w:rsid w:val="27430DFA"/>
    <w:rsid w:val="27D23000"/>
    <w:rsid w:val="287F0225"/>
    <w:rsid w:val="2888633C"/>
    <w:rsid w:val="28967876"/>
    <w:rsid w:val="28DC6D8D"/>
    <w:rsid w:val="28E658A2"/>
    <w:rsid w:val="2934369F"/>
    <w:rsid w:val="293539E2"/>
    <w:rsid w:val="294806D3"/>
    <w:rsid w:val="29584F90"/>
    <w:rsid w:val="29601992"/>
    <w:rsid w:val="29700F10"/>
    <w:rsid w:val="29C75BF1"/>
    <w:rsid w:val="2A3537E9"/>
    <w:rsid w:val="2B116393"/>
    <w:rsid w:val="2B280230"/>
    <w:rsid w:val="2B2B6B34"/>
    <w:rsid w:val="2B3C1752"/>
    <w:rsid w:val="2B6407D7"/>
    <w:rsid w:val="2B68020E"/>
    <w:rsid w:val="2BC96FB4"/>
    <w:rsid w:val="2BCB1CCD"/>
    <w:rsid w:val="2BED42B0"/>
    <w:rsid w:val="2BF72439"/>
    <w:rsid w:val="2C120FBA"/>
    <w:rsid w:val="2C2926C2"/>
    <w:rsid w:val="2C2D516F"/>
    <w:rsid w:val="2CF23076"/>
    <w:rsid w:val="2D1550EE"/>
    <w:rsid w:val="2D1E6D44"/>
    <w:rsid w:val="2D270E95"/>
    <w:rsid w:val="2D3B7778"/>
    <w:rsid w:val="2DA43847"/>
    <w:rsid w:val="2DBF0548"/>
    <w:rsid w:val="2DDB109D"/>
    <w:rsid w:val="2DE67EA2"/>
    <w:rsid w:val="2E28596F"/>
    <w:rsid w:val="2E503645"/>
    <w:rsid w:val="2E8F6D9B"/>
    <w:rsid w:val="2E943024"/>
    <w:rsid w:val="2EDF68F8"/>
    <w:rsid w:val="2F545A81"/>
    <w:rsid w:val="2F676C11"/>
    <w:rsid w:val="2F6D2B41"/>
    <w:rsid w:val="301532EA"/>
    <w:rsid w:val="30377C0B"/>
    <w:rsid w:val="303C7515"/>
    <w:rsid w:val="30450F97"/>
    <w:rsid w:val="30592DBB"/>
    <w:rsid w:val="309B5AA8"/>
    <w:rsid w:val="30D74F49"/>
    <w:rsid w:val="31032936"/>
    <w:rsid w:val="310E7A63"/>
    <w:rsid w:val="315F2B6B"/>
    <w:rsid w:val="31C75A19"/>
    <w:rsid w:val="31F65444"/>
    <w:rsid w:val="31FD2DFF"/>
    <w:rsid w:val="31FE1724"/>
    <w:rsid w:val="32393EA5"/>
    <w:rsid w:val="32505F18"/>
    <w:rsid w:val="325B5CA8"/>
    <w:rsid w:val="32844C58"/>
    <w:rsid w:val="328E5B43"/>
    <w:rsid w:val="32E57142"/>
    <w:rsid w:val="330149B7"/>
    <w:rsid w:val="33062B8C"/>
    <w:rsid w:val="3314415B"/>
    <w:rsid w:val="3373322C"/>
    <w:rsid w:val="343E2D93"/>
    <w:rsid w:val="345D70F2"/>
    <w:rsid w:val="348A0827"/>
    <w:rsid w:val="34DF4479"/>
    <w:rsid w:val="353C2939"/>
    <w:rsid w:val="35956D0A"/>
    <w:rsid w:val="35AC7563"/>
    <w:rsid w:val="35C325F8"/>
    <w:rsid w:val="35E36877"/>
    <w:rsid w:val="35E55CD1"/>
    <w:rsid w:val="35EC1630"/>
    <w:rsid w:val="35EF4932"/>
    <w:rsid w:val="361653D4"/>
    <w:rsid w:val="36723A2B"/>
    <w:rsid w:val="3678556E"/>
    <w:rsid w:val="36C40E55"/>
    <w:rsid w:val="36EF37C9"/>
    <w:rsid w:val="37685E7A"/>
    <w:rsid w:val="37800460"/>
    <w:rsid w:val="37920AEE"/>
    <w:rsid w:val="37D556C3"/>
    <w:rsid w:val="384A7A41"/>
    <w:rsid w:val="385B2EF8"/>
    <w:rsid w:val="38905D39"/>
    <w:rsid w:val="38A774A1"/>
    <w:rsid w:val="38B2148E"/>
    <w:rsid w:val="38C068C5"/>
    <w:rsid w:val="38D94CED"/>
    <w:rsid w:val="391E1F52"/>
    <w:rsid w:val="39465DF3"/>
    <w:rsid w:val="394A5FF0"/>
    <w:rsid w:val="396B5391"/>
    <w:rsid w:val="3A593B03"/>
    <w:rsid w:val="3A7845C1"/>
    <w:rsid w:val="3A914A27"/>
    <w:rsid w:val="3B28254F"/>
    <w:rsid w:val="3B352BD2"/>
    <w:rsid w:val="3B43014D"/>
    <w:rsid w:val="3BB719E6"/>
    <w:rsid w:val="3BCC0025"/>
    <w:rsid w:val="3BCF17A7"/>
    <w:rsid w:val="3C052A44"/>
    <w:rsid w:val="3C3505F9"/>
    <w:rsid w:val="3C356645"/>
    <w:rsid w:val="3CAC15D2"/>
    <w:rsid w:val="3CB20F70"/>
    <w:rsid w:val="3D061283"/>
    <w:rsid w:val="3DD72468"/>
    <w:rsid w:val="3DDA79A5"/>
    <w:rsid w:val="3E054764"/>
    <w:rsid w:val="3E107CA2"/>
    <w:rsid w:val="3E4B02B0"/>
    <w:rsid w:val="3E504A51"/>
    <w:rsid w:val="3E5D7F6D"/>
    <w:rsid w:val="3E720BBD"/>
    <w:rsid w:val="3E7F0FD3"/>
    <w:rsid w:val="3F3A7B06"/>
    <w:rsid w:val="3F4E727B"/>
    <w:rsid w:val="3F4E7974"/>
    <w:rsid w:val="3F8F4793"/>
    <w:rsid w:val="3F9600B4"/>
    <w:rsid w:val="3F9E131B"/>
    <w:rsid w:val="40214590"/>
    <w:rsid w:val="402B7E3F"/>
    <w:rsid w:val="40575044"/>
    <w:rsid w:val="40A1781F"/>
    <w:rsid w:val="40A801E1"/>
    <w:rsid w:val="40AB238A"/>
    <w:rsid w:val="411F71B7"/>
    <w:rsid w:val="41322588"/>
    <w:rsid w:val="41B32333"/>
    <w:rsid w:val="41DD6993"/>
    <w:rsid w:val="421D2353"/>
    <w:rsid w:val="427A506E"/>
    <w:rsid w:val="4284303B"/>
    <w:rsid w:val="42847D13"/>
    <w:rsid w:val="42AA07D4"/>
    <w:rsid w:val="42AD7A50"/>
    <w:rsid w:val="42CE1FCF"/>
    <w:rsid w:val="431E58B7"/>
    <w:rsid w:val="432B278D"/>
    <w:rsid w:val="43825D54"/>
    <w:rsid w:val="4388488F"/>
    <w:rsid w:val="43A8521B"/>
    <w:rsid w:val="440B04B5"/>
    <w:rsid w:val="443326F0"/>
    <w:rsid w:val="444D3426"/>
    <w:rsid w:val="446737BF"/>
    <w:rsid w:val="447A6FA6"/>
    <w:rsid w:val="449E3F2F"/>
    <w:rsid w:val="4553243B"/>
    <w:rsid w:val="45834774"/>
    <w:rsid w:val="459C3C24"/>
    <w:rsid w:val="45A80E97"/>
    <w:rsid w:val="467C1E8C"/>
    <w:rsid w:val="46897314"/>
    <w:rsid w:val="46E230E0"/>
    <w:rsid w:val="46E84D4F"/>
    <w:rsid w:val="470343A1"/>
    <w:rsid w:val="4713714A"/>
    <w:rsid w:val="472B474E"/>
    <w:rsid w:val="47802038"/>
    <w:rsid w:val="478B6735"/>
    <w:rsid w:val="47B324DC"/>
    <w:rsid w:val="47EB03B5"/>
    <w:rsid w:val="47FB099F"/>
    <w:rsid w:val="483504F4"/>
    <w:rsid w:val="48394494"/>
    <w:rsid w:val="48A7564B"/>
    <w:rsid w:val="48BD099B"/>
    <w:rsid w:val="48F74ABF"/>
    <w:rsid w:val="4940640D"/>
    <w:rsid w:val="49497549"/>
    <w:rsid w:val="497E123A"/>
    <w:rsid w:val="4993326C"/>
    <w:rsid w:val="49BF66B8"/>
    <w:rsid w:val="4A432BA3"/>
    <w:rsid w:val="4A72756B"/>
    <w:rsid w:val="4A797541"/>
    <w:rsid w:val="4A7F5FCD"/>
    <w:rsid w:val="4B010B09"/>
    <w:rsid w:val="4B154018"/>
    <w:rsid w:val="4BC149DF"/>
    <w:rsid w:val="4BE109CD"/>
    <w:rsid w:val="4BE30283"/>
    <w:rsid w:val="4BF37B2C"/>
    <w:rsid w:val="4CA87227"/>
    <w:rsid w:val="4CF31CB8"/>
    <w:rsid w:val="4D1E0B50"/>
    <w:rsid w:val="4D917D31"/>
    <w:rsid w:val="4E002236"/>
    <w:rsid w:val="4E4179EE"/>
    <w:rsid w:val="4E470433"/>
    <w:rsid w:val="4E767DC2"/>
    <w:rsid w:val="4E8F6F3C"/>
    <w:rsid w:val="4ED57ECB"/>
    <w:rsid w:val="4F9F7B0F"/>
    <w:rsid w:val="4FCE03C2"/>
    <w:rsid w:val="4FF95434"/>
    <w:rsid w:val="500A36BA"/>
    <w:rsid w:val="50372AC6"/>
    <w:rsid w:val="50F66874"/>
    <w:rsid w:val="510711CE"/>
    <w:rsid w:val="512438F2"/>
    <w:rsid w:val="512B0AEB"/>
    <w:rsid w:val="51B24506"/>
    <w:rsid w:val="51C90B72"/>
    <w:rsid w:val="52390705"/>
    <w:rsid w:val="52414FCD"/>
    <w:rsid w:val="52603064"/>
    <w:rsid w:val="52677290"/>
    <w:rsid w:val="52803B80"/>
    <w:rsid w:val="52B27FA0"/>
    <w:rsid w:val="53256704"/>
    <w:rsid w:val="53434A68"/>
    <w:rsid w:val="534838B6"/>
    <w:rsid w:val="53D725CB"/>
    <w:rsid w:val="542B42CD"/>
    <w:rsid w:val="547140A9"/>
    <w:rsid w:val="54B21C9B"/>
    <w:rsid w:val="54C25001"/>
    <w:rsid w:val="54CB1C1C"/>
    <w:rsid w:val="55083AF1"/>
    <w:rsid w:val="55360C50"/>
    <w:rsid w:val="553C0E4C"/>
    <w:rsid w:val="555B6E96"/>
    <w:rsid w:val="558165B5"/>
    <w:rsid w:val="55AE5125"/>
    <w:rsid w:val="56443477"/>
    <w:rsid w:val="56686407"/>
    <w:rsid w:val="5670694D"/>
    <w:rsid w:val="568203C1"/>
    <w:rsid w:val="5692044B"/>
    <w:rsid w:val="570C6A4D"/>
    <w:rsid w:val="57200AAC"/>
    <w:rsid w:val="57400FAC"/>
    <w:rsid w:val="57FA77E0"/>
    <w:rsid w:val="588472F7"/>
    <w:rsid w:val="58BF4E18"/>
    <w:rsid w:val="58E443C8"/>
    <w:rsid w:val="58F12371"/>
    <w:rsid w:val="590B4AF5"/>
    <w:rsid w:val="59255366"/>
    <w:rsid w:val="592E3D42"/>
    <w:rsid w:val="5957077D"/>
    <w:rsid w:val="59AB4174"/>
    <w:rsid w:val="59F92311"/>
    <w:rsid w:val="5A0679B5"/>
    <w:rsid w:val="5A5F5703"/>
    <w:rsid w:val="5B10408B"/>
    <w:rsid w:val="5B614E05"/>
    <w:rsid w:val="5B9F729D"/>
    <w:rsid w:val="5BBB54FB"/>
    <w:rsid w:val="5C304108"/>
    <w:rsid w:val="5CD22B72"/>
    <w:rsid w:val="5CD37180"/>
    <w:rsid w:val="5D0D0413"/>
    <w:rsid w:val="5D226ACA"/>
    <w:rsid w:val="5D3778A4"/>
    <w:rsid w:val="5D684E59"/>
    <w:rsid w:val="5D6A02A3"/>
    <w:rsid w:val="5D76641B"/>
    <w:rsid w:val="5D873867"/>
    <w:rsid w:val="5D9D4B3C"/>
    <w:rsid w:val="5DAC0B5B"/>
    <w:rsid w:val="5DEC3733"/>
    <w:rsid w:val="5E324CFB"/>
    <w:rsid w:val="5EAE580E"/>
    <w:rsid w:val="5F3351B1"/>
    <w:rsid w:val="5F373A61"/>
    <w:rsid w:val="5F6A0D11"/>
    <w:rsid w:val="5F6D6775"/>
    <w:rsid w:val="60091B2F"/>
    <w:rsid w:val="601B7887"/>
    <w:rsid w:val="60666BAE"/>
    <w:rsid w:val="60CB6295"/>
    <w:rsid w:val="60EF3577"/>
    <w:rsid w:val="61013477"/>
    <w:rsid w:val="612F2FC5"/>
    <w:rsid w:val="61810DAC"/>
    <w:rsid w:val="61BA34EB"/>
    <w:rsid w:val="61F64342"/>
    <w:rsid w:val="62361D20"/>
    <w:rsid w:val="624F1FFB"/>
    <w:rsid w:val="626838A5"/>
    <w:rsid w:val="62743A36"/>
    <w:rsid w:val="62B214F1"/>
    <w:rsid w:val="62BD4A25"/>
    <w:rsid w:val="63146D7E"/>
    <w:rsid w:val="63167874"/>
    <w:rsid w:val="63230500"/>
    <w:rsid w:val="63513D97"/>
    <w:rsid w:val="63920A42"/>
    <w:rsid w:val="64760EA5"/>
    <w:rsid w:val="64963F53"/>
    <w:rsid w:val="64C32216"/>
    <w:rsid w:val="64CC30EB"/>
    <w:rsid w:val="64D85CAF"/>
    <w:rsid w:val="64E67343"/>
    <w:rsid w:val="65240CFF"/>
    <w:rsid w:val="65611872"/>
    <w:rsid w:val="656C6C0C"/>
    <w:rsid w:val="663B0545"/>
    <w:rsid w:val="663C6FD7"/>
    <w:rsid w:val="664A1A6A"/>
    <w:rsid w:val="66690A9C"/>
    <w:rsid w:val="66846F63"/>
    <w:rsid w:val="66AE6963"/>
    <w:rsid w:val="66B5704E"/>
    <w:rsid w:val="66EF19E5"/>
    <w:rsid w:val="67F3262C"/>
    <w:rsid w:val="67F72DF6"/>
    <w:rsid w:val="6801064C"/>
    <w:rsid w:val="68083B50"/>
    <w:rsid w:val="680B3A79"/>
    <w:rsid w:val="686F0A84"/>
    <w:rsid w:val="688E629F"/>
    <w:rsid w:val="68917166"/>
    <w:rsid w:val="68CE2566"/>
    <w:rsid w:val="68DF4C87"/>
    <w:rsid w:val="69006B8C"/>
    <w:rsid w:val="6923070B"/>
    <w:rsid w:val="69603B4A"/>
    <w:rsid w:val="696320E7"/>
    <w:rsid w:val="698A6289"/>
    <w:rsid w:val="69AB5865"/>
    <w:rsid w:val="6A295EBD"/>
    <w:rsid w:val="6A4E0D06"/>
    <w:rsid w:val="6A6352C7"/>
    <w:rsid w:val="6A6B5212"/>
    <w:rsid w:val="6ACD7664"/>
    <w:rsid w:val="6B224577"/>
    <w:rsid w:val="6B3063AB"/>
    <w:rsid w:val="6B785364"/>
    <w:rsid w:val="6BC87F76"/>
    <w:rsid w:val="6BE071E7"/>
    <w:rsid w:val="6C0A4E0D"/>
    <w:rsid w:val="6C2B0249"/>
    <w:rsid w:val="6D011978"/>
    <w:rsid w:val="6D4C7577"/>
    <w:rsid w:val="6D614BA0"/>
    <w:rsid w:val="6DF40034"/>
    <w:rsid w:val="6DFB3AAB"/>
    <w:rsid w:val="6E296577"/>
    <w:rsid w:val="6E2E7467"/>
    <w:rsid w:val="6E8B3828"/>
    <w:rsid w:val="6EE82A97"/>
    <w:rsid w:val="6F2548C9"/>
    <w:rsid w:val="6F65704C"/>
    <w:rsid w:val="6F670D3C"/>
    <w:rsid w:val="6F806D7A"/>
    <w:rsid w:val="6FB00B6F"/>
    <w:rsid w:val="705742C5"/>
    <w:rsid w:val="708519A6"/>
    <w:rsid w:val="70953AEF"/>
    <w:rsid w:val="70D84686"/>
    <w:rsid w:val="71103916"/>
    <w:rsid w:val="711B49BC"/>
    <w:rsid w:val="714C6B86"/>
    <w:rsid w:val="71697858"/>
    <w:rsid w:val="717C4FF8"/>
    <w:rsid w:val="718F2948"/>
    <w:rsid w:val="71C10EE3"/>
    <w:rsid w:val="71DA1C11"/>
    <w:rsid w:val="71F32CE0"/>
    <w:rsid w:val="721754DD"/>
    <w:rsid w:val="72D47A43"/>
    <w:rsid w:val="738144AE"/>
    <w:rsid w:val="73A94202"/>
    <w:rsid w:val="73D5303E"/>
    <w:rsid w:val="73F0565F"/>
    <w:rsid w:val="740E54B7"/>
    <w:rsid w:val="74316582"/>
    <w:rsid w:val="74557BA0"/>
    <w:rsid w:val="74667C0C"/>
    <w:rsid w:val="74750532"/>
    <w:rsid w:val="74A2489D"/>
    <w:rsid w:val="74DA6C11"/>
    <w:rsid w:val="750931DA"/>
    <w:rsid w:val="754427F8"/>
    <w:rsid w:val="75642364"/>
    <w:rsid w:val="756A176D"/>
    <w:rsid w:val="757B2EFF"/>
    <w:rsid w:val="757C60BA"/>
    <w:rsid w:val="75AC36CE"/>
    <w:rsid w:val="75B93025"/>
    <w:rsid w:val="75C31316"/>
    <w:rsid w:val="75CC3D65"/>
    <w:rsid w:val="75D14FF0"/>
    <w:rsid w:val="75FE6729"/>
    <w:rsid w:val="760E4EC1"/>
    <w:rsid w:val="76207A89"/>
    <w:rsid w:val="762F3558"/>
    <w:rsid w:val="763B1F21"/>
    <w:rsid w:val="76826103"/>
    <w:rsid w:val="770316D3"/>
    <w:rsid w:val="773548BB"/>
    <w:rsid w:val="77B67B5F"/>
    <w:rsid w:val="781D20DD"/>
    <w:rsid w:val="78306109"/>
    <w:rsid w:val="783B31FD"/>
    <w:rsid w:val="78497278"/>
    <w:rsid w:val="78AE2748"/>
    <w:rsid w:val="7925747B"/>
    <w:rsid w:val="792A33BB"/>
    <w:rsid w:val="7988615C"/>
    <w:rsid w:val="798F0E1C"/>
    <w:rsid w:val="79BB2739"/>
    <w:rsid w:val="79E43492"/>
    <w:rsid w:val="7A03359A"/>
    <w:rsid w:val="7A467F03"/>
    <w:rsid w:val="7A4915EA"/>
    <w:rsid w:val="7AA367B5"/>
    <w:rsid w:val="7AC55644"/>
    <w:rsid w:val="7B0E2083"/>
    <w:rsid w:val="7B8B1DF6"/>
    <w:rsid w:val="7B9A69BB"/>
    <w:rsid w:val="7BAC4808"/>
    <w:rsid w:val="7BBF0B9D"/>
    <w:rsid w:val="7BE76D09"/>
    <w:rsid w:val="7C1169AE"/>
    <w:rsid w:val="7C616904"/>
    <w:rsid w:val="7C646F65"/>
    <w:rsid w:val="7C8A7419"/>
    <w:rsid w:val="7C9F4A04"/>
    <w:rsid w:val="7D5C5C78"/>
    <w:rsid w:val="7E0000DB"/>
    <w:rsid w:val="7E0D7ED1"/>
    <w:rsid w:val="7E5129C6"/>
    <w:rsid w:val="7E8B57D8"/>
    <w:rsid w:val="7F0510C2"/>
    <w:rsid w:val="7F0C4881"/>
    <w:rsid w:val="7F305838"/>
    <w:rsid w:val="7F3B73BA"/>
    <w:rsid w:val="7FA84308"/>
    <w:rsid w:val="7FCC0955"/>
    <w:rsid w:val="7FD5136B"/>
    <w:rsid w:val="7FFA4B2B"/>
    <w:rsid w:val="7FFD0EBB"/>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iPriority="39" w:name="toc 2"/>
    <w:lsdException w:qFormat="1"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qFormat="1" w:uiPriority="99" w:name="FollowedHyperlink"/>
    <w:lsdException w:qFormat="1" w:unhideWhenUsed="0" w:uiPriority="0"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4">
    <w:name w:val="heading 1"/>
    <w:basedOn w:val="1"/>
    <w:next w:val="1"/>
    <w:link w:val="31"/>
    <w:qFormat/>
    <w:uiPriority w:val="9"/>
    <w:pPr>
      <w:keepNext/>
      <w:keepLines/>
      <w:numPr>
        <w:ilvl w:val="0"/>
        <w:numId w:val="1"/>
      </w:numPr>
      <w:spacing w:before="340" w:after="330" w:line="578" w:lineRule="auto"/>
      <w:ind w:left="0" w:firstLine="0"/>
      <w:outlineLvl w:val="0"/>
    </w:pPr>
    <w:rPr>
      <w:rFonts w:eastAsia="仿宋"/>
      <w:b/>
      <w:bCs/>
      <w:kern w:val="44"/>
      <w:sz w:val="32"/>
      <w:szCs w:val="44"/>
    </w:rPr>
  </w:style>
  <w:style w:type="paragraph" w:styleId="5">
    <w:name w:val="heading 2"/>
    <w:basedOn w:val="1"/>
    <w:next w:val="1"/>
    <w:link w:val="32"/>
    <w:unhideWhenUsed/>
    <w:qFormat/>
    <w:uiPriority w:val="9"/>
    <w:pPr>
      <w:keepNext/>
      <w:keepLines/>
      <w:numPr>
        <w:ilvl w:val="0"/>
        <w:numId w:val="2"/>
      </w:numPr>
      <w:spacing w:before="260" w:after="260" w:line="416" w:lineRule="auto"/>
      <w:outlineLvl w:val="1"/>
    </w:pPr>
    <w:rPr>
      <w:rFonts w:eastAsia="仿宋" w:asciiTheme="majorHAnsi" w:hAnsiTheme="majorHAnsi" w:cstheme="majorBidi"/>
      <w:bCs/>
      <w:sz w:val="32"/>
      <w:szCs w:val="32"/>
    </w:rPr>
  </w:style>
  <w:style w:type="paragraph" w:styleId="6">
    <w:name w:val="heading 3"/>
    <w:basedOn w:val="1"/>
    <w:next w:val="1"/>
    <w:unhideWhenUsed/>
    <w:qFormat/>
    <w:uiPriority w:val="9"/>
    <w:pPr>
      <w:keepNext/>
      <w:widowControl/>
      <w:spacing w:before="240" w:after="60"/>
      <w:jc w:val="left"/>
      <w:outlineLvl w:val="2"/>
    </w:pPr>
    <w:rPr>
      <w:rFonts w:ascii="Cambria" w:hAnsi="Cambria" w:eastAsia="宋体"/>
      <w:b/>
      <w:bCs/>
      <w:kern w:val="0"/>
      <w:sz w:val="26"/>
      <w:szCs w:val="26"/>
    </w:rPr>
  </w:style>
  <w:style w:type="character" w:default="1" w:styleId="21">
    <w:name w:val="Default Paragraph Font"/>
    <w:semiHidden/>
    <w:unhideWhenUsed/>
    <w:qFormat/>
    <w:uiPriority w:val="1"/>
  </w:style>
  <w:style w:type="table" w:default="1" w:styleId="19">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3"/>
    <w:qFormat/>
    <w:uiPriority w:val="0"/>
    <w:pPr>
      <w:tabs>
        <w:tab w:val="left" w:pos="180"/>
        <w:tab w:val="left" w:pos="540"/>
      </w:tabs>
      <w:ind w:firstLine="420" w:firstLineChars="200"/>
    </w:pPr>
  </w:style>
  <w:style w:type="paragraph" w:styleId="3">
    <w:name w:val="Body Text Indent"/>
    <w:basedOn w:val="1"/>
    <w:qFormat/>
    <w:uiPriority w:val="0"/>
    <w:pPr>
      <w:ind w:firstLine="660"/>
    </w:pPr>
    <w:rPr>
      <w:sz w:val="30"/>
    </w:rPr>
  </w:style>
  <w:style w:type="paragraph" w:styleId="7">
    <w:name w:val="caption"/>
    <w:basedOn w:val="1"/>
    <w:next w:val="1"/>
    <w:unhideWhenUsed/>
    <w:qFormat/>
    <w:uiPriority w:val="35"/>
    <w:rPr>
      <w:rFonts w:eastAsia="黑体" w:asciiTheme="majorHAnsi" w:hAnsiTheme="majorHAnsi" w:cstheme="majorBidi"/>
      <w:sz w:val="20"/>
      <w:szCs w:val="20"/>
    </w:rPr>
  </w:style>
  <w:style w:type="paragraph" w:styleId="8">
    <w:name w:val="annotation text"/>
    <w:basedOn w:val="1"/>
    <w:link w:val="38"/>
    <w:semiHidden/>
    <w:unhideWhenUsed/>
    <w:qFormat/>
    <w:uiPriority w:val="99"/>
    <w:pPr>
      <w:jc w:val="left"/>
    </w:pPr>
  </w:style>
  <w:style w:type="paragraph" w:styleId="9">
    <w:name w:val="Body Text"/>
    <w:basedOn w:val="1"/>
    <w:qFormat/>
    <w:uiPriority w:val="0"/>
  </w:style>
  <w:style w:type="paragraph" w:styleId="10">
    <w:name w:val="toc 3"/>
    <w:basedOn w:val="1"/>
    <w:next w:val="1"/>
    <w:semiHidden/>
    <w:unhideWhenUsed/>
    <w:qFormat/>
    <w:uiPriority w:val="39"/>
    <w:pPr>
      <w:ind w:left="840" w:leftChars="400"/>
    </w:pPr>
  </w:style>
  <w:style w:type="paragraph" w:styleId="11">
    <w:name w:val="Balloon Text"/>
    <w:basedOn w:val="1"/>
    <w:link w:val="37"/>
    <w:semiHidden/>
    <w:unhideWhenUsed/>
    <w:qFormat/>
    <w:uiPriority w:val="99"/>
    <w:rPr>
      <w:sz w:val="18"/>
      <w:szCs w:val="18"/>
    </w:rPr>
  </w:style>
  <w:style w:type="paragraph" w:styleId="12">
    <w:name w:val="footer"/>
    <w:basedOn w:val="1"/>
    <w:link w:val="29"/>
    <w:unhideWhenUsed/>
    <w:qFormat/>
    <w:uiPriority w:val="99"/>
    <w:pPr>
      <w:tabs>
        <w:tab w:val="center" w:pos="4153"/>
        <w:tab w:val="right" w:pos="8306"/>
      </w:tabs>
      <w:snapToGrid w:val="0"/>
      <w:jc w:val="left"/>
    </w:pPr>
    <w:rPr>
      <w:sz w:val="18"/>
      <w:szCs w:val="18"/>
    </w:rPr>
  </w:style>
  <w:style w:type="paragraph" w:styleId="13">
    <w:name w:val="header"/>
    <w:basedOn w:val="1"/>
    <w:link w:val="28"/>
    <w:unhideWhenUsed/>
    <w:qFormat/>
    <w:uiPriority w:val="99"/>
    <w:pPr>
      <w:pBdr>
        <w:bottom w:val="single" w:color="auto" w:sz="6" w:space="1"/>
      </w:pBdr>
      <w:tabs>
        <w:tab w:val="center" w:pos="4153"/>
        <w:tab w:val="right" w:pos="8306"/>
      </w:tabs>
      <w:snapToGrid w:val="0"/>
      <w:jc w:val="center"/>
    </w:pPr>
    <w:rPr>
      <w:sz w:val="18"/>
      <w:szCs w:val="18"/>
    </w:rPr>
  </w:style>
  <w:style w:type="paragraph" w:styleId="14">
    <w:name w:val="toc 1"/>
    <w:basedOn w:val="1"/>
    <w:next w:val="1"/>
    <w:qFormat/>
    <w:uiPriority w:val="39"/>
    <w:rPr>
      <w:rFonts w:ascii="Times New Roman" w:hAnsi="Times New Roman" w:eastAsia="宋体" w:cs="Times New Roman"/>
    </w:rPr>
  </w:style>
  <w:style w:type="paragraph" w:styleId="15">
    <w:name w:val="toc 2"/>
    <w:basedOn w:val="1"/>
    <w:next w:val="1"/>
    <w:semiHidden/>
    <w:unhideWhenUsed/>
    <w:qFormat/>
    <w:uiPriority w:val="39"/>
    <w:pPr>
      <w:ind w:left="420" w:leftChars="200"/>
    </w:pPr>
  </w:style>
  <w:style w:type="paragraph" w:styleId="16">
    <w:name w:val="Normal (Web)"/>
    <w:basedOn w:val="1"/>
    <w:semiHidden/>
    <w:unhideWhenUsed/>
    <w:qFormat/>
    <w:uiPriority w:val="99"/>
    <w:pPr>
      <w:spacing w:before="0" w:beforeAutospacing="1" w:after="0" w:afterAutospacing="1"/>
      <w:ind w:left="0" w:right="0"/>
      <w:jc w:val="left"/>
    </w:pPr>
    <w:rPr>
      <w:kern w:val="0"/>
      <w:sz w:val="14"/>
      <w:szCs w:val="14"/>
      <w:lang w:val="en-US" w:eastAsia="zh-CN" w:bidi="ar"/>
    </w:rPr>
  </w:style>
  <w:style w:type="paragraph" w:styleId="17">
    <w:name w:val="annotation subject"/>
    <w:basedOn w:val="8"/>
    <w:next w:val="8"/>
    <w:link w:val="39"/>
    <w:semiHidden/>
    <w:unhideWhenUsed/>
    <w:qFormat/>
    <w:uiPriority w:val="99"/>
    <w:rPr>
      <w:b/>
      <w:bCs/>
    </w:rPr>
  </w:style>
  <w:style w:type="paragraph" w:styleId="18">
    <w:name w:val="Body Text First Indent"/>
    <w:basedOn w:val="9"/>
    <w:semiHidden/>
    <w:unhideWhenUsed/>
    <w:qFormat/>
    <w:uiPriority w:val="99"/>
    <w:pPr>
      <w:ind w:firstLine="420" w:firstLineChars="100"/>
    </w:pPr>
  </w:style>
  <w:style w:type="table" w:styleId="20">
    <w:name w:val="Table Grid"/>
    <w:basedOn w:val="19"/>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2">
    <w:name w:val="Strong"/>
    <w:basedOn w:val="21"/>
    <w:qFormat/>
    <w:uiPriority w:val="0"/>
    <w:rPr>
      <w:b/>
      <w:bCs/>
    </w:rPr>
  </w:style>
  <w:style w:type="character" w:styleId="23">
    <w:name w:val="FollowedHyperlink"/>
    <w:basedOn w:val="21"/>
    <w:semiHidden/>
    <w:unhideWhenUsed/>
    <w:qFormat/>
    <w:uiPriority w:val="99"/>
    <w:rPr>
      <w:color w:val="000000"/>
      <w:u w:val="none"/>
    </w:rPr>
  </w:style>
  <w:style w:type="character" w:styleId="24">
    <w:name w:val="Emphasis"/>
    <w:basedOn w:val="21"/>
    <w:qFormat/>
    <w:uiPriority w:val="20"/>
  </w:style>
  <w:style w:type="character" w:styleId="25">
    <w:name w:val="Hyperlink"/>
    <w:basedOn w:val="21"/>
    <w:semiHidden/>
    <w:unhideWhenUsed/>
    <w:qFormat/>
    <w:uiPriority w:val="99"/>
    <w:rPr>
      <w:color w:val="000000"/>
      <w:u w:val="none"/>
    </w:rPr>
  </w:style>
  <w:style w:type="character" w:styleId="26">
    <w:name w:val="annotation reference"/>
    <w:basedOn w:val="21"/>
    <w:semiHidden/>
    <w:unhideWhenUsed/>
    <w:qFormat/>
    <w:uiPriority w:val="99"/>
    <w:rPr>
      <w:sz w:val="21"/>
      <w:szCs w:val="21"/>
    </w:rPr>
  </w:style>
  <w:style w:type="paragraph" w:customStyle="1" w:styleId="27">
    <w:name w:val="Default"/>
    <w:qFormat/>
    <w:uiPriority w:val="0"/>
    <w:pPr>
      <w:widowControl w:val="0"/>
      <w:autoSpaceDE w:val="0"/>
      <w:autoSpaceDN w:val="0"/>
      <w:adjustRightInd w:val="0"/>
    </w:pPr>
    <w:rPr>
      <w:rFonts w:ascii="HYb2gj" w:hAnsi="Times New Roman" w:eastAsia="HYb2gj" w:cs="HYb2gj"/>
      <w:color w:val="000000"/>
      <w:sz w:val="24"/>
      <w:szCs w:val="24"/>
      <w:lang w:val="en-US" w:eastAsia="zh-CN" w:bidi="ar-SA"/>
    </w:rPr>
  </w:style>
  <w:style w:type="character" w:customStyle="1" w:styleId="28">
    <w:name w:val="页眉 Char"/>
    <w:basedOn w:val="21"/>
    <w:link w:val="13"/>
    <w:qFormat/>
    <w:uiPriority w:val="99"/>
    <w:rPr>
      <w:sz w:val="18"/>
      <w:szCs w:val="18"/>
    </w:rPr>
  </w:style>
  <w:style w:type="character" w:customStyle="1" w:styleId="29">
    <w:name w:val="页脚 Char"/>
    <w:basedOn w:val="21"/>
    <w:link w:val="12"/>
    <w:qFormat/>
    <w:uiPriority w:val="99"/>
    <w:rPr>
      <w:sz w:val="18"/>
      <w:szCs w:val="18"/>
    </w:rPr>
  </w:style>
  <w:style w:type="character" w:customStyle="1" w:styleId="30">
    <w:name w:val="font41"/>
    <w:basedOn w:val="21"/>
    <w:qFormat/>
    <w:uiPriority w:val="0"/>
    <w:rPr>
      <w:rFonts w:ascii="仿宋_GB2312" w:eastAsia="仿宋_GB2312" w:cs="仿宋_GB2312"/>
      <w:color w:val="000000"/>
      <w:sz w:val="24"/>
      <w:szCs w:val="24"/>
      <w:u w:val="none"/>
    </w:rPr>
  </w:style>
  <w:style w:type="character" w:customStyle="1" w:styleId="31">
    <w:name w:val="标题 1 Char"/>
    <w:basedOn w:val="21"/>
    <w:link w:val="4"/>
    <w:qFormat/>
    <w:uiPriority w:val="9"/>
    <w:rPr>
      <w:rFonts w:eastAsia="仿宋"/>
      <w:b/>
      <w:bCs/>
      <w:kern w:val="44"/>
      <w:sz w:val="32"/>
      <w:szCs w:val="44"/>
    </w:rPr>
  </w:style>
  <w:style w:type="character" w:customStyle="1" w:styleId="32">
    <w:name w:val="标题 2 Char"/>
    <w:basedOn w:val="21"/>
    <w:link w:val="5"/>
    <w:qFormat/>
    <w:uiPriority w:val="9"/>
    <w:rPr>
      <w:rFonts w:eastAsia="仿宋" w:asciiTheme="majorHAnsi" w:hAnsiTheme="majorHAnsi" w:cstheme="majorBidi"/>
      <w:bCs/>
      <w:sz w:val="32"/>
      <w:szCs w:val="32"/>
    </w:rPr>
  </w:style>
  <w:style w:type="paragraph" w:styleId="33">
    <w:name w:val="List Paragraph"/>
    <w:basedOn w:val="1"/>
    <w:qFormat/>
    <w:uiPriority w:val="34"/>
    <w:pPr>
      <w:ind w:firstLine="420" w:firstLineChars="200"/>
    </w:pPr>
  </w:style>
  <w:style w:type="paragraph" w:customStyle="1" w:styleId="34">
    <w:name w:val="WPSOffice手动目录 1"/>
    <w:qFormat/>
    <w:uiPriority w:val="0"/>
    <w:rPr>
      <w:rFonts w:asciiTheme="minorHAnsi" w:hAnsiTheme="minorHAnsi" w:eastAsiaTheme="minorEastAsia" w:cstheme="minorBidi"/>
      <w:lang w:val="en-US" w:eastAsia="zh-CN" w:bidi="ar-SA"/>
    </w:rPr>
  </w:style>
  <w:style w:type="paragraph" w:customStyle="1" w:styleId="35">
    <w:name w:val="WPSOffice手动目录 2"/>
    <w:qFormat/>
    <w:uiPriority w:val="0"/>
    <w:pPr>
      <w:ind w:left="200" w:leftChars="200"/>
    </w:pPr>
    <w:rPr>
      <w:rFonts w:asciiTheme="minorHAnsi" w:hAnsiTheme="minorHAnsi" w:eastAsiaTheme="minorEastAsia" w:cstheme="minorBidi"/>
      <w:lang w:val="en-US" w:eastAsia="zh-CN" w:bidi="ar-SA"/>
    </w:rPr>
  </w:style>
  <w:style w:type="paragraph" w:customStyle="1" w:styleId="36">
    <w:name w:val="WPSOffice手动目录 3"/>
    <w:qFormat/>
    <w:uiPriority w:val="0"/>
    <w:pPr>
      <w:ind w:left="400" w:leftChars="400"/>
    </w:pPr>
    <w:rPr>
      <w:rFonts w:asciiTheme="minorHAnsi" w:hAnsiTheme="minorHAnsi" w:eastAsiaTheme="minorEastAsia" w:cstheme="minorBidi"/>
      <w:lang w:val="en-US" w:eastAsia="zh-CN" w:bidi="ar-SA"/>
    </w:rPr>
  </w:style>
  <w:style w:type="character" w:customStyle="1" w:styleId="37">
    <w:name w:val="批注框文本 Char"/>
    <w:basedOn w:val="21"/>
    <w:link w:val="11"/>
    <w:semiHidden/>
    <w:qFormat/>
    <w:uiPriority w:val="99"/>
    <w:rPr>
      <w:kern w:val="2"/>
      <w:sz w:val="18"/>
      <w:szCs w:val="18"/>
    </w:rPr>
  </w:style>
  <w:style w:type="character" w:customStyle="1" w:styleId="38">
    <w:name w:val="批注文字 Char"/>
    <w:basedOn w:val="21"/>
    <w:link w:val="8"/>
    <w:semiHidden/>
    <w:qFormat/>
    <w:uiPriority w:val="99"/>
    <w:rPr>
      <w:kern w:val="2"/>
      <w:sz w:val="21"/>
      <w:szCs w:val="24"/>
    </w:rPr>
  </w:style>
  <w:style w:type="character" w:customStyle="1" w:styleId="39">
    <w:name w:val="批注主题 Char"/>
    <w:basedOn w:val="38"/>
    <w:link w:val="17"/>
    <w:semiHidden/>
    <w:qFormat/>
    <w:uiPriority w:val="99"/>
    <w:rPr>
      <w:b/>
      <w:bCs/>
      <w:kern w:val="2"/>
      <w:sz w:val="21"/>
      <w:szCs w:val="24"/>
    </w:rPr>
  </w:style>
  <w:style w:type="paragraph" w:customStyle="1" w:styleId="40">
    <w:name w:val="闻政表"/>
    <w:basedOn w:val="1"/>
    <w:qFormat/>
    <w:uiPriority w:val="99"/>
    <w:pPr>
      <w:spacing w:before="60" w:after="60"/>
      <w:jc w:val="center"/>
    </w:pPr>
    <w:rPr>
      <w:rFonts w:ascii="Times New Roman" w:hAnsi="Times New Roman" w:eastAsia="仿宋_GB2312"/>
      <w:b/>
      <w:kern w:val="0"/>
      <w:sz w:val="24"/>
      <w:szCs w:val="28"/>
    </w:rPr>
  </w:style>
  <w:style w:type="paragraph" w:customStyle="1" w:styleId="41">
    <w:name w:val="列表段落1"/>
    <w:basedOn w:val="1"/>
    <w:qFormat/>
    <w:uiPriority w:val="34"/>
    <w:pPr>
      <w:ind w:firstLine="420" w:firstLineChars="200"/>
    </w:pPr>
  </w:style>
  <w:style w:type="paragraph" w:customStyle="1" w:styleId="42">
    <w:name w:val="无间隔1"/>
    <w:basedOn w:val="1"/>
    <w:qFormat/>
    <w:uiPriority w:val="1"/>
  </w:style>
  <w:style w:type="paragraph" w:customStyle="1" w:styleId="43">
    <w:name w:val="标题2"/>
    <w:basedOn w:val="5"/>
    <w:qFormat/>
    <w:uiPriority w:val="0"/>
    <w:pPr>
      <w:numPr>
        <w:ilvl w:val="0"/>
        <w:numId w:val="3"/>
      </w:numPr>
      <w:spacing w:before="120" w:after="120" w:line="500" w:lineRule="exact"/>
    </w:pPr>
    <w:rPr>
      <w:rFonts w:ascii="仿宋_GB2312" w:eastAsia="仿宋_GB2312" w:cs="Times New Roman"/>
    </w:rPr>
  </w:style>
  <w:style w:type="paragraph" w:customStyle="1" w:styleId="44">
    <w:name w:val="闻政-正文段落文字"/>
    <w:basedOn w:val="1"/>
    <w:qFormat/>
    <w:uiPriority w:val="3"/>
    <w:pPr>
      <w:spacing w:line="500" w:lineRule="exact"/>
      <w:ind w:firstLine="200"/>
    </w:pPr>
    <w:rPr>
      <w:rFonts w:ascii="Times New Roman" w:hAnsi="Times New Roman" w:cs="Times New Roman"/>
      <w:kern w:val="0"/>
      <w:szCs w:val="28"/>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2.xml"/><Relationship Id="rId6" Type="http://schemas.openxmlformats.org/officeDocument/2006/relationships/numbering" Target="numbering.xml"/><Relationship Id="rId5" Type="http://schemas.openxmlformats.org/officeDocument/2006/relationships/customXml" Target="../customXml/item1.xml"/><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73F39DA-BB28-4752-A7CB-656F2CF4CE59}">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28</Pages>
  <Words>13027</Words>
  <Characters>13702</Characters>
  <Lines>79</Lines>
  <Paragraphs>22</Paragraphs>
  <TotalTime>114</TotalTime>
  <ScaleCrop>false</ScaleCrop>
  <LinksUpToDate>false</LinksUpToDate>
  <CharactersWithSpaces>13832</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2019-11-07T05:25:00Z</dcterms:created>
  <dc:creator>jc</dc:creator>
  <cp:lastModifiedBy>如果_见或不见</cp:lastModifiedBy>
  <cp:lastPrinted>2021-07-28T10:34:00Z</cp:lastPrinted>
  <dcterms:modified xsi:type="dcterms:W3CDTF">2025-03-12T11:14:28Z</dcterms:modified>
  <cp:revision>182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A8312BA226C94F5A884B33DB13DDFAF3</vt:lpwstr>
  </property>
  <property fmtid="{D5CDD505-2E9C-101B-9397-08002B2CF9AE}" pid="4" name="KSOSaveFontToCloudKey">
    <vt:lpwstr>999270995_embed</vt:lpwstr>
  </property>
  <property fmtid="{D5CDD505-2E9C-101B-9397-08002B2CF9AE}" pid="5" name="KSOTemplateDocerSaveRecord">
    <vt:lpwstr>eyJoZGlkIjoiMWZhNjI1MTE2MjcwNzhiZTRjMjFkZjExZjVmNjlkZGMiLCJ1c2VySWQiOiIzOTg2MTgwNzQifQ==</vt:lpwstr>
  </property>
</Properties>
</file>