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ascii="方正小标宋简体" w:hAnsi="黑体" w:eastAsia="方正小标宋简体" w:cs="宋体"/>
          <w:kern w:val="0"/>
          <w:sz w:val="44"/>
          <w:szCs w:val="44"/>
        </w:rPr>
      </w:pPr>
    </w:p>
    <w:p>
      <w:pPr>
        <w:jc w:val="center"/>
        <w:outlineLvl w:val="0"/>
        <w:rPr>
          <w:rFonts w:hint="eastAsia" w:ascii="方正小标宋简体" w:hAnsi="方正小标宋简体" w:eastAsia="方正小标宋简体" w:cs="方正小标宋简体"/>
          <w:b w:val="0"/>
          <w:bCs w:val="0"/>
          <w:kern w:val="0"/>
          <w:sz w:val="44"/>
          <w:szCs w:val="44"/>
          <w:lang w:eastAsia="zh-CN"/>
        </w:rPr>
      </w:pPr>
      <w:r>
        <w:rPr>
          <w:rFonts w:hint="eastAsia" w:ascii="方正小标宋简体" w:hAnsi="方正小标宋简体" w:eastAsia="方正小标宋简体" w:cs="方正小标宋简体"/>
          <w:b w:val="0"/>
          <w:bCs w:val="0"/>
          <w:kern w:val="0"/>
          <w:sz w:val="44"/>
          <w:szCs w:val="44"/>
          <w:lang w:eastAsia="zh-CN"/>
        </w:rPr>
        <w:t>洛浦县林业和草原局</w:t>
      </w:r>
    </w:p>
    <w:p>
      <w:pPr>
        <w:jc w:val="center"/>
        <w:outlineLvl w:val="0"/>
        <w:rPr>
          <w:rFonts w:hint="eastAsia" w:ascii="方正小标宋简体" w:hAnsi="方正小标宋简体" w:eastAsia="方正小标宋简体" w:cs="方正小标宋简体"/>
          <w:b w:val="0"/>
          <w:bCs w:val="0"/>
          <w:kern w:val="0"/>
          <w:sz w:val="44"/>
          <w:szCs w:val="44"/>
          <w:highlight w:val="none"/>
          <w:lang w:val="en-US" w:eastAsia="zh-CN"/>
        </w:rPr>
      </w:pPr>
      <w:r>
        <w:rPr>
          <w:rFonts w:hint="eastAsia" w:ascii="方正小标宋简体" w:hAnsi="方正小标宋简体" w:eastAsia="方正小标宋简体" w:cs="方正小标宋简体"/>
          <w:b w:val="0"/>
          <w:bCs w:val="0"/>
          <w:kern w:val="0"/>
          <w:sz w:val="44"/>
          <w:szCs w:val="44"/>
          <w:lang w:eastAsia="zh-CN"/>
        </w:rPr>
        <w:t>2021年草原管护员补助项目</w:t>
      </w:r>
    </w:p>
    <w:p>
      <w:pPr>
        <w:rPr>
          <w:rFonts w:hint="eastAsia" w:ascii="仿宋" w:hAnsi="仿宋" w:eastAsia="仿宋" w:cs="仿宋"/>
          <w:b/>
          <w:bCs/>
          <w:kern w:val="0"/>
          <w:sz w:val="44"/>
          <w:szCs w:val="44"/>
        </w:rPr>
      </w:pPr>
    </w:p>
    <w:p>
      <w:pPr>
        <w:rPr>
          <w:rFonts w:hint="eastAsia" w:ascii="仿宋" w:hAnsi="仿宋" w:eastAsia="仿宋" w:cs="仿宋"/>
          <w:b/>
          <w:bCs/>
          <w:kern w:val="0"/>
          <w:sz w:val="44"/>
          <w:szCs w:val="44"/>
        </w:rPr>
      </w:pPr>
    </w:p>
    <w:p>
      <w:pPr>
        <w:rPr>
          <w:rFonts w:hint="eastAsia" w:ascii="仿宋" w:hAnsi="仿宋" w:eastAsia="仿宋" w:cs="仿宋"/>
          <w:b/>
          <w:bCs/>
          <w:kern w:val="0"/>
          <w:sz w:val="44"/>
          <w:szCs w:val="44"/>
        </w:rPr>
      </w:pPr>
    </w:p>
    <w:p>
      <w:pPr>
        <w:rPr>
          <w:rFonts w:hint="eastAsia" w:ascii="仿宋" w:hAnsi="仿宋" w:eastAsia="仿宋" w:cs="仿宋"/>
          <w:b/>
          <w:bCs/>
          <w:kern w:val="0"/>
          <w:sz w:val="44"/>
          <w:szCs w:val="44"/>
        </w:rPr>
      </w:pPr>
    </w:p>
    <w:p>
      <w:pPr>
        <w:rPr>
          <w:rFonts w:hint="eastAsia" w:ascii="仿宋" w:hAnsi="仿宋" w:eastAsia="仿宋" w:cs="仿宋"/>
          <w:b/>
          <w:bCs/>
          <w:kern w:val="0"/>
          <w:sz w:val="44"/>
          <w:szCs w:val="44"/>
        </w:rPr>
      </w:pPr>
    </w:p>
    <w:p>
      <w:pPr>
        <w:rPr>
          <w:rFonts w:hint="eastAsia" w:ascii="仿宋" w:hAnsi="仿宋" w:eastAsia="仿宋" w:cs="仿宋"/>
          <w:b/>
          <w:bCs/>
          <w:kern w:val="0"/>
          <w:sz w:val="44"/>
          <w:szCs w:val="44"/>
        </w:rPr>
      </w:pPr>
    </w:p>
    <w:p>
      <w:pPr>
        <w:jc w:val="center"/>
        <w:outlineLvl w:val="0"/>
        <w:rPr>
          <w:rFonts w:hint="eastAsia" w:ascii="华文中宋" w:hAnsi="华文中宋" w:eastAsia="华文中宋" w:cs="华文中宋"/>
          <w:b/>
          <w:bCs/>
          <w:kern w:val="0"/>
          <w:sz w:val="44"/>
          <w:szCs w:val="44"/>
        </w:rPr>
      </w:pPr>
      <w:r>
        <w:rPr>
          <w:rFonts w:hint="eastAsia" w:ascii="华文中宋" w:hAnsi="华文中宋" w:eastAsia="华文中宋" w:cs="华文中宋"/>
          <w:b/>
          <w:bCs/>
          <w:kern w:val="0"/>
          <w:sz w:val="44"/>
          <w:szCs w:val="44"/>
        </w:rPr>
        <w:t>绩效评价报告</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pStyle w:val="4"/>
        <w:numPr>
          <w:ilvl w:val="0"/>
          <w:numId w:val="0"/>
        </w:numPr>
        <w:ind w:leftChars="0"/>
        <w:rPr>
          <w:rFonts w:ascii="Times New Roman" w:hAnsi="黑体" w:eastAsia="黑体" w:cs="宋体"/>
          <w:kern w:val="0"/>
          <w:sz w:val="24"/>
        </w:rPr>
      </w:pPr>
    </w:p>
    <w:p/>
    <w:p>
      <w:pPr>
        <w:spacing w:line="400" w:lineRule="exact"/>
        <w:ind w:firstLine="2040" w:firstLineChars="850"/>
        <w:jc w:val="left"/>
        <w:outlineLvl w:val="9"/>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142</w:t>
      </w:r>
      <w:r>
        <w:rPr>
          <w:rFonts w:hint="eastAsia" w:ascii="黑体" w:hAnsi="黑体" w:eastAsia="黑体" w:cs="宋体"/>
          <w:kern w:val="0"/>
          <w:sz w:val="24"/>
          <w:highlight w:val="none"/>
        </w:rPr>
        <w:t>号</w:t>
      </w:r>
    </w:p>
    <w:p>
      <w:pPr>
        <w:spacing w:line="400" w:lineRule="exact"/>
        <w:ind w:firstLine="2040" w:firstLineChars="850"/>
        <w:jc w:val="left"/>
        <w:outlineLvl w:val="9"/>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pPr>
        <w:spacing w:line="400" w:lineRule="exact"/>
        <w:ind w:firstLine="2040" w:firstLineChars="850"/>
        <w:jc w:val="left"/>
        <w:outlineLvl w:val="9"/>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pPr>
        <w:spacing w:line="400" w:lineRule="exact"/>
        <w:ind w:firstLine="2040" w:firstLineChars="850"/>
        <w:jc w:val="left"/>
        <w:outlineLvl w:val="9"/>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tbl>
      <w:tblPr>
        <w:tblStyle w:val="20"/>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tblPrEx>
          <w:tblCellMar>
            <w:top w:w="15" w:type="dxa"/>
            <w:left w:w="15" w:type="dxa"/>
            <w:bottom w:w="15" w:type="dxa"/>
            <w:right w:w="15" w:type="dxa"/>
          </w:tblCellMar>
        </w:tblPrEx>
        <w:trPr>
          <w:trHeight w:val="301" w:hRule="atLeast"/>
        </w:trPr>
        <w:tc>
          <w:tcPr>
            <w:tcW w:w="8983" w:type="dxa"/>
            <w:gridSpan w:val="13"/>
            <w:shd w:val="clear" w:color="auto" w:fill="auto"/>
            <w:vAlign w:val="center"/>
          </w:tcPr>
          <w:p>
            <w:pPr>
              <w:widowControl/>
              <w:jc w:val="left"/>
              <w:textAlignment w:val="center"/>
              <w:rPr>
                <w:rFonts w:hint="eastAsia" w:ascii="黑体" w:hAnsi="宋体" w:eastAsia="黑体" w:cs="黑体"/>
                <w:color w:val="000000"/>
                <w:sz w:val="24"/>
                <w:lang w:eastAsia="zh-CN"/>
              </w:rPr>
            </w:pPr>
            <w:r>
              <w:rPr>
                <w:rFonts w:hint="eastAsia" w:ascii="黑体" w:hAnsi="宋体" w:eastAsia="黑体" w:cs="黑体"/>
                <w:color w:val="000000"/>
                <w:kern w:val="0"/>
                <w:sz w:val="24"/>
              </w:rPr>
              <w:t>评价分值：</w:t>
            </w:r>
            <w:r>
              <w:rPr>
                <w:rFonts w:hint="eastAsia" w:ascii="黑体" w:hAnsi="宋体" w:eastAsia="黑体" w:cs="黑体"/>
                <w:color w:val="000000"/>
                <w:kern w:val="0"/>
                <w:sz w:val="24"/>
                <w:lang w:val="en-US" w:eastAsia="zh-CN"/>
              </w:rPr>
              <w:t>98.5</w:t>
            </w:r>
            <w:r>
              <w:rPr>
                <w:rStyle w:val="31"/>
                <w:rFonts w:hint="eastAsia" w:hAnsi="宋体"/>
              </w:rPr>
              <w:t xml:space="preserve"> </w:t>
            </w:r>
            <w:r>
              <w:rPr>
                <w:rFonts w:hint="eastAsia" w:ascii="黑体" w:hAnsi="宋体" w:eastAsia="黑体" w:cs="黑体"/>
                <w:color w:val="000000"/>
                <w:kern w:val="0"/>
                <w:sz w:val="24"/>
              </w:rPr>
              <w:t>评价等级：</w:t>
            </w:r>
            <w:r>
              <w:rPr>
                <w:rFonts w:hint="eastAsia" w:ascii="黑体" w:hAnsi="宋体" w:eastAsia="黑体" w:cs="黑体"/>
                <w:color w:val="000000"/>
                <w:kern w:val="0"/>
                <w:sz w:val="24"/>
                <w:lang w:val="en-US" w:eastAsia="zh-CN"/>
              </w:rPr>
              <w:t>优</w:t>
            </w:r>
          </w:p>
        </w:tc>
      </w:tr>
      <w:tr>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pPr>
              <w:widowControl/>
              <w:jc w:val="center"/>
              <w:textAlignment w:val="center"/>
              <w:rPr>
                <w:rFonts w:ascii="黑体" w:hAnsi="宋体" w:eastAsia="黑体" w:cs="黑体"/>
                <w:b/>
                <w:color w:val="000000"/>
                <w:sz w:val="36"/>
                <w:szCs w:val="36"/>
              </w:rPr>
            </w:pPr>
            <w:r>
              <w:rPr>
                <w:rFonts w:hint="eastAsia" w:ascii="黑体" w:hAnsi="宋体" w:eastAsia="黑体" w:cs="黑体"/>
                <w:b/>
                <w:color w:val="000000"/>
                <w:kern w:val="0"/>
                <w:sz w:val="36"/>
                <w:szCs w:val="36"/>
              </w:rPr>
              <w:t>概   要</w:t>
            </w:r>
          </w:p>
        </w:tc>
      </w:tr>
      <w:tr>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pPr>
              <w:widowControl/>
              <w:jc w:val="left"/>
              <w:textAlignment w:val="center"/>
              <w:rPr>
                <w:rFonts w:ascii="黑体" w:hAnsi="黑体" w:eastAsia="黑体" w:cs="仿宋_GB2312"/>
                <w:color w:val="000000"/>
                <w:sz w:val="22"/>
              </w:rPr>
            </w:pPr>
            <w:r>
              <w:rPr>
                <w:rFonts w:hint="eastAsia" w:ascii="黑体" w:hAnsi="黑体" w:eastAsia="黑体" w:cs="仿宋_GB2312"/>
                <w:color w:val="000000"/>
                <w:kern w:val="0"/>
                <w:sz w:val="22"/>
              </w:rPr>
              <w:t>评价机构全称（盖章）：中瑞诚会计师事务所</w:t>
            </w:r>
            <w:r>
              <w:rPr>
                <w:rFonts w:hint="eastAsia" w:ascii="黑体" w:hAnsi="黑体" w:eastAsia="黑体" w:cs="仿宋_GB2312"/>
                <w:color w:val="000000"/>
                <w:kern w:val="0"/>
                <w:sz w:val="22"/>
                <w:lang w:eastAsia="zh-CN"/>
              </w:rPr>
              <w:t>（特殊普通合伙）</w:t>
            </w:r>
            <w:r>
              <w:rPr>
                <w:rFonts w:hint="eastAsia" w:ascii="黑体" w:hAnsi="黑体" w:eastAsia="黑体" w:cs="仿宋_GB2312"/>
                <w:color w:val="000000"/>
                <w:kern w:val="0"/>
                <w:sz w:val="22"/>
              </w:rPr>
              <w:t xml:space="preserve">喀什分所 </w:t>
            </w:r>
            <w:r>
              <w:rPr>
                <w:rFonts w:hint="eastAsia" w:ascii="黑体" w:hAnsi="黑体" w:eastAsia="黑体" w:cs="仿宋_GB2312"/>
                <w:color w:val="000000"/>
                <w:kern w:val="0"/>
                <w:sz w:val="22"/>
                <w:lang w:val="en-US" w:eastAsia="zh-CN"/>
              </w:rPr>
              <w:t xml:space="preserve">   </w:t>
            </w:r>
            <w:r>
              <w:rPr>
                <w:rFonts w:hint="eastAsia" w:ascii="黑体" w:hAnsi="黑体" w:eastAsia="黑体" w:cs="仿宋_GB2312"/>
                <w:color w:val="000000"/>
                <w:kern w:val="0"/>
                <w:sz w:val="22"/>
              </w:rPr>
              <w:t>单位：万元、类、个</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2021年草原管护员补助项目</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202</w:t>
            </w:r>
            <w:r>
              <w:rPr>
                <w:rFonts w:hint="eastAsia" w:ascii="仿宋_GB2312" w:hAnsi="宋体" w:eastAsia="仿宋_GB2312" w:cs="仿宋_GB2312"/>
                <w:color w:val="000000"/>
                <w:sz w:val="20"/>
                <w:szCs w:val="20"/>
                <w:lang w:val="en-US" w:eastAsia="zh-CN"/>
              </w:rPr>
              <w:t>1</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高月仙15713865046</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000000"/>
                <w:sz w:val="20"/>
                <w:szCs w:val="20"/>
                <w:lang w:eastAsia="zh-CN"/>
              </w:rPr>
              <w:t>地区</w:t>
            </w:r>
            <w:r>
              <w:rPr>
                <w:rFonts w:hint="eastAsia" w:ascii="仿宋_GB2312" w:hAnsi="宋体" w:eastAsia="仿宋_GB2312" w:cs="仿宋_GB2312"/>
                <w:color w:val="000000"/>
                <w:sz w:val="18"/>
                <w:szCs w:val="18"/>
                <w:lang w:eastAsia="zh-CN"/>
              </w:rPr>
              <w:t>林</w:t>
            </w:r>
            <w:r>
              <w:rPr>
                <w:rFonts w:hint="eastAsia" w:ascii="仿宋_GB2312" w:hAnsi="宋体" w:eastAsia="仿宋_GB2312" w:cs="仿宋_GB2312"/>
                <w:color w:val="000000"/>
                <w:sz w:val="20"/>
                <w:szCs w:val="20"/>
                <w:lang w:eastAsia="zh-CN"/>
              </w:rPr>
              <w:t>业和草原局</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18"/>
                <w:szCs w:val="18"/>
                <w:lang w:eastAsia="zh-CN"/>
              </w:rPr>
              <w:t>李飞剑13779295005</w:t>
            </w:r>
          </w:p>
        </w:tc>
      </w:tr>
      <w:tr>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优</w:t>
            </w:r>
          </w:p>
        </w:tc>
      </w:tr>
      <w:tr>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各级资金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220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220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lang w:val="en-US" w:eastAsia="zh-CN"/>
              </w:rPr>
              <w:t>本级</w:t>
            </w:r>
            <w:r>
              <w:rPr>
                <w:rFonts w:hint="eastAsia" w:ascii="黑体" w:hAnsi="宋体" w:eastAsia="黑体" w:cs="黑体"/>
                <w:color w:val="000000"/>
                <w:kern w:val="0"/>
                <w:sz w:val="20"/>
                <w:szCs w:val="20"/>
              </w:rPr>
              <w:t>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中央财政资金</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补助类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kern w:val="0"/>
                <w:sz w:val="20"/>
                <w:szCs w:val="20"/>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黑体" w:hAnsi="宋体" w:eastAsia="黑体" w:cs="黑体"/>
                <w:color w:val="000000"/>
                <w:sz w:val="20"/>
                <w:szCs w:val="20"/>
                <w:lang w:val="en-US" w:eastAsia="zh-CN"/>
              </w:rPr>
            </w:pPr>
            <w:r>
              <w:rPr>
                <w:rFonts w:hint="eastAsia" w:ascii="黑体" w:hAnsi="宋体" w:eastAsia="黑体" w:cs="黑体"/>
                <w:color w:val="000000"/>
                <w:kern w:val="0"/>
                <w:sz w:val="20"/>
                <w:szCs w:val="20"/>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eastAsia="zh-CN"/>
              </w:rPr>
            </w:pPr>
            <w:r>
              <w:rPr>
                <w:rFonts w:hint="eastAsia" w:ascii="仿宋_GB2312" w:hAnsi="宋体" w:eastAsia="仿宋_GB2312" w:cs="仿宋_GB2312"/>
                <w:color w:val="000000"/>
                <w:sz w:val="20"/>
                <w:szCs w:val="20"/>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涉及市县数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抽查市县数</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黑体" w:hAnsi="宋体" w:eastAsia="仿宋_GB2312" w:cs="黑体"/>
                <w:color w:val="000000"/>
                <w:kern w:val="0"/>
                <w:sz w:val="20"/>
                <w:szCs w:val="20"/>
                <w:lang w:val="en-US" w:eastAsia="zh-CN"/>
              </w:rPr>
            </w:pPr>
            <w:r>
              <w:rPr>
                <w:rFonts w:hint="eastAsia" w:ascii="黑体" w:hAnsi="宋体" w:eastAsia="仿宋_GB2312" w:cs="黑体"/>
                <w:color w:val="000000"/>
                <w:kern w:val="0"/>
                <w:sz w:val="20"/>
                <w:szCs w:val="20"/>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抽查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洛浦县</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发放调查</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25</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有效调查</w:t>
            </w:r>
          </w:p>
          <w:p>
            <w:pPr>
              <w:widowControl/>
              <w:spacing w:line="240" w:lineRule="exact"/>
              <w:jc w:val="center"/>
              <w:textAlignment w:val="center"/>
              <w:rPr>
                <w:rFonts w:ascii="黑体" w:hAnsi="黑体" w:eastAsia="黑体" w:cs="仿宋_GB2312"/>
                <w:color w:val="000000"/>
                <w:kern w:val="0"/>
                <w:sz w:val="20"/>
                <w:szCs w:val="20"/>
              </w:rPr>
            </w:pPr>
            <w:r>
              <w:rPr>
                <w:rFonts w:hint="eastAsia" w:ascii="黑体" w:hAnsi="宋体" w:eastAsia="黑体" w:cs="黑体"/>
                <w:color w:val="000000"/>
                <w:kern w:val="0"/>
                <w:sz w:val="20"/>
                <w:szCs w:val="20"/>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25</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满意度</w:t>
            </w:r>
          </w:p>
          <w:p>
            <w:pPr>
              <w:widowControl/>
              <w:spacing w:line="240" w:lineRule="exact"/>
              <w:jc w:val="center"/>
              <w:textAlignment w:val="center"/>
              <w:rPr>
                <w:rFonts w:ascii="仿宋_GB2312" w:hAnsi="宋体" w:eastAsia="仿宋_GB2312" w:cs="仿宋_GB2312"/>
                <w:color w:val="000000"/>
                <w:kern w:val="0"/>
                <w:sz w:val="20"/>
                <w:szCs w:val="20"/>
              </w:rPr>
            </w:pPr>
            <w:r>
              <w:rPr>
                <w:rFonts w:hint="eastAsia" w:ascii="黑体" w:hAnsi="宋体" w:eastAsia="黑体" w:cs="黑体"/>
                <w:color w:val="000000"/>
                <w:kern w:val="0"/>
                <w:sz w:val="20"/>
                <w:szCs w:val="20"/>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lang w:val="en-US" w:eastAsia="zh-CN"/>
              </w:rPr>
            </w:pPr>
            <w:r>
              <w:rPr>
                <w:rFonts w:hint="eastAsia" w:ascii="仿宋_GB2312" w:hAnsi="宋体" w:eastAsia="仿宋_GB2312" w:cs="仿宋_GB2312"/>
                <w:color w:val="000000"/>
                <w:kern w:val="0"/>
                <w:sz w:val="20"/>
                <w:szCs w:val="20"/>
                <w:lang w:val="en-US" w:eastAsia="zh-CN"/>
              </w:rPr>
              <w:t>100%</w:t>
            </w:r>
          </w:p>
        </w:tc>
      </w:tr>
      <w:tr>
        <w:tblPrEx>
          <w:tblCellMar>
            <w:top w:w="15" w:type="dxa"/>
            <w:left w:w="15" w:type="dxa"/>
            <w:bottom w:w="15" w:type="dxa"/>
            <w:right w:w="15" w:type="dxa"/>
          </w:tblCellMar>
        </w:tblPrEx>
        <w:trPr>
          <w:trHeight w:val="884"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b/>
                <w:bCs/>
                <w:color w:val="000000"/>
                <w:sz w:val="20"/>
                <w:szCs w:val="20"/>
              </w:rPr>
            </w:pPr>
            <w:r>
              <w:rPr>
                <w:rFonts w:hint="eastAsia" w:ascii="仿宋_GB2312" w:hAnsi="宋体" w:eastAsia="仿宋_GB2312" w:cs="仿宋_GB2312"/>
                <w:color w:val="auto"/>
                <w:sz w:val="18"/>
                <w:szCs w:val="18"/>
                <w:lang w:val="en-US" w:eastAsia="zh-CN"/>
              </w:rPr>
              <w:t>截止到12月31日，该项目到位资金220万元，实际执行220万元，已开展7400亩地管护任务并发放了2021年220名生态护林员补助，通过该项目的实施，解决了220名贫困户的就业问题，按照每人每年10000元的补助标准兑现补助资金，增加了贫困户的经济收入，从而实现了巩固脱贫成效目标。</w:t>
            </w:r>
          </w:p>
        </w:tc>
      </w:tr>
      <w:tr>
        <w:tblPrEx>
          <w:tblCellMar>
            <w:top w:w="15" w:type="dxa"/>
            <w:left w:w="15" w:type="dxa"/>
            <w:bottom w:w="15" w:type="dxa"/>
            <w:right w:w="15" w:type="dxa"/>
          </w:tblCellMar>
        </w:tblPrEx>
        <w:trPr>
          <w:trHeight w:val="41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color w:val="000000"/>
                <w:sz w:val="20"/>
                <w:szCs w:val="20"/>
                <w:highlight w:val="yellow"/>
                <w:lang w:eastAsia="zh-CN"/>
              </w:rPr>
            </w:pPr>
            <w:r>
              <w:rPr>
                <w:rFonts w:hint="eastAsia" w:ascii="仿宋_GB2312" w:hAnsi="宋体" w:eastAsia="仿宋_GB2312" w:cs="仿宋_GB2312"/>
                <w:color w:val="auto"/>
                <w:sz w:val="18"/>
                <w:szCs w:val="18"/>
                <w:lang w:val="en-US" w:eastAsia="zh-CN"/>
              </w:rPr>
              <w:t>多鲁乡相关项目负责人调岗时未做好项目交接工作，无法提供5/6月份工资打卡记录。</w:t>
            </w:r>
          </w:p>
        </w:tc>
      </w:tr>
      <w:tr>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评价问题</w:t>
            </w:r>
          </w:p>
          <w:p>
            <w:pPr>
              <w:widowControl/>
              <w:spacing w:line="240" w:lineRule="exact"/>
              <w:jc w:val="center"/>
              <w:textAlignment w:val="center"/>
              <w:rPr>
                <w:rFonts w:ascii="黑体" w:hAnsi="宋体" w:eastAsia="黑体" w:cs="黑体"/>
                <w:color w:val="000000"/>
                <w:kern w:val="0"/>
                <w:sz w:val="20"/>
                <w:szCs w:val="20"/>
              </w:rPr>
            </w:pPr>
            <w:r>
              <w:rPr>
                <w:rFonts w:hint="eastAsia" w:ascii="黑体" w:hAnsi="宋体" w:eastAsia="黑体" w:cs="黑体"/>
                <w:color w:val="000000"/>
                <w:kern w:val="0"/>
                <w:sz w:val="20"/>
                <w:szCs w:val="20"/>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left"/>
              <w:textAlignment w:val="center"/>
              <w:rPr>
                <w:rFonts w:hint="eastAsia" w:ascii="仿宋_GB2312" w:hAnsi="宋体" w:eastAsia="仿宋_GB2312" w:cs="仿宋_GB2312"/>
                <w:color w:val="000000"/>
                <w:sz w:val="20"/>
                <w:szCs w:val="20"/>
                <w:lang w:eastAsia="zh-CN"/>
              </w:rPr>
            </w:pPr>
            <w:r>
              <w:rPr>
                <w:rFonts w:hint="eastAsia" w:ascii="仿宋_GB2312" w:hAnsi="宋体" w:eastAsia="仿宋_GB2312" w:cs="仿宋_GB2312"/>
                <w:color w:val="auto"/>
                <w:sz w:val="18"/>
                <w:szCs w:val="18"/>
                <w:lang w:val="en-US" w:eastAsia="zh-CN"/>
              </w:rPr>
              <w:t>建议后期与相关工作人员取得联系做好交接工作，对缺失的项目资料进行补充完善，进一步落实好单位项目管理制度。</w:t>
            </w:r>
          </w:p>
        </w:tc>
      </w:tr>
      <w:tr>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评价结果</w:t>
            </w:r>
          </w:p>
          <w:p>
            <w:pPr>
              <w:widowControl/>
              <w:spacing w:line="240" w:lineRule="exact"/>
              <w:jc w:val="center"/>
              <w:textAlignment w:val="center"/>
              <w:rPr>
                <w:rFonts w:ascii="黑体" w:hAnsi="宋体" w:eastAsia="黑体" w:cs="黑体"/>
                <w:color w:val="000000"/>
                <w:sz w:val="20"/>
                <w:szCs w:val="20"/>
              </w:rPr>
            </w:pPr>
            <w:r>
              <w:rPr>
                <w:rFonts w:hint="eastAsia" w:ascii="黑体" w:hAnsi="宋体" w:eastAsia="黑体" w:cs="黑体"/>
                <w:color w:val="000000"/>
                <w:sz w:val="20"/>
                <w:szCs w:val="20"/>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pPr>
              <w:widowControl/>
              <w:spacing w:line="240" w:lineRule="exact"/>
              <w:jc w:val="left"/>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仿宋_GB2312"/>
                <w:color w:val="000000"/>
                <w:sz w:val="20"/>
                <w:szCs w:val="20"/>
              </w:rPr>
            </w:pPr>
            <w:r>
              <w:rPr>
                <w:rFonts w:hint="eastAsia" w:ascii="黑体" w:hAnsi="黑体" w:eastAsia="黑体" w:cs="仿宋_GB2312"/>
                <w:color w:val="000000"/>
                <w:sz w:val="20"/>
                <w:szCs w:val="20"/>
              </w:rPr>
              <w:t>中瑞诚喀绩评字[202</w:t>
            </w:r>
            <w:r>
              <w:rPr>
                <w:rFonts w:hint="eastAsia" w:ascii="黑体" w:hAnsi="黑体" w:eastAsia="黑体" w:cs="仿宋_GB2312"/>
                <w:color w:val="000000"/>
                <w:sz w:val="20"/>
                <w:szCs w:val="20"/>
                <w:lang w:val="en-US" w:eastAsia="zh-CN"/>
              </w:rPr>
              <w:t>2</w:t>
            </w:r>
            <w:r>
              <w:rPr>
                <w:rFonts w:hint="eastAsia" w:ascii="黑体" w:hAnsi="黑体" w:eastAsia="黑体" w:cs="仿宋_GB2312"/>
                <w:color w:val="000000"/>
                <w:sz w:val="20"/>
                <w:szCs w:val="20"/>
              </w:rPr>
              <w:t>]</w:t>
            </w:r>
            <w:r>
              <w:rPr>
                <w:rFonts w:hint="eastAsia" w:ascii="黑体" w:hAnsi="黑体" w:eastAsia="黑体" w:cs="仿宋_GB2312"/>
                <w:color w:val="000000"/>
                <w:sz w:val="20"/>
                <w:szCs w:val="20"/>
                <w:lang w:val="en-US" w:eastAsia="zh-CN"/>
              </w:rPr>
              <w:t>142</w:t>
            </w:r>
            <w:r>
              <w:rPr>
                <w:rFonts w:hint="eastAsia" w:ascii="黑体" w:hAnsi="黑体" w:eastAsia="黑体" w:cs="仿宋_GB2312"/>
                <w:color w:val="000000"/>
                <w:sz w:val="20"/>
                <w:szCs w:val="20"/>
              </w:rPr>
              <w:t>号</w:t>
            </w:r>
          </w:p>
        </w:tc>
      </w:tr>
      <w:tr>
        <w:tblPrEx>
          <w:tblCellMar>
            <w:top w:w="15" w:type="dxa"/>
            <w:left w:w="15" w:type="dxa"/>
            <w:bottom w:w="15" w:type="dxa"/>
            <w:right w:w="15" w:type="dxa"/>
          </w:tblCellMar>
        </w:tblPrEx>
        <w:trPr>
          <w:trHeight w:val="95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项目负责人（签字）</w:t>
            </w:r>
          </w:p>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法定代表人（签字）</w:t>
            </w:r>
          </w:p>
          <w:p>
            <w:pPr>
              <w:widowControl/>
              <w:spacing w:line="240" w:lineRule="exact"/>
              <w:jc w:val="center"/>
              <w:textAlignment w:val="center"/>
              <w:rPr>
                <w:rFonts w:ascii="黑体" w:hAnsi="黑体" w:eastAsia="黑体" w:cs="仿宋_GB2312"/>
                <w:color w:val="000000"/>
                <w:sz w:val="20"/>
                <w:szCs w:val="20"/>
              </w:rPr>
            </w:pPr>
            <w:r>
              <w:rPr>
                <w:rFonts w:hint="eastAsia" w:ascii="黑体" w:hAnsi="黑体" w:eastAsia="黑体" w:cs="仿宋_GB2312"/>
                <w:color w:val="000000"/>
                <w:sz w:val="20"/>
                <w:szCs w:val="20"/>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rPr>
            </w:pPr>
            <w:r>
              <w:rPr>
                <w:rFonts w:hint="eastAsia" w:ascii="仿宋_GB2312" w:hAnsi="宋体" w:eastAsia="仿宋_GB2312" w:cs="仿宋_GB2312"/>
                <w:color w:val="000000"/>
                <w:sz w:val="20"/>
                <w:szCs w:val="20"/>
                <w:lang w:val="en-US" w:eastAsia="zh-CN"/>
              </w:rPr>
              <w:t>叶金玲 13899129971</w:t>
            </w:r>
          </w:p>
        </w:tc>
      </w:tr>
    </w:tbl>
    <w:p>
      <w:pPr>
        <w:pStyle w:val="14"/>
        <w:tabs>
          <w:tab w:val="right" w:leader="dot" w:pos="8302"/>
        </w:tabs>
        <w:jc w:val="center"/>
        <w:outlineLvl w:val="1"/>
        <w:rPr>
          <w:rFonts w:hint="eastAsia" w:ascii="方正小标宋简体" w:hAnsi="方正小标宋简体" w:eastAsia="方正小标宋简体" w:cs="方正小标宋简体"/>
          <w:b w:val="0"/>
          <w:bCs w:val="0"/>
          <w:sz w:val="44"/>
          <w:szCs w:val="44"/>
        </w:rPr>
      </w:pPr>
    </w:p>
    <w:p>
      <w:pPr>
        <w:pStyle w:val="14"/>
        <w:tabs>
          <w:tab w:val="right" w:leader="dot" w:pos="8302"/>
        </w:tabs>
        <w:jc w:val="center"/>
        <w:outlineLvl w:val="1"/>
        <w:rPr>
          <w:rFonts w:hint="eastAsia" w:ascii="仿宋_GB2312" w:hAnsi="仿宋_GB2312" w:eastAsia="仿宋_GB2312" w:cs="仿宋_GB2312"/>
          <w:sz w:val="32"/>
          <w:szCs w:val="32"/>
          <w:highlight w:val="none"/>
        </w:rPr>
      </w:pPr>
      <w:r>
        <w:rPr>
          <w:rFonts w:hint="eastAsia" w:ascii="方正小标宋简体" w:hAnsi="方正小标宋简体" w:eastAsia="方正小标宋简体" w:cs="方正小标宋简体"/>
          <w:b w:val="0"/>
          <w:bCs w:val="0"/>
          <w:sz w:val="44"/>
          <w:szCs w:val="44"/>
        </w:rPr>
        <w:t>摘   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为规范和加强财政资金的管理，优化财政支出结构、进一步发挥绩效管理工作对财政资金使用管理的导向和激励作用，提高资金使用效益，根据财政部《项目支出绩效评价管理办法》（财预〔2020〕10 号）及《自治区财政支出绩效评价管理暂行办法》（新财预〔2018〕189号）相关规定，受洛浦县财政局委托，中瑞诚会计师事务所（特殊普通合伙）喀什分所作为第三方评价机构于2021年01月01日至2022年06月30日对洛浦县林业和草原局管理的2021年草原管护员补助项目开展了绩效评价，评价情况如下：</w:t>
      </w:r>
    </w:p>
    <w:p>
      <w:pPr>
        <w:adjustRightInd w:val="0"/>
        <w:snapToGrid w:val="0"/>
        <w:spacing w:line="560" w:lineRule="exact"/>
        <w:ind w:firstLine="640" w:firstLineChars="200"/>
        <w:jc w:val="left"/>
        <w:outlineLvl w:val="0"/>
        <w:rPr>
          <w:rFonts w:hint="eastAsia" w:ascii="黑体" w:hAnsi="黑体" w:eastAsia="黑体" w:cs="宋体"/>
          <w:sz w:val="32"/>
          <w:szCs w:val="32"/>
        </w:rPr>
      </w:pPr>
      <w:bookmarkStart w:id="0" w:name="_Toc1784"/>
      <w:r>
        <w:rPr>
          <w:rFonts w:hint="eastAsia" w:ascii="黑体" w:hAnsi="黑体" w:eastAsia="黑体" w:cs="宋体"/>
          <w:sz w:val="32"/>
          <w:szCs w:val="32"/>
        </w:rPr>
        <w:t>一、项目概述</w:t>
      </w:r>
      <w:bookmarkEnd w:id="0"/>
    </w:p>
    <w:p>
      <w:p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bookmarkStart w:id="1" w:name="_Toc4382"/>
      <w:r>
        <w:rPr>
          <w:rFonts w:hint="eastAsia" w:ascii="仿宋_GB2312" w:hAnsi="宋体" w:eastAsia="仿宋_GB2312" w:cs="仿宋_GB2312"/>
          <w:color w:val="000000"/>
          <w:sz w:val="32"/>
          <w:szCs w:val="32"/>
          <w:highlight w:val="none"/>
          <w:lang w:val="en-US" w:eastAsia="zh-CN"/>
        </w:rPr>
        <w:t>为全面落实国家草原生态保护补助奖励机制，依法保护草原生态，科学合理利用草原、加强草原管护人员管理，规范管护行为，提高管护水平，强化草原火灾预警、结合我县实际以及洛浦县林业和草原局工作职责，根据《关于提前下达2021年中央林业草原生态保护恢复资金预算的通知》（新财资环〔2020〕90号），《关于提前下达2021年中央林业草原生态保护恢复资金预算的通知》（和地财建〔2020〕126号），《关于拨付2021年中央林业草原生态保护恢复资金(2021年草原生态修复治理补助-草原管护员)的通知》（洛财字〔2020〕113号）文件要求实施该项目。</w:t>
      </w:r>
    </w:p>
    <w:p>
      <w:pPr>
        <w:adjustRightInd w:val="0"/>
        <w:snapToGrid w:val="0"/>
        <w:spacing w:line="560" w:lineRule="exact"/>
        <w:ind w:firstLine="640" w:firstLineChars="200"/>
        <w:jc w:val="left"/>
        <w:outlineLvl w:val="0"/>
        <w:rPr>
          <w:rFonts w:hint="eastAsia" w:ascii="仿宋_GB2312" w:hAnsi="宋体" w:eastAsia="仿宋_GB2312" w:cs="仿宋_GB2312"/>
          <w:color w:val="000000"/>
          <w:sz w:val="32"/>
          <w:szCs w:val="32"/>
          <w:highlight w:val="none"/>
          <w:lang w:val="en-US" w:eastAsia="zh-CN"/>
        </w:rPr>
      </w:pPr>
      <w:r>
        <w:rPr>
          <w:rFonts w:hint="eastAsia" w:ascii="仿宋_GB2312" w:hAnsi="宋体" w:eastAsia="仿宋_GB2312" w:cs="仿宋_GB2312"/>
          <w:color w:val="000000"/>
          <w:sz w:val="32"/>
          <w:szCs w:val="32"/>
          <w:highlight w:val="none"/>
          <w:lang w:val="en-US" w:eastAsia="zh-CN"/>
        </w:rPr>
        <w:t>该项目主要是补助对象:对全县220名建档立卡贫困户草原管护员实行管护补助。根据各乡镇建档立卡贫困户和草原管护面积实际情况，分配各乡镇的管护名额分别为:布亚乡10名、恰尔巴格乡34名、纳瓦乡11名、山普鲁镇33名、洛浦镇11名、杭桂镇58名、多鲁乡42名、拜什托格拉克乡12名、阿其克乡9名。</w:t>
      </w:r>
    </w:p>
    <w:p>
      <w:pPr>
        <w:adjustRightInd w:val="0"/>
        <w:snapToGrid w:val="0"/>
        <w:spacing w:line="560" w:lineRule="exact"/>
        <w:ind w:firstLine="640" w:firstLineChars="200"/>
        <w:jc w:val="left"/>
        <w:outlineLvl w:val="0"/>
        <w:rPr>
          <w:rFonts w:hint="eastAsia" w:ascii="黑体" w:hAnsi="黑体" w:eastAsia="黑体" w:cs="宋体"/>
          <w:sz w:val="32"/>
          <w:szCs w:val="32"/>
          <w:highlight w:val="yellow"/>
          <w:lang w:eastAsia="zh-CN"/>
        </w:rPr>
      </w:pPr>
      <w:r>
        <w:rPr>
          <w:rFonts w:hint="eastAsia" w:ascii="黑体" w:hAnsi="黑体" w:eastAsia="黑体" w:cs="宋体"/>
          <w:sz w:val="32"/>
          <w:szCs w:val="32"/>
        </w:rPr>
        <w:t>二、评价工作简述</w:t>
      </w:r>
      <w:bookmarkEnd w:id="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2" w:name="_Toc13087"/>
      <w:r>
        <w:rPr>
          <w:rFonts w:hint="eastAsia" w:ascii="仿宋_GB2312" w:hAnsi="仿宋_GB2312" w:eastAsia="仿宋_GB2312" w:cs="仿宋_GB2312"/>
          <w:sz w:val="32"/>
          <w:szCs w:val="32"/>
          <w:highlight w:val="none"/>
          <w:lang w:val="en-US" w:eastAsia="zh-CN"/>
        </w:rPr>
        <w:t>评价组自承接本项目后，立足于该项目特点，本次评价关注重点：一是针对预算编制、资金执行的相关情况评价项目预算编制、财务核算是否到位；二是评价项目实施单位的管理制度、监管考核机制是否健全；三是评价项目是否按照目标执行，项目实施效果是否达到预期目标。</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评价工作组通过前期调研，了解项目管理流程及效果，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经综合评价，项目得分为98.5分，其中：项目决策得分20分、项目过程得分18.5分；项目产出得分30分、项目效益得分30分，评价等级为优。</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220.00万元，实际支出220.00万元，预算资金执行率100%。通过文件研读、实地调研、数据分析等方式，全面了解该项目的使用效果，项目管理过程较规范；总的来看，该项目已开展7400亩地管护任务并发放了2021年220名生态护林员补助，通过该项目的实施，解决了220名贫困户的就业问题，按照每人每年10000元的补助标准兑现补助资金，增加了贫困户的经济收入，从而实现了巩固脱贫成效目标。</w:t>
      </w:r>
    </w:p>
    <w:p>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pPr>
        <w:pStyle w:val="34"/>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bookmarkStart w:id="6" w:name="_Toc24350"/>
      <w:bookmarkStart w:id="7" w:name="_Toc6009"/>
      <w:bookmarkStart w:id="8" w:name="_Toc19437"/>
      <w:bookmarkStart w:id="9" w:name="_Toc22139"/>
      <w:bookmarkStart w:id="10" w:name="_Toc5400"/>
      <w:bookmarkStart w:id="11" w:name="_Toc11063"/>
      <w:r>
        <w:rPr>
          <w:rFonts w:hint="eastAsia" w:ascii="仿宋_GB2312" w:hAnsi="仿宋" w:eastAsia="仿宋_GB2312" w:cs="宋体"/>
          <w:b/>
          <w:bCs/>
          <w:sz w:val="32"/>
          <w:szCs w:val="32"/>
        </w:rPr>
        <w:t>（一）问题</w:t>
      </w:r>
      <w:bookmarkEnd w:id="6"/>
      <w:bookmarkEnd w:id="7"/>
      <w:bookmarkEnd w:id="8"/>
      <w:bookmarkEnd w:id="9"/>
      <w:bookmarkEnd w:id="10"/>
      <w:bookmarkEnd w:id="11"/>
    </w:p>
    <w:p>
      <w:pPr>
        <w:pStyle w:val="34"/>
        <w:adjustRightInd w:val="0"/>
        <w:snapToGrid w:val="0"/>
        <w:spacing w:line="560" w:lineRule="exact"/>
        <w:ind w:left="420" w:leftChars="200" w:firstLine="320" w:firstLineChars="100"/>
        <w:outlineLvl w:val="1"/>
        <w:rPr>
          <w:rFonts w:hint="eastAsia" w:ascii="仿宋_GB2312" w:hAnsi="仿宋_GB2312" w:eastAsia="仿宋_GB2312" w:cs="仿宋_GB2312"/>
          <w:sz w:val="32"/>
          <w:szCs w:val="32"/>
          <w:highlight w:val="none"/>
          <w:lang w:val="en-US" w:eastAsia="zh-CN"/>
        </w:rPr>
      </w:pPr>
      <w:bookmarkStart w:id="12" w:name="_Toc21456"/>
      <w:bookmarkStart w:id="13" w:name="_Toc3933"/>
      <w:bookmarkStart w:id="14" w:name="_Toc32170"/>
      <w:bookmarkStart w:id="15" w:name="_Toc13719"/>
      <w:bookmarkStart w:id="16" w:name="_Toc25341"/>
      <w:bookmarkStart w:id="17" w:name="_Toc23428"/>
      <w:r>
        <w:rPr>
          <w:rFonts w:hint="eastAsia" w:ascii="仿宋_GB2312" w:hAnsi="仿宋_GB2312" w:eastAsia="仿宋_GB2312" w:cs="仿宋_GB2312"/>
          <w:sz w:val="32"/>
          <w:szCs w:val="32"/>
          <w:highlight w:val="none"/>
          <w:lang w:val="en-US" w:eastAsia="zh-CN"/>
        </w:rPr>
        <w:t>多鲁乡相关项目负责人调岗时未做好项目交接工作，无法提供5/6月份工资打卡记录。</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eastAsia="zh-CN"/>
        </w:rPr>
        <w:t>二</w:t>
      </w:r>
      <w:r>
        <w:rPr>
          <w:rFonts w:hint="eastAsia" w:ascii="仿宋_GB2312" w:hAnsi="仿宋" w:eastAsia="仿宋_GB2312" w:cs="宋体"/>
          <w:b/>
          <w:bCs/>
          <w:sz w:val="32"/>
          <w:szCs w:val="32"/>
        </w:rPr>
        <w:t>）意见和建议</w:t>
      </w:r>
      <w:bookmarkEnd w:id="12"/>
      <w:bookmarkEnd w:id="13"/>
      <w:bookmarkEnd w:id="14"/>
      <w:bookmarkEnd w:id="15"/>
      <w:bookmarkEnd w:id="16"/>
      <w:bookmarkEnd w:id="17"/>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jc w:val="both"/>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建议后期与相关工作人员取得联系做好交接工作，对缺失的项目资料进行补充完善，进一步落实好单位项目管理制度。</w:t>
      </w:r>
    </w:p>
    <w:p>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pPr>
        <w:jc w:val="center"/>
      </w:pPr>
    </w:p>
    <w:tbl>
      <w:tblPr>
        <w:tblStyle w:val="21"/>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pPr>
              <w:pStyle w:val="14"/>
              <w:tabs>
                <w:tab w:val="right" w:leader="dot" w:pos="8302"/>
              </w:tabs>
              <w:spacing w:line="340" w:lineRule="exact"/>
              <w:jc w:val="center"/>
              <w:rPr>
                <w:rFonts w:hint="eastAsia" w:ascii="黑体" w:hAnsi="黑体" w:eastAsia="黑体" w:cs="宋体"/>
                <w:kern w:val="0"/>
                <w:sz w:val="24"/>
              </w:rPr>
            </w:pPr>
            <w:r>
              <w:rPr>
                <w:rFonts w:hint="eastAsia" w:ascii="黑体" w:hAnsi="黑体" w:eastAsia="黑体" w:cs="宋体"/>
                <w:kern w:val="0"/>
                <w:sz w:val="24"/>
              </w:rPr>
              <w:t>序号</w:t>
            </w:r>
          </w:p>
        </w:tc>
        <w:tc>
          <w:tcPr>
            <w:tcW w:w="1605" w:type="dxa"/>
            <w:vAlign w:val="center"/>
          </w:tcPr>
          <w:p>
            <w:pPr>
              <w:pStyle w:val="14"/>
              <w:tabs>
                <w:tab w:val="right" w:leader="dot" w:pos="8302"/>
              </w:tabs>
              <w:spacing w:line="340" w:lineRule="exact"/>
              <w:jc w:val="center"/>
              <w:rPr>
                <w:rFonts w:hint="eastAsia"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pPr>
              <w:pStyle w:val="14"/>
              <w:tabs>
                <w:tab w:val="right" w:leader="dot" w:pos="8302"/>
              </w:tabs>
              <w:spacing w:line="340" w:lineRule="exact"/>
              <w:jc w:val="center"/>
              <w:rPr>
                <w:rFonts w:hint="eastAsia" w:ascii="黑体" w:hAnsi="黑体" w:eastAsia="黑体" w:cs="宋体"/>
                <w:kern w:val="0"/>
                <w:sz w:val="24"/>
              </w:rPr>
            </w:pPr>
            <w:r>
              <w:rPr>
                <w:rFonts w:hint="eastAsia" w:ascii="黑体" w:hAnsi="黑体" w:eastAsia="黑体" w:cs="宋体"/>
                <w:kern w:val="0"/>
                <w:sz w:val="24"/>
              </w:rPr>
              <w:t>姓名</w:t>
            </w:r>
          </w:p>
        </w:tc>
        <w:tc>
          <w:tcPr>
            <w:tcW w:w="1640" w:type="dxa"/>
            <w:vAlign w:val="center"/>
          </w:tcPr>
          <w:p>
            <w:pPr>
              <w:pStyle w:val="14"/>
              <w:tabs>
                <w:tab w:val="right" w:leader="dot" w:pos="8302"/>
              </w:tabs>
              <w:spacing w:line="340" w:lineRule="exact"/>
              <w:jc w:val="center"/>
              <w:rPr>
                <w:rFonts w:hint="eastAsia" w:ascii="黑体" w:hAnsi="黑体" w:eastAsia="黑体" w:cs="宋体"/>
                <w:kern w:val="0"/>
                <w:sz w:val="24"/>
              </w:rPr>
            </w:pPr>
            <w:r>
              <w:rPr>
                <w:rFonts w:hint="eastAsia" w:ascii="黑体" w:hAnsi="黑体" w:eastAsia="黑体" w:cs="宋体"/>
                <w:kern w:val="0"/>
                <w:sz w:val="24"/>
              </w:rPr>
              <w:t>执业（从业）</w:t>
            </w:r>
          </w:p>
          <w:p>
            <w:pPr>
              <w:pStyle w:val="14"/>
              <w:tabs>
                <w:tab w:val="right" w:leader="dot" w:pos="8302"/>
              </w:tabs>
              <w:spacing w:line="340" w:lineRule="exact"/>
              <w:jc w:val="center"/>
              <w:rPr>
                <w:rFonts w:hint="eastAsia" w:ascii="黑体" w:hAnsi="黑体" w:eastAsia="黑体" w:cs="宋体"/>
                <w:kern w:val="0"/>
                <w:sz w:val="24"/>
              </w:rPr>
            </w:pPr>
            <w:r>
              <w:rPr>
                <w:rFonts w:hint="eastAsia" w:ascii="黑体" w:hAnsi="黑体" w:eastAsia="黑体" w:cs="宋体"/>
                <w:kern w:val="0"/>
                <w:sz w:val="24"/>
              </w:rPr>
              <w:t>资格</w:t>
            </w:r>
          </w:p>
        </w:tc>
        <w:tc>
          <w:tcPr>
            <w:tcW w:w="1510" w:type="dxa"/>
            <w:vAlign w:val="center"/>
          </w:tcPr>
          <w:p>
            <w:pPr>
              <w:pStyle w:val="14"/>
              <w:tabs>
                <w:tab w:val="right" w:leader="dot" w:pos="8302"/>
              </w:tabs>
              <w:spacing w:line="340" w:lineRule="exact"/>
              <w:jc w:val="center"/>
              <w:rPr>
                <w:rFonts w:hint="eastAsia" w:ascii="黑体" w:hAnsi="黑体" w:eastAsia="黑体" w:cs="宋体"/>
                <w:kern w:val="0"/>
                <w:sz w:val="24"/>
              </w:rPr>
            </w:pPr>
            <w:r>
              <w:rPr>
                <w:rFonts w:hint="eastAsia" w:ascii="黑体" w:hAnsi="黑体" w:eastAsia="黑体" w:cs="宋体"/>
                <w:kern w:val="0"/>
                <w:sz w:val="24"/>
              </w:rPr>
              <w:t>职称</w:t>
            </w:r>
          </w:p>
        </w:tc>
        <w:tc>
          <w:tcPr>
            <w:tcW w:w="1480" w:type="dxa"/>
            <w:vAlign w:val="center"/>
          </w:tcPr>
          <w:p>
            <w:pPr>
              <w:pStyle w:val="14"/>
              <w:tabs>
                <w:tab w:val="right" w:leader="dot" w:pos="8302"/>
              </w:tabs>
              <w:spacing w:line="340" w:lineRule="exact"/>
              <w:jc w:val="center"/>
              <w:rPr>
                <w:rFonts w:hint="eastAsia" w:ascii="黑体" w:hAnsi="黑体" w:eastAsia="黑体" w:cs="宋体"/>
                <w:kern w:val="0"/>
                <w:sz w:val="24"/>
              </w:rPr>
            </w:pPr>
            <w:r>
              <w:rPr>
                <w:rFonts w:hint="eastAsia" w:ascii="黑体" w:hAnsi="黑体" w:eastAsia="黑体" w:cs="宋体"/>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项目总负责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资金审查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审核指导   质量审核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pPr>
              <w:pStyle w:val="14"/>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p>
        </w:tc>
        <w:tc>
          <w:tcPr>
            <w:tcW w:w="151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pPr>
              <w:pStyle w:val="14"/>
              <w:tabs>
                <w:tab w:val="right" w:leader="dot" w:pos="8302"/>
              </w:tabs>
              <w:spacing w:line="340" w:lineRule="exact"/>
              <w:jc w:val="center"/>
              <w:rPr>
                <w:rFonts w:hint="eastAsia" w:ascii="仿宋_GB2312" w:hAnsi="黑体" w:eastAsia="仿宋_GB2312" w:cs="宋体"/>
                <w:kern w:val="0"/>
                <w:sz w:val="24"/>
              </w:rPr>
            </w:pPr>
          </w:p>
        </w:tc>
      </w:tr>
    </w:tbl>
    <w:p>
      <w:pPr>
        <w:ind w:firstLine="640" w:firstLineChars="200"/>
        <w:rPr>
          <w:rFonts w:ascii="仿宋_GB2312" w:eastAsia="仿宋_GB2312"/>
          <w:sz w:val="32"/>
          <w:szCs w:val="32"/>
        </w:rPr>
      </w:pPr>
    </w:p>
    <w:p>
      <w:pPr>
        <w:pStyle w:val="14"/>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pPr>
        <w:pStyle w:val="14"/>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p>
      <w:pPr>
        <w:rPr>
          <w:rFonts w:hint="eastAsia"/>
        </w:rPr>
      </w:pP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6</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6</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10</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11</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12</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12</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14</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20</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20</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21</w:t>
          </w:r>
          <w:r>
            <w:rPr>
              <w:highlight w:val="none"/>
            </w:rPr>
            <w:fldChar w:fldCharType="end"/>
          </w:r>
          <w:r>
            <w:rPr>
              <w:bCs w:val="0"/>
              <w:szCs w:val="24"/>
              <w:highlight w:val="none"/>
            </w:rPr>
            <w:fldChar w:fldCharType="end"/>
          </w:r>
        </w:p>
        <w:p>
          <w:pPr>
            <w:pStyle w:val="14"/>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21</w:t>
          </w:r>
          <w:r>
            <w:rPr>
              <w:highlight w:val="none"/>
            </w:rPr>
            <w:fldChar w:fldCharType="end"/>
          </w:r>
          <w:r>
            <w:rPr>
              <w:bCs w:val="0"/>
              <w:szCs w:val="24"/>
              <w:highlight w:val="none"/>
            </w:rPr>
            <w:fldChar w:fldCharType="end"/>
          </w:r>
        </w:p>
        <w:p>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pPr>
        <w:pStyle w:val="14"/>
        <w:tabs>
          <w:tab w:val="right" w:leader="dot" w:pos="8302"/>
        </w:tabs>
        <w:spacing w:line="340" w:lineRule="exact"/>
        <w:rPr>
          <w:rFonts w:ascii="黑体" w:hAnsi="黑体" w:eastAsia="黑体" w:cs="宋体"/>
          <w:sz w:val="32"/>
          <w:szCs w:val="32"/>
        </w:rPr>
      </w:pPr>
    </w:p>
    <w:p>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pPr>
        <w:spacing w:line="600" w:lineRule="exact"/>
        <w:jc w:val="center"/>
        <w:outlineLvl w:val="9"/>
        <w:rPr>
          <w:rFonts w:hint="eastAsia" w:ascii="仿宋" w:hAnsi="仿宋" w:eastAsia="仿宋" w:cs="仿宋"/>
          <w:b/>
          <w:bCs/>
          <w:sz w:val="44"/>
          <w:szCs w:val="44"/>
        </w:rPr>
      </w:pPr>
      <w:bookmarkStart w:id="19" w:name="_Toc16603"/>
      <w:bookmarkStart w:id="20" w:name="_Toc31819"/>
      <w:bookmarkStart w:id="21" w:name="_Toc24347"/>
      <w:bookmarkStart w:id="22" w:name="_Toc7636"/>
      <w:bookmarkStart w:id="23" w:name="_Toc14725"/>
      <w:bookmarkStart w:id="24" w:name="_Toc29218"/>
      <w:bookmarkStart w:id="25" w:name="_Toc28273"/>
      <w:bookmarkStart w:id="26" w:name="_Toc19311"/>
      <w:bookmarkStart w:id="27" w:name="_Toc12923"/>
      <w:bookmarkStart w:id="28" w:name="_Toc1397"/>
      <w:r>
        <w:rPr>
          <w:rFonts w:hint="eastAsia" w:ascii="仿宋" w:hAnsi="仿宋" w:eastAsia="仿宋" w:cs="仿宋"/>
          <w:b/>
          <w:bCs/>
          <w:sz w:val="44"/>
          <w:szCs w:val="44"/>
          <w:lang w:eastAsia="zh-CN"/>
        </w:rPr>
        <w:t>洛浦县2021年草原管护员补助项目</w:t>
      </w:r>
      <w:r>
        <w:rPr>
          <w:rFonts w:hint="eastAsia" w:ascii="仿宋" w:hAnsi="仿宋" w:eastAsia="仿宋" w:cs="仿宋"/>
          <w:b/>
          <w:bCs/>
          <w:sz w:val="44"/>
          <w:szCs w:val="44"/>
          <w:lang w:val="en-US" w:eastAsia="zh-CN"/>
        </w:rPr>
        <w:t xml:space="preserve">      </w:t>
      </w:r>
      <w:r>
        <w:rPr>
          <w:rFonts w:hint="eastAsia" w:ascii="仿宋" w:hAnsi="仿宋" w:eastAsia="仿宋" w:cs="仿宋"/>
          <w:b/>
          <w:bCs/>
          <w:sz w:val="44"/>
          <w:szCs w:val="44"/>
        </w:rPr>
        <w:t>绩效评价报告</w:t>
      </w:r>
      <w:bookmarkEnd w:id="18"/>
      <w:bookmarkEnd w:id="19"/>
      <w:bookmarkEnd w:id="20"/>
      <w:bookmarkEnd w:id="21"/>
      <w:bookmarkEnd w:id="22"/>
      <w:bookmarkEnd w:id="23"/>
      <w:bookmarkEnd w:id="24"/>
      <w:bookmarkEnd w:id="25"/>
      <w:bookmarkEnd w:id="26"/>
      <w:bookmarkEnd w:id="27"/>
      <w:bookmarkEnd w:id="28"/>
    </w:p>
    <w:p>
      <w:pPr>
        <w:adjustRightInd w:val="0"/>
        <w:snapToGrid w:val="0"/>
        <w:spacing w:line="560" w:lineRule="exact"/>
        <w:ind w:firstLine="640" w:firstLineChars="200"/>
        <w:jc w:val="left"/>
        <w:outlineLvl w:val="9"/>
        <w:rPr>
          <w:rFonts w:hint="eastAsia" w:ascii="黑体" w:hAnsi="黑体" w:eastAsia="黑体" w:cs="宋体"/>
          <w:sz w:val="32"/>
          <w:szCs w:val="32"/>
        </w:rPr>
      </w:pPr>
    </w:p>
    <w:p>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pPr>
        <w:pStyle w:val="34"/>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pPr>
        <w:adjustRightInd w:val="0"/>
        <w:snapToGrid w:val="0"/>
        <w:spacing w:line="560" w:lineRule="exact"/>
        <w:ind w:firstLine="640" w:firstLineChars="200"/>
        <w:jc w:val="left"/>
        <w:outlineLvl w:val="9"/>
        <w:rPr>
          <w:rFonts w:hint="eastAsia" w:ascii="楷体" w:hAnsi="楷体" w:eastAsia="楷体" w:cs="楷体"/>
          <w:bCs/>
          <w:sz w:val="32"/>
          <w:szCs w:val="32"/>
        </w:rPr>
      </w:pPr>
      <w:r>
        <w:rPr>
          <w:rFonts w:hint="eastAsia" w:ascii="楷体" w:hAnsi="楷体" w:eastAsia="楷体" w:cs="楷体"/>
          <w:bCs/>
          <w:sz w:val="32"/>
          <w:szCs w:val="32"/>
        </w:rPr>
        <w:t>1.项目背景</w:t>
      </w:r>
    </w:p>
    <w:p>
      <w:pPr>
        <w:adjustRightInd w:val="0"/>
        <w:snapToGrid w:val="0"/>
        <w:spacing w:line="560" w:lineRule="exact"/>
        <w:ind w:firstLine="640" w:firstLineChars="200"/>
        <w:jc w:val="left"/>
        <w:outlineLvl w:val="9"/>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草原在我国生态文明建设和经济社会发展大局中具有重要战略地位。“十二五”期间，国家在河北、山西、内蒙古、辽宁、吉林、黑龙江、四川、云南、西藏、甘肃、青海、宁夏、新疆等13省（区）以及新疆生产建设兵团和黑龙江省农垦总局启动实施草原补奖政策，取得了显著成效，有力促进了牧区草原生态、牧业生产和牧民生活的改善。“十三五”期间启动实施新一轮草原补奖政策，是中央统筹我国经济社会发展全局做出的重大决策；是深入贯彻“创新、协调、绿色、开放、共享”理念，促进城乡区域协调发展的具体体现；是加快草原保护，建设生态文明的重要举措。各地要从加快建设生态文明、全面建成小康社会、维护民族团结和边疆稳定的战略高度出发，深刻认识启动实施新一轮草原补奖政策的重要性和必要性，精心组织，周密部署，把落实好这项工作作为稳当前、保长远的重要任务抓实抓好。</w:t>
      </w:r>
    </w:p>
    <w:p>
      <w:pPr>
        <w:adjustRightInd w:val="0"/>
        <w:snapToGrid w:val="0"/>
        <w:spacing w:line="560" w:lineRule="exact"/>
        <w:ind w:firstLine="640" w:firstLineChars="200"/>
        <w:jc w:val="left"/>
        <w:outlineLvl w:val="9"/>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自2011年国家实施草原生态保护补助奖励政策以来，各地积极推进草原管护员队伍建设。实践证明，草原管护员队伍在强化草原禁牧区巡查、核定草畜平衡区放牧牲畜数量、保护草原围栏设施、发现和制止草原违法行为等方面发挥了重要作用，为确保草原补奖政策取得实效做出了积极贡献。由于草原管护员队伍建设工作刚刚起步，目前还存在省区间进展不平衡、管理不够规范、草原管护员积极性不高和作用发挥不够等一些亟待解决的问题。</w:t>
      </w:r>
    </w:p>
    <w:p>
      <w:pPr>
        <w:adjustRightInd w:val="0"/>
        <w:snapToGrid w:val="0"/>
        <w:spacing w:line="560" w:lineRule="exact"/>
        <w:ind w:firstLine="640" w:firstLineChars="200"/>
        <w:jc w:val="left"/>
        <w:outlineLvl w:val="9"/>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草原管护员是基层管护草原的重要力量，是草原监理队伍的有益补充。加强草原管护员队伍建设，是强化基层草原管护工作的迫切需要，是落实草原补奖政策的重要举措，也是发挥农牧民群众主体作用的有效途径。在当前贯彻落实草原法律法规和各项政策任务更加繁重的新形势下，迫切需要加强草原管护员队伍建设，进一步壮大草原管护力量。</w:t>
      </w:r>
    </w:p>
    <w:p>
      <w:pPr>
        <w:adjustRightInd w:val="0"/>
        <w:snapToGrid w:val="0"/>
        <w:spacing w:line="560" w:lineRule="exact"/>
        <w:ind w:firstLine="640" w:firstLineChars="200"/>
        <w:jc w:val="left"/>
        <w:outlineLvl w:val="9"/>
        <w:rPr>
          <w:rFonts w:hint="eastAsia" w:ascii="仿宋_GB2312" w:hAnsi="仿宋_GB2312" w:eastAsia="仿宋_GB2312" w:cs="仿宋_GB2312"/>
          <w:bCs/>
          <w:sz w:val="32"/>
          <w:szCs w:val="32"/>
          <w:highlight w:val="none"/>
          <w:lang w:val="en-US" w:eastAsia="zh-CN"/>
        </w:rPr>
      </w:pPr>
      <w:r>
        <w:rPr>
          <w:rFonts w:hint="eastAsia" w:ascii="仿宋_GB2312" w:hAnsi="仿宋_GB2312" w:eastAsia="仿宋_GB2312" w:cs="仿宋_GB2312"/>
          <w:bCs/>
          <w:sz w:val="32"/>
          <w:szCs w:val="32"/>
          <w:highlight w:val="none"/>
          <w:lang w:val="en-US" w:eastAsia="zh-CN"/>
        </w:rPr>
        <w:t>因此，洛浦县林业和草原局根据《关于提前下达2021年中央林业草原生态保护恢复资金预算的通知》（新财资环〔2020〕90号），《关于提前下达2021年中央林业草原生态保护恢复资金预算的通知》（和地财建〔2020〕126号），《关于拨付2021年中央林业草原生态保护恢复资金(2021年草原生态修复治理补助-草原管护员)的通知》（洛财字〔2020〕113号）文件要求开始实施该项目。</w:t>
      </w:r>
    </w:p>
    <w:p>
      <w:pPr>
        <w:adjustRightInd w:val="0"/>
        <w:snapToGrid w:val="0"/>
        <w:spacing w:line="560" w:lineRule="exact"/>
        <w:ind w:firstLine="640" w:firstLineChars="200"/>
        <w:jc w:val="left"/>
        <w:outlineLvl w:val="9"/>
        <w:rPr>
          <w:rFonts w:hint="default" w:ascii="楷体" w:hAnsi="楷体" w:eastAsia="楷体" w:cs="楷体"/>
          <w:bCs/>
          <w:sz w:val="32"/>
          <w:szCs w:val="32"/>
          <w:lang w:val="en-US" w:eastAsia="zh-CN"/>
        </w:rPr>
      </w:pPr>
      <w:r>
        <w:rPr>
          <w:rFonts w:hint="eastAsia" w:ascii="楷体" w:hAnsi="楷体" w:eastAsia="楷体" w:cs="楷体"/>
          <w:bCs/>
          <w:sz w:val="32"/>
          <w:szCs w:val="32"/>
        </w:rPr>
        <w:t>2.项目实施主体</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该项目由洛浦县林业和草原局负责实施，主要职责是：</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负责全县林业和草原及其生态保护修复的监督管理。拟订全县林业和草原及其生态保护修复的政策、规划并组织实施。组织开展全县森林、草原、湿地、荒漠和陆生野生动植物资源动态监测与评价，推进全县林业和草原数字化建设。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组织全县林业和草原生态保护修复和造林绿化工作。组织实施林业和草原重点生态保护修复工程，指导公益林和商品林的培育，指导、监督全民义务植树、城乡绿化工作。指导林业和草原有害生物防治、检疫工作。承担林业和草原应对气候变化的相关工作。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3）负责全县自然保护区、风景名胜区、自然遗产、湿地公园、森林、草原、湿地资源的监督管理。组织编制并监督执行全县森林采伐限额。负责林地管理，拟订林地保护利用规划并组织实施，组织实施公益林划定和管理工作，管理国有森林资源。负责草原禁牧、草畜平衡和草原生态修复治理工作，监督管理草原的开发利用。负责湿地生态保护修复工作，拟订全县湿地保护规划和相关地方标准，监督管理湿地的开发利用。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（4）负责监督管理全县荒漠化防治工作。组织开展荒漠调查，组织拟订防沙治沙及沙化土地封禁保护区建设规划，监督管理沙化土地的开发利用，组织沙尘暴灾害预测预报和应急处置。 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5）负责全县陆生野生动植物资源监督管理。组织开展陆生野生动植物资源调查，拟订及调整全县重点保护陆生野生动物、植物名录，指导陆生野生动植物的救护繁育、栖息地恢复发展、疫源疫病监测，监督管理陆生野生动植物猎捕或采集、驯养繁殖或培植、经营利用，按分工监督管理野生动植物进出口。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6）负责监督管理全县各类自然保护地。拟订各类自然保护地规划和相关地方标准。负责国家公园申报设立、规划、建设和特许经营等工作。负责县级政府直接行使和代理行使全民所有权的国家公园等自然保护地的自然资源资产管理和国土空间用途管制。提出新建、调整各类自然保护地的审核建议并按程序报批，组织世界自然遗产和世界自然与文化双重遗产的申报。负责生物多样性保护相关工作。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7）负责推进全县林业和草原改革相关工作。拟订集体林权制度、国有林区、草原等重大改革意见并监督实施。拟订农村林业发展、维护林业经营者合法权益的政策措施。指导农村林地承包经营工作。开展退耕（牧）还林还草，负责天然林保护工作。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8）拟订全县林业和草原资源优化配置及木材利用政策。拟订相关林业产业地方标准并监督实施，组织、指导林草产品质量监督。指导开展林业和草原现代园区建设、花卉、特色经济林、森林林下经济、森林康养和生态旅游产业发展。推进林业和草原绿色产业发展。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9）指导全县国有林场基本建设和发展。组织林木种子、草种种子资源普查，组织建立种子资源库，负责良种选育推广，管理林木种苗、草种生产经营行为，监管林木种苗、草种质量。监督管理林业和草原生物种子资源、转基因生物安全、植物新品种保护。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10）负责落实全县综合防灾减灾规划相关要求。组织编制森林和草原火灾防治规划和防护标准并指导实施，组织、指导开展防火巡护、火源管理、防火设施建设等工作。负责森林和草原火情监测预警、火灾预防工作，发送森林和草原火险信息。组织指导国有林场林区和草原开展宣传教育、监测预警、督促检查等防火工作。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11）监督管理全县林业和草原资金和国有资产。提出林业和草原预算内投资、县级财政性资金安排建议，按县政府规定权限，核报、核准规划内和年度计划内投资项目。参与拟订全县林业和草原经济调节政策，组织实施林业和草原生态补偿工作。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（12）负责林业和草原科技、教育和对外交流工作。指导全县林业和草原人才队伍建设，组织实施林业和草原对外交流与合作事务，承担湿地、防治荒漠化、濒危野生动植物等国际公约履约有关工作。</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洛浦县林业和草原局下属机构：野生动植物和湿地保护站，林业和草原技术推广中心，防沙治沙检测中心，林业草原病虫鼠害防治检疫中心，林业草原种子服务站，国有林场管理站，多鲁1国有林场管理站，洛浦县国营苗圃。</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洛浦县林业和草原局2021年度，编制数30人，实有人数32人，其中：在职人员32人，退休人员12人，财政供养5人。</w:t>
      </w:r>
    </w:p>
    <w:p>
      <w:pPr>
        <w:pageBreakBefore w:val="0"/>
        <w:widowControl w:val="0"/>
        <w:kinsoku/>
        <w:wordWrap/>
        <w:overflowPunct/>
        <w:topLinePunct w:val="0"/>
        <w:autoSpaceDE/>
        <w:autoSpaceDN/>
        <w:bidi w:val="0"/>
        <w:spacing w:line="560" w:lineRule="exact"/>
        <w:ind w:firstLine="640"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Fonts w:hint="eastAsia" w:ascii="楷体" w:hAnsi="楷体" w:eastAsia="楷体" w:cs="楷体"/>
          <w:bCs/>
          <w:sz w:val="32"/>
          <w:szCs w:val="32"/>
          <w:lang w:val="en-US" w:eastAsia="zh-CN"/>
        </w:rPr>
        <w:t>3.项目内容</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该项目对2021年选聘的220名生态护林员按照人均年工资1万元的标准发放补助，人均管护面积不低33.64亩。通过该项目实施，对壮大我县护草队伍，保护森林资源，维护生态环境，增加社会投入，促进经济发展有十分重要的意义。</w:t>
      </w:r>
    </w:p>
    <w:p>
      <w:pPr>
        <w:adjustRightInd w:val="0"/>
        <w:snapToGrid w:val="0"/>
        <w:spacing w:line="560" w:lineRule="exact"/>
        <w:ind w:firstLine="640" w:firstLineChars="200"/>
        <w:jc w:val="left"/>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4.立项依据</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依据《关于提前下达2021年中央林业草原生态恢复资金预算的通知》（洛财字〔2020〕113号）文件要求开始实施该项目。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pPr>
        <w:pStyle w:val="34"/>
        <w:tabs>
          <w:tab w:val="left" w:pos="1559"/>
        </w:tabs>
        <w:adjustRightInd w:val="0"/>
        <w:snapToGrid w:val="0"/>
        <w:spacing w:line="560" w:lineRule="exact"/>
        <w:ind w:firstLine="640"/>
        <w:outlineLvl w:val="2"/>
        <w:rPr>
          <w:rFonts w:ascii="楷体" w:hAnsi="楷体" w:eastAsia="楷体" w:cs="楷体"/>
          <w:bCs/>
          <w:sz w:val="32"/>
          <w:szCs w:val="32"/>
        </w:rPr>
      </w:pPr>
      <w:r>
        <w:rPr>
          <w:rFonts w:hint="eastAsia" w:ascii="楷体" w:hAnsi="楷体" w:eastAsia="楷体" w:cs="楷体"/>
          <w:bCs/>
          <w:sz w:val="32"/>
          <w:szCs w:val="32"/>
        </w:rPr>
        <w:t>1.项目资金预算及来源</w:t>
      </w:r>
    </w:p>
    <w:p>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default" w:ascii="仿宋_GB2312" w:hAnsi="仿宋_GB2312" w:eastAsia="仿宋_GB2312" w:cs="仿宋_GB2312"/>
          <w:kern w:val="2"/>
          <w:sz w:val="32"/>
          <w:szCs w:val="32"/>
          <w:highlight w:val="none"/>
          <w:lang w:val="en-US" w:eastAsia="zh-CN" w:bidi="ar-SA"/>
        </w:rPr>
      </w:pPr>
      <w:r>
        <w:rPr>
          <w:rStyle w:val="23"/>
          <w:rFonts w:hint="eastAsia" w:ascii="仿宋_GB2312" w:hAnsi="仿宋_GB2312" w:eastAsia="仿宋_GB2312" w:cs="仿宋_GB2312"/>
          <w:b w:val="0"/>
          <w:bCs w:val="0"/>
          <w:color w:val="auto"/>
          <w:spacing w:val="-4"/>
          <w:sz w:val="32"/>
          <w:szCs w:val="32"/>
          <w:highlight w:val="none"/>
          <w:lang w:val="en-US" w:eastAsia="zh-CN"/>
        </w:rPr>
        <w:t>该项目预算资金为220.00万元，资金来源为中央专项资金，截止12月31日，到位资金为220.00万元，资金到位率100%。</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2.预算执行及结果</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截止绩效评价日，项目预算资金220.00万元，实际到位资金220.00万元，资金到位率100%，总支出220.00万元，预算执行率100%，该项目资金主要用于对2021年选聘的220名生态护林员按照人均年工资1万元的标准发放补助。</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34" w:name="_Toc26467"/>
      <w:bookmarkStart w:id="35" w:name="_Toc1757"/>
      <w:bookmarkStart w:id="36" w:name="_Toc8400"/>
      <w:bookmarkStart w:id="37" w:name="_Toc25486"/>
      <w:r>
        <w:rPr>
          <w:rStyle w:val="23"/>
          <w:rFonts w:hint="eastAsia" w:ascii="仿宋_GB2312" w:hAnsi="仿宋_GB2312" w:eastAsia="仿宋_GB2312" w:cs="仿宋_GB2312"/>
          <w:b w:val="0"/>
          <w:bCs w:val="0"/>
          <w:color w:val="auto"/>
          <w:spacing w:val="-4"/>
          <w:sz w:val="32"/>
          <w:szCs w:val="32"/>
          <w:highlight w:val="none"/>
          <w:lang w:val="en-US" w:eastAsia="zh-CN"/>
        </w:rPr>
        <w:t>该项目共设立一级指标3个，二级指标9个，三级指标12个，指标量化率83.33%。绩效目标明确了项目产出数量和预期达到的效果，绩效目标指标制定明确、细化、量化。整体来看，目标设立合理清晰：</w:t>
      </w:r>
      <w:bookmarkEnd w:id="34"/>
      <w:bookmarkEnd w:id="35"/>
      <w:bookmarkEnd w:id="36"/>
    </w:p>
    <w:p>
      <w:pPr>
        <w:pStyle w:val="34"/>
        <w:tabs>
          <w:tab w:val="left" w:pos="1559"/>
        </w:tabs>
        <w:adjustRightInd w:val="0"/>
        <w:snapToGrid w:val="0"/>
        <w:spacing w:line="560" w:lineRule="exact"/>
        <w:ind w:firstLine="640"/>
        <w:outlineLvl w:val="2"/>
        <w:rPr>
          <w:rFonts w:hint="eastAsia"/>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 xml:space="preserve">对2021年选聘的220名生态护林员按照人均年工资1万元的标准发放补助，人均管护面积不低33.64亩。通过该项目实施，对壮大我县护草队伍，保护森林资源，维护生态环境，增加社会投入，促进经济发展有十分重要的意义。 </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根据《关于提前下达2021年中央林业草原生态恢复资金预算的通知》（洛财字〔2020〕113号）文件，洛浦县2021年草原管护员补助项目总投资220.00万元。设置了三个一级指标，9个二级指标，12个三级指标其中：</w:t>
      </w:r>
    </w:p>
    <w:p>
      <w:pPr>
        <w:pStyle w:val="34"/>
        <w:numPr>
          <w:ilvl w:val="0"/>
          <w:numId w:val="4"/>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pPr>
        <w:pStyle w:val="34"/>
        <w:numPr>
          <w:ilvl w:val="0"/>
          <w:numId w:val="0"/>
        </w:numPr>
        <w:tabs>
          <w:tab w:val="left" w:pos="1559"/>
        </w:tabs>
        <w:adjustRightInd w:val="0"/>
        <w:snapToGrid w:val="0"/>
        <w:spacing w:line="560" w:lineRule="exact"/>
        <w:outlineLvl w:val="2"/>
        <w:rPr>
          <w:rFonts w:hint="default"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 xml:space="preserve">     产出数量</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选聘生态护草员人数指标，预期值等于220名。</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涉及乡镇数量指标，预期值等于9个。</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default" w:ascii="仿宋_GB2312" w:hAnsi="仿宋_GB2312" w:eastAsia="仿宋_GB2312" w:cs="仿宋_GB2312"/>
          <w:b w:val="0"/>
          <w:bCs w:val="0"/>
          <w:color w:val="auto"/>
          <w:spacing w:val="-4"/>
          <w:sz w:val="32"/>
          <w:szCs w:val="32"/>
          <w:highlight w:val="none"/>
          <w:lang w:val="en-US" w:eastAsia="zh-CN"/>
        </w:rPr>
        <w:t>森林管护面积</w:t>
      </w:r>
      <w:r>
        <w:rPr>
          <w:rStyle w:val="23"/>
          <w:rFonts w:hint="eastAsia" w:ascii="仿宋_GB2312" w:hAnsi="仿宋_GB2312" w:eastAsia="仿宋_GB2312" w:cs="仿宋_GB2312"/>
          <w:b w:val="0"/>
          <w:bCs w:val="0"/>
          <w:color w:val="auto"/>
          <w:spacing w:val="-4"/>
          <w:sz w:val="32"/>
          <w:szCs w:val="32"/>
          <w:highlight w:val="none"/>
          <w:lang w:val="en-US" w:eastAsia="zh-CN"/>
        </w:rPr>
        <w:t>指标，预期值大于等于7400亩。</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产出质量</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default" w:ascii="仿宋_GB2312" w:hAnsi="仿宋_GB2312" w:eastAsia="仿宋_GB2312" w:cs="仿宋_GB2312"/>
          <w:b w:val="0"/>
          <w:bCs w:val="0"/>
          <w:color w:val="auto"/>
          <w:spacing w:val="-4"/>
          <w:sz w:val="32"/>
          <w:szCs w:val="32"/>
          <w:highlight w:val="none"/>
          <w:lang w:val="en-US" w:eastAsia="zh-CN"/>
        </w:rPr>
        <w:t>补助资金发放率</w:t>
      </w:r>
      <w:r>
        <w:rPr>
          <w:rStyle w:val="23"/>
          <w:rFonts w:hint="eastAsia" w:ascii="仿宋_GB2312" w:hAnsi="仿宋_GB2312" w:eastAsia="仿宋_GB2312" w:cs="仿宋_GB2312"/>
          <w:b w:val="0"/>
          <w:bCs w:val="0"/>
          <w:color w:val="auto"/>
          <w:spacing w:val="-4"/>
          <w:sz w:val="32"/>
          <w:szCs w:val="32"/>
          <w:highlight w:val="none"/>
          <w:lang w:val="en-US" w:eastAsia="zh-CN"/>
        </w:rPr>
        <w:t>指标，预期值100%。</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产出时效</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资金拨付及时性指标，预期值为等于100%。</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项目截止时间指标，预期值为2021年12月。</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产出成本</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补助发放标准指标，预期值为1万元/人/年。</w:t>
      </w:r>
    </w:p>
    <w:p>
      <w:pPr>
        <w:numPr>
          <w:ilvl w:val="0"/>
          <w:numId w:val="0"/>
        </w:numPr>
        <w:ind w:firstLine="320" w:firstLineChars="100"/>
        <w:rPr>
          <w:rFonts w:hint="eastAsia"/>
          <w:lang w:val="en-US" w:eastAsia="zh-CN"/>
        </w:rPr>
      </w:pPr>
      <w:r>
        <w:rPr>
          <w:rFonts w:hint="eastAsia" w:ascii="仿宋_GB2312" w:hAnsi="仿宋_GB2312" w:eastAsia="仿宋_GB2312" w:cs="仿宋_GB2312"/>
          <w:b w:val="0"/>
          <w:bCs w:val="0"/>
          <w:color w:val="auto"/>
          <w:kern w:val="2"/>
          <w:sz w:val="32"/>
          <w:szCs w:val="32"/>
          <w:lang w:val="en-US" w:eastAsia="zh-CN" w:bidi="ar-SA"/>
        </w:rPr>
        <w:t>（2）效益指标：</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经济效益</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提高生态护草员工作收入指标，预期值为10000元/人/年。</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 xml:space="preserve"> 社会效益</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该项目安排就业人数指标，预期值等于220人。</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生态效益</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default" w:ascii="仿宋_GB2312" w:hAnsi="仿宋_GB2312" w:eastAsia="仿宋_GB2312" w:cs="仿宋_GB2312"/>
          <w:b w:val="0"/>
          <w:bCs w:val="0"/>
          <w:color w:val="auto"/>
          <w:spacing w:val="-4"/>
          <w:sz w:val="32"/>
          <w:szCs w:val="32"/>
          <w:highlight w:val="none"/>
          <w:lang w:val="en-US" w:eastAsia="zh-CN"/>
        </w:rPr>
        <w:t>改善绿洲人居环境、实现生态建设与林果业产业协调发展影响率</w:t>
      </w:r>
      <w:r>
        <w:rPr>
          <w:rStyle w:val="23"/>
          <w:rFonts w:hint="eastAsia" w:ascii="仿宋_GB2312" w:hAnsi="仿宋_GB2312" w:eastAsia="仿宋_GB2312" w:cs="仿宋_GB2312"/>
          <w:b w:val="0"/>
          <w:bCs w:val="0"/>
          <w:color w:val="auto"/>
          <w:spacing w:val="-4"/>
          <w:sz w:val="32"/>
          <w:szCs w:val="32"/>
          <w:highlight w:val="none"/>
          <w:lang w:val="en-US" w:eastAsia="zh-CN"/>
        </w:rPr>
        <w:t>指标，预期值为有效改善。</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可持续影响指标</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default" w:ascii="仿宋_GB2312" w:hAnsi="仿宋_GB2312" w:eastAsia="仿宋_GB2312" w:cs="仿宋_GB2312"/>
          <w:b w:val="0"/>
          <w:bCs w:val="0"/>
          <w:color w:val="auto"/>
          <w:spacing w:val="-4"/>
          <w:sz w:val="32"/>
          <w:szCs w:val="32"/>
          <w:highlight w:val="none"/>
          <w:lang w:val="en-US" w:eastAsia="zh-CN"/>
        </w:rPr>
        <w:t>保障时间</w:t>
      </w:r>
      <w:r>
        <w:rPr>
          <w:rStyle w:val="23"/>
          <w:rFonts w:hint="eastAsia" w:ascii="仿宋_GB2312" w:hAnsi="仿宋_GB2312" w:eastAsia="仿宋_GB2312" w:cs="仿宋_GB2312"/>
          <w:b w:val="0"/>
          <w:bCs w:val="0"/>
          <w:color w:val="auto"/>
          <w:spacing w:val="-4"/>
          <w:sz w:val="32"/>
          <w:szCs w:val="32"/>
          <w:highlight w:val="none"/>
          <w:lang w:val="en-US" w:eastAsia="zh-CN"/>
        </w:rPr>
        <w:t>指标，预期值为1年</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3"/>
          <w:rFonts w:hint="eastAsia" w:ascii="仿宋_GB2312" w:hAnsi="仿宋" w:eastAsia="仿宋_GB2312"/>
          <w:b w:val="0"/>
          <w:bCs w:val="0"/>
          <w:spacing w:val="-4"/>
          <w:sz w:val="32"/>
          <w:szCs w:val="32"/>
          <w:lang w:eastAsia="zh-CN"/>
        </w:rPr>
      </w:pPr>
      <w:r>
        <w:rPr>
          <w:rStyle w:val="23"/>
          <w:rFonts w:hint="eastAsia" w:ascii="仿宋_GB2312" w:hAnsi="仿宋" w:eastAsia="仿宋_GB2312"/>
          <w:b w:val="0"/>
          <w:bCs w:val="0"/>
          <w:spacing w:val="-4"/>
          <w:sz w:val="32"/>
          <w:szCs w:val="32"/>
          <w:lang w:eastAsia="zh-CN"/>
        </w:rPr>
        <w:t>（</w:t>
      </w:r>
      <w:r>
        <w:rPr>
          <w:rStyle w:val="23"/>
          <w:rFonts w:hint="eastAsia" w:ascii="仿宋_GB2312" w:hAnsi="仿宋" w:eastAsia="仿宋_GB2312"/>
          <w:b w:val="0"/>
          <w:bCs w:val="0"/>
          <w:spacing w:val="-4"/>
          <w:sz w:val="32"/>
          <w:szCs w:val="32"/>
          <w:lang w:val="en-US" w:eastAsia="zh-CN"/>
        </w:rPr>
        <w:t>3</w:t>
      </w:r>
      <w:r>
        <w:rPr>
          <w:rStyle w:val="23"/>
          <w:rFonts w:hint="eastAsia" w:ascii="仿宋_GB2312" w:hAnsi="仿宋" w:eastAsia="仿宋_GB2312"/>
          <w:b w:val="0"/>
          <w:bCs w:val="0"/>
          <w:spacing w:val="-4"/>
          <w:sz w:val="32"/>
          <w:szCs w:val="32"/>
          <w:lang w:eastAsia="zh-CN"/>
        </w:rPr>
        <w:t>）满意度指标：</w:t>
      </w:r>
    </w:p>
    <w:p>
      <w:pPr>
        <w:numPr>
          <w:ilvl w:val="0"/>
          <w:numId w:val="0"/>
        </w:numPr>
        <w:ind w:firstLine="624" w:firstLineChars="200"/>
        <w:rPr>
          <w:rFonts w:hint="eastAsia" w:ascii="仿宋_GB2312" w:hAnsi="仿宋_GB2312" w:eastAsia="仿宋_GB2312" w:cs="仿宋_GB2312"/>
          <w:b w:val="0"/>
          <w:bCs w:val="0"/>
          <w:color w:val="auto"/>
          <w:kern w:val="2"/>
          <w:sz w:val="32"/>
          <w:szCs w:val="32"/>
          <w:lang w:val="en-US" w:eastAsia="zh-CN" w:bidi="ar-SA"/>
        </w:rPr>
      </w:pPr>
      <w:r>
        <w:rPr>
          <w:rStyle w:val="23"/>
          <w:rFonts w:hint="eastAsia" w:ascii="仿宋_GB2312" w:hAnsi="仿宋_GB2312" w:eastAsia="仿宋_GB2312" w:cs="仿宋_GB2312"/>
          <w:b w:val="0"/>
          <w:bCs w:val="0"/>
          <w:color w:val="auto"/>
          <w:spacing w:val="-4"/>
          <w:sz w:val="32"/>
          <w:szCs w:val="32"/>
          <w:highlight w:val="none"/>
          <w:lang w:val="en-US" w:eastAsia="zh-CN"/>
        </w:rPr>
        <w:t>通过走访受益对象，受益人员满意度程度预计能达到大于等于95%。</w:t>
      </w:r>
    </w:p>
    <w:p>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38" w:name="_Toc3416"/>
      <w:bookmarkStart w:id="39" w:name="_Toc19614"/>
      <w:bookmarkStart w:id="40" w:name="_Toc7630"/>
      <w:r>
        <w:rPr>
          <w:rStyle w:val="23"/>
          <w:rFonts w:hint="eastAsia" w:ascii="仿宋_GB2312" w:hAnsi="仿宋_GB2312" w:eastAsia="仿宋_GB2312" w:cs="仿宋_GB2312"/>
          <w:b w:val="0"/>
          <w:bCs w:val="0"/>
          <w:color w:val="auto"/>
          <w:spacing w:val="-4"/>
          <w:sz w:val="32"/>
          <w:szCs w:val="32"/>
          <w:highlight w:val="none"/>
          <w:lang w:val="en-US" w:eastAsia="zh-CN"/>
        </w:rPr>
        <w:t>受洛浦县财政局委托，中瑞诚会计师事务所（特殊普通合伙）喀什分所（以下简称“评价机构”）承担洛浦县2021年草原管护员补助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以下简称“评价工作组”）对专项资金投入、资金使用和资金使用效益等方面进行了绩效评价。</w:t>
      </w:r>
      <w:bookmarkEnd w:id="38"/>
      <w:bookmarkEnd w:id="39"/>
      <w:bookmarkEnd w:id="40"/>
    </w:p>
    <w:p>
      <w:pPr>
        <w:pStyle w:val="34"/>
        <w:numPr>
          <w:ilvl w:val="0"/>
          <w:numId w:val="3"/>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Fonts w:hint="eastAsia" w:ascii="仿宋_GB2312" w:hAnsi="仿宋_GB2312" w:eastAsia="仿宋_GB2312" w:cs="仿宋_GB2312"/>
          <w:sz w:val="32"/>
          <w:szCs w:val="32"/>
        </w:rPr>
      </w:pPr>
      <w:bookmarkStart w:id="42" w:name="_Toc18186"/>
      <w:bookmarkStart w:id="43" w:name="_Toc22761"/>
      <w:r>
        <w:rPr>
          <w:rStyle w:val="23"/>
          <w:rFonts w:hint="eastAsia" w:ascii="仿宋_GB2312" w:hAnsi="仿宋_GB2312" w:eastAsia="仿宋_GB2312" w:cs="仿宋_GB2312"/>
          <w:b w:val="0"/>
          <w:bCs w:val="0"/>
          <w:color w:val="auto"/>
          <w:spacing w:val="-4"/>
          <w:sz w:val="32"/>
          <w:szCs w:val="32"/>
          <w:highlight w:val="none"/>
          <w:lang w:val="en-US" w:eastAsia="zh-CN"/>
        </w:rPr>
        <w:t>按照自治区财政厅和和田地区财政局“加强财政支出管理，强化支出责任，建立科学、合理的财政支出绩效评价管理体系，提高财政资金使用效益”的要求，通过项目决策、过程、产出、效益的全过程梳理、评价，客观公正反映项目立项的科学性、项目实施的规范性、项目管理的有效性和项目效果，总结项目实施经验，发现存在的问题，提出针对性建议，为后年度专项资金项目的绩效管理提供参考依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（二）绩效评价工作</w:t>
      </w:r>
      <w:r>
        <w:rPr>
          <w:rFonts w:hint="eastAsia" w:ascii="仿宋_GB2312" w:hAnsi="仿宋" w:eastAsia="仿宋_GB2312" w:cs="宋体"/>
          <w:b/>
          <w:bCs/>
          <w:sz w:val="32"/>
          <w:szCs w:val="32"/>
          <w:lang w:val="en-US" w:eastAsia="zh-CN"/>
        </w:rPr>
        <w:t>的基本</w:t>
      </w:r>
      <w:r>
        <w:rPr>
          <w:rFonts w:hint="eastAsia" w:ascii="仿宋_GB2312" w:hAnsi="仿宋" w:eastAsia="仿宋_GB2312" w:cs="宋体"/>
          <w:b/>
          <w:bCs/>
          <w:sz w:val="32"/>
          <w:szCs w:val="32"/>
        </w:rPr>
        <w:t>思路</w:t>
      </w:r>
      <w:bookmarkEnd w:id="42"/>
      <w:bookmarkEnd w:id="43"/>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44" w:name="_Toc27651416"/>
      <w:bookmarkStart w:id="45" w:name="_Toc27648031"/>
      <w:bookmarkStart w:id="46" w:name="_Toc7209"/>
      <w:bookmarkStart w:id="47" w:name="_Toc14072"/>
      <w:bookmarkStart w:id="48" w:name="_Toc27493321"/>
      <w:r>
        <w:rPr>
          <w:rStyle w:val="23"/>
          <w:rFonts w:hint="eastAsia" w:ascii="仿宋_GB2312" w:hAnsi="仿宋_GB2312" w:eastAsia="仿宋_GB2312" w:cs="仿宋_GB2312"/>
          <w:b w:val="0"/>
          <w:bCs w:val="0"/>
          <w:color w:val="auto"/>
          <w:spacing w:val="-4"/>
          <w:sz w:val="32"/>
          <w:szCs w:val="32"/>
          <w:highlight w:val="none"/>
          <w:lang w:val="en-US" w:eastAsia="zh-CN"/>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行评价。评价对象为中央专项资金，评价核心为专项资金的支出完成情况和效果。</w:t>
      </w:r>
      <w:bookmarkEnd w:id="44"/>
      <w:bookmarkEnd w:id="45"/>
      <w:bookmarkEnd w:id="46"/>
      <w:bookmarkEnd w:id="47"/>
      <w:bookmarkEnd w:id="48"/>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50" w:name="_Toc1742"/>
      <w:r>
        <w:rPr>
          <w:rStyle w:val="23"/>
          <w:rFonts w:hint="eastAsia" w:ascii="仿宋_GB2312" w:hAnsi="仿宋_GB2312" w:eastAsia="仿宋_GB2312" w:cs="仿宋_GB2312"/>
          <w:b w:val="0"/>
          <w:bCs w:val="0"/>
          <w:color w:val="auto"/>
          <w:spacing w:val="-4"/>
          <w:sz w:val="32"/>
          <w:szCs w:val="32"/>
          <w:highlight w:val="none"/>
          <w:lang w:val="en-US" w:eastAsia="zh-CN"/>
        </w:rPr>
        <w:t>1.相关性原则。绩效评价指标与绩效目标有直接的联系，能够恰当反映目标的实现程度。</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2.重要性原则。优先使用最具评价对象代表性、最能反映评价要求的核心指标。</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3.可比性原则。对同类评价对象设定共性的绩效评价指标，以便于评价标准的规范和评价结果可相互比较。</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4.系统性原则。将定量指标与定性指标相结合，定量指标量化，定性指标可衡量，系统反映财政支出所产生的社会效益、经济效益、环境效益和可持续影响等。</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5.经济性原则。通俗易懂、简便易行，数据的获得考虑现实条件和可操作性，符合成本效益原则。</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51" w:name="_Toc16588"/>
      <w:r>
        <w:rPr>
          <w:rStyle w:val="23"/>
          <w:rFonts w:hint="eastAsia" w:ascii="仿宋_GB2312" w:hAnsi="仿宋_GB2312" w:eastAsia="仿宋_GB2312" w:cs="仿宋_GB2312"/>
          <w:b w:val="0"/>
          <w:bCs w:val="0"/>
          <w:color w:val="auto"/>
          <w:spacing w:val="-4"/>
          <w:sz w:val="32"/>
          <w:szCs w:val="32"/>
          <w:highlight w:val="none"/>
          <w:lang w:val="en-US" w:eastAsia="zh-CN"/>
        </w:rPr>
        <w:t>本次绩效评价主要采用以下评价方法：</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1.比较法，通过对绩效目标与实施效果、历史与当期情况、不同部门和地区同类支出的比较，综合分析绩效目标实现程度。</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2.因素分析法，通过综合分析影响绩效目标实现、实施效果的内外因素，评价绩效目标实现程度。</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3.公众评判法，通过专家评估、公众问卷及抽样调查等对财政支出效果进行评判，评价绩效目标实现程度。</w:t>
      </w:r>
    </w:p>
    <w:p>
      <w:pPr>
        <w:pStyle w:val="34"/>
        <w:numPr>
          <w:ilvl w:val="0"/>
          <w:numId w:val="5"/>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52" w:name="_Toc16677"/>
      <w:bookmarkStart w:id="53" w:name="_Toc8115"/>
      <w:bookmarkStart w:id="54" w:name="_Toc986"/>
      <w:bookmarkStart w:id="55" w:name="_Toc10934"/>
      <w:bookmarkStart w:id="56" w:name="_Toc22089"/>
      <w:bookmarkStart w:id="57" w:name="_Toc32612"/>
      <w:bookmarkStart w:id="58" w:name="_Toc16367"/>
      <w:bookmarkStart w:id="59" w:name="_Toc31692"/>
      <w:r>
        <w:rPr>
          <w:rStyle w:val="23"/>
          <w:rFonts w:hint="eastAsia" w:ascii="仿宋_GB2312" w:hAnsi="仿宋_GB2312" w:eastAsia="仿宋_GB2312" w:cs="仿宋_GB2312"/>
          <w:b w:val="0"/>
          <w:bCs w:val="0"/>
          <w:color w:val="auto"/>
          <w:spacing w:val="-4"/>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（六）评价等级划分</w:t>
      </w:r>
      <w:bookmarkEnd w:id="58"/>
      <w:bookmarkEnd w:id="59"/>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绩效30分。评价结果分为优、良、中、差四个等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优（90分（含）—100分）；</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良（80分（含）—90分）；</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中（60分（含）—80分）；</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差（0分—60分）。</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对在项目进行绩效评价的过程中，如果实施单位有弄虚作假、瞒报谎报情况之行为，绩效评价组将如实上报至洛浦县林业和草原局、洛浦县财政局，并予以通报批评；情节严重的，绩效评价结果将直接判定为不合格等级。</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61" w:name="_Toc8898"/>
      <w:bookmarkStart w:id="62" w:name="_Toc12973"/>
      <w:r>
        <w:rPr>
          <w:rStyle w:val="23"/>
          <w:rFonts w:hint="eastAsia" w:ascii="仿宋_GB2312" w:hAnsi="仿宋_GB2312" w:eastAsia="仿宋_GB2312" w:cs="仿宋_GB2312"/>
          <w:b w:val="0"/>
          <w:bCs w:val="0"/>
          <w:color w:val="auto"/>
          <w:spacing w:val="-4"/>
          <w:sz w:val="32"/>
          <w:szCs w:val="32"/>
          <w:highlight w:val="none"/>
          <w:lang w:val="en-US" w:eastAsia="zh-CN"/>
        </w:rPr>
        <w:t>1.评价工作程序和时间安排</w:t>
      </w:r>
      <w:bookmarkEnd w:id="61"/>
      <w:bookmarkEnd w:id="62"/>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本次绩效评价各阶段具体工作内容及时间进度安排详见下表：</w:t>
      </w:r>
    </w:p>
    <w:p/>
    <w:p>
      <w:pPr>
        <w:spacing w:after="156" w:afterLines="50" w:line="560" w:lineRule="exact"/>
        <w:jc w:val="center"/>
        <w:rPr>
          <w:rFonts w:ascii="Times New Roman" w:hAnsi="Times New Roman" w:eastAsia="黑体" w:cs="Times New Roman"/>
          <w:sz w:val="32"/>
          <w:szCs w:val="32"/>
          <w:highlight w:val="none"/>
        </w:rPr>
      </w:pPr>
      <w:bookmarkStart w:id="63" w:name="_Toc28992"/>
      <w:bookmarkStart w:id="64" w:name="_Toc3615"/>
      <w:r>
        <w:rPr>
          <w:rFonts w:ascii="Times New Roman" w:hAnsi="Times New Roman" w:eastAsia="黑体" w:cs="Times New Roman"/>
          <w:sz w:val="32"/>
          <w:szCs w:val="32"/>
          <w:highlight w:val="none"/>
        </w:rPr>
        <w:t>绩效评价工作程序和时间安排表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pPr>
        <w:pStyle w:val="34"/>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审阅项目财务收支情况：审阅该项目实施单位记录资金收支的凭证、后附单据及相关文件，审阅该项目的相关规定，审核资金收支是否合规等。</w:t>
      </w:r>
    </w:p>
    <w:p>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pPr>
        <w:pageBreakBefore w:val="0"/>
        <w:widowControl w:val="0"/>
        <w:kinsoku/>
        <w:wordWrap/>
        <w:overflowPunct/>
        <w:topLinePunct w:val="0"/>
        <w:autoSpaceDE/>
        <w:autoSpaceDN/>
        <w:bidi w:val="0"/>
        <w:spacing w:line="560" w:lineRule="exact"/>
        <w:ind w:firstLine="640" w:firstLineChars="200"/>
        <w:textAlignment w:val="auto"/>
        <w:outlineLvl w:val="9"/>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（1）立项依据的充分性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该项目符合2014年农业部印发的《关于加强草原管护员队伍建设的意见》文件要求，项目的立项符合相关法规政策及部门职责，依据充分；项目是按照规定的程序申请设立；审批文件、材料符合相关要求，项目前期是已经过必要的集体决策。</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（2）立项程序规范性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决策依据情况：项目符合经济社会发展规划和部门年度工作计划，为全面落实国家草原生态保护补助奖励机制，依法保护草原生态，科学合理利用草原、加强草原管护人员管理，规范管护行为，提高管护水平，强化草原火灾预警、结合我县实际以及洛浦县林业和草原局工作职责，制定《洛浦县2021年草原管护员补助项目实施方案》并对该项目进行实施。</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决策程序情况：按照地区印发的实施方案，由洛浦县林业和草原局牵头编辑实施方案并报人民政府审批，相关乡镇人民政府负责登记符合条件的草原管护员信息，核定名单及报林业和草原局,林业和草原局通过开会再次对草原管护员信息进行核定，无异议后报给财政局并申请拨付补奖资金，相关乡镇人民政府按照核定的名单发放资金并进行公开，草原管护员补助奖励政策领导小组不定期组织开展对</w:t>
      </w:r>
      <w:bookmarkEnd w:id="67"/>
      <w:r>
        <w:rPr>
          <w:rStyle w:val="23"/>
          <w:rFonts w:hint="eastAsia" w:ascii="仿宋_GB2312" w:hAnsi="仿宋_GB2312" w:eastAsia="仿宋_GB2312" w:cs="仿宋_GB2312"/>
          <w:b w:val="0"/>
          <w:bCs w:val="0"/>
          <w:color w:val="auto"/>
          <w:spacing w:val="-4"/>
          <w:sz w:val="32"/>
          <w:szCs w:val="32"/>
          <w:highlight w:val="none"/>
          <w:lang w:val="en-US" w:eastAsia="zh-CN"/>
        </w:rPr>
        <w:t>补助奖励政策各项工作的督促，指导，调研；由此可见项目立项程序简洁规范。但是项目单位无相关会议绩效，缺失集体决策文件。</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2.绩效目标设立情况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（1）绩效目标合理性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绩效目标的内涵明确、具体、可衡量。所设立的绩效目标可以考核并能够指导洛浦县林业和草原局2021年草原管护员补助项目的业务工作。指标与评价对象密切相关，全面反映项目实施内容及项目预期绩效情况，绩效目标设立符合洛浦县林业草原生态保护政策要求和洛浦县林业和草原局2021年工作计划，明确了项目产出数量和预期达到的效果。整体来看，绩效目标设立比较明确。</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该项目所设置绩效目标是：一级指标3条，二级指标9条，三级指标12条，可量化指标10条，指标量化率83.33%，该项目总体绩效目标明确，符合绩效目标明确、细化、量化条件。</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3.资金投入情况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（1）预算编制科学性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该项目主要是对2021年选聘的220名生态护林员按照人均年工资1万元的标准发放补助，人均管护面积不低33.64亩。通过该项目实施，对壮大我县护草队伍，保护森林资源，维护生态环境，增加社会投入，促进经济发展有十分重要的意义。洛浦县林业和草原局根据项目情况进行预算编制，使项目的资金额度与年度目标相适应，制定了明确详细的项目资金支出计划和进度，该项目预算编制比较科学合理。</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（2）资金分配合理性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68" w:name="_Toc5610"/>
      <w:r>
        <w:rPr>
          <w:rStyle w:val="23"/>
          <w:rFonts w:hint="eastAsia" w:ascii="仿宋_GB2312" w:hAnsi="仿宋_GB2312" w:eastAsia="仿宋_GB2312" w:cs="仿宋_GB2312"/>
          <w:b w:val="0"/>
          <w:bCs w:val="0"/>
          <w:color w:val="auto"/>
          <w:spacing w:val="-4"/>
          <w:sz w:val="32"/>
          <w:szCs w:val="32"/>
          <w:highlight w:val="none"/>
          <w:lang w:val="en-US" w:eastAsia="zh-CN"/>
        </w:rPr>
        <w:t>项目预算资金分配具有测算依据，分配额度合理，与补助单位或地方实际相适应，与工作任务相匹配，充分体现了资金分配的合理性。</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bookmarkStart w:id="69" w:name="_Toc11398"/>
      <w:r>
        <w:rPr>
          <w:rFonts w:hint="eastAsia" w:ascii="楷体" w:hAnsi="楷体" w:eastAsia="楷体" w:cs="楷体"/>
          <w:bCs/>
          <w:sz w:val="32"/>
          <w:szCs w:val="32"/>
        </w:rPr>
        <w:t>1.项目资金</w:t>
      </w:r>
      <w:bookmarkEnd w:id="69"/>
      <w:r>
        <w:rPr>
          <w:rFonts w:hint="eastAsia" w:ascii="楷体" w:hAnsi="楷体" w:eastAsia="楷体" w:cs="楷体"/>
          <w:bCs/>
          <w:sz w:val="32"/>
          <w:szCs w:val="32"/>
          <w:lang w:val="en-US" w:eastAsia="zh-CN"/>
        </w:rPr>
        <w:t>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（1）资金到位情况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本项目预算资金为220.00万元，实际到位资金为220.00万元；资金来源为中央专项资金。资金到位率100%。</w:t>
      </w:r>
    </w:p>
    <w:p>
      <w:pPr>
        <w:pStyle w:val="42"/>
        <w:keepNext w:val="0"/>
        <w:keepLines w:val="0"/>
        <w:pageBreakBefore w:val="0"/>
        <w:widowControl w:val="0"/>
        <w:kinsoku/>
        <w:wordWrap/>
        <w:overflowPunct/>
        <w:topLinePunct w:val="0"/>
        <w:autoSpaceDE/>
        <w:autoSpaceDN/>
        <w:bidi w:val="0"/>
        <w:spacing w:line="560" w:lineRule="exact"/>
        <w:ind w:firstLine="560"/>
        <w:textAlignment w:val="auto"/>
        <w:rPr>
          <w:rStyle w:val="23"/>
          <w:rFonts w:hint="eastAsia" w:ascii="仿宋_GB2312" w:hAnsi="仿宋_GB2312" w:eastAsia="仿宋_GB2312" w:cs="仿宋_GB2312"/>
          <w:b w:val="0"/>
          <w:bCs w:val="0"/>
          <w:color w:val="auto"/>
          <w:spacing w:val="-4"/>
          <w:kern w:val="2"/>
          <w:sz w:val="32"/>
          <w:szCs w:val="32"/>
          <w:highlight w:val="none"/>
          <w:lang w:val="en-US" w:eastAsia="zh-CN" w:bidi="ar-SA"/>
        </w:rPr>
      </w:pP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（2）预算管理情况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24" w:firstLineChars="200"/>
        <w:textAlignment w:val="auto"/>
        <w:rPr>
          <w:rStyle w:val="23"/>
          <w:rFonts w:hint="default" w:ascii="仿宋_GB2312" w:hAnsi="仿宋_GB2312" w:eastAsia="仿宋_GB2312" w:cs="仿宋_GB2312"/>
          <w:b w:val="0"/>
          <w:bCs w:val="0"/>
          <w:color w:val="auto"/>
          <w:spacing w:val="-4"/>
          <w:kern w:val="2"/>
          <w:sz w:val="32"/>
          <w:szCs w:val="32"/>
          <w:highlight w:val="none"/>
          <w:lang w:val="en-US" w:eastAsia="zh-CN" w:bidi="ar-SA"/>
        </w:rPr>
      </w:pP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预算执行与预算编制基本一致，项目预算220</w:t>
      </w:r>
      <w:r>
        <w:rPr>
          <w:rStyle w:val="23"/>
          <w:rFonts w:hint="eastAsia" w:ascii="仿宋_GB2312" w:hAnsi="仿宋_GB2312" w:eastAsia="仿宋_GB2312" w:cs="仿宋_GB2312"/>
          <w:b w:val="0"/>
          <w:bCs w:val="0"/>
          <w:color w:val="auto"/>
          <w:spacing w:val="-4"/>
          <w:sz w:val="32"/>
          <w:szCs w:val="32"/>
          <w:highlight w:val="none"/>
          <w:lang w:val="en-US" w:eastAsia="zh-CN"/>
        </w:rPr>
        <w:t>.00</w:t>
      </w: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万元，实际支出220</w:t>
      </w:r>
      <w:r>
        <w:rPr>
          <w:rStyle w:val="23"/>
          <w:rFonts w:hint="eastAsia" w:ascii="仿宋_GB2312" w:hAnsi="仿宋_GB2312" w:eastAsia="仿宋_GB2312" w:cs="仿宋_GB2312"/>
          <w:b w:val="0"/>
          <w:bCs w:val="0"/>
          <w:color w:val="auto"/>
          <w:spacing w:val="-4"/>
          <w:sz w:val="32"/>
          <w:szCs w:val="32"/>
          <w:highlight w:val="none"/>
          <w:lang w:val="en-US" w:eastAsia="zh-CN"/>
        </w:rPr>
        <w:t>.00</w:t>
      </w: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万元，预算执行率100%。</w:t>
      </w:r>
    </w:p>
    <w:p>
      <w:pPr>
        <w:numPr>
          <w:ilvl w:val="0"/>
          <w:numId w:val="6"/>
        </w:numPr>
        <w:adjustRightInd w:val="0"/>
        <w:snapToGrid w:val="0"/>
        <w:spacing w:line="560" w:lineRule="exact"/>
        <w:ind w:firstLine="624" w:firstLineChars="200"/>
        <w:rPr>
          <w:rStyle w:val="23"/>
          <w:rFonts w:hint="eastAsia" w:ascii="仿宋_GB2312" w:hAnsi="仿宋_GB2312" w:eastAsia="仿宋_GB2312" w:cs="仿宋_GB2312"/>
          <w:b w:val="0"/>
          <w:bCs w:val="0"/>
          <w:color w:val="auto"/>
          <w:spacing w:val="-4"/>
          <w:kern w:val="2"/>
          <w:sz w:val="32"/>
          <w:szCs w:val="32"/>
          <w:highlight w:val="none"/>
          <w:lang w:val="en-US" w:eastAsia="zh-CN" w:bidi="ar-SA"/>
        </w:rPr>
      </w:pP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资金使用合规性</w:t>
      </w:r>
    </w:p>
    <w:p>
      <w:pPr>
        <w:pStyle w:val="7"/>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24" w:firstLineChars="200"/>
        <w:textAlignment w:val="auto"/>
        <w:rPr>
          <w:rStyle w:val="23"/>
          <w:rFonts w:hint="eastAsia" w:ascii="仿宋_GB2312" w:hAnsi="仿宋_GB2312" w:eastAsia="仿宋_GB2312" w:cs="仿宋_GB2312"/>
          <w:b w:val="0"/>
          <w:bCs w:val="0"/>
          <w:color w:val="auto"/>
          <w:spacing w:val="-4"/>
          <w:kern w:val="2"/>
          <w:sz w:val="32"/>
          <w:szCs w:val="32"/>
          <w:highlight w:val="none"/>
          <w:lang w:val="en-US" w:eastAsia="zh-CN" w:bidi="ar-SA"/>
        </w:rPr>
      </w:pP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该项目资金严格按照关于印发《林业改革发展资金管理办法》的通知（财资环〔2020〕36号）文件要求支付资金；资金的支付有完整的审批程序和手续，符合制度要求；项目资金进行单独核算，财务手续基本合理、完整，资金支付是按照自治区和洛浦县中央专项资金管理办法规定执行，资金使用规范合理。未发现专项资金有截留、挤占、挪用、虚列开支等情况。</w:t>
      </w:r>
    </w:p>
    <w:p>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（1）管理制度健全性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洛浦县2021年草原管护员补助项目资金管理参照《洛浦县财政资金拨付管理暂行办法》等文件，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（2）制度执行有效性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项目资金支出严格按照自治区、地区（市）、县专项资金管理办法运行，项目启动实施后，为了加快该项目的实施，项目严格按照有关管理制度和资金管理制度实施。项目实施单位会同财政部门、林业和草原部门编制实施方案，组织补助政策资金发放工作；负责草原禁牧和草畜平衡监测、监管、相关信息录入工作。洛浦县财政局按照实施方案落实补助奖励资金预算，会同部门制定资金分配方案，拨付补助奖励资金，监督检查补助奖励资金使用情况。乡镇人民政府负责补助奖励农牧民信息登记造册、地块落实及资金发放到户工作。护草员：草原管护员要对本辖区草原分布及面积做到底子清。具体村上有多少草原面积，都在哪里分布，村上人工种草面积都在什么地方，谁家的都要清楚。每月要对辖区草原做两次日常巡查、做好巡查记录。发现草原鼠虫害和违法征占草原行为及时上报县林草局，对本村农户草原未见上报备案进行私下流转做它用的及时上报县级林草局。配合县畜牧草原站做好《草原法》、《草原防火条例》等各项草原法律法规和规章制度的宣传。建立健全财务管理制度，健全民政专项资金发放台账，做好与金融机构的定期对账工作，确保项目专项资金安全使用，资金的支付有完整的审批程序和手续，符合制度要求；项目资金进行单独核算，财务手续基本合理、完整，未发现专项资金有截留、挤占、挪用、虚列开支等情况。但是项目资料归档不规范，主管单位未对项目相关资料进行收集归纳，工作人员调岗未做好交接工作。</w:t>
      </w:r>
    </w:p>
    <w:p>
      <w:pPr>
        <w:pStyle w:val="34"/>
        <w:adjustRightInd w:val="0"/>
        <w:snapToGrid w:val="0"/>
        <w:spacing w:line="560" w:lineRule="exact"/>
        <w:ind w:left="420" w:leftChars="200" w:firstLine="321" w:firstLineChars="100"/>
        <w:outlineLvl w:val="1"/>
        <w:rPr>
          <w:rFonts w:hint="eastAsia" w:ascii="楷体" w:hAnsi="楷体" w:eastAsia="楷体" w:cs="楷体"/>
          <w:bCs/>
          <w:sz w:val="32"/>
          <w:szCs w:val="32"/>
          <w:lang w:val="en-US" w:eastAsia="zh-CN"/>
        </w:rPr>
      </w:pPr>
      <w:bookmarkStart w:id="70" w:name="_Toc31015"/>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三</w:t>
      </w:r>
      <w:r>
        <w:rPr>
          <w:rFonts w:hint="eastAsia" w:ascii="仿宋_GB2312" w:hAnsi="仿宋" w:eastAsia="仿宋_GB2312" w:cs="宋体"/>
          <w:b/>
          <w:bCs/>
          <w:sz w:val="32"/>
          <w:szCs w:val="32"/>
        </w:rPr>
        <w:t>）项目</w:t>
      </w:r>
      <w:r>
        <w:rPr>
          <w:rFonts w:hint="eastAsia" w:ascii="仿宋_GB2312" w:hAnsi="仿宋" w:eastAsia="仿宋_GB2312" w:cs="宋体"/>
          <w:b/>
          <w:bCs/>
          <w:sz w:val="32"/>
          <w:szCs w:val="32"/>
          <w:lang w:val="en-US" w:eastAsia="zh-CN"/>
        </w:rPr>
        <w:t>产出</w:t>
      </w:r>
      <w:r>
        <w:rPr>
          <w:rFonts w:hint="eastAsia" w:ascii="仿宋_GB2312" w:hAnsi="仿宋" w:eastAsia="仿宋_GB2312" w:cs="宋体"/>
          <w:b/>
          <w:bCs/>
          <w:sz w:val="32"/>
          <w:szCs w:val="32"/>
        </w:rPr>
        <w:t>情况分析</w:t>
      </w:r>
      <w:bookmarkEnd w:id="70"/>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1.产出数量情况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截止评价日，220名草原管护员完成了9个乡镇7400亩草原管护工作，达到了年初预期指标。</w:t>
      </w:r>
      <w:bookmarkStart w:id="122" w:name="_GoBack"/>
      <w:bookmarkEnd w:id="122"/>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2.产出质量情况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补助资金共220.00万元，实际发放补助220.00万元，补助资金发放率达到了100%。</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2020年地区下达我县农牧民补助奖励政策任务总面积7400万亩，发放补助金共220.00万元，截止12月30日实际发放220.00万元，资金拨付及时性达到了100%。</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71" w:name="_Toc3708"/>
      <w:r>
        <w:rPr>
          <w:rStyle w:val="23"/>
          <w:rFonts w:hint="eastAsia" w:ascii="仿宋_GB2312" w:hAnsi="仿宋_GB2312" w:eastAsia="仿宋_GB2312" w:cs="仿宋_GB2312"/>
          <w:b w:val="0"/>
          <w:bCs w:val="0"/>
          <w:color w:val="auto"/>
          <w:spacing w:val="-4"/>
          <w:sz w:val="32"/>
          <w:szCs w:val="32"/>
          <w:highlight w:val="none"/>
          <w:lang w:val="en-US" w:eastAsia="zh-CN"/>
        </w:rPr>
        <w:t>该项目实际每人每月发放833.33元，补助发放标准为1万元/人/年，该项目支出有效控制在预算范围内。</w:t>
      </w:r>
    </w:p>
    <w:p>
      <w:pPr>
        <w:pStyle w:val="6"/>
        <w:ind w:firstLine="321" w:firstLineChars="100"/>
        <w:rPr>
          <w:rFonts w:hint="eastAsia" w:ascii="仿宋_GB2312" w:hAnsi="仿宋" w:eastAsia="仿宋_GB2312" w:cs="宋体"/>
          <w:b/>
          <w:bCs/>
          <w:sz w:val="32"/>
          <w:szCs w:val="32"/>
          <w:lang w:val="en-US" w:eastAsia="zh-CN"/>
        </w:rPr>
      </w:pPr>
      <w:r>
        <w:rPr>
          <w:rFonts w:hint="eastAsia" w:ascii="仿宋_GB2312" w:hAnsi="仿宋" w:eastAsia="仿宋_GB2312" w:cs="宋体"/>
          <w:b/>
          <w:bCs/>
          <w:sz w:val="32"/>
          <w:szCs w:val="32"/>
          <w:lang w:val="en-US" w:eastAsia="zh-CN"/>
        </w:rPr>
        <w:t>（四）项目效益评价分析</w:t>
      </w:r>
      <w:bookmarkEnd w:id="71"/>
    </w:p>
    <w:p>
      <w:pPr>
        <w:pageBreakBefore w:val="0"/>
        <w:widowControl w:val="0"/>
        <w:kinsoku/>
        <w:wordWrap/>
        <w:overflowPunct/>
        <w:topLinePunct w:val="0"/>
        <w:autoSpaceDE/>
        <w:autoSpaceDN/>
        <w:bidi w:val="0"/>
        <w:spacing w:line="560" w:lineRule="exact"/>
        <w:ind w:firstLine="640" w:firstLineChars="200"/>
        <w:textAlignment w:val="auto"/>
        <w:outlineLvl w:val="9"/>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1.经济效益情况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按照833.33元/人/月的标准发放了12个月的补助，一年1人10000元，</w:t>
      </w:r>
      <w:r>
        <w:rPr>
          <w:rStyle w:val="23"/>
          <w:rFonts w:hint="default" w:ascii="仿宋_GB2312" w:hAnsi="仿宋_GB2312" w:eastAsia="仿宋_GB2312" w:cs="仿宋_GB2312"/>
          <w:b w:val="0"/>
          <w:bCs w:val="0"/>
          <w:color w:val="auto"/>
          <w:spacing w:val="-4"/>
          <w:sz w:val="32"/>
          <w:szCs w:val="32"/>
          <w:highlight w:val="none"/>
          <w:lang w:val="en-US" w:eastAsia="zh-CN"/>
        </w:rPr>
        <w:t>增加</w:t>
      </w:r>
      <w:r>
        <w:rPr>
          <w:rStyle w:val="23"/>
          <w:rFonts w:hint="eastAsia" w:ascii="仿宋_GB2312" w:hAnsi="仿宋_GB2312" w:eastAsia="仿宋_GB2312" w:cs="仿宋_GB2312"/>
          <w:b w:val="0"/>
          <w:bCs w:val="0"/>
          <w:color w:val="auto"/>
          <w:spacing w:val="-4"/>
          <w:sz w:val="32"/>
          <w:szCs w:val="32"/>
          <w:highlight w:val="none"/>
          <w:lang w:val="en-US" w:eastAsia="zh-CN"/>
        </w:rPr>
        <w:t>了</w:t>
      </w:r>
      <w:r>
        <w:rPr>
          <w:rStyle w:val="23"/>
          <w:rFonts w:hint="default" w:ascii="仿宋_GB2312" w:hAnsi="仿宋_GB2312" w:eastAsia="仿宋_GB2312" w:cs="仿宋_GB2312"/>
          <w:b w:val="0"/>
          <w:bCs w:val="0"/>
          <w:color w:val="auto"/>
          <w:spacing w:val="-4"/>
          <w:sz w:val="32"/>
          <w:szCs w:val="32"/>
          <w:highlight w:val="none"/>
          <w:lang w:val="en-US" w:eastAsia="zh-CN"/>
        </w:rPr>
        <w:t>贫困户的经济收入，从而实现</w:t>
      </w:r>
      <w:r>
        <w:rPr>
          <w:rStyle w:val="23"/>
          <w:rFonts w:hint="eastAsia" w:ascii="仿宋_GB2312" w:hAnsi="仿宋_GB2312" w:eastAsia="仿宋_GB2312" w:cs="仿宋_GB2312"/>
          <w:b w:val="0"/>
          <w:bCs w:val="0"/>
          <w:color w:val="auto"/>
          <w:spacing w:val="-4"/>
          <w:sz w:val="32"/>
          <w:szCs w:val="32"/>
          <w:highlight w:val="none"/>
          <w:lang w:val="en-US" w:eastAsia="zh-CN"/>
        </w:rPr>
        <w:t>了</w:t>
      </w:r>
      <w:r>
        <w:rPr>
          <w:rStyle w:val="23"/>
          <w:rFonts w:hint="default" w:ascii="仿宋_GB2312" w:hAnsi="仿宋_GB2312" w:eastAsia="仿宋_GB2312" w:cs="仿宋_GB2312"/>
          <w:b w:val="0"/>
          <w:bCs w:val="0"/>
          <w:color w:val="auto"/>
          <w:spacing w:val="-4"/>
          <w:sz w:val="32"/>
          <w:szCs w:val="32"/>
          <w:highlight w:val="none"/>
          <w:lang w:val="en-US" w:eastAsia="zh-CN"/>
        </w:rPr>
        <w:t>巩固脱贫成效目标</w:t>
      </w:r>
      <w:r>
        <w:rPr>
          <w:rStyle w:val="23"/>
          <w:rFonts w:hint="eastAsia" w:ascii="仿宋_GB2312" w:hAnsi="仿宋_GB2312" w:eastAsia="仿宋_GB2312" w:cs="仿宋_GB2312"/>
          <w:b w:val="0"/>
          <w:bCs w:val="0"/>
          <w:color w:val="auto"/>
          <w:spacing w:val="-4"/>
          <w:sz w:val="32"/>
          <w:szCs w:val="32"/>
          <w:highlight w:val="none"/>
          <w:lang w:val="en-US" w:eastAsia="zh-CN"/>
        </w:rPr>
        <w:t>。</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2.社会效益情况</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24" w:firstLineChars="200"/>
        <w:textAlignment w:val="auto"/>
        <w:outlineLvl w:val="2"/>
        <w:rPr>
          <w:rStyle w:val="23"/>
          <w:rFonts w:hint="eastAsia" w:ascii="仿宋_GB2312" w:hAnsi="仿宋_GB2312" w:eastAsia="仿宋_GB2312" w:cs="仿宋_GB2312"/>
          <w:b w:val="0"/>
          <w:bCs w:val="0"/>
          <w:color w:val="auto"/>
          <w:spacing w:val="-4"/>
          <w:kern w:val="2"/>
          <w:sz w:val="32"/>
          <w:szCs w:val="32"/>
          <w:highlight w:val="none"/>
          <w:lang w:val="en-US" w:eastAsia="zh-CN" w:bidi="ar-SA"/>
        </w:rPr>
      </w:pPr>
      <w:r>
        <w:rPr>
          <w:rStyle w:val="23"/>
          <w:rFonts w:hint="default" w:ascii="仿宋_GB2312" w:hAnsi="仿宋_GB2312" w:eastAsia="仿宋_GB2312" w:cs="仿宋_GB2312"/>
          <w:b w:val="0"/>
          <w:bCs w:val="0"/>
          <w:color w:val="auto"/>
          <w:spacing w:val="-4"/>
          <w:kern w:val="2"/>
          <w:sz w:val="32"/>
          <w:szCs w:val="32"/>
          <w:highlight w:val="none"/>
          <w:lang w:val="en-US" w:eastAsia="zh-CN" w:bidi="ar-SA"/>
        </w:rPr>
        <w:t>通过</w:t>
      </w: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该</w:t>
      </w:r>
      <w:r>
        <w:rPr>
          <w:rStyle w:val="23"/>
          <w:rFonts w:hint="default" w:ascii="仿宋_GB2312" w:hAnsi="仿宋_GB2312" w:eastAsia="仿宋_GB2312" w:cs="仿宋_GB2312"/>
          <w:b w:val="0"/>
          <w:bCs w:val="0"/>
          <w:color w:val="auto"/>
          <w:spacing w:val="-4"/>
          <w:kern w:val="2"/>
          <w:sz w:val="32"/>
          <w:szCs w:val="32"/>
          <w:highlight w:val="none"/>
          <w:lang w:val="en-US" w:eastAsia="zh-CN" w:bidi="ar-SA"/>
        </w:rPr>
        <w:t>项目的实施，解决</w:t>
      </w: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了</w:t>
      </w:r>
      <w:r>
        <w:rPr>
          <w:rStyle w:val="23"/>
          <w:rFonts w:hint="default" w:ascii="仿宋_GB2312" w:hAnsi="仿宋_GB2312" w:eastAsia="仿宋_GB2312" w:cs="仿宋_GB2312"/>
          <w:b w:val="0"/>
          <w:bCs w:val="0"/>
          <w:color w:val="auto"/>
          <w:spacing w:val="-4"/>
          <w:kern w:val="2"/>
          <w:sz w:val="32"/>
          <w:szCs w:val="32"/>
          <w:highlight w:val="none"/>
          <w:lang w:val="en-US" w:eastAsia="zh-CN" w:bidi="ar-SA"/>
        </w:rPr>
        <w:t>220名贫困户的就业问题</w:t>
      </w: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w:t>
      </w:r>
      <w:r>
        <w:rPr>
          <w:rStyle w:val="23"/>
          <w:rFonts w:hint="default" w:ascii="仿宋_GB2312" w:hAnsi="仿宋_GB2312" w:eastAsia="仿宋_GB2312" w:cs="仿宋_GB2312"/>
          <w:b w:val="0"/>
          <w:bCs w:val="0"/>
          <w:color w:val="auto"/>
          <w:spacing w:val="-4"/>
          <w:kern w:val="2"/>
          <w:sz w:val="32"/>
          <w:szCs w:val="32"/>
          <w:highlight w:val="none"/>
          <w:lang w:val="en-US" w:eastAsia="zh-CN" w:bidi="ar-SA"/>
        </w:rPr>
        <w:t>从而实现</w:t>
      </w:r>
      <w:r>
        <w:rPr>
          <w:rStyle w:val="23"/>
          <w:rFonts w:hint="eastAsia" w:ascii="仿宋_GB2312" w:hAnsi="仿宋_GB2312" w:eastAsia="仿宋_GB2312" w:cs="仿宋_GB2312"/>
          <w:b w:val="0"/>
          <w:bCs w:val="0"/>
          <w:color w:val="auto"/>
          <w:spacing w:val="-4"/>
          <w:kern w:val="2"/>
          <w:sz w:val="32"/>
          <w:szCs w:val="32"/>
          <w:highlight w:val="none"/>
          <w:lang w:val="en-US" w:eastAsia="zh-CN" w:bidi="ar-SA"/>
        </w:rPr>
        <w:t>了</w:t>
      </w:r>
      <w:r>
        <w:rPr>
          <w:rStyle w:val="23"/>
          <w:rFonts w:hint="default" w:ascii="仿宋_GB2312" w:hAnsi="仿宋_GB2312" w:eastAsia="仿宋_GB2312" w:cs="仿宋_GB2312"/>
          <w:b w:val="0"/>
          <w:bCs w:val="0"/>
          <w:color w:val="auto"/>
          <w:spacing w:val="-4"/>
          <w:kern w:val="2"/>
          <w:sz w:val="32"/>
          <w:szCs w:val="32"/>
          <w:highlight w:val="none"/>
          <w:lang w:val="en-US" w:eastAsia="zh-CN" w:bidi="ar-SA"/>
        </w:rPr>
        <w:t>巩固脱贫成效目标。</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3.生态效益情况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通过该项目实施，进一步改善了绿洲人居环境、实现了生态建设与，林果业产业协调发展影响率有效改善。</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4.可持续影响情况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项目与2021年1月份开始实施，结束时间为2021年12月，项目保障时间为1年。</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5.服务对象满意度情况</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72" w:name="_Toc6584"/>
      <w:r>
        <w:rPr>
          <w:rStyle w:val="23"/>
          <w:rFonts w:hint="eastAsia" w:ascii="仿宋_GB2312" w:hAnsi="仿宋_GB2312" w:eastAsia="仿宋_GB2312" w:cs="仿宋_GB2312"/>
          <w:b w:val="0"/>
          <w:bCs w:val="0"/>
          <w:color w:val="auto"/>
          <w:spacing w:val="-4"/>
          <w:sz w:val="32"/>
          <w:szCs w:val="32"/>
          <w:highlight w:val="none"/>
          <w:lang w:val="en-US" w:eastAsia="zh-CN"/>
        </w:rPr>
        <w:t>通过走访受益对象，发放调查问卷一共25份，回收有效问卷共计25份，按照调查问卷来看，服务对象对项目实施效果的满意程度达100%。</w:t>
      </w:r>
    </w:p>
    <w:p>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pPr>
        <w:pStyle w:val="34"/>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经综合评价，项目得分为98.5分，评价等级为优，一级指标各项得分情况见下表：</w:t>
      </w:r>
    </w:p>
    <w:p>
      <w:pPr>
        <w:pStyle w:val="41"/>
        <w:rPr>
          <w:highlight w:val="none"/>
        </w:rPr>
      </w:pPr>
      <w:r>
        <w:rPr>
          <w:rFonts w:hint="eastAsia"/>
          <w:highlight w:val="none"/>
          <w:lang w:eastAsia="zh-CN"/>
        </w:rPr>
        <w:t>202</w:t>
      </w:r>
      <w:r>
        <w:rPr>
          <w:rFonts w:hint="eastAsia"/>
          <w:highlight w:val="none"/>
          <w:lang w:val="en-US" w:eastAsia="zh-CN"/>
        </w:rPr>
        <w:t>1</w:t>
      </w:r>
      <w:r>
        <w:rPr>
          <w:rFonts w:hint="eastAsia"/>
          <w:highlight w:val="none"/>
        </w:rPr>
        <w:t>年度该项目绩效评价</w:t>
      </w:r>
      <w:r>
        <w:rPr>
          <w:highlight w:val="none"/>
        </w:rPr>
        <w:t>得分情况表</w:t>
      </w:r>
    </w:p>
    <w:tbl>
      <w:tblPr>
        <w:tblStyle w:val="20"/>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pPr>
              <w:pStyle w:val="41"/>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pPr>
              <w:pStyle w:val="41"/>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18.5</w:t>
            </w:r>
          </w:p>
        </w:tc>
        <w:tc>
          <w:tcPr>
            <w:tcW w:w="1152"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92.5</w:t>
            </w:r>
            <w:r>
              <w:rPr>
                <w:rFonts w:hint="eastAsia" w:ascii="仿宋" w:hAnsi="仿宋" w:eastAsia="仿宋" w:cs="仿宋"/>
                <w:b w:val="0"/>
                <w:sz w:val="21"/>
                <w:szCs w:val="21"/>
                <w:highlight w:val="none"/>
              </w:rPr>
              <w:t>%</w:t>
            </w:r>
          </w:p>
        </w:tc>
        <w:tc>
          <w:tcPr>
            <w:tcW w:w="1152" w:type="dxa"/>
            <w:vAlign w:val="center"/>
          </w:tcPr>
          <w:p>
            <w:pPr>
              <w:pStyle w:val="41"/>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290"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98.5</w:t>
            </w:r>
            <w:r>
              <w:rPr>
                <w:rFonts w:hint="eastAsia" w:ascii="仿宋" w:hAnsi="仿宋" w:eastAsia="仿宋" w:cs="仿宋"/>
                <w:b w:val="0"/>
                <w:sz w:val="21"/>
                <w:szCs w:val="21"/>
                <w:highlight w:val="none"/>
              </w:rPr>
              <w:t>%</w:t>
            </w:r>
          </w:p>
        </w:tc>
      </w:tr>
    </w:tbl>
    <w:p>
      <w:pPr>
        <w:pStyle w:val="18"/>
        <w:ind w:firstLine="0" w:firstLineChars="0"/>
      </w:pPr>
    </w:p>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评价结论</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rPr>
        <w:t>（二）项目总体评价结论</w:t>
      </w:r>
      <w:bookmarkEnd w:id="74"/>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项目立项较规范，绩效目标合理，绩效指标明确，项目管理制度较健全，制度建设基本有效执行。项目总投资220.00万元，财政资金到位率100%，实际支出220.00万元，预算资金执行率100%。资金使用程序较规范，能够做到专项资金专款专用，未发现截留、挤占、挪用、虚列支出等情况。项目实施后开展7400亩地管护任务并发放了2021年220名生态护林员补助，改善了绿洲人居环境、实现了生态建设与林果业产业协调发展影响率。</w:t>
      </w:r>
    </w:p>
    <w:p>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6" w:name="_Toc2013"/>
      <w:bookmarkStart w:id="77" w:name="_Toc14039"/>
      <w:r>
        <w:rPr>
          <w:rFonts w:hint="eastAsia" w:ascii="仿宋_GB2312" w:hAnsi="仿宋" w:eastAsia="仿宋_GB2312" w:cs="宋体"/>
          <w:b/>
          <w:bCs/>
          <w:sz w:val="32"/>
          <w:szCs w:val="32"/>
        </w:rPr>
        <w:t>（一）问题</w:t>
      </w:r>
      <w:bookmarkEnd w:id="76"/>
    </w:p>
    <w:p>
      <w:pPr>
        <w:pStyle w:val="34"/>
        <w:adjustRightInd w:val="0"/>
        <w:snapToGrid w:val="0"/>
        <w:spacing w:line="560" w:lineRule="exact"/>
        <w:ind w:left="420" w:leftChars="200" w:firstLine="312" w:firstLineChars="100"/>
        <w:outlineLvl w:val="1"/>
        <w:rPr>
          <w:rStyle w:val="23"/>
          <w:rFonts w:hint="eastAsia" w:ascii="仿宋_GB2312" w:hAnsi="仿宋_GB2312" w:eastAsia="仿宋_GB2312" w:cs="仿宋_GB2312"/>
          <w:b w:val="0"/>
          <w:bCs w:val="0"/>
          <w:color w:val="auto"/>
          <w:spacing w:val="-4"/>
          <w:sz w:val="32"/>
          <w:szCs w:val="32"/>
          <w:highlight w:val="none"/>
          <w:lang w:val="en-US" w:eastAsia="zh-CN"/>
        </w:rPr>
      </w:pPr>
      <w:bookmarkStart w:id="78" w:name="_Toc4075"/>
      <w:r>
        <w:rPr>
          <w:rStyle w:val="23"/>
          <w:rFonts w:hint="eastAsia" w:ascii="仿宋_GB2312" w:hAnsi="仿宋_GB2312" w:eastAsia="仿宋_GB2312" w:cs="仿宋_GB2312"/>
          <w:b w:val="0"/>
          <w:bCs w:val="0"/>
          <w:color w:val="auto"/>
          <w:spacing w:val="-4"/>
          <w:sz w:val="32"/>
          <w:szCs w:val="32"/>
          <w:highlight w:val="none"/>
          <w:lang w:val="en-US" w:eastAsia="zh-CN"/>
        </w:rPr>
        <w:t>多鲁乡相关项目负责人调岗时未做好项目交接工作，无法提供5/6月份工资打卡记录。</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二</w:t>
      </w:r>
      <w:r>
        <w:rPr>
          <w:rFonts w:hint="eastAsia" w:ascii="仿宋_GB2312" w:hAnsi="仿宋" w:eastAsia="仿宋_GB2312" w:cs="宋体"/>
          <w:b/>
          <w:bCs/>
          <w:sz w:val="32"/>
          <w:szCs w:val="32"/>
        </w:rPr>
        <w:t>）意见和建议</w:t>
      </w:r>
      <w:bookmarkEnd w:id="78"/>
    </w:p>
    <w:p>
      <w:pPr>
        <w:adjustRightInd w:val="0"/>
        <w:snapToGrid w:val="0"/>
        <w:spacing w:line="560" w:lineRule="exact"/>
        <w:ind w:firstLine="624" w:firstLineChars="200"/>
        <w:jc w:val="left"/>
        <w:outlineLvl w:val="0"/>
        <w:rPr>
          <w:rStyle w:val="23"/>
          <w:rFonts w:hint="eastAsia" w:ascii="仿宋_GB2312" w:hAnsi="仿宋_GB2312" w:eastAsia="仿宋_GB2312" w:cs="仿宋_GB2312"/>
          <w:b w:val="0"/>
          <w:bCs w:val="0"/>
          <w:color w:val="auto"/>
          <w:spacing w:val="-4"/>
          <w:sz w:val="32"/>
          <w:szCs w:val="32"/>
          <w:highlight w:val="none"/>
          <w:lang w:val="en-US" w:eastAsia="zh-CN"/>
        </w:rPr>
      </w:pPr>
      <w:bookmarkStart w:id="79" w:name="_Toc17475"/>
      <w:r>
        <w:rPr>
          <w:rStyle w:val="23"/>
          <w:rFonts w:hint="eastAsia" w:ascii="仿宋_GB2312" w:hAnsi="仿宋_GB2312" w:eastAsia="仿宋_GB2312" w:cs="仿宋_GB2312"/>
          <w:b w:val="0"/>
          <w:bCs w:val="0"/>
          <w:color w:val="auto"/>
          <w:spacing w:val="-4"/>
          <w:sz w:val="32"/>
          <w:szCs w:val="32"/>
          <w:highlight w:val="none"/>
          <w:lang w:val="en-US" w:eastAsia="zh-CN"/>
        </w:rPr>
        <w:t>建议后期与相关工作人员取得联系做好交接工作，对缺失的项目资料进行补充完善，进一步落实好单位项目管理制度。</w:t>
      </w:r>
    </w:p>
    <w:p>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六、主要经验及做法</w:t>
      </w:r>
      <w:bookmarkEnd w:id="77"/>
      <w:bookmarkEnd w:id="79"/>
    </w:p>
    <w:p>
      <w:pPr>
        <w:pStyle w:val="34"/>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25465"/>
      <w:bookmarkStart w:id="81" w:name="_Toc32230"/>
      <w:bookmarkStart w:id="82" w:name="_Toc16919"/>
      <w:r>
        <w:rPr>
          <w:rFonts w:hint="eastAsia" w:ascii="仿宋_GB2312" w:hAnsi="仿宋" w:eastAsia="仿宋_GB2312" w:cs="宋体"/>
          <w:b/>
          <w:bCs/>
          <w:sz w:val="32"/>
          <w:szCs w:val="32"/>
        </w:rPr>
        <w:t>（一）项目实施过程有效监控</w:t>
      </w:r>
      <w:bookmarkEnd w:id="80"/>
      <w:bookmarkEnd w:id="81"/>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83" w:name="_Toc191"/>
      <w:bookmarkStart w:id="84" w:name="_Toc22631"/>
      <w:r>
        <w:rPr>
          <w:rStyle w:val="23"/>
          <w:rFonts w:hint="eastAsia" w:ascii="仿宋_GB2312" w:hAnsi="仿宋_GB2312" w:eastAsia="仿宋_GB2312" w:cs="仿宋_GB2312"/>
          <w:b w:val="0"/>
          <w:bCs w:val="0"/>
          <w:color w:val="auto"/>
          <w:spacing w:val="-4"/>
          <w:sz w:val="32"/>
          <w:szCs w:val="32"/>
          <w:highlight w:val="none"/>
          <w:lang w:val="en-US" w:eastAsia="zh-CN"/>
        </w:rPr>
        <w:t>洛浦县财政局针对项目实施全过程进行绩效管理；根据专项资金管理工作，于5月、8月对该项目开展绩效监控，实行项目预算执行率与工作完成进度双监控，并全面把握资金使用效率和项目实施开展进度，督促相关责任人按期保质完成工作。</w:t>
      </w:r>
    </w:p>
    <w:p>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85" w:name="_Toc20562"/>
      <w:bookmarkStart w:id="86" w:name="_Toc13108"/>
      <w:bookmarkStart w:id="87" w:name="_Toc31915"/>
      <w:bookmarkStart w:id="88" w:name="_Toc14650"/>
      <w:bookmarkStart w:id="89" w:name="_Toc30107"/>
      <w:bookmarkStart w:id="90" w:name="_Toc24288"/>
      <w:bookmarkStart w:id="91" w:name="_Toc7837"/>
      <w:bookmarkStart w:id="92" w:name="_Toc14723"/>
      <w:bookmarkStart w:id="93" w:name="_Toc22725"/>
      <w:r>
        <w:rPr>
          <w:rStyle w:val="23"/>
          <w:rFonts w:hint="eastAsia" w:ascii="仿宋_GB2312" w:hAnsi="仿宋_GB2312" w:eastAsia="仿宋_GB2312" w:cs="仿宋_GB2312"/>
          <w:b w:val="0"/>
          <w:bCs w:val="0"/>
          <w:color w:val="auto"/>
          <w:spacing w:val="-4"/>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pPr>
        <w:pageBreakBefore w:val="0"/>
        <w:widowControl w:val="0"/>
        <w:kinsoku/>
        <w:wordWrap/>
        <w:overflowPunct/>
        <w:topLinePunct w:val="0"/>
        <w:autoSpaceDE/>
        <w:autoSpaceDN/>
        <w:bidi w:val="0"/>
        <w:spacing w:line="560" w:lineRule="exact"/>
        <w:ind w:firstLine="643" w:firstLineChars="200"/>
        <w:textAlignment w:val="auto"/>
        <w:outlineLvl w:val="9"/>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95" w:name="_Toc31513"/>
      <w:bookmarkStart w:id="96" w:name="_Toc20240"/>
      <w:r>
        <w:rPr>
          <w:rStyle w:val="23"/>
          <w:rFonts w:hint="eastAsia" w:ascii="仿宋_GB2312" w:hAnsi="仿宋_GB2312" w:eastAsia="仿宋_GB2312" w:cs="仿宋_GB2312"/>
          <w:b w:val="0"/>
          <w:bCs w:val="0"/>
          <w:color w:val="auto"/>
          <w:spacing w:val="-4"/>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pPr>
        <w:numPr>
          <w:ilvl w:val="0"/>
          <w:numId w:val="7"/>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1.建议建立实施绩效评价结果公开制度（结果反馈制度、结果共享制度、结果报告制度、结果公示制度）；</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2.建议建立绩效评价结果通报、约谈和问责机制；</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3.建议建立绩效评价结果在部门预算中激励与约束挂钩机制；</w:t>
      </w:r>
    </w:p>
    <w:p>
      <w:pPr>
        <w:pageBreakBefore w:val="0"/>
        <w:widowControl w:val="0"/>
        <w:kinsoku/>
        <w:wordWrap/>
        <w:overflowPunct/>
        <w:topLinePunct w:val="0"/>
        <w:autoSpaceDE/>
        <w:autoSpaceDN/>
        <w:bidi w:val="0"/>
        <w:spacing w:line="560" w:lineRule="exact"/>
        <w:ind w:firstLine="624" w:firstLineChars="200"/>
        <w:textAlignment w:val="auto"/>
        <w:outlineLvl w:val="9"/>
        <w:rPr>
          <w:rFonts w:hint="eastAsia" w:ascii="仿宋_GB2312" w:hAnsi="仿宋_GB2312" w:eastAsia="仿宋_GB2312" w:cs="仿宋_GB2312"/>
          <w:sz w:val="32"/>
          <w:szCs w:val="32"/>
        </w:rPr>
      </w:pPr>
      <w:r>
        <w:rPr>
          <w:rStyle w:val="23"/>
          <w:rFonts w:hint="eastAsia" w:ascii="仿宋_GB2312" w:hAnsi="仿宋_GB2312" w:eastAsia="仿宋_GB2312" w:cs="仿宋_GB2312"/>
          <w:b w:val="0"/>
          <w:bCs w:val="0"/>
          <w:color w:val="auto"/>
          <w:spacing w:val="-4"/>
          <w:sz w:val="32"/>
          <w:szCs w:val="32"/>
          <w:highlight w:val="none"/>
          <w:lang w:val="en-US" w:eastAsia="zh-CN"/>
        </w:rPr>
        <w:t>4.建议建立评价结果惩处机制。</w:t>
      </w:r>
    </w:p>
    <w:p>
      <w:pPr>
        <w:spacing w:line="560" w:lineRule="exact"/>
        <w:ind w:firstLine="643" w:firstLineChars="200"/>
        <w:outlineLvl w:val="1"/>
        <w:rPr>
          <w:rFonts w:ascii="仿宋_GB2312" w:hAnsi="黑体" w:eastAsia="仿宋_GB2312" w:cs="Times New Roman"/>
          <w:b/>
          <w:bCs/>
          <w:sz w:val="32"/>
          <w:szCs w:val="32"/>
        </w:rPr>
      </w:pPr>
      <w:bookmarkStart w:id="97" w:name="_Toc10628"/>
      <w:bookmarkStart w:id="98" w:name="_Toc5443"/>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一是严格落实评价结果与预算安排挂钩制度。要严格执行《洛浦县财政支出绩效评价结果应用暂行办法》文件规定，充分应用评价结果，对低效无效资金一律削减或取消。</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二是将此次评价工作开展情况及评价结果纳入洛浦县全面实施预算绩效管理年度综合评价考核范畴，年终形成总结报告，上报县政府、发改委和县人大。</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三是进一步加大对评价结果的应用，洛浦县2021年度项目绩效评价情况，可作为以后年度部门单位项目预算编制和安排财政资金的重要依据。</w:t>
      </w:r>
    </w:p>
    <w:p>
      <w:pPr>
        <w:spacing w:line="560" w:lineRule="exact"/>
        <w:ind w:firstLine="643" w:firstLineChars="200"/>
        <w:outlineLvl w:val="1"/>
        <w:rPr>
          <w:rFonts w:ascii="仿宋_GB2312" w:hAnsi="黑体" w:eastAsia="仿宋_GB2312" w:cs="Times New Roman"/>
          <w:b/>
          <w:bCs/>
          <w:sz w:val="32"/>
          <w:szCs w:val="32"/>
        </w:rPr>
      </w:pPr>
      <w:bookmarkStart w:id="99" w:name="_Toc4069"/>
      <w:bookmarkStart w:id="100" w:name="_Toc13172"/>
      <w:r>
        <w:rPr>
          <w:rFonts w:hint="eastAsia" w:ascii="仿宋_GB2312" w:hAnsi="黑体" w:eastAsia="仿宋_GB2312" w:cs="Times New Roman"/>
          <w:b/>
          <w:bCs/>
          <w:sz w:val="32"/>
          <w:szCs w:val="32"/>
        </w:rPr>
        <w:t>（四）评价结果公开</w:t>
      </w:r>
      <w:bookmarkEnd w:id="99"/>
      <w:bookmarkEnd w:id="100"/>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建议按照政府信息公开管理的相关规定将绩效评价结果（涉密信息除外）向社会公开评价结果，提高工作透明度，接受社会公众的监督。</w:t>
      </w:r>
      <w:bookmarkEnd w:id="91"/>
    </w:p>
    <w:p>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第一，该项目部分间接产生的效果无法准确在短期内衡量，因此很难认定项目产生的全部效果。通过指标来反映绩效，指标的科学性和全面性需要不断地完善和研究。</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第二，评价结果作为安排政府预算、完善政策和改进管理的重要依据。原则上，对评价等级为优、良的，根据情况予以支持；对评价等级为中、差的，要完善政策、改进管理，根据情况核减预算。</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第三，评价结果分别编入政府决算和部门预算，报送本级人民代表大会常务委员会，并依法予以公开。</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pPr>
        <w:pageBreakBefore w:val="0"/>
        <w:widowControl w:val="0"/>
        <w:kinsoku/>
        <w:wordWrap/>
        <w:overflowPunct/>
        <w:topLinePunct w:val="0"/>
        <w:autoSpaceDE/>
        <w:autoSpaceDN/>
        <w:bidi w:val="0"/>
        <w:spacing w:line="560" w:lineRule="exact"/>
        <w:ind w:firstLine="624" w:firstLineChars="200"/>
        <w:textAlignment w:val="auto"/>
        <w:outlineLvl w:val="9"/>
        <w:rPr>
          <w:rFonts w:hint="eastAsia"/>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bookmarkStart w:id="102" w:name="_Toc25791"/>
      <w:r>
        <w:rPr>
          <w:rStyle w:val="23"/>
          <w:rFonts w:hint="eastAsia" w:ascii="仿宋_GB2312" w:hAnsi="仿宋_GB2312" w:eastAsia="仿宋_GB2312" w:cs="仿宋_GB2312"/>
          <w:b w:val="0"/>
          <w:bCs w:val="0"/>
          <w:color w:val="auto"/>
          <w:spacing w:val="-4"/>
          <w:sz w:val="32"/>
          <w:szCs w:val="32"/>
          <w:highlight w:val="none"/>
          <w:lang w:val="en-US" w:eastAsia="zh-CN"/>
        </w:rPr>
        <w:t>。</w:t>
      </w:r>
    </w:p>
    <w:p>
      <w:pPr>
        <w:adjustRightInd w:val="0"/>
        <w:snapToGrid w:val="0"/>
        <w:spacing w:line="560" w:lineRule="exact"/>
        <w:ind w:firstLine="640" w:firstLineChars="200"/>
        <w:jc w:val="left"/>
        <w:outlineLvl w:val="0"/>
        <w:rPr>
          <w:rFonts w:ascii="黑体" w:hAnsi="黑体" w:eastAsia="黑体" w:cs="宋体"/>
          <w:sz w:val="32"/>
          <w:szCs w:val="32"/>
        </w:rPr>
      </w:pPr>
      <w:r>
        <w:rPr>
          <w:rFonts w:hint="eastAsia" w:ascii="黑体" w:hAnsi="黑体" w:eastAsia="黑体" w:cs="宋体"/>
          <w:sz w:val="32"/>
          <w:szCs w:val="32"/>
        </w:rPr>
        <w:t>九、附件</w:t>
      </w:r>
      <w:bookmarkEnd w:id="102"/>
    </w:p>
    <w:bookmarkEnd w:id="30"/>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bookmarkStart w:id="103" w:name="_Toc11156"/>
      <w:bookmarkStart w:id="104" w:name="_Toc5066"/>
      <w:bookmarkStart w:id="105" w:name="_Toc3379"/>
      <w:bookmarkStart w:id="106" w:name="_Toc13969"/>
      <w:bookmarkStart w:id="107" w:name="_Toc9070"/>
      <w:r>
        <w:rPr>
          <w:rStyle w:val="23"/>
          <w:rFonts w:hint="eastAsia" w:ascii="仿宋_GB2312" w:hAnsi="仿宋_GB2312" w:eastAsia="仿宋_GB2312" w:cs="仿宋_GB2312"/>
          <w:b w:val="0"/>
          <w:bCs w:val="0"/>
          <w:color w:val="auto"/>
          <w:spacing w:val="-4"/>
          <w:sz w:val="32"/>
          <w:szCs w:val="32"/>
          <w:highlight w:val="none"/>
          <w:lang w:val="en-US" w:eastAsia="zh-CN"/>
        </w:rPr>
        <w:t>附件一、洛浦县2021年草原管护员补助项目支出绩效评价指标体系</w:t>
      </w:r>
      <w:bookmarkEnd w:id="103"/>
      <w:bookmarkEnd w:id="104"/>
      <w:bookmarkEnd w:id="105"/>
      <w:bookmarkEnd w:id="106"/>
      <w:bookmarkEnd w:id="107"/>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bookmarkStart w:id="108" w:name="_Toc5753"/>
      <w:bookmarkStart w:id="109" w:name="_Toc32762"/>
      <w:bookmarkStart w:id="110" w:name="_Toc31506"/>
      <w:bookmarkStart w:id="111" w:name="_Toc17647"/>
      <w:bookmarkStart w:id="112" w:name="_Toc19426"/>
      <w:r>
        <w:rPr>
          <w:rStyle w:val="23"/>
          <w:rFonts w:hint="eastAsia" w:ascii="仿宋_GB2312" w:hAnsi="仿宋_GB2312" w:eastAsia="仿宋_GB2312" w:cs="仿宋_GB2312"/>
          <w:b w:val="0"/>
          <w:bCs w:val="0"/>
          <w:color w:val="auto"/>
          <w:spacing w:val="-4"/>
          <w:sz w:val="32"/>
          <w:szCs w:val="32"/>
          <w:highlight w:val="none"/>
          <w:lang w:val="en-US" w:eastAsia="zh-CN"/>
        </w:rPr>
        <w:t>附件二、洛浦县2021年草原管护员补助项目资金使用明细表</w:t>
      </w:r>
      <w:bookmarkEnd w:id="108"/>
      <w:bookmarkEnd w:id="109"/>
      <w:bookmarkEnd w:id="110"/>
      <w:bookmarkEnd w:id="111"/>
      <w:bookmarkEnd w:id="112"/>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bookmarkStart w:id="113" w:name="_Toc16544"/>
      <w:bookmarkStart w:id="114" w:name="_Toc27332"/>
      <w:bookmarkStart w:id="115" w:name="_Toc21161"/>
      <w:bookmarkStart w:id="116" w:name="_Toc22995"/>
      <w:bookmarkStart w:id="117" w:name="_Toc27746"/>
      <w:r>
        <w:rPr>
          <w:rStyle w:val="23"/>
          <w:rFonts w:hint="eastAsia" w:ascii="仿宋_GB2312" w:hAnsi="仿宋_GB2312" w:eastAsia="仿宋_GB2312" w:cs="仿宋_GB2312"/>
          <w:b w:val="0"/>
          <w:bCs w:val="0"/>
          <w:color w:val="auto"/>
          <w:spacing w:val="-4"/>
          <w:sz w:val="32"/>
          <w:szCs w:val="32"/>
          <w:highlight w:val="none"/>
          <w:lang w:val="en-US" w:eastAsia="zh-CN"/>
        </w:rPr>
        <w:t>附件三、洛浦县2021年草原管护员补助目绩效评价工作记录单</w:t>
      </w:r>
      <w:bookmarkEnd w:id="113"/>
      <w:bookmarkEnd w:id="114"/>
      <w:bookmarkEnd w:id="115"/>
      <w:bookmarkEnd w:id="116"/>
      <w:bookmarkEnd w:id="117"/>
      <w:bookmarkStart w:id="118" w:name="_Toc20564"/>
      <w:bookmarkStart w:id="119" w:name="_Toc16822"/>
      <w:bookmarkStart w:id="120" w:name="_Toc18769"/>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bookmarkStart w:id="121" w:name="_Toc27218"/>
      <w:r>
        <w:rPr>
          <w:rStyle w:val="23"/>
          <w:rFonts w:hint="eastAsia" w:ascii="仿宋_GB2312" w:hAnsi="仿宋_GB2312" w:eastAsia="仿宋_GB2312" w:cs="仿宋_GB2312"/>
          <w:b w:val="0"/>
          <w:bCs w:val="0"/>
          <w:color w:val="auto"/>
          <w:spacing w:val="-4"/>
          <w:sz w:val="32"/>
          <w:szCs w:val="32"/>
          <w:highlight w:val="none"/>
          <w:lang w:val="en-US" w:eastAsia="zh-CN"/>
        </w:rPr>
        <w:t>附件四、洛浦县2021年草原管护员补助项目调查问卷统计表</w:t>
      </w:r>
      <w:bookmarkEnd w:id="118"/>
      <w:bookmarkEnd w:id="119"/>
      <w:bookmarkEnd w:id="120"/>
      <w:bookmarkEnd w:id="121"/>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p>
    <w:p>
      <w:pPr>
        <w:pageBreakBefore w:val="0"/>
        <w:widowControl w:val="0"/>
        <w:kinsoku/>
        <w:wordWrap/>
        <w:overflowPunct/>
        <w:topLinePunct w:val="0"/>
        <w:autoSpaceDE/>
        <w:autoSpaceDN/>
        <w:bidi w:val="0"/>
        <w:spacing w:line="560" w:lineRule="exact"/>
        <w:ind w:firstLine="624" w:firstLineChars="200"/>
        <w:textAlignment w:val="auto"/>
        <w:outlineLvl w:val="9"/>
        <w:rPr>
          <w:rStyle w:val="23"/>
          <w:rFonts w:hint="default" w:ascii="仿宋_GB2312" w:hAnsi="仿宋_GB2312" w:eastAsia="仿宋_GB2312" w:cs="仿宋_GB2312"/>
          <w:b w:val="0"/>
          <w:bCs w:val="0"/>
          <w:color w:val="auto"/>
          <w:spacing w:val="-4"/>
          <w:sz w:val="32"/>
          <w:szCs w:val="32"/>
          <w:highlight w:val="none"/>
          <w:lang w:val="en-US" w:eastAsia="zh-CN"/>
        </w:rPr>
      </w:pPr>
    </w:p>
    <w:p>
      <w:pPr>
        <w:pageBreakBefore w:val="0"/>
        <w:widowControl w:val="0"/>
        <w:kinsoku/>
        <w:wordWrap/>
        <w:overflowPunct/>
        <w:topLinePunct w:val="0"/>
        <w:autoSpaceDE/>
        <w:autoSpaceDN/>
        <w:bidi w:val="0"/>
        <w:spacing w:line="560" w:lineRule="exact"/>
        <w:ind w:firstLine="1872" w:firstLineChars="6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中瑞诚会计师事务所（特殊普通合伙）喀什分所</w:t>
      </w:r>
    </w:p>
    <w:p>
      <w:pPr>
        <w:pageBreakBefore w:val="0"/>
        <w:widowControl w:val="0"/>
        <w:kinsoku/>
        <w:wordWrap/>
        <w:overflowPunct/>
        <w:topLinePunct w:val="0"/>
        <w:autoSpaceDE/>
        <w:autoSpaceDN/>
        <w:bidi w:val="0"/>
        <w:spacing w:line="560" w:lineRule="exact"/>
        <w:ind w:firstLine="1872" w:firstLineChars="600"/>
        <w:textAlignment w:val="auto"/>
        <w:outlineLvl w:val="9"/>
        <w:rPr>
          <w:rStyle w:val="23"/>
          <w:rFonts w:hint="eastAsia" w:ascii="仿宋_GB2312" w:hAnsi="仿宋_GB2312" w:eastAsia="仿宋_GB2312" w:cs="仿宋_GB2312"/>
          <w:b w:val="0"/>
          <w:bCs w:val="0"/>
          <w:color w:val="auto"/>
          <w:spacing w:val="-4"/>
          <w:sz w:val="32"/>
          <w:szCs w:val="32"/>
          <w:highlight w:val="none"/>
          <w:lang w:val="en-US" w:eastAsia="zh-CN"/>
        </w:rPr>
      </w:pPr>
      <w:r>
        <w:rPr>
          <w:rStyle w:val="23"/>
          <w:rFonts w:hint="eastAsia" w:ascii="仿宋_GB2312" w:hAnsi="仿宋_GB2312" w:eastAsia="仿宋_GB2312" w:cs="仿宋_GB2312"/>
          <w:b w:val="0"/>
          <w:bCs w:val="0"/>
          <w:color w:val="auto"/>
          <w:spacing w:val="-4"/>
          <w:sz w:val="32"/>
          <w:szCs w:val="32"/>
          <w:highlight w:val="none"/>
          <w:lang w:val="en-US" w:eastAsia="zh-CN"/>
        </w:rPr>
        <w:t xml:space="preserve">             2022年06月30日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776CE9CB-BA43-49B9-BF7F-75704D21E6CB}"/>
  </w:font>
  <w:font w:name="Arial">
    <w:panose1 w:val="020B0604020202020204"/>
    <w:charset w:val="01"/>
    <w:family w:val="swiss"/>
    <w:pitch w:val="default"/>
    <w:sig w:usb0="E0002EFF" w:usb1="C000785B" w:usb2="00000009" w:usb3="00000000" w:csb0="400001FF" w:csb1="FFFF0000"/>
    <w:embedRegular r:id="rId2" w:fontKey="{046F982B-5BCC-418B-B18D-83E5787D42BA}"/>
  </w:font>
  <w:font w:name="黑体">
    <w:panose1 w:val="02010609060101010101"/>
    <w:charset w:val="86"/>
    <w:family w:val="auto"/>
    <w:pitch w:val="default"/>
    <w:sig w:usb0="800002BF" w:usb1="38CF7CFA" w:usb2="00000016" w:usb3="00000000" w:csb0="00040001" w:csb1="00000000"/>
    <w:embedRegular r:id="rId3" w:fontKey="{2D479C27-7E9E-428A-AFFD-9930811F41BB}"/>
  </w:font>
  <w:font w:name="Courier New">
    <w:panose1 w:val="02070309020205020404"/>
    <w:charset w:val="01"/>
    <w:family w:val="modern"/>
    <w:pitch w:val="default"/>
    <w:sig w:usb0="E0002EFF" w:usb1="C0007843" w:usb2="00000009" w:usb3="00000000" w:csb0="400001FF" w:csb1="FFFF0000"/>
    <w:embedRegular r:id="rId4" w:fontKey="{4F51F065-23CA-44D9-A21C-18AA84A5B2EE}"/>
  </w:font>
  <w:font w:name="Symbol">
    <w:panose1 w:val="05050102010706020507"/>
    <w:charset w:val="02"/>
    <w:family w:val="roman"/>
    <w:pitch w:val="default"/>
    <w:sig w:usb0="00000000" w:usb1="00000000" w:usb2="00000000" w:usb3="00000000" w:csb0="80000000" w:csb1="00000000"/>
    <w:embedRegular r:id="rId5" w:fontKey="{1EB7E0EE-EFC4-4341-A203-9A7B77157FCF}"/>
  </w:font>
  <w:font w:name="Calibri">
    <w:panose1 w:val="020F0502020204030204"/>
    <w:charset w:val="00"/>
    <w:family w:val="swiss"/>
    <w:pitch w:val="default"/>
    <w:sig w:usb0="E4002EFF" w:usb1="C000247B" w:usb2="00000009" w:usb3="00000000" w:csb0="200001FF" w:csb1="00000000"/>
    <w:embedRegular r:id="rId6" w:fontKey="{E5E91ACB-F538-449E-8A88-078C873FCAD2}"/>
  </w:font>
  <w:font w:name="仿宋">
    <w:panose1 w:val="02010609060101010101"/>
    <w:charset w:val="86"/>
    <w:family w:val="modern"/>
    <w:pitch w:val="default"/>
    <w:sig w:usb0="800002BF" w:usb1="38CF7CFA" w:usb2="00000016" w:usb3="00000000" w:csb0="00040001" w:csb1="00000000"/>
    <w:embedRegular r:id="rId7" w:fontKey="{5B9D6F82-9942-4D97-AAF8-BFE6D1B0D6FC}"/>
  </w:font>
  <w:font w:name="Cambria">
    <w:panose1 w:val="02040503050406030204"/>
    <w:charset w:val="00"/>
    <w:family w:val="roman"/>
    <w:pitch w:val="default"/>
    <w:sig w:usb0="E00006FF" w:usb1="420024FF" w:usb2="02000000" w:usb3="00000000" w:csb0="2000019F" w:csb1="00000000"/>
    <w:embedRegular r:id="rId8" w:fontKey="{A8221F9E-8235-4F70-A5CF-81F153C93FD2}"/>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71B5628F-DC7E-4747-9CB1-C54FAED6BBC4}"/>
  </w:font>
  <w:font w:name="方正小标宋简体">
    <w:panose1 w:val="02010601030101010101"/>
    <w:charset w:val="86"/>
    <w:family w:val="auto"/>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embedRegular r:id="rId10" w:fontKey="{CEDA91C6-A3C9-46D2-8CA7-5211528675B1}"/>
  </w:font>
  <w:font w:name="方正小标宋_GBK">
    <w:panose1 w:val="03000509000000000000"/>
    <w:charset w:val="86"/>
    <w:family w:val="script"/>
    <w:pitch w:val="default"/>
    <w:sig w:usb0="00000001" w:usb1="080E0000" w:usb2="00000000" w:usb3="00000000" w:csb0="00040000" w:csb1="00000000"/>
    <w:embedRegular r:id="rId11" w:fontKey="{299C179D-06DE-4A8B-AB13-3789266FA135}"/>
  </w:font>
  <w:font w:name="楷体">
    <w:panose1 w:val="02010609060101010101"/>
    <w:charset w:val="86"/>
    <w:family w:val="modern"/>
    <w:pitch w:val="default"/>
    <w:sig w:usb0="800002BF" w:usb1="38CF7CFA" w:usb2="00000016" w:usb3="00000000" w:csb0="00040001" w:csb1="00000000"/>
    <w:embedRegular r:id="rId12" w:fontKey="{30199198-EADF-4CE7-890E-124CDEF2F71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pPr>
                      <w:pStyle w:val="1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3C38CFD"/>
    <w:multiLevelType w:val="singleLevel"/>
    <w:tmpl w:val="C3C38CFD"/>
    <w:lvl w:ilvl="0" w:tentative="0">
      <w:start w:val="3"/>
      <w:numFmt w:val="decimal"/>
      <w:suff w:val="nothing"/>
      <w:lvlText w:val="（%1）"/>
      <w:lvlJc w:val="left"/>
    </w:lvl>
  </w:abstractNum>
  <w:abstractNum w:abstractNumId="2">
    <w:nsid w:val="E8DA9C4C"/>
    <w:multiLevelType w:val="singleLevel"/>
    <w:tmpl w:val="E8DA9C4C"/>
    <w:lvl w:ilvl="0" w:tentative="0">
      <w:start w:val="5"/>
      <w:numFmt w:val="chineseCounting"/>
      <w:suff w:val="nothing"/>
      <w:lvlText w:val="（%1）"/>
      <w:lvlJc w:val="left"/>
      <w:rPr>
        <w:rFonts w:hint="eastAsia"/>
      </w:rPr>
    </w:lvl>
  </w:abstractNum>
  <w:abstractNum w:abstractNumId="3">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586DE0EC"/>
    <w:multiLevelType w:val="singleLevel"/>
    <w:tmpl w:val="586DE0EC"/>
    <w:lvl w:ilvl="0" w:tentative="0">
      <w:start w:val="1"/>
      <w:numFmt w:val="decimal"/>
      <w:suff w:val="nothing"/>
      <w:lvlText w:val="（%1）"/>
      <w:lvlJc w:val="left"/>
    </w:lvl>
  </w:abstractNum>
  <w:abstractNum w:abstractNumId="6">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4"/>
  </w:num>
  <w:num w:numId="2">
    <w:abstractNumId w:val="6"/>
  </w:num>
  <w:num w:numId="3">
    <w:abstractNumId w:val="3"/>
  </w:num>
  <w:num w:numId="4">
    <w:abstractNumId w:val="5"/>
  </w:num>
  <w:num w:numId="5">
    <w:abstractNumId w:val="2"/>
  </w:num>
  <w:num w:numId="6">
    <w:abstractNumId w:val="1"/>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63F521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19644B"/>
    <w:rsid w:val="0A202443"/>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4530434"/>
    <w:rsid w:val="145D32C7"/>
    <w:rsid w:val="14FD2BB2"/>
    <w:rsid w:val="151547B8"/>
    <w:rsid w:val="15294C1C"/>
    <w:rsid w:val="154510DF"/>
    <w:rsid w:val="16181B81"/>
    <w:rsid w:val="163E45AA"/>
    <w:rsid w:val="16453E27"/>
    <w:rsid w:val="16465A40"/>
    <w:rsid w:val="16AD702C"/>
    <w:rsid w:val="16DD6B31"/>
    <w:rsid w:val="17461C62"/>
    <w:rsid w:val="17AA48DE"/>
    <w:rsid w:val="17E62AA7"/>
    <w:rsid w:val="17EF2C21"/>
    <w:rsid w:val="17F4424E"/>
    <w:rsid w:val="189A61CB"/>
    <w:rsid w:val="18EF46F1"/>
    <w:rsid w:val="19165ED3"/>
    <w:rsid w:val="196116C8"/>
    <w:rsid w:val="19837757"/>
    <w:rsid w:val="19BF1717"/>
    <w:rsid w:val="1A2447D6"/>
    <w:rsid w:val="1A4F2ED7"/>
    <w:rsid w:val="1A6B70D6"/>
    <w:rsid w:val="1BDB434B"/>
    <w:rsid w:val="1BFF75B4"/>
    <w:rsid w:val="1C075C6A"/>
    <w:rsid w:val="1CCD3ED3"/>
    <w:rsid w:val="1D0826D3"/>
    <w:rsid w:val="1D3C33F2"/>
    <w:rsid w:val="1D74030A"/>
    <w:rsid w:val="1E1910DF"/>
    <w:rsid w:val="1E765D9E"/>
    <w:rsid w:val="1E852558"/>
    <w:rsid w:val="1EA43555"/>
    <w:rsid w:val="1EC62B79"/>
    <w:rsid w:val="1F270062"/>
    <w:rsid w:val="1F3D026E"/>
    <w:rsid w:val="1F4024E6"/>
    <w:rsid w:val="1F8054F8"/>
    <w:rsid w:val="1FC01F3C"/>
    <w:rsid w:val="1FC90F95"/>
    <w:rsid w:val="201A26D0"/>
    <w:rsid w:val="20413C5F"/>
    <w:rsid w:val="207E641D"/>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DE067B"/>
    <w:rsid w:val="2449672E"/>
    <w:rsid w:val="25177E64"/>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9B5AA8"/>
    <w:rsid w:val="30D74F49"/>
    <w:rsid w:val="31032936"/>
    <w:rsid w:val="310E7A63"/>
    <w:rsid w:val="311F3834"/>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AF06FFA"/>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EA77BFB"/>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D21B2"/>
    <w:rsid w:val="49BF66B8"/>
    <w:rsid w:val="4A432BA3"/>
    <w:rsid w:val="4A72756B"/>
    <w:rsid w:val="4A797541"/>
    <w:rsid w:val="4A7F5FCD"/>
    <w:rsid w:val="4B010B09"/>
    <w:rsid w:val="4BC149DF"/>
    <w:rsid w:val="4BE30283"/>
    <w:rsid w:val="4BF37B2C"/>
    <w:rsid w:val="4CF31CB8"/>
    <w:rsid w:val="4D1E0B50"/>
    <w:rsid w:val="4D917D31"/>
    <w:rsid w:val="4E002236"/>
    <w:rsid w:val="4E4179EE"/>
    <w:rsid w:val="4E470433"/>
    <w:rsid w:val="4E767DC2"/>
    <w:rsid w:val="4E8F6F3C"/>
    <w:rsid w:val="4ED57ECB"/>
    <w:rsid w:val="4F9F7B0F"/>
    <w:rsid w:val="4FCE03C2"/>
    <w:rsid w:val="50372AC6"/>
    <w:rsid w:val="50F66874"/>
    <w:rsid w:val="510711CE"/>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9511D9"/>
    <w:rsid w:val="57FA77E0"/>
    <w:rsid w:val="588472F7"/>
    <w:rsid w:val="58E443C8"/>
    <w:rsid w:val="58F12371"/>
    <w:rsid w:val="590B4AF5"/>
    <w:rsid w:val="59255366"/>
    <w:rsid w:val="592E3D42"/>
    <w:rsid w:val="5957077D"/>
    <w:rsid w:val="5A0679B5"/>
    <w:rsid w:val="5A5F5703"/>
    <w:rsid w:val="5A6603CC"/>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2D8794B"/>
    <w:rsid w:val="63146D7E"/>
    <w:rsid w:val="63230500"/>
    <w:rsid w:val="63513D97"/>
    <w:rsid w:val="63920A42"/>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F3262C"/>
    <w:rsid w:val="67F72DF6"/>
    <w:rsid w:val="6801064C"/>
    <w:rsid w:val="68083B50"/>
    <w:rsid w:val="680B3A79"/>
    <w:rsid w:val="686F0A84"/>
    <w:rsid w:val="688E629F"/>
    <w:rsid w:val="68917166"/>
    <w:rsid w:val="68CE2566"/>
    <w:rsid w:val="68D1686E"/>
    <w:rsid w:val="68DF4C87"/>
    <w:rsid w:val="69006B8C"/>
    <w:rsid w:val="69603B4A"/>
    <w:rsid w:val="696320E7"/>
    <w:rsid w:val="698A6289"/>
    <w:rsid w:val="69AB5865"/>
    <w:rsid w:val="6A295EBD"/>
    <w:rsid w:val="6A6352C7"/>
    <w:rsid w:val="6ACD7664"/>
    <w:rsid w:val="6B224577"/>
    <w:rsid w:val="6B3063AB"/>
    <w:rsid w:val="6B785364"/>
    <w:rsid w:val="6BC87F76"/>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B00B6F"/>
    <w:rsid w:val="6FF21D68"/>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8C20B1"/>
    <w:rsid w:val="75AC36CE"/>
    <w:rsid w:val="75B93025"/>
    <w:rsid w:val="75C31316"/>
    <w:rsid w:val="75CC3D65"/>
    <w:rsid w:val="75D14FF0"/>
    <w:rsid w:val="75FE6729"/>
    <w:rsid w:val="760E4EC1"/>
    <w:rsid w:val="76207A89"/>
    <w:rsid w:val="762F3558"/>
    <w:rsid w:val="763B1F21"/>
    <w:rsid w:val="76826103"/>
    <w:rsid w:val="770316D3"/>
    <w:rsid w:val="773548BB"/>
    <w:rsid w:val="77680802"/>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2"/>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3"/>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2">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annotation text"/>
    <w:basedOn w:val="1"/>
    <w:link w:val="39"/>
    <w:semiHidden/>
    <w:unhideWhenUsed/>
    <w:qFormat/>
    <w:uiPriority w:val="99"/>
    <w:pPr>
      <w:jc w:val="left"/>
    </w:pPr>
  </w:style>
  <w:style w:type="paragraph" w:styleId="7">
    <w:name w:val="Body Text"/>
    <w:basedOn w:val="1"/>
    <w:qFormat/>
    <w:uiPriority w:val="0"/>
  </w:style>
  <w:style w:type="paragraph" w:styleId="8">
    <w:name w:val="Body Text Indent"/>
    <w:basedOn w:val="1"/>
    <w:qFormat/>
    <w:uiPriority w:val="0"/>
    <w:pPr>
      <w:ind w:firstLine="660"/>
    </w:pPr>
    <w:rPr>
      <w:sz w:val="30"/>
    </w:rPr>
  </w:style>
  <w:style w:type="paragraph" w:styleId="9">
    <w:name w:val="toc 3"/>
    <w:basedOn w:val="1"/>
    <w:next w:val="1"/>
    <w:semiHidden/>
    <w:unhideWhenUsed/>
    <w:qFormat/>
    <w:uiPriority w:val="39"/>
    <w:pPr>
      <w:ind w:left="840" w:leftChars="400"/>
    </w:pPr>
  </w:style>
  <w:style w:type="paragraph" w:styleId="10">
    <w:name w:val="Plain Text"/>
    <w:basedOn w:val="1"/>
    <w:qFormat/>
    <w:uiPriority w:val="0"/>
    <w:rPr>
      <w:rFonts w:ascii="宋体" w:hAnsi="Courier New"/>
    </w:rPr>
  </w:style>
  <w:style w:type="paragraph" w:styleId="11">
    <w:name w:val="Balloon Text"/>
    <w:basedOn w:val="1"/>
    <w:link w:val="38"/>
    <w:semiHidden/>
    <w:unhideWhenUsed/>
    <w:qFormat/>
    <w:uiPriority w:val="99"/>
    <w:rPr>
      <w:sz w:val="18"/>
      <w:szCs w:val="18"/>
    </w:rPr>
  </w:style>
  <w:style w:type="paragraph" w:styleId="12">
    <w:name w:val="footer"/>
    <w:basedOn w:val="1"/>
    <w:link w:val="30"/>
    <w:unhideWhenUsed/>
    <w:qFormat/>
    <w:uiPriority w:val="99"/>
    <w:pPr>
      <w:tabs>
        <w:tab w:val="center" w:pos="4153"/>
        <w:tab w:val="right" w:pos="8306"/>
      </w:tabs>
      <w:snapToGrid w:val="0"/>
      <w:jc w:val="left"/>
    </w:pPr>
    <w:rPr>
      <w:sz w:val="18"/>
      <w:szCs w:val="18"/>
    </w:rPr>
  </w:style>
  <w:style w:type="paragraph" w:styleId="13">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rFonts w:ascii="Times New Roman" w:hAnsi="Times New Roman" w:eastAsia="宋体" w:cs="Times New Roman"/>
    </w:rPr>
  </w:style>
  <w:style w:type="paragraph" w:styleId="15">
    <w:name w:val="toc 2"/>
    <w:basedOn w:val="1"/>
    <w:next w:val="1"/>
    <w:semiHidden/>
    <w:unhideWhenUsed/>
    <w:qFormat/>
    <w:uiPriority w:val="39"/>
    <w:pPr>
      <w:ind w:left="420" w:leftChars="200"/>
    </w:pPr>
  </w:style>
  <w:style w:type="paragraph" w:styleId="16">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7">
    <w:name w:val="annotation subject"/>
    <w:basedOn w:val="6"/>
    <w:next w:val="6"/>
    <w:link w:val="40"/>
    <w:semiHidden/>
    <w:unhideWhenUsed/>
    <w:qFormat/>
    <w:uiPriority w:val="99"/>
    <w:rPr>
      <w:b/>
      <w:bCs/>
    </w:rPr>
  </w:style>
  <w:style w:type="paragraph" w:styleId="18">
    <w:name w:val="Body Text First Indent"/>
    <w:basedOn w:val="7"/>
    <w:semiHidden/>
    <w:unhideWhenUsed/>
    <w:qFormat/>
    <w:uiPriority w:val="99"/>
    <w:pPr>
      <w:ind w:firstLine="420" w:firstLineChars="100"/>
    </w:pPr>
  </w:style>
  <w:style w:type="paragraph" w:styleId="19">
    <w:name w:val="Body Text First Indent 2"/>
    <w:basedOn w:val="8"/>
    <w:qFormat/>
    <w:uiPriority w:val="0"/>
    <w:pPr>
      <w:tabs>
        <w:tab w:val="left" w:pos="180"/>
        <w:tab w:val="left" w:pos="540"/>
      </w:tabs>
      <w:ind w:firstLine="420" w:firstLineChars="200"/>
    </w:pPr>
  </w:style>
  <w:style w:type="table" w:styleId="21">
    <w:name w:val="Table Grid"/>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basedOn w:val="22"/>
    <w:qFormat/>
    <w:uiPriority w:val="0"/>
    <w:rPr>
      <w:b/>
      <w:bCs/>
    </w:rPr>
  </w:style>
  <w:style w:type="character" w:styleId="24">
    <w:name w:val="FollowedHyperlink"/>
    <w:basedOn w:val="22"/>
    <w:semiHidden/>
    <w:unhideWhenUsed/>
    <w:qFormat/>
    <w:uiPriority w:val="99"/>
    <w:rPr>
      <w:color w:val="000000"/>
      <w:u w:val="none"/>
    </w:rPr>
  </w:style>
  <w:style w:type="character" w:styleId="25">
    <w:name w:val="Emphasis"/>
    <w:basedOn w:val="22"/>
    <w:qFormat/>
    <w:uiPriority w:val="20"/>
  </w:style>
  <w:style w:type="character" w:styleId="26">
    <w:name w:val="Hyperlink"/>
    <w:basedOn w:val="22"/>
    <w:semiHidden/>
    <w:unhideWhenUsed/>
    <w:qFormat/>
    <w:uiPriority w:val="99"/>
    <w:rPr>
      <w:color w:val="000000"/>
      <w:u w:val="none"/>
    </w:rPr>
  </w:style>
  <w:style w:type="character" w:styleId="27">
    <w:name w:val="annotation reference"/>
    <w:basedOn w:val="22"/>
    <w:semiHidden/>
    <w:unhideWhenUsed/>
    <w:qFormat/>
    <w:uiPriority w:val="99"/>
    <w:rPr>
      <w:sz w:val="21"/>
      <w:szCs w:val="21"/>
    </w:rPr>
  </w:style>
  <w:style w:type="paragraph" w:customStyle="1" w:styleId="28">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9">
    <w:name w:val="页眉 Char"/>
    <w:basedOn w:val="22"/>
    <w:link w:val="13"/>
    <w:qFormat/>
    <w:uiPriority w:val="99"/>
    <w:rPr>
      <w:sz w:val="18"/>
      <w:szCs w:val="18"/>
    </w:rPr>
  </w:style>
  <w:style w:type="character" w:customStyle="1" w:styleId="30">
    <w:name w:val="页脚 Char"/>
    <w:basedOn w:val="22"/>
    <w:link w:val="12"/>
    <w:qFormat/>
    <w:uiPriority w:val="99"/>
    <w:rPr>
      <w:sz w:val="18"/>
      <w:szCs w:val="18"/>
    </w:rPr>
  </w:style>
  <w:style w:type="character" w:customStyle="1" w:styleId="31">
    <w:name w:val="font41"/>
    <w:basedOn w:val="22"/>
    <w:qFormat/>
    <w:uiPriority w:val="0"/>
    <w:rPr>
      <w:rFonts w:ascii="仿宋_GB2312" w:eastAsia="仿宋_GB2312" w:cs="仿宋_GB2312"/>
      <w:color w:val="000000"/>
      <w:sz w:val="24"/>
      <w:szCs w:val="24"/>
      <w:u w:val="none"/>
    </w:rPr>
  </w:style>
  <w:style w:type="character" w:customStyle="1" w:styleId="32">
    <w:name w:val="标题 1 Char"/>
    <w:basedOn w:val="22"/>
    <w:link w:val="3"/>
    <w:qFormat/>
    <w:uiPriority w:val="9"/>
    <w:rPr>
      <w:rFonts w:eastAsia="仿宋"/>
      <w:b/>
      <w:bCs/>
      <w:kern w:val="44"/>
      <w:sz w:val="32"/>
      <w:szCs w:val="44"/>
    </w:rPr>
  </w:style>
  <w:style w:type="character" w:customStyle="1" w:styleId="33">
    <w:name w:val="标题 2 Char"/>
    <w:basedOn w:val="22"/>
    <w:link w:val="4"/>
    <w:qFormat/>
    <w:uiPriority w:val="9"/>
    <w:rPr>
      <w:rFonts w:eastAsia="仿宋" w:asciiTheme="majorHAnsi" w:hAnsiTheme="majorHAnsi" w:cstheme="majorBidi"/>
      <w:bCs/>
      <w:sz w:val="32"/>
      <w:szCs w:val="32"/>
    </w:rPr>
  </w:style>
  <w:style w:type="paragraph" w:styleId="34">
    <w:name w:val="List Paragraph"/>
    <w:basedOn w:val="1"/>
    <w:qFormat/>
    <w:uiPriority w:val="34"/>
    <w:pPr>
      <w:ind w:firstLine="420" w:firstLineChars="200"/>
    </w:pPr>
  </w:style>
  <w:style w:type="paragraph" w:customStyle="1" w:styleId="35">
    <w:name w:val="WPSOffice手动目录 1"/>
    <w:qFormat/>
    <w:uiPriority w:val="0"/>
    <w:rPr>
      <w:rFonts w:asciiTheme="minorHAnsi" w:hAnsiTheme="minorHAnsi" w:eastAsiaTheme="minorEastAsia" w:cstheme="minorBidi"/>
      <w:lang w:val="en-US" w:eastAsia="zh-CN" w:bidi="ar-SA"/>
    </w:rPr>
  </w:style>
  <w:style w:type="paragraph" w:customStyle="1" w:styleId="36">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7">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8">
    <w:name w:val="批注框文本 Char"/>
    <w:basedOn w:val="22"/>
    <w:link w:val="11"/>
    <w:semiHidden/>
    <w:qFormat/>
    <w:uiPriority w:val="99"/>
    <w:rPr>
      <w:kern w:val="2"/>
      <w:sz w:val="18"/>
      <w:szCs w:val="18"/>
    </w:rPr>
  </w:style>
  <w:style w:type="character" w:customStyle="1" w:styleId="39">
    <w:name w:val="批注文字 Char"/>
    <w:basedOn w:val="22"/>
    <w:link w:val="6"/>
    <w:semiHidden/>
    <w:qFormat/>
    <w:uiPriority w:val="99"/>
    <w:rPr>
      <w:kern w:val="2"/>
      <w:sz w:val="21"/>
      <w:szCs w:val="24"/>
    </w:rPr>
  </w:style>
  <w:style w:type="character" w:customStyle="1" w:styleId="40">
    <w:name w:val="批注主题 Char"/>
    <w:basedOn w:val="39"/>
    <w:link w:val="17"/>
    <w:semiHidden/>
    <w:qFormat/>
    <w:uiPriority w:val="99"/>
    <w:rPr>
      <w:b/>
      <w:bCs/>
      <w:kern w:val="2"/>
      <w:sz w:val="21"/>
      <w:szCs w:val="24"/>
    </w:rPr>
  </w:style>
  <w:style w:type="paragraph" w:customStyle="1" w:styleId="41">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2">
    <w:name w:val="列表段落1"/>
    <w:basedOn w:val="1"/>
    <w:qFormat/>
    <w:uiPriority w:val="34"/>
    <w:pPr>
      <w:ind w:firstLine="420" w:firstLineChars="200"/>
    </w:pPr>
  </w:style>
  <w:style w:type="paragraph" w:customStyle="1" w:styleId="43">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29</Pages>
  <Words>13543</Words>
  <Characters>14306</Characters>
  <Lines>79</Lines>
  <Paragraphs>22</Paragraphs>
  <TotalTime>115</TotalTime>
  <ScaleCrop>false</ScaleCrop>
  <LinksUpToDate>false</LinksUpToDate>
  <CharactersWithSpaces>14388</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cp:lastModifiedBy>
  <cp:lastPrinted>2021-07-28T10:34:00Z</cp:lastPrinted>
  <dcterms:modified xsi:type="dcterms:W3CDTF">2022-09-30T04:50:58Z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A8312BA226C94F5A884B33DB13DDFAF3</vt:lpwstr>
  </property>
  <property fmtid="{D5CDD505-2E9C-101B-9397-08002B2CF9AE}" pid="4" name="KSOSaveFontToCloudKey">
    <vt:lpwstr>999270995_embed</vt:lpwstr>
  </property>
</Properties>
</file>