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ascii="方正小标宋简体" w:hAnsi="黑体" w:eastAsia="方正小标宋简体" w:cs="宋体"/>
          <w:color w:val="auto"/>
          <w:kern w:val="0"/>
          <w:sz w:val="44"/>
          <w:szCs w:val="44"/>
        </w:rPr>
      </w:pPr>
    </w:p>
    <w:p>
      <w:pPr>
        <w:jc w:val="center"/>
        <w:rPr>
          <w:rFonts w:hint="eastAsia" w:ascii="方正小标宋简体" w:hAnsi="黑体" w:eastAsia="方正小标宋简体" w:cs="宋体"/>
          <w:color w:val="auto"/>
          <w:kern w:val="0"/>
          <w:sz w:val="44"/>
          <w:szCs w:val="44"/>
          <w:lang w:eastAsia="zh-CN"/>
        </w:rPr>
      </w:pPr>
      <w:r>
        <w:rPr>
          <w:rFonts w:hint="eastAsia" w:ascii="方正小标宋简体" w:hAnsi="黑体" w:eastAsia="方正小标宋简体" w:cs="宋体"/>
          <w:color w:val="auto"/>
          <w:kern w:val="0"/>
          <w:sz w:val="44"/>
          <w:szCs w:val="44"/>
          <w:lang w:eastAsia="zh-CN"/>
        </w:rPr>
        <w:t>洛浦县多鲁乡人民政府</w:t>
      </w:r>
    </w:p>
    <w:p>
      <w:pPr>
        <w:jc w:val="center"/>
        <w:rPr>
          <w:rFonts w:hint="eastAsia" w:ascii="方正小标宋简体" w:hAnsi="黑体" w:eastAsia="方正小标宋简体" w:cs="宋体"/>
          <w:color w:val="auto"/>
          <w:kern w:val="0"/>
          <w:sz w:val="44"/>
          <w:szCs w:val="44"/>
          <w:highlight w:val="none"/>
          <w:lang w:val="en-US" w:eastAsia="zh-CN"/>
        </w:rPr>
      </w:pPr>
      <w:r>
        <w:rPr>
          <w:rFonts w:hint="eastAsia" w:ascii="方正小标宋简体" w:hAnsi="黑体" w:eastAsia="方正小标宋简体" w:cs="宋体"/>
          <w:color w:val="auto"/>
          <w:kern w:val="0"/>
          <w:sz w:val="44"/>
          <w:szCs w:val="44"/>
          <w:lang w:eastAsia="zh-CN"/>
        </w:rPr>
        <w:t>低效农田整治项目</w:t>
      </w:r>
    </w:p>
    <w:p>
      <w:pPr>
        <w:rPr>
          <w:rFonts w:ascii="Times New Roman" w:hAnsi="黑体" w:eastAsia="黑体" w:cs="宋体"/>
          <w:color w:val="auto"/>
          <w:kern w:val="0"/>
          <w:sz w:val="24"/>
        </w:rPr>
      </w:pPr>
    </w:p>
    <w:p>
      <w:pPr>
        <w:rPr>
          <w:rFonts w:ascii="Times New Roman" w:hAnsi="黑体" w:eastAsia="黑体" w:cs="宋体"/>
          <w:color w:val="auto"/>
          <w:kern w:val="0"/>
          <w:sz w:val="24"/>
        </w:rPr>
      </w:pPr>
    </w:p>
    <w:p>
      <w:pPr>
        <w:rPr>
          <w:rFonts w:ascii="Times New Roman" w:hAnsi="黑体" w:eastAsia="黑体" w:cs="宋体"/>
          <w:color w:val="auto"/>
          <w:kern w:val="0"/>
          <w:sz w:val="24"/>
        </w:rPr>
      </w:pPr>
    </w:p>
    <w:p>
      <w:pPr>
        <w:rPr>
          <w:rFonts w:ascii="Times New Roman" w:hAnsi="黑体" w:eastAsia="黑体" w:cs="宋体"/>
          <w:color w:val="auto"/>
          <w:kern w:val="0"/>
          <w:sz w:val="24"/>
        </w:rPr>
      </w:pPr>
    </w:p>
    <w:p>
      <w:pPr>
        <w:rPr>
          <w:rFonts w:ascii="Times New Roman" w:hAnsi="黑体" w:eastAsia="黑体" w:cs="宋体"/>
          <w:color w:val="auto"/>
          <w:kern w:val="0"/>
          <w:sz w:val="24"/>
        </w:rPr>
      </w:pPr>
    </w:p>
    <w:p>
      <w:pPr>
        <w:rPr>
          <w:rFonts w:ascii="Times New Roman" w:hAnsi="黑体" w:eastAsia="黑体" w:cs="宋体"/>
          <w:color w:val="auto"/>
          <w:kern w:val="0"/>
          <w:sz w:val="24"/>
        </w:rPr>
      </w:pPr>
    </w:p>
    <w:p>
      <w:pPr>
        <w:rPr>
          <w:rFonts w:ascii="Times New Roman" w:hAnsi="黑体" w:eastAsia="黑体" w:cs="宋体"/>
          <w:color w:val="auto"/>
          <w:kern w:val="0"/>
          <w:sz w:val="24"/>
        </w:rPr>
      </w:pPr>
    </w:p>
    <w:p>
      <w:pPr>
        <w:jc w:val="center"/>
        <w:rPr>
          <w:rFonts w:ascii="方正小标宋简体" w:hAnsi="黑体" w:eastAsia="方正小标宋简体" w:cs="宋体"/>
          <w:color w:val="auto"/>
          <w:kern w:val="0"/>
          <w:sz w:val="72"/>
          <w:szCs w:val="72"/>
        </w:rPr>
      </w:pPr>
      <w:r>
        <w:rPr>
          <w:rFonts w:hint="eastAsia" w:ascii="方正小标宋简体" w:hAnsi="黑体" w:eastAsia="方正小标宋简体" w:cs="宋体"/>
          <w:color w:val="auto"/>
          <w:kern w:val="0"/>
          <w:sz w:val="72"/>
          <w:szCs w:val="72"/>
        </w:rPr>
        <w:t>绩效评价报告</w:t>
      </w:r>
    </w:p>
    <w:p>
      <w:pPr>
        <w:rPr>
          <w:rFonts w:ascii="Times New Roman" w:hAnsi="黑体" w:eastAsia="黑体" w:cs="宋体"/>
          <w:color w:val="auto"/>
          <w:kern w:val="0"/>
          <w:sz w:val="24"/>
        </w:rPr>
      </w:pPr>
    </w:p>
    <w:p>
      <w:pPr>
        <w:rPr>
          <w:rFonts w:ascii="Times New Roman" w:hAnsi="黑体" w:eastAsia="黑体" w:cs="宋体"/>
          <w:color w:val="auto"/>
          <w:kern w:val="0"/>
          <w:sz w:val="24"/>
        </w:rPr>
      </w:pPr>
    </w:p>
    <w:p>
      <w:pPr>
        <w:rPr>
          <w:rFonts w:ascii="Times New Roman" w:hAnsi="黑体" w:eastAsia="黑体" w:cs="宋体"/>
          <w:color w:val="auto"/>
          <w:kern w:val="0"/>
          <w:sz w:val="24"/>
        </w:rPr>
      </w:pPr>
    </w:p>
    <w:p>
      <w:pPr>
        <w:rPr>
          <w:rFonts w:ascii="Times New Roman" w:hAnsi="黑体" w:eastAsia="黑体" w:cs="宋体"/>
          <w:color w:val="auto"/>
          <w:kern w:val="0"/>
          <w:sz w:val="24"/>
        </w:rPr>
      </w:pPr>
    </w:p>
    <w:p>
      <w:pPr>
        <w:rPr>
          <w:rFonts w:ascii="Times New Roman" w:hAnsi="黑体" w:eastAsia="黑体" w:cs="宋体"/>
          <w:color w:val="auto"/>
          <w:kern w:val="0"/>
          <w:sz w:val="24"/>
        </w:rPr>
      </w:pPr>
    </w:p>
    <w:p>
      <w:pPr>
        <w:rPr>
          <w:rFonts w:ascii="Times New Roman" w:hAnsi="黑体" w:eastAsia="黑体" w:cs="宋体"/>
          <w:color w:val="auto"/>
          <w:kern w:val="0"/>
          <w:sz w:val="24"/>
        </w:rPr>
      </w:pPr>
    </w:p>
    <w:p>
      <w:pPr>
        <w:rPr>
          <w:rFonts w:ascii="Times New Roman" w:hAnsi="黑体" w:eastAsia="黑体" w:cs="宋体"/>
          <w:color w:val="auto"/>
          <w:kern w:val="0"/>
          <w:sz w:val="24"/>
        </w:rPr>
      </w:pPr>
    </w:p>
    <w:p>
      <w:pPr>
        <w:pStyle w:val="4"/>
        <w:numPr>
          <w:ilvl w:val="0"/>
          <w:numId w:val="0"/>
        </w:numPr>
        <w:ind w:leftChars="0"/>
        <w:rPr>
          <w:rFonts w:ascii="Times New Roman" w:hAnsi="黑体" w:eastAsia="黑体" w:cs="宋体"/>
          <w:color w:val="auto"/>
          <w:kern w:val="0"/>
          <w:sz w:val="24"/>
        </w:rPr>
      </w:pPr>
    </w:p>
    <w:p>
      <w:pPr>
        <w:rPr>
          <w:color w:val="auto"/>
        </w:rPr>
      </w:pPr>
    </w:p>
    <w:p>
      <w:pPr>
        <w:spacing w:line="400" w:lineRule="exact"/>
        <w:ind w:firstLine="2040" w:firstLineChars="850"/>
        <w:jc w:val="left"/>
        <w:rPr>
          <w:rFonts w:ascii="黑体" w:hAnsi="黑体" w:eastAsia="黑体" w:cs="宋体"/>
          <w:color w:val="auto"/>
          <w:kern w:val="0"/>
          <w:sz w:val="24"/>
        </w:rPr>
      </w:pPr>
      <w:r>
        <w:rPr>
          <w:rFonts w:hint="eastAsia" w:ascii="黑体" w:hAnsi="黑体" w:eastAsia="黑体" w:cs="宋体"/>
          <w:color w:val="auto"/>
          <w:kern w:val="0"/>
          <w:sz w:val="24"/>
        </w:rPr>
        <w:t>报告编号：</w:t>
      </w:r>
      <w:r>
        <w:rPr>
          <w:rFonts w:hint="eastAsia" w:ascii="黑体" w:hAnsi="黑体" w:eastAsia="黑体" w:cs="宋体"/>
          <w:color w:val="auto"/>
          <w:kern w:val="0"/>
          <w:sz w:val="24"/>
          <w:highlight w:val="none"/>
        </w:rPr>
        <w:t>中瑞诚喀绩评字[202</w:t>
      </w:r>
      <w:r>
        <w:rPr>
          <w:rFonts w:hint="eastAsia" w:ascii="黑体" w:hAnsi="黑体" w:eastAsia="黑体" w:cs="宋体"/>
          <w:color w:val="auto"/>
          <w:kern w:val="0"/>
          <w:sz w:val="24"/>
          <w:highlight w:val="none"/>
          <w:lang w:val="en-US" w:eastAsia="zh-CN"/>
        </w:rPr>
        <w:t>2</w:t>
      </w:r>
      <w:r>
        <w:rPr>
          <w:rFonts w:hint="eastAsia" w:ascii="黑体" w:hAnsi="黑体" w:eastAsia="黑体" w:cs="宋体"/>
          <w:color w:val="auto"/>
          <w:kern w:val="0"/>
          <w:sz w:val="24"/>
          <w:highlight w:val="none"/>
        </w:rPr>
        <w:t>]</w:t>
      </w:r>
      <w:r>
        <w:rPr>
          <w:rFonts w:hint="eastAsia" w:ascii="黑体" w:hAnsi="黑体" w:eastAsia="黑体" w:cs="宋体"/>
          <w:color w:val="auto"/>
          <w:kern w:val="0"/>
          <w:sz w:val="24"/>
          <w:highlight w:val="none"/>
          <w:lang w:val="en-US" w:eastAsia="zh-CN"/>
        </w:rPr>
        <w:t>141</w:t>
      </w:r>
      <w:r>
        <w:rPr>
          <w:rFonts w:hint="eastAsia" w:ascii="黑体" w:hAnsi="黑体" w:eastAsia="黑体" w:cs="宋体"/>
          <w:color w:val="auto"/>
          <w:kern w:val="0"/>
          <w:sz w:val="24"/>
          <w:highlight w:val="none"/>
        </w:rPr>
        <w:t>号</w:t>
      </w:r>
    </w:p>
    <w:p>
      <w:pPr>
        <w:spacing w:line="400" w:lineRule="exact"/>
        <w:ind w:firstLine="2040" w:firstLineChars="850"/>
        <w:jc w:val="left"/>
        <w:rPr>
          <w:rFonts w:hint="eastAsia" w:ascii="黑体" w:hAnsi="黑体" w:eastAsia="黑体" w:cs="宋体"/>
          <w:color w:val="auto"/>
          <w:kern w:val="0"/>
          <w:sz w:val="24"/>
        </w:rPr>
      </w:pPr>
      <w:r>
        <w:rPr>
          <w:rFonts w:hint="eastAsia" w:ascii="黑体" w:hAnsi="黑体" w:eastAsia="黑体" w:cs="宋体"/>
          <w:color w:val="auto"/>
          <w:kern w:val="0"/>
          <w:sz w:val="24"/>
        </w:rPr>
        <w:t>委托单位：</w:t>
      </w:r>
      <w:r>
        <w:rPr>
          <w:rFonts w:hint="eastAsia" w:ascii="黑体" w:hAnsi="黑体" w:eastAsia="黑体" w:cs="宋体"/>
          <w:color w:val="auto"/>
          <w:kern w:val="0"/>
          <w:sz w:val="24"/>
          <w:lang w:eastAsia="zh-CN"/>
        </w:rPr>
        <w:t>洛浦</w:t>
      </w:r>
      <w:r>
        <w:rPr>
          <w:rFonts w:hint="eastAsia" w:ascii="黑体" w:hAnsi="黑体" w:eastAsia="黑体" w:cs="宋体"/>
          <w:color w:val="auto"/>
          <w:kern w:val="0"/>
          <w:sz w:val="24"/>
        </w:rPr>
        <w:t>县财政局</w:t>
      </w:r>
    </w:p>
    <w:p>
      <w:pPr>
        <w:spacing w:line="400" w:lineRule="exact"/>
        <w:ind w:firstLine="2040" w:firstLineChars="850"/>
        <w:jc w:val="left"/>
        <w:rPr>
          <w:rFonts w:hint="eastAsia" w:ascii="黑体" w:hAnsi="黑体" w:eastAsia="黑体" w:cs="宋体"/>
          <w:color w:val="auto"/>
          <w:kern w:val="0"/>
          <w:sz w:val="24"/>
        </w:rPr>
      </w:pPr>
      <w:r>
        <w:rPr>
          <w:rFonts w:hint="eastAsia" w:ascii="黑体" w:hAnsi="黑体" w:eastAsia="黑体" w:cs="宋体"/>
          <w:color w:val="auto"/>
          <w:kern w:val="0"/>
          <w:sz w:val="24"/>
        </w:rPr>
        <w:t>评价机构：中瑞诚会计师事务所</w:t>
      </w:r>
      <w:r>
        <w:rPr>
          <w:rFonts w:hint="eastAsia" w:ascii="黑体" w:hAnsi="黑体" w:eastAsia="黑体" w:cs="宋体"/>
          <w:color w:val="auto"/>
          <w:kern w:val="0"/>
          <w:sz w:val="24"/>
          <w:lang w:eastAsia="zh-CN"/>
        </w:rPr>
        <w:t>（特殊普通合伙）</w:t>
      </w:r>
      <w:r>
        <w:rPr>
          <w:rFonts w:hint="eastAsia" w:ascii="黑体" w:hAnsi="黑体" w:eastAsia="黑体" w:cs="宋体"/>
          <w:color w:val="auto"/>
          <w:kern w:val="0"/>
          <w:sz w:val="24"/>
        </w:rPr>
        <w:t>喀什分所</w:t>
      </w:r>
    </w:p>
    <w:p>
      <w:pPr>
        <w:spacing w:line="400" w:lineRule="exact"/>
        <w:ind w:firstLine="2040" w:firstLineChars="850"/>
        <w:jc w:val="left"/>
        <w:rPr>
          <w:rFonts w:hint="eastAsia" w:ascii="黑体" w:hAnsi="黑体" w:eastAsia="黑体" w:cs="宋体"/>
          <w:color w:val="auto"/>
          <w:kern w:val="0"/>
          <w:sz w:val="24"/>
        </w:rPr>
      </w:pPr>
      <w:r>
        <w:rPr>
          <w:rFonts w:hint="eastAsia" w:ascii="黑体" w:hAnsi="黑体" w:eastAsia="黑体" w:cs="宋体"/>
          <w:color w:val="auto"/>
          <w:kern w:val="0"/>
          <w:sz w:val="24"/>
        </w:rPr>
        <w:t>报告时间：</w:t>
      </w:r>
      <w:r>
        <w:rPr>
          <w:rFonts w:hint="eastAsia" w:ascii="黑体" w:hAnsi="黑体" w:eastAsia="黑体" w:cs="宋体"/>
          <w:color w:val="auto"/>
          <w:kern w:val="0"/>
          <w:sz w:val="24"/>
          <w:lang w:eastAsia="zh-CN"/>
        </w:rPr>
        <w:t>202</w:t>
      </w:r>
      <w:r>
        <w:rPr>
          <w:rFonts w:hint="eastAsia" w:ascii="黑体" w:hAnsi="黑体" w:eastAsia="黑体" w:cs="宋体"/>
          <w:color w:val="auto"/>
          <w:kern w:val="0"/>
          <w:sz w:val="24"/>
          <w:lang w:val="en-US" w:eastAsia="zh-CN"/>
        </w:rPr>
        <w:t>2</w:t>
      </w:r>
      <w:r>
        <w:rPr>
          <w:rFonts w:hint="eastAsia" w:ascii="黑体" w:hAnsi="黑体" w:eastAsia="黑体" w:cs="宋体"/>
          <w:color w:val="auto"/>
          <w:kern w:val="0"/>
          <w:sz w:val="24"/>
        </w:rPr>
        <w:t>年</w:t>
      </w:r>
      <w:r>
        <w:rPr>
          <w:rFonts w:hint="eastAsia" w:ascii="黑体" w:hAnsi="黑体" w:eastAsia="黑体" w:cs="宋体"/>
          <w:color w:val="auto"/>
          <w:kern w:val="0"/>
          <w:sz w:val="24"/>
          <w:lang w:val="en-US" w:eastAsia="zh-CN"/>
        </w:rPr>
        <w:t>06</w:t>
      </w:r>
      <w:r>
        <w:rPr>
          <w:rFonts w:hint="eastAsia" w:ascii="黑体" w:hAnsi="黑体" w:eastAsia="黑体" w:cs="宋体"/>
          <w:color w:val="auto"/>
          <w:kern w:val="0"/>
          <w:sz w:val="24"/>
        </w:rPr>
        <w:t>月</w:t>
      </w:r>
      <w:r>
        <w:rPr>
          <w:rFonts w:hint="eastAsia" w:ascii="黑体" w:hAnsi="黑体" w:eastAsia="黑体" w:cs="宋体"/>
          <w:color w:val="auto"/>
          <w:kern w:val="0"/>
          <w:sz w:val="24"/>
          <w:lang w:val="en-US" w:eastAsia="zh-CN"/>
        </w:rPr>
        <w:t>30</w:t>
      </w:r>
      <w:r>
        <w:rPr>
          <w:rFonts w:hint="eastAsia" w:ascii="黑体" w:hAnsi="黑体" w:eastAsia="黑体" w:cs="宋体"/>
          <w:color w:val="auto"/>
          <w:kern w:val="0"/>
          <w:sz w:val="24"/>
        </w:rPr>
        <w:t>日</w:t>
      </w:r>
    </w:p>
    <w:tbl>
      <w:tblPr>
        <w:tblStyle w:val="19"/>
        <w:tblpPr w:leftFromText="180" w:rightFromText="180" w:vertAnchor="text" w:horzAnchor="margin" w:tblpX="1" w:tblpY="-77"/>
        <w:tblOverlap w:val="never"/>
        <w:tblW w:w="8983" w:type="dxa"/>
        <w:tblInd w:w="0" w:type="dxa"/>
        <w:tblLayout w:type="fixed"/>
        <w:tblCellMar>
          <w:top w:w="15" w:type="dxa"/>
          <w:left w:w="15" w:type="dxa"/>
          <w:bottom w:w="15" w:type="dxa"/>
          <w:right w:w="15" w:type="dxa"/>
        </w:tblCellMar>
      </w:tblPr>
      <w:tblGrid>
        <w:gridCol w:w="1291"/>
        <w:gridCol w:w="954"/>
        <w:gridCol w:w="180"/>
        <w:gridCol w:w="284"/>
        <w:gridCol w:w="850"/>
        <w:gridCol w:w="851"/>
        <w:gridCol w:w="81"/>
        <w:gridCol w:w="202"/>
        <w:gridCol w:w="992"/>
        <w:gridCol w:w="709"/>
        <w:gridCol w:w="343"/>
        <w:gridCol w:w="994"/>
        <w:gridCol w:w="1252"/>
      </w:tblGrid>
      <w:tr>
        <w:tblPrEx>
          <w:tblCellMar>
            <w:top w:w="15" w:type="dxa"/>
            <w:left w:w="15" w:type="dxa"/>
            <w:bottom w:w="15" w:type="dxa"/>
            <w:right w:w="15" w:type="dxa"/>
          </w:tblCellMar>
        </w:tblPrEx>
        <w:trPr>
          <w:trHeight w:val="301" w:hRule="atLeast"/>
        </w:trPr>
        <w:tc>
          <w:tcPr>
            <w:tcW w:w="8983" w:type="dxa"/>
            <w:gridSpan w:val="13"/>
            <w:shd w:val="clear" w:color="auto" w:fill="auto"/>
            <w:vAlign w:val="center"/>
          </w:tcPr>
          <w:p>
            <w:pPr>
              <w:widowControl/>
              <w:jc w:val="left"/>
              <w:textAlignment w:val="center"/>
              <w:rPr>
                <w:rFonts w:hint="eastAsia" w:ascii="黑体" w:hAnsi="宋体" w:eastAsia="黑体" w:cs="黑体"/>
                <w:color w:val="auto"/>
                <w:kern w:val="0"/>
                <w:sz w:val="24"/>
                <w:highlight w:val="none"/>
              </w:rPr>
            </w:pPr>
          </w:p>
          <w:p>
            <w:pPr>
              <w:widowControl/>
              <w:jc w:val="left"/>
              <w:textAlignment w:val="center"/>
              <w:rPr>
                <w:rFonts w:hint="eastAsia" w:ascii="黑体" w:hAnsi="宋体" w:eastAsia="黑体" w:cs="黑体"/>
                <w:color w:val="auto"/>
                <w:sz w:val="24"/>
                <w:highlight w:val="none"/>
                <w:lang w:val="en-US" w:eastAsia="zh-CN"/>
              </w:rPr>
            </w:pPr>
            <w:r>
              <w:rPr>
                <w:rFonts w:hint="eastAsia" w:ascii="黑体" w:hAnsi="宋体" w:eastAsia="黑体" w:cs="黑体"/>
                <w:color w:val="auto"/>
                <w:kern w:val="0"/>
                <w:sz w:val="24"/>
                <w:highlight w:val="none"/>
              </w:rPr>
              <w:t>评价分值：</w:t>
            </w:r>
            <w:r>
              <w:rPr>
                <w:rFonts w:hint="eastAsia" w:ascii="黑体" w:hAnsi="宋体" w:eastAsia="黑体" w:cs="黑体"/>
                <w:color w:val="auto"/>
                <w:kern w:val="0"/>
                <w:sz w:val="24"/>
                <w:highlight w:val="none"/>
                <w:lang w:val="en-US" w:eastAsia="zh-CN"/>
              </w:rPr>
              <w:t>94.6</w:t>
            </w:r>
            <w:r>
              <w:rPr>
                <w:rStyle w:val="30"/>
                <w:rFonts w:hint="eastAsia" w:hAnsi="宋体"/>
                <w:color w:val="auto"/>
                <w:highlight w:val="none"/>
              </w:rPr>
              <w:t xml:space="preserve">  </w:t>
            </w:r>
            <w:r>
              <w:rPr>
                <w:rFonts w:hint="eastAsia" w:ascii="黑体" w:hAnsi="宋体" w:eastAsia="黑体" w:cs="黑体"/>
                <w:color w:val="auto"/>
                <w:kern w:val="0"/>
                <w:sz w:val="24"/>
                <w:highlight w:val="none"/>
              </w:rPr>
              <w:t>评价等级：</w:t>
            </w:r>
            <w:r>
              <w:rPr>
                <w:rFonts w:hint="eastAsia" w:ascii="黑体" w:hAnsi="宋体" w:eastAsia="黑体" w:cs="黑体"/>
                <w:color w:val="auto"/>
                <w:kern w:val="0"/>
                <w:sz w:val="24"/>
                <w:highlight w:val="none"/>
                <w:lang w:val="en-US" w:eastAsia="zh-CN"/>
              </w:rPr>
              <w:t>优</w:t>
            </w:r>
          </w:p>
        </w:tc>
      </w:tr>
      <w:tr>
        <w:tblPrEx>
          <w:tblCellMar>
            <w:top w:w="15" w:type="dxa"/>
            <w:left w:w="15" w:type="dxa"/>
            <w:bottom w:w="15" w:type="dxa"/>
            <w:right w:w="15" w:type="dxa"/>
          </w:tblCellMar>
        </w:tblPrEx>
        <w:trPr>
          <w:trHeight w:val="510" w:hRule="atLeast"/>
        </w:trPr>
        <w:tc>
          <w:tcPr>
            <w:tcW w:w="8983" w:type="dxa"/>
            <w:gridSpan w:val="13"/>
            <w:shd w:val="clear" w:color="auto" w:fill="auto"/>
            <w:vAlign w:val="center"/>
          </w:tcPr>
          <w:p>
            <w:pPr>
              <w:widowControl/>
              <w:jc w:val="center"/>
              <w:textAlignment w:val="center"/>
              <w:rPr>
                <w:rFonts w:ascii="黑体" w:hAnsi="宋体" w:eastAsia="黑体" w:cs="黑体"/>
                <w:b/>
                <w:color w:val="auto"/>
                <w:sz w:val="36"/>
                <w:szCs w:val="36"/>
              </w:rPr>
            </w:pPr>
            <w:r>
              <w:rPr>
                <w:rFonts w:hint="eastAsia" w:ascii="黑体" w:hAnsi="宋体" w:eastAsia="黑体" w:cs="黑体"/>
                <w:b/>
                <w:color w:val="auto"/>
                <w:kern w:val="0"/>
                <w:sz w:val="36"/>
                <w:szCs w:val="36"/>
              </w:rPr>
              <w:t>概   要</w:t>
            </w:r>
          </w:p>
        </w:tc>
      </w:tr>
      <w:tr>
        <w:tblPrEx>
          <w:tblCellMar>
            <w:top w:w="15" w:type="dxa"/>
            <w:left w:w="15" w:type="dxa"/>
            <w:bottom w:w="15" w:type="dxa"/>
            <w:right w:w="15" w:type="dxa"/>
          </w:tblCellMar>
        </w:tblPrEx>
        <w:trPr>
          <w:trHeight w:val="330" w:hRule="atLeast"/>
        </w:trPr>
        <w:tc>
          <w:tcPr>
            <w:tcW w:w="8983" w:type="dxa"/>
            <w:gridSpan w:val="13"/>
            <w:shd w:val="clear" w:color="auto" w:fill="auto"/>
            <w:vAlign w:val="center"/>
          </w:tcPr>
          <w:p>
            <w:pPr>
              <w:widowControl/>
              <w:jc w:val="left"/>
              <w:textAlignment w:val="center"/>
              <w:rPr>
                <w:rFonts w:ascii="黑体" w:hAnsi="黑体" w:eastAsia="黑体" w:cs="仿宋_GB2312"/>
                <w:color w:val="auto"/>
                <w:sz w:val="22"/>
              </w:rPr>
            </w:pPr>
            <w:r>
              <w:rPr>
                <w:rFonts w:hint="eastAsia" w:ascii="黑体" w:hAnsi="黑体" w:eastAsia="黑体" w:cs="仿宋_GB2312"/>
                <w:color w:val="auto"/>
                <w:kern w:val="0"/>
                <w:sz w:val="22"/>
              </w:rPr>
              <w:t>评价机构全称（盖章）：中瑞诚会计师事务所</w:t>
            </w:r>
            <w:r>
              <w:rPr>
                <w:rFonts w:hint="eastAsia" w:ascii="黑体" w:hAnsi="黑体" w:eastAsia="黑体" w:cs="仿宋_GB2312"/>
                <w:color w:val="auto"/>
                <w:kern w:val="0"/>
                <w:sz w:val="22"/>
                <w:lang w:eastAsia="zh-CN"/>
              </w:rPr>
              <w:t>（特殊普通合伙）</w:t>
            </w:r>
            <w:r>
              <w:rPr>
                <w:rFonts w:hint="eastAsia" w:ascii="黑体" w:hAnsi="黑体" w:eastAsia="黑体" w:cs="仿宋_GB2312"/>
                <w:color w:val="auto"/>
                <w:kern w:val="0"/>
                <w:sz w:val="22"/>
              </w:rPr>
              <w:t xml:space="preserve">喀什分所 </w:t>
            </w:r>
            <w:r>
              <w:rPr>
                <w:rFonts w:hint="eastAsia" w:ascii="黑体" w:hAnsi="黑体" w:eastAsia="黑体" w:cs="仿宋_GB2312"/>
                <w:color w:val="auto"/>
                <w:kern w:val="0"/>
                <w:sz w:val="22"/>
                <w:lang w:val="en-US" w:eastAsia="zh-CN"/>
              </w:rPr>
              <w:t xml:space="preserve">   </w:t>
            </w:r>
            <w:r>
              <w:rPr>
                <w:rFonts w:hint="eastAsia" w:ascii="黑体" w:hAnsi="黑体" w:eastAsia="黑体" w:cs="仿宋_GB2312"/>
                <w:color w:val="auto"/>
                <w:kern w:val="0"/>
                <w:sz w:val="22"/>
              </w:rPr>
              <w:t>单位：万元、类、个</w:t>
            </w:r>
          </w:p>
        </w:tc>
      </w:tr>
      <w:tr>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项目名称</w:t>
            </w:r>
          </w:p>
        </w:tc>
        <w:tc>
          <w:tcPr>
            <w:tcW w:w="5103" w:type="dxa"/>
            <w:gridSpan w:val="9"/>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auto"/>
                <w:sz w:val="20"/>
                <w:szCs w:val="20"/>
                <w:lang w:eastAsia="zh-CN"/>
              </w:rPr>
            </w:pPr>
            <w:r>
              <w:rPr>
                <w:rFonts w:hint="eastAsia" w:ascii="仿宋_GB2312" w:hAnsi="宋体" w:eastAsia="仿宋_GB2312" w:cs="仿宋_GB2312"/>
                <w:color w:val="auto"/>
                <w:sz w:val="20"/>
                <w:szCs w:val="20"/>
                <w:lang w:eastAsia="zh-CN"/>
              </w:rPr>
              <w:t>低效农田整治项目</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评价年度</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auto"/>
                <w:sz w:val="20"/>
                <w:szCs w:val="20"/>
                <w:lang w:eastAsia="zh-CN"/>
              </w:rPr>
            </w:pPr>
            <w:r>
              <w:rPr>
                <w:rFonts w:hint="eastAsia" w:ascii="仿宋_GB2312" w:hAnsi="宋体" w:eastAsia="仿宋_GB2312" w:cs="仿宋_GB2312"/>
                <w:color w:val="auto"/>
                <w:sz w:val="20"/>
                <w:szCs w:val="20"/>
                <w:lang w:eastAsia="zh-CN"/>
              </w:rPr>
              <w:t>202</w:t>
            </w:r>
            <w:r>
              <w:rPr>
                <w:rFonts w:hint="eastAsia" w:ascii="仿宋_GB2312" w:hAnsi="宋体" w:eastAsia="仿宋_GB2312" w:cs="仿宋_GB2312"/>
                <w:color w:val="auto"/>
                <w:sz w:val="20"/>
                <w:szCs w:val="20"/>
                <w:lang w:val="en-US" w:eastAsia="zh-CN"/>
              </w:rPr>
              <w:t>2</w:t>
            </w:r>
          </w:p>
        </w:tc>
      </w:tr>
      <w:tr>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财政主管处室</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auto"/>
                <w:sz w:val="20"/>
                <w:szCs w:val="20"/>
              </w:rPr>
            </w:pPr>
            <w:r>
              <w:rPr>
                <w:rFonts w:hint="eastAsia" w:ascii="仿宋_GB2312" w:hAnsi="宋体" w:eastAsia="仿宋_GB2312" w:cs="仿宋_GB2312"/>
                <w:color w:val="auto"/>
                <w:sz w:val="20"/>
                <w:szCs w:val="20"/>
              </w:rPr>
              <w:t>绩效股</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sz w:val="20"/>
                <w:szCs w:val="20"/>
                <w:highlight w:val="none"/>
                <w:lang w:val="en-US" w:eastAsia="zh-CN"/>
              </w:rPr>
            </w:pPr>
            <w:r>
              <w:rPr>
                <w:rFonts w:hint="eastAsia" w:ascii="仿宋_GB2312" w:hAnsi="宋体" w:eastAsia="仿宋_GB2312" w:cs="仿宋_GB2312"/>
                <w:color w:val="auto"/>
                <w:sz w:val="20"/>
                <w:szCs w:val="20"/>
                <w:highlight w:val="none"/>
                <w:lang w:val="en-US" w:eastAsia="zh-CN"/>
              </w:rPr>
              <w:t>高月仙15713865046</w:t>
            </w:r>
          </w:p>
        </w:tc>
      </w:tr>
      <w:tr>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主管部门</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sz w:val="20"/>
                <w:szCs w:val="20"/>
                <w:lang w:val="en-US" w:eastAsia="zh-CN"/>
              </w:rPr>
            </w:pPr>
            <w:r>
              <w:rPr>
                <w:rFonts w:hint="eastAsia" w:ascii="仿宋_GB2312" w:hAnsi="宋体" w:eastAsia="仿宋_GB2312" w:cs="仿宋_GB2312"/>
                <w:color w:val="auto"/>
                <w:sz w:val="20"/>
                <w:szCs w:val="20"/>
                <w:lang w:val="en-US" w:eastAsia="zh-CN"/>
              </w:rPr>
              <w:t>洛浦县多鲁乡人民政府</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auto"/>
                <w:sz w:val="20"/>
                <w:szCs w:val="20"/>
                <w:highlight w:val="none"/>
              </w:rPr>
            </w:pPr>
            <w:r>
              <w:rPr>
                <w:rFonts w:hint="eastAsia" w:ascii="仿宋_GB2312" w:hAnsi="宋体" w:eastAsia="仿宋_GB2312" w:cs="仿宋_GB2312"/>
                <w:color w:val="auto"/>
                <w:sz w:val="20"/>
                <w:szCs w:val="20"/>
                <w:highlight w:val="none"/>
                <w:lang w:val="en-US" w:eastAsia="zh-CN"/>
              </w:rPr>
              <w:t>麦麦提艾力18199258111</w:t>
            </w:r>
          </w:p>
        </w:tc>
      </w:tr>
      <w:tr>
        <w:tblPrEx>
          <w:tblCellMar>
            <w:top w:w="15" w:type="dxa"/>
            <w:left w:w="15" w:type="dxa"/>
            <w:bottom w:w="15" w:type="dxa"/>
            <w:right w:w="15" w:type="dxa"/>
          </w:tblCellMar>
        </w:tblPrEx>
        <w:trPr>
          <w:trHeight w:val="376"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自评方式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auto"/>
                <w:sz w:val="20"/>
                <w:szCs w:val="20"/>
                <w:highlight w:val="none"/>
              </w:rPr>
            </w:pPr>
            <w:r>
              <w:rPr>
                <w:rFonts w:hint="eastAsia" w:ascii="仿宋_GB2312" w:hAnsi="宋体" w:eastAsia="仿宋_GB2312" w:cs="仿宋_GB2312"/>
                <w:color w:val="auto"/>
                <w:sz w:val="20"/>
                <w:szCs w:val="20"/>
                <w:highlight w:val="none"/>
              </w:rPr>
              <w:t xml:space="preserve"> 实地调研、文件研读等方式</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highlight w:val="none"/>
              </w:rPr>
            </w:pPr>
            <w:r>
              <w:rPr>
                <w:rFonts w:hint="eastAsia" w:ascii="黑体" w:hAnsi="宋体" w:eastAsia="黑体" w:cs="黑体"/>
                <w:color w:val="auto"/>
                <w:kern w:val="0"/>
                <w:sz w:val="20"/>
                <w:szCs w:val="20"/>
                <w:highlight w:val="none"/>
              </w:rPr>
              <w:t>自评分值</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sz w:val="20"/>
                <w:szCs w:val="20"/>
                <w:highlight w:val="none"/>
                <w:lang w:val="en-US" w:eastAsia="zh-CN"/>
              </w:rPr>
            </w:pPr>
            <w:r>
              <w:rPr>
                <w:rFonts w:hint="eastAsia" w:ascii="仿宋_GB2312" w:hAnsi="宋体" w:eastAsia="仿宋_GB2312" w:cs="仿宋_GB2312"/>
                <w:color w:val="auto"/>
                <w:sz w:val="20"/>
                <w:szCs w:val="20"/>
                <w:highlight w:val="none"/>
                <w:lang w:val="en-US" w:eastAsia="zh-CN"/>
              </w:rPr>
              <w:t>98.53</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自评等级</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sz w:val="20"/>
                <w:szCs w:val="20"/>
                <w:lang w:val="en-US" w:eastAsia="zh-CN"/>
              </w:rPr>
            </w:pPr>
            <w:r>
              <w:rPr>
                <w:rFonts w:hint="eastAsia" w:ascii="仿宋_GB2312" w:hAnsi="宋体" w:eastAsia="仿宋_GB2312" w:cs="仿宋_GB2312"/>
                <w:color w:val="auto"/>
                <w:sz w:val="20"/>
                <w:szCs w:val="20"/>
                <w:lang w:val="en-US" w:eastAsia="zh-CN"/>
              </w:rPr>
              <w:t>优</w:t>
            </w:r>
          </w:p>
        </w:tc>
      </w:tr>
      <w:tr>
        <w:tblPrEx>
          <w:tblCellMar>
            <w:top w:w="15" w:type="dxa"/>
            <w:left w:w="15" w:type="dxa"/>
            <w:bottom w:w="15" w:type="dxa"/>
            <w:right w:w="15" w:type="dxa"/>
          </w:tblCellMar>
        </w:tblPrEx>
        <w:trPr>
          <w:trHeight w:val="615"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各级资金</w:t>
            </w:r>
          </w:p>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投入总数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sz w:val="20"/>
                <w:szCs w:val="20"/>
                <w:lang w:val="en-US" w:eastAsia="zh-CN"/>
              </w:rPr>
            </w:pPr>
            <w:r>
              <w:rPr>
                <w:rFonts w:hint="eastAsia" w:ascii="仿宋_GB2312" w:hAnsi="宋体" w:eastAsia="仿宋_GB2312" w:cs="仿宋_GB2312"/>
                <w:color w:val="auto"/>
                <w:sz w:val="20"/>
                <w:szCs w:val="20"/>
                <w:lang w:val="en-US" w:eastAsia="zh-CN"/>
              </w:rPr>
              <w:t>195.30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sz w:val="20"/>
                <w:szCs w:val="20"/>
              </w:rPr>
              <w:t>抽查资金总数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sz w:val="20"/>
                <w:szCs w:val="20"/>
                <w:lang w:val="en-US"/>
              </w:rPr>
            </w:pPr>
            <w:r>
              <w:rPr>
                <w:rFonts w:hint="eastAsia" w:ascii="仿宋_GB2312" w:hAnsi="宋体" w:eastAsia="仿宋_GB2312" w:cs="仿宋_GB2312"/>
                <w:color w:val="auto"/>
                <w:sz w:val="20"/>
                <w:szCs w:val="20"/>
                <w:lang w:val="en-US" w:eastAsia="zh-CN"/>
              </w:rPr>
              <w:t>195.30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sz w:val="20"/>
                <w:szCs w:val="20"/>
              </w:rPr>
              <w:t>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sz w:val="20"/>
                <w:szCs w:val="20"/>
                <w:lang w:val="en-US" w:eastAsia="zh-CN"/>
              </w:rPr>
            </w:pPr>
            <w:r>
              <w:rPr>
                <w:rFonts w:hint="eastAsia" w:ascii="仿宋_GB2312" w:hAnsi="宋体" w:eastAsia="仿宋_GB2312" w:cs="仿宋_GB2312"/>
                <w:color w:val="auto"/>
                <w:sz w:val="20"/>
                <w:szCs w:val="20"/>
                <w:lang w:val="en-US" w:eastAsia="zh-CN"/>
              </w:rPr>
              <w:t>100%</w:t>
            </w:r>
          </w:p>
        </w:tc>
      </w:tr>
      <w:tr>
        <w:tblPrEx>
          <w:tblCellMar>
            <w:top w:w="15" w:type="dxa"/>
            <w:left w:w="15" w:type="dxa"/>
            <w:bottom w:w="15" w:type="dxa"/>
            <w:right w:w="15" w:type="dxa"/>
          </w:tblCellMar>
        </w:tblPrEx>
        <w:trPr>
          <w:trHeight w:val="54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lang w:val="en-US" w:eastAsia="zh-CN"/>
              </w:rPr>
              <w:t>本级</w:t>
            </w:r>
            <w:r>
              <w:rPr>
                <w:rFonts w:hint="eastAsia" w:ascii="黑体" w:hAnsi="宋体" w:eastAsia="黑体" w:cs="黑体"/>
                <w:color w:val="auto"/>
                <w:kern w:val="0"/>
                <w:sz w:val="20"/>
                <w:szCs w:val="20"/>
              </w:rPr>
              <w:t>财政资金</w:t>
            </w:r>
          </w:p>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拨付数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sz w:val="20"/>
                <w:szCs w:val="20"/>
                <w:lang w:val="en-US" w:eastAsia="zh-CN"/>
              </w:rPr>
            </w:pPr>
            <w:r>
              <w:rPr>
                <w:rFonts w:hint="eastAsia" w:ascii="仿宋_GB2312" w:hAnsi="宋体" w:eastAsia="仿宋_GB2312" w:cs="仿宋_GB2312"/>
                <w:color w:val="auto"/>
                <w:sz w:val="20"/>
                <w:szCs w:val="20"/>
                <w:lang w:val="en-US" w:eastAsia="zh-CN"/>
              </w:rPr>
              <w:t>195.30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lang w:val="en-US" w:eastAsia="zh-CN"/>
              </w:rPr>
              <w:t>本级</w:t>
            </w:r>
            <w:r>
              <w:rPr>
                <w:rFonts w:hint="eastAsia" w:ascii="黑体" w:hAnsi="宋体" w:eastAsia="黑体" w:cs="黑体"/>
                <w:color w:val="auto"/>
                <w:kern w:val="0"/>
                <w:sz w:val="20"/>
                <w:szCs w:val="20"/>
              </w:rPr>
              <w:t>财政资金</w:t>
            </w:r>
          </w:p>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抽查数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sz w:val="20"/>
                <w:szCs w:val="20"/>
                <w:lang w:val="en-US"/>
              </w:rPr>
            </w:pPr>
            <w:r>
              <w:rPr>
                <w:rFonts w:hint="eastAsia" w:ascii="仿宋_GB2312" w:hAnsi="宋体" w:eastAsia="仿宋_GB2312" w:cs="仿宋_GB2312"/>
                <w:color w:val="auto"/>
                <w:sz w:val="20"/>
                <w:szCs w:val="20"/>
                <w:lang w:val="en-US" w:eastAsia="zh-CN"/>
              </w:rPr>
              <w:t>195.30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中央财政资金</w:t>
            </w:r>
          </w:p>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auto"/>
                <w:sz w:val="20"/>
                <w:szCs w:val="20"/>
              </w:rPr>
            </w:pPr>
            <w:r>
              <w:rPr>
                <w:rFonts w:hint="eastAsia" w:ascii="仿宋_GB2312" w:hAnsi="宋体" w:eastAsia="仿宋_GB2312" w:cs="仿宋_GB2312"/>
                <w:color w:val="auto"/>
                <w:sz w:val="20"/>
                <w:szCs w:val="20"/>
                <w:lang w:val="en-US" w:eastAsia="zh-CN"/>
              </w:rPr>
              <w:t>0%</w:t>
            </w:r>
          </w:p>
        </w:tc>
      </w:tr>
      <w:tr>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项目类别</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sz w:val="20"/>
                <w:szCs w:val="20"/>
                <w:lang w:val="en-US" w:eastAsia="zh-CN"/>
              </w:rPr>
            </w:pPr>
            <w:r>
              <w:rPr>
                <w:rFonts w:hint="eastAsia" w:ascii="仿宋_GB2312" w:hAnsi="宋体" w:eastAsia="仿宋_GB2312" w:cs="仿宋_GB2312"/>
                <w:color w:val="auto"/>
                <w:sz w:val="20"/>
                <w:szCs w:val="20"/>
                <w:lang w:val="en-US" w:eastAsia="zh-CN"/>
              </w:rPr>
              <w:t>补助类</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抽查类别</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sz w:val="20"/>
                <w:szCs w:val="20"/>
                <w:lang w:val="en-US" w:eastAsia="zh-CN"/>
              </w:rPr>
            </w:pPr>
            <w:r>
              <w:rPr>
                <w:rFonts w:hint="eastAsia" w:ascii="仿宋_GB2312" w:hAnsi="宋体" w:eastAsia="仿宋_GB2312" w:cs="仿宋_GB2312"/>
                <w:color w:val="auto"/>
                <w:sz w:val="20"/>
                <w:szCs w:val="20"/>
                <w:lang w:val="en-US" w:eastAsia="zh-CN"/>
              </w:rPr>
              <w:t>补助类</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类别抽查占比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auto"/>
                <w:sz w:val="20"/>
                <w:szCs w:val="20"/>
              </w:rPr>
            </w:pPr>
            <w:r>
              <w:rPr>
                <w:rFonts w:hint="eastAsia" w:ascii="仿宋_GB2312" w:hAnsi="宋体" w:eastAsia="仿宋_GB2312" w:cs="仿宋_GB2312"/>
                <w:color w:val="auto"/>
                <w:sz w:val="20"/>
                <w:szCs w:val="20"/>
                <w:lang w:val="en-US" w:eastAsia="zh-CN"/>
              </w:rPr>
              <w:t>100%</w:t>
            </w:r>
          </w:p>
        </w:tc>
      </w:tr>
      <w:tr>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项目数量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auto"/>
                <w:sz w:val="20"/>
                <w:szCs w:val="20"/>
                <w:lang w:val="en-US" w:eastAsia="zh-CN"/>
              </w:rPr>
            </w:pPr>
            <w:r>
              <w:rPr>
                <w:rFonts w:hint="eastAsia" w:ascii="仿宋_GB2312" w:hAnsi="宋体" w:eastAsia="仿宋_GB2312" w:cs="仿宋_GB2312"/>
                <w:color w:val="auto"/>
                <w:sz w:val="20"/>
                <w:szCs w:val="20"/>
                <w:lang w:val="en-US" w:eastAsia="zh-CN"/>
              </w:rPr>
              <w:t>1</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kern w:val="0"/>
                <w:sz w:val="20"/>
                <w:szCs w:val="20"/>
              </w:rPr>
              <w:t>抽查项目数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auto"/>
                <w:sz w:val="20"/>
                <w:szCs w:val="20"/>
                <w:lang w:val="en-US" w:eastAsia="zh-CN"/>
              </w:rPr>
            </w:pPr>
            <w:r>
              <w:rPr>
                <w:rFonts w:hint="eastAsia" w:ascii="仿宋_GB2312" w:hAnsi="宋体" w:eastAsia="仿宋_GB2312" w:cs="仿宋_GB2312"/>
                <w:color w:val="auto"/>
                <w:sz w:val="20"/>
                <w:szCs w:val="20"/>
                <w:lang w:val="en-US" w:eastAsia="zh-CN"/>
              </w:rPr>
              <w:t>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项目抽查占比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auto"/>
                <w:sz w:val="20"/>
                <w:szCs w:val="20"/>
              </w:rPr>
            </w:pPr>
            <w:r>
              <w:rPr>
                <w:rFonts w:hint="eastAsia" w:ascii="仿宋_GB2312" w:hAnsi="宋体" w:eastAsia="仿宋_GB2312" w:cs="仿宋_GB2312"/>
                <w:color w:val="auto"/>
                <w:sz w:val="20"/>
                <w:szCs w:val="20"/>
                <w:lang w:val="en-US" w:eastAsia="zh-CN"/>
              </w:rPr>
              <w:t>100%</w:t>
            </w:r>
          </w:p>
        </w:tc>
      </w:tr>
      <w:tr>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涉及市县数</w:t>
            </w:r>
          </w:p>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或项目点</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kern w:val="0"/>
                <w:sz w:val="20"/>
                <w:szCs w:val="20"/>
                <w:lang w:val="en-US" w:eastAsia="zh-CN"/>
              </w:rPr>
            </w:pPr>
            <w:r>
              <w:rPr>
                <w:rFonts w:hint="eastAsia" w:ascii="仿宋_GB2312" w:hAnsi="宋体" w:eastAsia="仿宋_GB2312" w:cs="仿宋_GB2312"/>
                <w:color w:val="auto"/>
                <w:kern w:val="0"/>
                <w:sz w:val="20"/>
                <w:szCs w:val="20"/>
                <w:lang w:val="en-US" w:eastAsia="zh-CN"/>
              </w:rPr>
              <w:t>1</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抽查市县数</w:t>
            </w:r>
          </w:p>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或项目点</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hint="default" w:ascii="黑体" w:hAnsi="宋体" w:eastAsia="仿宋_GB2312" w:cs="黑体"/>
                <w:color w:val="auto"/>
                <w:kern w:val="0"/>
                <w:sz w:val="20"/>
                <w:szCs w:val="20"/>
                <w:lang w:val="en-US" w:eastAsia="zh-CN"/>
              </w:rPr>
            </w:pPr>
            <w:r>
              <w:rPr>
                <w:rFonts w:hint="eastAsia" w:ascii="黑体" w:hAnsi="宋体" w:eastAsia="仿宋_GB2312" w:cs="黑体"/>
                <w:color w:val="auto"/>
                <w:kern w:val="0"/>
                <w:sz w:val="20"/>
                <w:szCs w:val="20"/>
                <w:lang w:val="en-US" w:eastAsia="zh-CN"/>
              </w:rPr>
              <w:t>1</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抽查</w:t>
            </w:r>
          </w:p>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区域</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kern w:val="0"/>
                <w:sz w:val="20"/>
                <w:szCs w:val="20"/>
                <w:lang w:val="en-US" w:eastAsia="zh-CN"/>
              </w:rPr>
            </w:pPr>
            <w:r>
              <w:rPr>
                <w:rFonts w:hint="eastAsia" w:ascii="仿宋_GB2312" w:hAnsi="宋体" w:eastAsia="仿宋_GB2312" w:cs="仿宋_GB2312"/>
                <w:color w:val="auto"/>
                <w:kern w:val="0"/>
                <w:sz w:val="20"/>
                <w:szCs w:val="20"/>
                <w:lang w:val="en-US" w:eastAsia="zh-CN"/>
              </w:rPr>
              <w:t>多鲁乡</w:t>
            </w:r>
          </w:p>
        </w:tc>
      </w:tr>
      <w:tr>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发放调查</w:t>
            </w:r>
          </w:p>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问卷</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kern w:val="0"/>
                <w:sz w:val="20"/>
                <w:szCs w:val="20"/>
                <w:lang w:val="en-US" w:eastAsia="zh-CN"/>
              </w:rPr>
            </w:pPr>
            <w:r>
              <w:rPr>
                <w:rFonts w:hint="eastAsia" w:ascii="仿宋_GB2312" w:hAnsi="宋体" w:eastAsia="仿宋_GB2312" w:cs="仿宋_GB2312"/>
                <w:color w:val="auto"/>
                <w:kern w:val="0"/>
                <w:sz w:val="20"/>
                <w:szCs w:val="20"/>
                <w:lang w:val="en-US" w:eastAsia="zh-CN"/>
              </w:rPr>
              <w:t>40</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有效调查</w:t>
            </w:r>
          </w:p>
          <w:p>
            <w:pPr>
              <w:widowControl/>
              <w:spacing w:line="240" w:lineRule="exact"/>
              <w:jc w:val="center"/>
              <w:textAlignment w:val="center"/>
              <w:rPr>
                <w:rFonts w:ascii="黑体" w:hAnsi="黑体" w:eastAsia="黑体" w:cs="仿宋_GB2312"/>
                <w:color w:val="auto"/>
                <w:kern w:val="0"/>
                <w:sz w:val="20"/>
                <w:szCs w:val="20"/>
              </w:rPr>
            </w:pPr>
            <w:r>
              <w:rPr>
                <w:rFonts w:hint="eastAsia" w:ascii="黑体" w:hAnsi="宋体" w:eastAsia="黑体" w:cs="黑体"/>
                <w:color w:val="auto"/>
                <w:kern w:val="0"/>
                <w:sz w:val="20"/>
                <w:szCs w:val="20"/>
              </w:rPr>
              <w:t>问卷</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kern w:val="0"/>
                <w:sz w:val="20"/>
                <w:szCs w:val="20"/>
                <w:lang w:val="en-US" w:eastAsia="zh-CN"/>
              </w:rPr>
            </w:pPr>
            <w:r>
              <w:rPr>
                <w:rFonts w:hint="eastAsia" w:ascii="仿宋_GB2312" w:hAnsi="宋体" w:eastAsia="仿宋_GB2312" w:cs="仿宋_GB2312"/>
                <w:color w:val="auto"/>
                <w:kern w:val="0"/>
                <w:sz w:val="20"/>
                <w:szCs w:val="20"/>
                <w:lang w:val="en-US" w:eastAsia="zh-CN"/>
              </w:rPr>
              <w:t>40</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满意度</w:t>
            </w:r>
          </w:p>
          <w:p>
            <w:pPr>
              <w:widowControl/>
              <w:spacing w:line="240" w:lineRule="exact"/>
              <w:jc w:val="center"/>
              <w:textAlignment w:val="center"/>
              <w:rPr>
                <w:rFonts w:ascii="仿宋_GB2312" w:hAnsi="宋体" w:eastAsia="仿宋_GB2312" w:cs="仿宋_GB2312"/>
                <w:color w:val="auto"/>
                <w:kern w:val="0"/>
                <w:sz w:val="20"/>
                <w:szCs w:val="20"/>
              </w:rPr>
            </w:pPr>
            <w:r>
              <w:rPr>
                <w:rFonts w:hint="eastAsia" w:ascii="黑体" w:hAnsi="宋体" w:eastAsia="黑体" w:cs="黑体"/>
                <w:color w:val="auto"/>
                <w:kern w:val="0"/>
                <w:sz w:val="20"/>
                <w:szCs w:val="20"/>
              </w:rPr>
              <w:t>情况</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kern w:val="0"/>
                <w:sz w:val="20"/>
                <w:szCs w:val="20"/>
                <w:lang w:val="en-US" w:eastAsia="zh-CN"/>
              </w:rPr>
            </w:pPr>
            <w:r>
              <w:rPr>
                <w:rFonts w:hint="eastAsia" w:ascii="仿宋_GB2312" w:hAnsi="宋体" w:eastAsia="仿宋_GB2312" w:cs="仿宋_GB2312"/>
                <w:color w:val="auto"/>
                <w:kern w:val="0"/>
                <w:sz w:val="20"/>
                <w:szCs w:val="20"/>
                <w:lang w:val="en-US" w:eastAsia="zh-CN"/>
              </w:rPr>
              <w:t>100%</w:t>
            </w:r>
          </w:p>
        </w:tc>
      </w:tr>
      <w:tr>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highlight w:val="none"/>
              </w:rPr>
            </w:pPr>
            <w:r>
              <w:rPr>
                <w:rFonts w:hint="eastAsia" w:ascii="黑体" w:hAnsi="宋体" w:eastAsia="黑体" w:cs="黑体"/>
                <w:color w:val="auto"/>
                <w:kern w:val="0"/>
                <w:sz w:val="20"/>
                <w:szCs w:val="20"/>
                <w:highlight w:val="none"/>
              </w:rPr>
              <w:t>绩效目标</w:t>
            </w:r>
          </w:p>
          <w:p>
            <w:pPr>
              <w:widowControl/>
              <w:spacing w:line="240" w:lineRule="exact"/>
              <w:jc w:val="center"/>
              <w:textAlignment w:val="center"/>
              <w:rPr>
                <w:rFonts w:ascii="黑体" w:hAnsi="宋体" w:eastAsia="黑体" w:cs="黑体"/>
                <w:color w:val="auto"/>
                <w:sz w:val="20"/>
                <w:szCs w:val="20"/>
                <w:highlight w:val="none"/>
              </w:rPr>
            </w:pPr>
            <w:r>
              <w:rPr>
                <w:rFonts w:hint="eastAsia" w:ascii="黑体" w:hAnsi="宋体" w:eastAsia="黑体" w:cs="黑体"/>
                <w:color w:val="auto"/>
                <w:kern w:val="0"/>
                <w:sz w:val="20"/>
                <w:szCs w:val="20"/>
                <w:highlight w:val="none"/>
              </w:rPr>
              <w:t>实现情况</w:t>
            </w:r>
          </w:p>
        </w:tc>
        <w:tc>
          <w:tcPr>
            <w:tcW w:w="7692" w:type="dxa"/>
            <w:gridSpan w:val="1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ascii="仿宋_GB2312" w:hAnsi="宋体" w:eastAsia="仿宋_GB2312" w:cs="仿宋_GB2312"/>
                <w:color w:val="auto"/>
                <w:sz w:val="20"/>
                <w:szCs w:val="20"/>
              </w:rPr>
            </w:pPr>
            <w:r>
              <w:rPr>
                <w:rFonts w:hint="eastAsia" w:ascii="仿宋_GB2312" w:hAnsi="宋体" w:eastAsia="仿宋_GB2312" w:cs="仿宋_GB2312"/>
                <w:color w:val="auto"/>
                <w:sz w:val="20"/>
                <w:szCs w:val="20"/>
              </w:rPr>
              <w:t>截止到12月31日,该项目到位资金195.3万元 ，资金执行195.3万元，按照500元/亩的标准发放了3906亩地整治补助，解决了部分农田低效低产，为农业生产发展打下了基础。</w:t>
            </w:r>
          </w:p>
        </w:tc>
      </w:tr>
      <w:tr>
        <w:tblPrEx>
          <w:tblCellMar>
            <w:top w:w="15" w:type="dxa"/>
            <w:left w:w="15" w:type="dxa"/>
            <w:bottom w:w="15" w:type="dxa"/>
            <w:right w:w="15" w:type="dxa"/>
          </w:tblCellMar>
        </w:tblPrEx>
        <w:trPr>
          <w:trHeight w:val="540" w:hRule="atLeast"/>
        </w:trPr>
        <w:tc>
          <w:tcPr>
            <w:tcW w:w="1291"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highlight w:val="none"/>
              </w:rPr>
            </w:pPr>
            <w:r>
              <w:rPr>
                <w:rFonts w:hint="eastAsia" w:ascii="黑体" w:hAnsi="宋体" w:eastAsia="黑体" w:cs="黑体"/>
                <w:color w:val="auto"/>
                <w:kern w:val="0"/>
                <w:sz w:val="20"/>
                <w:szCs w:val="20"/>
                <w:highlight w:val="none"/>
              </w:rPr>
              <w:t>评价问题</w:t>
            </w:r>
          </w:p>
          <w:p>
            <w:pPr>
              <w:widowControl/>
              <w:spacing w:line="240" w:lineRule="exact"/>
              <w:jc w:val="center"/>
              <w:textAlignment w:val="center"/>
              <w:rPr>
                <w:rFonts w:ascii="黑体" w:hAnsi="宋体" w:eastAsia="黑体" w:cs="黑体"/>
                <w:color w:val="auto"/>
                <w:sz w:val="20"/>
                <w:szCs w:val="20"/>
                <w:highlight w:val="none"/>
              </w:rPr>
            </w:pPr>
            <w:r>
              <w:rPr>
                <w:rFonts w:hint="eastAsia" w:ascii="黑体" w:hAnsi="宋体" w:eastAsia="黑体" w:cs="黑体"/>
                <w:color w:val="auto"/>
                <w:kern w:val="0"/>
                <w:sz w:val="20"/>
                <w:szCs w:val="20"/>
                <w:highlight w:val="none"/>
              </w:rPr>
              <w:t>简要情况</w:t>
            </w:r>
          </w:p>
        </w:tc>
        <w:tc>
          <w:tcPr>
            <w:tcW w:w="7692" w:type="dxa"/>
            <w:gridSpan w:val="12"/>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exact"/>
              <w:jc w:val="left"/>
              <w:textAlignment w:val="center"/>
              <w:rPr>
                <w:rFonts w:hint="eastAsia" w:ascii="仿宋_GB2312" w:hAnsi="宋体" w:eastAsia="仿宋_GB2312" w:cs="仿宋_GB2312"/>
                <w:color w:val="auto"/>
                <w:sz w:val="20"/>
                <w:szCs w:val="20"/>
                <w:lang w:val="en-US" w:eastAsia="zh-CN"/>
              </w:rPr>
            </w:pPr>
            <w:r>
              <w:rPr>
                <w:rFonts w:hint="eastAsia" w:ascii="仿宋_GB2312" w:hAnsi="宋体" w:eastAsia="仿宋_GB2312" w:cs="仿宋_GB2312"/>
                <w:color w:val="auto"/>
                <w:sz w:val="20"/>
                <w:szCs w:val="20"/>
                <w:lang w:val="en-US" w:eastAsia="zh-CN"/>
              </w:rPr>
              <w:t>1.项目相关资料不完整不规范，如：项目验收报告基本信息不完整，乡政府相关人员无签字盖章，竣工日期未填写，无最终验收资料。</w:t>
            </w:r>
          </w:p>
          <w:p>
            <w:pPr>
              <w:widowControl/>
              <w:spacing w:line="240" w:lineRule="exact"/>
              <w:jc w:val="left"/>
              <w:textAlignment w:val="center"/>
              <w:rPr>
                <w:rFonts w:hint="eastAsia" w:ascii="仿宋_GB2312" w:hAnsi="宋体" w:eastAsia="仿宋_GB2312" w:cs="仿宋_GB2312"/>
                <w:color w:val="auto"/>
                <w:sz w:val="20"/>
                <w:szCs w:val="20"/>
                <w:highlight w:val="yellow"/>
                <w:lang w:eastAsia="zh-CN"/>
              </w:rPr>
            </w:pPr>
            <w:r>
              <w:rPr>
                <w:rFonts w:hint="eastAsia" w:ascii="仿宋_GB2312" w:hAnsi="宋体" w:eastAsia="仿宋_GB2312" w:cs="仿宋_GB2312"/>
                <w:color w:val="auto"/>
                <w:sz w:val="20"/>
                <w:szCs w:val="20"/>
                <w:lang w:val="en-US" w:eastAsia="zh-CN"/>
              </w:rPr>
              <w:t>2.项目管理工作存在欠缺，如：塔吾尕孜村等部分村项目完工时间已超出合同约定时间。</w:t>
            </w:r>
          </w:p>
        </w:tc>
      </w:tr>
      <w:tr>
        <w:tblPrEx>
          <w:tblCellMar>
            <w:top w:w="15" w:type="dxa"/>
            <w:left w:w="15" w:type="dxa"/>
            <w:bottom w:w="15" w:type="dxa"/>
            <w:right w:w="15" w:type="dxa"/>
          </w:tblCellMar>
        </w:tblPrEx>
        <w:trPr>
          <w:trHeight w:val="512" w:hRule="atLeast"/>
        </w:trPr>
        <w:tc>
          <w:tcPr>
            <w:tcW w:w="1291"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评价问题</w:t>
            </w:r>
          </w:p>
          <w:p>
            <w:pPr>
              <w:widowControl/>
              <w:spacing w:line="240" w:lineRule="exact"/>
              <w:jc w:val="center"/>
              <w:textAlignment w:val="center"/>
              <w:rPr>
                <w:rFonts w:ascii="黑体" w:hAnsi="宋体" w:eastAsia="黑体" w:cs="黑体"/>
                <w:color w:val="auto"/>
                <w:kern w:val="0"/>
                <w:sz w:val="20"/>
                <w:szCs w:val="20"/>
              </w:rPr>
            </w:pPr>
            <w:r>
              <w:rPr>
                <w:rFonts w:hint="eastAsia" w:ascii="黑体" w:hAnsi="宋体" w:eastAsia="黑体" w:cs="黑体"/>
                <w:color w:val="auto"/>
                <w:kern w:val="0"/>
                <w:sz w:val="20"/>
                <w:szCs w:val="20"/>
              </w:rPr>
              <w:t>简要建议</w:t>
            </w:r>
          </w:p>
        </w:tc>
        <w:tc>
          <w:tcPr>
            <w:tcW w:w="7692" w:type="dxa"/>
            <w:gridSpan w:val="1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left"/>
              <w:textAlignment w:val="center"/>
              <w:rPr>
                <w:rFonts w:hint="eastAsia" w:ascii="仿宋_GB2312" w:hAnsi="宋体" w:eastAsia="仿宋_GB2312" w:cs="仿宋_GB2312"/>
                <w:color w:val="auto"/>
                <w:sz w:val="20"/>
                <w:szCs w:val="20"/>
                <w:lang w:val="en-US" w:eastAsia="zh-CN"/>
              </w:rPr>
            </w:pPr>
            <w:r>
              <w:rPr>
                <w:rFonts w:hint="eastAsia" w:ascii="仿宋_GB2312" w:hAnsi="宋体" w:eastAsia="仿宋_GB2312" w:cs="仿宋_GB2312"/>
                <w:color w:val="auto"/>
                <w:sz w:val="20"/>
                <w:szCs w:val="20"/>
                <w:lang w:val="en-US" w:eastAsia="zh-CN"/>
              </w:rPr>
              <w:t>1.对缺失的相关资料进行补充完善，确保单位项目资料保存完整，齐全，加强后年度项目资料档案管理工作。</w:t>
            </w:r>
          </w:p>
          <w:p>
            <w:pPr>
              <w:widowControl/>
              <w:spacing w:line="240" w:lineRule="exact"/>
              <w:jc w:val="left"/>
              <w:textAlignment w:val="center"/>
              <w:rPr>
                <w:rFonts w:hint="eastAsia" w:ascii="仿宋_GB2312" w:hAnsi="宋体" w:eastAsia="仿宋_GB2312" w:cs="仿宋_GB2312"/>
                <w:color w:val="auto"/>
                <w:sz w:val="20"/>
                <w:szCs w:val="20"/>
                <w:lang w:eastAsia="zh-CN"/>
              </w:rPr>
            </w:pPr>
            <w:r>
              <w:rPr>
                <w:rFonts w:hint="eastAsia" w:ascii="仿宋_GB2312" w:hAnsi="宋体" w:eastAsia="仿宋_GB2312" w:cs="仿宋_GB2312"/>
                <w:color w:val="auto"/>
                <w:sz w:val="20"/>
                <w:szCs w:val="20"/>
                <w:lang w:val="en-US" w:eastAsia="zh-CN"/>
              </w:rPr>
              <w:t>2.以此问题作为教训，在后年度项目实施过程中严格遵循相关项目管理办法，确保项目保质保期完成，确保财政资金使用效益。</w:t>
            </w:r>
          </w:p>
        </w:tc>
      </w:tr>
      <w:tr>
        <w:tblPrEx>
          <w:tblCellMar>
            <w:top w:w="15" w:type="dxa"/>
            <w:left w:w="15" w:type="dxa"/>
            <w:bottom w:w="15" w:type="dxa"/>
            <w:right w:w="15" w:type="dxa"/>
          </w:tblCellMar>
        </w:tblPrEx>
        <w:trPr>
          <w:trHeight w:val="962" w:hRule="atLeast"/>
        </w:trPr>
        <w:tc>
          <w:tcPr>
            <w:tcW w:w="1291" w:type="dxa"/>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sz w:val="20"/>
                <w:szCs w:val="20"/>
              </w:rPr>
              <w:t>评价结果</w:t>
            </w:r>
          </w:p>
          <w:p>
            <w:pPr>
              <w:widowControl/>
              <w:spacing w:line="240" w:lineRule="exact"/>
              <w:jc w:val="center"/>
              <w:textAlignment w:val="center"/>
              <w:rPr>
                <w:rFonts w:ascii="黑体" w:hAnsi="宋体" w:eastAsia="黑体" w:cs="黑体"/>
                <w:color w:val="auto"/>
                <w:sz w:val="20"/>
                <w:szCs w:val="20"/>
              </w:rPr>
            </w:pPr>
            <w:r>
              <w:rPr>
                <w:rFonts w:hint="eastAsia" w:ascii="黑体" w:hAnsi="宋体" w:eastAsia="黑体" w:cs="黑体"/>
                <w:color w:val="auto"/>
                <w:sz w:val="20"/>
                <w:szCs w:val="20"/>
              </w:rPr>
              <w:t>应用建议</w:t>
            </w:r>
          </w:p>
        </w:tc>
        <w:tc>
          <w:tcPr>
            <w:tcW w:w="7692" w:type="dxa"/>
            <w:gridSpan w:val="1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ascii="仿宋_GB2312" w:hAnsi="宋体" w:eastAsia="仿宋_GB2312" w:cs="仿宋_GB2312"/>
                <w:color w:val="auto"/>
                <w:sz w:val="20"/>
                <w:szCs w:val="20"/>
                <w:highlight w:val="none"/>
              </w:rPr>
            </w:pPr>
            <w:r>
              <w:rPr>
                <w:rFonts w:hint="eastAsia" w:ascii="仿宋_GB2312" w:hAnsi="宋体" w:eastAsia="仿宋_GB2312" w:cs="仿宋_GB2312"/>
                <w:color w:val="auto"/>
                <w:sz w:val="20"/>
                <w:szCs w:val="20"/>
                <w:highlight w:val="none"/>
              </w:rPr>
              <w:t>1.建议将此次绩效评价过程中发现的问题进行及时整改；</w:t>
            </w:r>
          </w:p>
          <w:p>
            <w:pPr>
              <w:widowControl/>
              <w:spacing w:line="240" w:lineRule="exact"/>
              <w:jc w:val="left"/>
              <w:textAlignment w:val="center"/>
              <w:rPr>
                <w:rFonts w:ascii="仿宋_GB2312" w:hAnsi="宋体" w:eastAsia="仿宋_GB2312" w:cs="仿宋_GB2312"/>
                <w:color w:val="auto"/>
                <w:sz w:val="20"/>
                <w:szCs w:val="20"/>
                <w:highlight w:val="none"/>
              </w:rPr>
            </w:pPr>
            <w:r>
              <w:rPr>
                <w:rFonts w:hint="eastAsia" w:ascii="仿宋_GB2312" w:hAnsi="宋体" w:eastAsia="仿宋_GB2312" w:cs="仿宋_GB2312"/>
                <w:color w:val="auto"/>
                <w:sz w:val="20"/>
                <w:szCs w:val="20"/>
                <w:highlight w:val="none"/>
              </w:rPr>
              <w:t>2.建议加大对绩效评价结果的应用，此次绩效评价结果，可作为202</w:t>
            </w:r>
            <w:r>
              <w:rPr>
                <w:rFonts w:hint="eastAsia" w:ascii="仿宋_GB2312" w:hAnsi="宋体" w:eastAsia="仿宋_GB2312" w:cs="仿宋_GB2312"/>
                <w:color w:val="auto"/>
                <w:sz w:val="20"/>
                <w:szCs w:val="20"/>
                <w:highlight w:val="none"/>
                <w:lang w:val="en-US" w:eastAsia="zh-CN"/>
              </w:rPr>
              <w:t>2</w:t>
            </w:r>
            <w:r>
              <w:rPr>
                <w:rFonts w:hint="eastAsia" w:ascii="仿宋_GB2312" w:hAnsi="宋体" w:eastAsia="仿宋_GB2312" w:cs="仿宋_GB2312"/>
                <w:color w:val="auto"/>
                <w:sz w:val="20"/>
                <w:szCs w:val="20"/>
                <w:highlight w:val="none"/>
              </w:rPr>
              <w:t>年各部门（单位）改进管理、调整财政支出方向、预算编制和安排财政资金的重要依据；</w:t>
            </w:r>
          </w:p>
          <w:p>
            <w:pPr>
              <w:widowControl/>
              <w:spacing w:line="240" w:lineRule="exact"/>
              <w:jc w:val="left"/>
              <w:textAlignment w:val="center"/>
              <w:rPr>
                <w:rFonts w:ascii="仿宋_GB2312" w:hAnsi="宋体" w:eastAsia="仿宋_GB2312" w:cs="仿宋_GB2312"/>
                <w:color w:val="auto"/>
                <w:sz w:val="20"/>
                <w:szCs w:val="20"/>
              </w:rPr>
            </w:pPr>
            <w:r>
              <w:rPr>
                <w:rFonts w:hint="eastAsia" w:ascii="仿宋_GB2312" w:hAnsi="宋体" w:eastAsia="仿宋_GB2312" w:cs="仿宋_GB2312"/>
                <w:color w:val="auto"/>
                <w:sz w:val="20"/>
                <w:szCs w:val="20"/>
                <w:highlight w:val="none"/>
              </w:rPr>
              <w:t>3.建议建立绩效评价结果应用制度，将</w:t>
            </w:r>
            <w:r>
              <w:rPr>
                <w:rFonts w:hint="eastAsia" w:ascii="仿宋_GB2312" w:hAnsi="宋体" w:eastAsia="仿宋_GB2312" w:cs="仿宋_GB2312"/>
                <w:color w:val="auto"/>
                <w:sz w:val="20"/>
                <w:szCs w:val="20"/>
                <w:highlight w:val="none"/>
                <w:lang w:eastAsia="zh-CN"/>
              </w:rPr>
              <w:t>202</w:t>
            </w:r>
            <w:r>
              <w:rPr>
                <w:rFonts w:hint="eastAsia" w:ascii="仿宋_GB2312" w:hAnsi="宋体" w:eastAsia="仿宋_GB2312" w:cs="仿宋_GB2312"/>
                <w:color w:val="auto"/>
                <w:sz w:val="20"/>
                <w:szCs w:val="20"/>
                <w:highlight w:val="none"/>
                <w:lang w:val="en-US" w:eastAsia="zh-CN"/>
              </w:rPr>
              <w:t>1</w:t>
            </w:r>
            <w:r>
              <w:rPr>
                <w:rFonts w:hint="eastAsia" w:ascii="仿宋_GB2312" w:hAnsi="宋体" w:eastAsia="仿宋_GB2312" w:cs="仿宋_GB2312"/>
                <w:color w:val="auto"/>
                <w:sz w:val="20"/>
                <w:szCs w:val="20"/>
                <w:highlight w:val="none"/>
              </w:rPr>
              <w:t>年绩效评价结果进行公示、公开。</w:t>
            </w:r>
          </w:p>
        </w:tc>
      </w:tr>
      <w:tr>
        <w:tblPrEx>
          <w:tblCellMar>
            <w:top w:w="15" w:type="dxa"/>
            <w:left w:w="15" w:type="dxa"/>
            <w:bottom w:w="15" w:type="dxa"/>
            <w:right w:w="15" w:type="dxa"/>
          </w:tblCellMar>
        </w:tblPrEx>
        <w:trPr>
          <w:trHeight w:val="424" w:hRule="atLeast"/>
        </w:trPr>
        <w:tc>
          <w:tcPr>
            <w:tcW w:w="2245"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auto"/>
                <w:sz w:val="20"/>
                <w:szCs w:val="20"/>
                <w:highlight w:val="none"/>
              </w:rPr>
            </w:pPr>
            <w:r>
              <w:rPr>
                <w:rFonts w:hint="eastAsia" w:ascii="黑体" w:hAnsi="黑体" w:eastAsia="黑体" w:cs="仿宋_GB2312"/>
                <w:color w:val="auto"/>
                <w:sz w:val="20"/>
                <w:szCs w:val="20"/>
                <w:highlight w:val="none"/>
              </w:rPr>
              <w:t>评价时间</w:t>
            </w:r>
          </w:p>
        </w:tc>
        <w:tc>
          <w:tcPr>
            <w:tcW w:w="2246" w:type="dxa"/>
            <w:gridSpan w:val="5"/>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ascii="仿宋_GB2312" w:hAnsi="宋体" w:eastAsia="仿宋_GB2312" w:cs="仿宋_GB2312"/>
                <w:color w:val="auto"/>
                <w:sz w:val="20"/>
                <w:szCs w:val="20"/>
                <w:highlight w:val="none"/>
              </w:rPr>
            </w:pPr>
            <w:r>
              <w:rPr>
                <w:rFonts w:hint="eastAsia" w:ascii="仿宋_GB2312" w:hAnsi="宋体" w:eastAsia="仿宋_GB2312" w:cs="仿宋_GB2312"/>
                <w:color w:val="auto"/>
                <w:sz w:val="20"/>
                <w:szCs w:val="20"/>
                <w:highlight w:val="none"/>
                <w:lang w:eastAsia="zh-CN"/>
              </w:rPr>
              <w:t>202</w:t>
            </w:r>
            <w:r>
              <w:rPr>
                <w:rFonts w:hint="eastAsia" w:ascii="仿宋_GB2312" w:hAnsi="宋体" w:eastAsia="仿宋_GB2312" w:cs="仿宋_GB2312"/>
                <w:color w:val="auto"/>
                <w:sz w:val="20"/>
                <w:szCs w:val="20"/>
                <w:highlight w:val="none"/>
                <w:lang w:val="en-US" w:eastAsia="zh-CN"/>
              </w:rPr>
              <w:t>1</w:t>
            </w:r>
            <w:r>
              <w:rPr>
                <w:rFonts w:hint="eastAsia" w:ascii="仿宋_GB2312" w:hAnsi="宋体" w:eastAsia="仿宋_GB2312" w:cs="仿宋_GB2312"/>
                <w:color w:val="auto"/>
                <w:sz w:val="20"/>
                <w:szCs w:val="20"/>
                <w:highlight w:val="none"/>
              </w:rPr>
              <w:t>年</w:t>
            </w:r>
            <w:r>
              <w:rPr>
                <w:rFonts w:hint="eastAsia" w:ascii="仿宋_GB2312" w:hAnsi="宋体" w:eastAsia="仿宋_GB2312" w:cs="仿宋_GB2312"/>
                <w:color w:val="auto"/>
                <w:sz w:val="20"/>
                <w:szCs w:val="20"/>
                <w:highlight w:val="none"/>
                <w:lang w:val="en-US" w:eastAsia="zh-CN"/>
              </w:rPr>
              <w:t>1</w:t>
            </w:r>
            <w:r>
              <w:rPr>
                <w:rFonts w:hint="eastAsia" w:ascii="仿宋_GB2312" w:hAnsi="宋体" w:eastAsia="仿宋_GB2312" w:cs="仿宋_GB2312"/>
                <w:color w:val="auto"/>
                <w:sz w:val="20"/>
                <w:szCs w:val="20"/>
                <w:highlight w:val="none"/>
              </w:rPr>
              <w:t>月</w:t>
            </w:r>
            <w:r>
              <w:rPr>
                <w:rFonts w:hint="eastAsia" w:ascii="仿宋_GB2312" w:hAnsi="宋体" w:eastAsia="仿宋_GB2312" w:cs="仿宋_GB2312"/>
                <w:color w:val="auto"/>
                <w:sz w:val="20"/>
                <w:szCs w:val="20"/>
                <w:highlight w:val="none"/>
                <w:lang w:val="en-US" w:eastAsia="zh-CN"/>
              </w:rPr>
              <w:t>1</w:t>
            </w:r>
            <w:r>
              <w:rPr>
                <w:rFonts w:hint="eastAsia" w:ascii="仿宋_GB2312" w:hAnsi="宋体" w:eastAsia="仿宋_GB2312" w:cs="仿宋_GB2312"/>
                <w:color w:val="auto"/>
                <w:sz w:val="20"/>
                <w:szCs w:val="20"/>
                <w:highlight w:val="none"/>
              </w:rPr>
              <w:t>日至</w:t>
            </w:r>
            <w:r>
              <w:rPr>
                <w:rFonts w:hint="eastAsia" w:ascii="仿宋_GB2312" w:hAnsi="宋体" w:eastAsia="仿宋_GB2312" w:cs="仿宋_GB2312"/>
                <w:color w:val="auto"/>
                <w:sz w:val="20"/>
                <w:szCs w:val="20"/>
                <w:highlight w:val="none"/>
                <w:lang w:eastAsia="zh-CN"/>
              </w:rPr>
              <w:t>202</w:t>
            </w:r>
            <w:r>
              <w:rPr>
                <w:rFonts w:hint="eastAsia" w:ascii="仿宋_GB2312" w:hAnsi="宋体" w:eastAsia="仿宋_GB2312" w:cs="仿宋_GB2312"/>
                <w:color w:val="auto"/>
                <w:sz w:val="20"/>
                <w:szCs w:val="20"/>
                <w:highlight w:val="none"/>
                <w:lang w:val="en-US" w:eastAsia="zh-CN"/>
              </w:rPr>
              <w:t>2</w:t>
            </w:r>
            <w:r>
              <w:rPr>
                <w:rFonts w:hint="eastAsia" w:ascii="仿宋_GB2312" w:hAnsi="宋体" w:eastAsia="仿宋_GB2312" w:cs="仿宋_GB2312"/>
                <w:color w:val="auto"/>
                <w:sz w:val="20"/>
                <w:szCs w:val="20"/>
                <w:highlight w:val="none"/>
              </w:rPr>
              <w:t>年</w:t>
            </w:r>
            <w:r>
              <w:rPr>
                <w:rFonts w:hint="eastAsia" w:ascii="仿宋_GB2312" w:hAnsi="宋体" w:eastAsia="仿宋_GB2312" w:cs="仿宋_GB2312"/>
                <w:color w:val="auto"/>
                <w:sz w:val="20"/>
                <w:szCs w:val="20"/>
                <w:highlight w:val="none"/>
                <w:lang w:val="en-US" w:eastAsia="zh-CN"/>
              </w:rPr>
              <w:t>06</w:t>
            </w:r>
            <w:r>
              <w:rPr>
                <w:rFonts w:hint="eastAsia" w:ascii="仿宋_GB2312" w:hAnsi="宋体" w:eastAsia="仿宋_GB2312" w:cs="仿宋_GB2312"/>
                <w:color w:val="auto"/>
                <w:sz w:val="20"/>
                <w:szCs w:val="20"/>
                <w:highlight w:val="none"/>
              </w:rPr>
              <w:t>月</w:t>
            </w:r>
            <w:r>
              <w:rPr>
                <w:rFonts w:hint="eastAsia" w:ascii="仿宋_GB2312" w:hAnsi="宋体" w:eastAsia="仿宋_GB2312" w:cs="仿宋_GB2312"/>
                <w:color w:val="auto"/>
                <w:sz w:val="20"/>
                <w:szCs w:val="20"/>
                <w:highlight w:val="none"/>
                <w:lang w:val="en-US" w:eastAsia="zh-CN"/>
              </w:rPr>
              <w:t>30</w:t>
            </w:r>
            <w:r>
              <w:rPr>
                <w:rFonts w:hint="eastAsia" w:ascii="仿宋_GB2312" w:hAnsi="宋体" w:eastAsia="仿宋_GB2312" w:cs="仿宋_GB2312"/>
                <w:color w:val="auto"/>
                <w:sz w:val="20"/>
                <w:szCs w:val="20"/>
                <w:highlight w:val="none"/>
              </w:rPr>
              <w:t>日</w:t>
            </w:r>
          </w:p>
        </w:tc>
        <w:tc>
          <w:tcPr>
            <w:tcW w:w="2246" w:type="dxa"/>
            <w:gridSpan w:val="4"/>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auto"/>
                <w:sz w:val="20"/>
                <w:szCs w:val="20"/>
              </w:rPr>
            </w:pPr>
            <w:r>
              <w:rPr>
                <w:rFonts w:hint="eastAsia" w:ascii="黑体" w:hAnsi="黑体" w:eastAsia="黑体" w:cs="仿宋_GB2312"/>
                <w:color w:val="auto"/>
                <w:sz w:val="20"/>
                <w:szCs w:val="20"/>
              </w:rPr>
              <w:t>评价机构报告编号</w:t>
            </w:r>
          </w:p>
        </w:tc>
        <w:tc>
          <w:tcPr>
            <w:tcW w:w="2246"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eastAsia" w:ascii="黑体" w:hAnsi="黑体" w:eastAsia="黑体" w:cs="仿宋_GB2312"/>
                <w:color w:val="auto"/>
                <w:sz w:val="20"/>
                <w:szCs w:val="20"/>
              </w:rPr>
            </w:pPr>
            <w:r>
              <w:rPr>
                <w:rFonts w:hint="eastAsia" w:ascii="黑体" w:hAnsi="黑体" w:eastAsia="黑体" w:cs="仿宋_GB2312"/>
                <w:color w:val="auto"/>
                <w:sz w:val="20"/>
                <w:szCs w:val="20"/>
              </w:rPr>
              <w:t>中瑞诚喀绩评字[202</w:t>
            </w:r>
            <w:r>
              <w:rPr>
                <w:rFonts w:hint="eastAsia" w:ascii="黑体" w:hAnsi="黑体" w:eastAsia="黑体" w:cs="仿宋_GB2312"/>
                <w:color w:val="auto"/>
                <w:sz w:val="20"/>
                <w:szCs w:val="20"/>
                <w:lang w:val="en-US" w:eastAsia="zh-CN"/>
              </w:rPr>
              <w:t>2</w:t>
            </w:r>
            <w:r>
              <w:rPr>
                <w:rFonts w:hint="eastAsia" w:ascii="黑体" w:hAnsi="黑体" w:eastAsia="黑体" w:cs="仿宋_GB2312"/>
                <w:color w:val="auto"/>
                <w:sz w:val="20"/>
                <w:szCs w:val="20"/>
              </w:rPr>
              <w:t>]</w:t>
            </w:r>
            <w:r>
              <w:rPr>
                <w:rFonts w:hint="eastAsia" w:ascii="黑体" w:hAnsi="黑体" w:eastAsia="黑体" w:cs="仿宋_GB2312"/>
                <w:color w:val="auto"/>
                <w:sz w:val="20"/>
                <w:szCs w:val="20"/>
                <w:lang w:val="en-US" w:eastAsia="zh-CN"/>
              </w:rPr>
              <w:t>141</w:t>
            </w:r>
            <w:r>
              <w:rPr>
                <w:rFonts w:hint="eastAsia" w:ascii="黑体" w:hAnsi="黑体" w:eastAsia="黑体" w:cs="仿宋_GB2312"/>
                <w:color w:val="auto"/>
                <w:sz w:val="20"/>
                <w:szCs w:val="20"/>
              </w:rPr>
              <w:t>号</w:t>
            </w:r>
          </w:p>
        </w:tc>
      </w:tr>
      <w:tr>
        <w:tblPrEx>
          <w:tblCellMar>
            <w:top w:w="15" w:type="dxa"/>
            <w:left w:w="15" w:type="dxa"/>
            <w:bottom w:w="15" w:type="dxa"/>
            <w:right w:w="15" w:type="dxa"/>
          </w:tblCellMar>
        </w:tblPrEx>
        <w:trPr>
          <w:trHeight w:val="955" w:hRule="atLeast"/>
        </w:trPr>
        <w:tc>
          <w:tcPr>
            <w:tcW w:w="2245"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auto"/>
                <w:sz w:val="20"/>
                <w:szCs w:val="20"/>
              </w:rPr>
            </w:pPr>
            <w:r>
              <w:rPr>
                <w:rFonts w:hint="eastAsia" w:ascii="黑体" w:hAnsi="黑体" w:eastAsia="黑体" w:cs="仿宋_GB2312"/>
                <w:color w:val="auto"/>
                <w:sz w:val="20"/>
                <w:szCs w:val="20"/>
              </w:rPr>
              <w:t>项目负责人（签字）</w:t>
            </w:r>
          </w:p>
          <w:p>
            <w:pPr>
              <w:widowControl/>
              <w:spacing w:line="240" w:lineRule="exact"/>
              <w:jc w:val="center"/>
              <w:textAlignment w:val="center"/>
              <w:rPr>
                <w:rFonts w:ascii="黑体" w:hAnsi="黑体" w:eastAsia="黑体" w:cs="仿宋_GB2312"/>
                <w:color w:val="auto"/>
                <w:sz w:val="20"/>
                <w:szCs w:val="20"/>
              </w:rPr>
            </w:pPr>
            <w:r>
              <w:rPr>
                <w:rFonts w:hint="eastAsia" w:ascii="黑体" w:hAnsi="黑体" w:eastAsia="黑体" w:cs="仿宋_GB2312"/>
                <w:color w:val="auto"/>
                <w:sz w:val="20"/>
                <w:szCs w:val="20"/>
              </w:rPr>
              <w:t>及联系方式</w:t>
            </w:r>
          </w:p>
        </w:tc>
        <w:tc>
          <w:tcPr>
            <w:tcW w:w="2246" w:type="dxa"/>
            <w:gridSpan w:val="5"/>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auto"/>
                <w:sz w:val="20"/>
                <w:szCs w:val="20"/>
                <w:lang w:val="en-US"/>
              </w:rPr>
            </w:pPr>
            <w:r>
              <w:rPr>
                <w:rFonts w:hint="eastAsia" w:ascii="仿宋_GB2312" w:hAnsi="宋体" w:eastAsia="仿宋_GB2312" w:cs="仿宋_GB2312"/>
                <w:color w:val="auto"/>
                <w:sz w:val="20"/>
                <w:szCs w:val="20"/>
                <w:highlight w:val="none"/>
                <w:lang w:val="en-US" w:eastAsia="zh-CN"/>
              </w:rPr>
              <w:t>古丽热依汉 13079918673</w:t>
            </w:r>
          </w:p>
        </w:tc>
        <w:tc>
          <w:tcPr>
            <w:tcW w:w="2246" w:type="dxa"/>
            <w:gridSpan w:val="4"/>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auto"/>
                <w:sz w:val="20"/>
                <w:szCs w:val="20"/>
              </w:rPr>
            </w:pPr>
            <w:r>
              <w:rPr>
                <w:rFonts w:hint="eastAsia" w:ascii="黑体" w:hAnsi="黑体" w:eastAsia="黑体" w:cs="仿宋_GB2312"/>
                <w:color w:val="auto"/>
                <w:sz w:val="20"/>
                <w:szCs w:val="20"/>
              </w:rPr>
              <w:t>法定代表人（签字）</w:t>
            </w:r>
          </w:p>
          <w:p>
            <w:pPr>
              <w:widowControl/>
              <w:spacing w:line="240" w:lineRule="exact"/>
              <w:jc w:val="center"/>
              <w:textAlignment w:val="center"/>
              <w:rPr>
                <w:rFonts w:ascii="黑体" w:hAnsi="黑体" w:eastAsia="黑体" w:cs="仿宋_GB2312"/>
                <w:color w:val="auto"/>
                <w:sz w:val="20"/>
                <w:szCs w:val="20"/>
              </w:rPr>
            </w:pPr>
            <w:r>
              <w:rPr>
                <w:rFonts w:hint="eastAsia" w:ascii="黑体" w:hAnsi="黑体" w:eastAsia="黑体" w:cs="仿宋_GB2312"/>
                <w:color w:val="auto"/>
                <w:sz w:val="20"/>
                <w:szCs w:val="20"/>
              </w:rPr>
              <w:t>及联系方式</w:t>
            </w:r>
          </w:p>
        </w:tc>
        <w:tc>
          <w:tcPr>
            <w:tcW w:w="2246"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auto"/>
                <w:sz w:val="20"/>
                <w:szCs w:val="20"/>
              </w:rPr>
            </w:pPr>
            <w:r>
              <w:rPr>
                <w:rFonts w:hint="eastAsia" w:ascii="仿宋_GB2312" w:hAnsi="宋体" w:eastAsia="仿宋_GB2312" w:cs="仿宋_GB2312"/>
                <w:color w:val="auto"/>
                <w:sz w:val="20"/>
                <w:szCs w:val="20"/>
                <w:lang w:val="en-US" w:eastAsia="zh-CN"/>
              </w:rPr>
              <w:t>叶金玲 13899129971</w:t>
            </w:r>
          </w:p>
        </w:tc>
      </w:tr>
    </w:tbl>
    <w:p>
      <w:pPr>
        <w:pStyle w:val="13"/>
        <w:tabs>
          <w:tab w:val="right" w:leader="dot" w:pos="8302"/>
        </w:tabs>
        <w:jc w:val="center"/>
        <w:rPr>
          <w:rFonts w:ascii="方正小标宋简体" w:hAnsi="黑体" w:eastAsia="方正小标宋简体" w:cs="宋体"/>
          <w:color w:val="auto"/>
          <w:sz w:val="44"/>
          <w:szCs w:val="44"/>
        </w:rPr>
      </w:pPr>
      <w:r>
        <w:rPr>
          <w:rFonts w:hint="eastAsia" w:ascii="方正小标宋简体" w:hAnsi="黑体" w:eastAsia="方正小标宋简体" w:cs="宋体"/>
          <w:color w:val="auto"/>
          <w:sz w:val="44"/>
          <w:szCs w:val="44"/>
        </w:rPr>
        <w:t>摘   要</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ascii="仿宋" w:hAnsi="仿宋" w:eastAsia="仿宋" w:cs="仿宋"/>
          <w:color w:val="auto"/>
          <w:sz w:val="32"/>
          <w:szCs w:val="32"/>
        </w:rPr>
      </w:pPr>
      <w:r>
        <w:rPr>
          <w:rFonts w:hint="eastAsia" w:ascii="仿宋_GB2312" w:hAnsi="仿宋_GB2312" w:eastAsia="仿宋_GB2312" w:cs="仿宋_GB2312"/>
          <w:color w:val="auto"/>
          <w:sz w:val="32"/>
          <w:szCs w:val="32"/>
          <w:highlight w:val="none"/>
        </w:rPr>
        <w:t>为规范和加强财政资金的管理，</w:t>
      </w:r>
      <w:r>
        <w:rPr>
          <w:rFonts w:hint="eastAsia" w:ascii="仿宋_GB2312" w:hAnsi="仿宋_GB2312" w:eastAsia="仿宋_GB2312" w:cs="仿宋_GB2312"/>
          <w:color w:val="auto"/>
          <w:sz w:val="32"/>
          <w:szCs w:val="32"/>
          <w:highlight w:val="none"/>
          <w:lang w:eastAsia="zh-CN"/>
        </w:rPr>
        <w:t>优化财政支出结构、</w:t>
      </w:r>
      <w:r>
        <w:rPr>
          <w:rFonts w:hint="eastAsia" w:ascii="仿宋_GB2312" w:hAnsi="仿宋_GB2312" w:eastAsia="仿宋_GB2312" w:cs="仿宋_GB2312"/>
          <w:color w:val="auto"/>
          <w:sz w:val="32"/>
          <w:szCs w:val="32"/>
          <w:highlight w:val="none"/>
        </w:rPr>
        <w:t>进一步发挥绩效管理工作对财政资金使用管理的导向和激励作用，提高资金使用效益</w:t>
      </w:r>
      <w:r>
        <w:rPr>
          <w:rFonts w:hint="eastAsia" w:ascii="仿宋_GB2312" w:hAnsi="仿宋_GB2312" w:eastAsia="仿宋_GB2312" w:cs="仿宋_GB2312"/>
          <w:color w:val="auto"/>
          <w:sz w:val="32"/>
          <w:szCs w:val="32"/>
          <w:highlight w:val="none"/>
          <w:lang w:eastAsia="zh-CN"/>
        </w:rPr>
        <w:t>，根据财政部《项目支出绩效评价管理办法》（财预〔2020〕10 号）</w:t>
      </w:r>
      <w:r>
        <w:rPr>
          <w:rFonts w:hint="eastAsia" w:ascii="仿宋_GB2312" w:hAnsi="仿宋_GB2312" w:eastAsia="仿宋_GB2312" w:cs="仿宋_GB2312"/>
          <w:color w:val="auto"/>
          <w:sz w:val="32"/>
          <w:szCs w:val="32"/>
          <w:highlight w:val="none"/>
          <w:lang w:val="en-US" w:eastAsia="zh-CN"/>
        </w:rPr>
        <w:t>及</w:t>
      </w:r>
      <w:r>
        <w:rPr>
          <w:rFonts w:hint="eastAsia" w:ascii="仿宋_GB2312" w:hAnsi="仿宋_GB2312" w:eastAsia="仿宋_GB2312" w:cs="仿宋_GB2312"/>
          <w:color w:val="auto"/>
          <w:sz w:val="32"/>
          <w:szCs w:val="32"/>
          <w:highlight w:val="none"/>
          <w:lang w:eastAsia="zh-CN"/>
        </w:rPr>
        <w:t>《自治区财政支出绩效评价管理暂行办法》（新财预〔2018〕189号）</w:t>
      </w:r>
      <w:r>
        <w:rPr>
          <w:rFonts w:hint="eastAsia" w:ascii="仿宋_GB2312" w:hAnsi="仿宋_GB2312" w:eastAsia="仿宋_GB2312" w:cs="仿宋_GB2312"/>
          <w:color w:val="auto"/>
          <w:spacing w:val="-5"/>
          <w:sz w:val="32"/>
          <w:szCs w:val="32"/>
          <w:highlight w:val="none"/>
        </w:rPr>
        <w:t>相关规定，</w:t>
      </w:r>
      <w:r>
        <w:rPr>
          <w:rFonts w:hint="eastAsia" w:ascii="仿宋_GB2312" w:hAnsi="宋体" w:eastAsia="仿宋_GB2312" w:cs="仿宋_GB2312"/>
          <w:color w:val="auto"/>
          <w:sz w:val="32"/>
          <w:szCs w:val="32"/>
          <w:highlight w:val="none"/>
          <w:lang w:val="en-US" w:eastAsia="zh-CN"/>
        </w:rPr>
        <w:t>受洛浦县财政局委托，中瑞诚会计师事务所（特殊普通合伙）喀什分所作为第三方评价机构于2021年01月01日至2022年06月30日对洛浦县多鲁乡人民政府管理的低效农田整治项目（以下简称“该项目”）开展了绩效评价，评价情况如下：</w:t>
      </w:r>
    </w:p>
    <w:p>
      <w:pPr>
        <w:numPr>
          <w:ilvl w:val="0"/>
          <w:numId w:val="3"/>
        </w:numPr>
        <w:adjustRightInd w:val="0"/>
        <w:snapToGrid w:val="0"/>
        <w:spacing w:line="560" w:lineRule="exact"/>
        <w:ind w:firstLine="640" w:firstLineChars="200"/>
        <w:jc w:val="left"/>
        <w:outlineLvl w:val="0"/>
        <w:rPr>
          <w:rFonts w:hint="eastAsia" w:ascii="黑体" w:hAnsi="黑体" w:eastAsia="黑体" w:cs="宋体"/>
          <w:color w:val="auto"/>
          <w:sz w:val="32"/>
          <w:szCs w:val="32"/>
        </w:rPr>
      </w:pPr>
      <w:bookmarkStart w:id="0" w:name="_Toc1784"/>
      <w:r>
        <w:rPr>
          <w:rFonts w:hint="eastAsia" w:ascii="黑体" w:hAnsi="黑体" w:eastAsia="黑体" w:cs="宋体"/>
          <w:color w:val="auto"/>
          <w:sz w:val="32"/>
          <w:szCs w:val="32"/>
        </w:rPr>
        <w:t>项目概述</w:t>
      </w:r>
      <w:bookmarkEnd w:id="0"/>
      <w:bookmarkStart w:id="1" w:name="_Toc4382"/>
    </w:p>
    <w:p>
      <w:pPr>
        <w:numPr>
          <w:ilvl w:val="0"/>
          <w:numId w:val="0"/>
        </w:numPr>
        <w:adjustRightInd w:val="0"/>
        <w:snapToGrid w:val="0"/>
        <w:spacing w:line="560" w:lineRule="exact"/>
        <w:ind w:firstLine="640" w:firstLineChars="200"/>
        <w:jc w:val="left"/>
        <w:outlineLvl w:val="0"/>
        <w:rPr>
          <w:rFonts w:hint="eastAsia" w:ascii="仿宋_GB2312" w:hAnsi="宋体" w:eastAsia="仿宋_GB2312" w:cs="仿宋_GB2312"/>
          <w:color w:val="auto"/>
          <w:sz w:val="32"/>
          <w:szCs w:val="32"/>
          <w:highlight w:val="none"/>
          <w:lang w:val="en-US" w:eastAsia="zh-CN"/>
        </w:rPr>
      </w:pPr>
      <w:r>
        <w:rPr>
          <w:rFonts w:hint="eastAsia" w:ascii="仿宋_GB2312" w:hAnsi="宋体" w:eastAsia="仿宋_GB2312" w:cs="仿宋_GB2312"/>
          <w:color w:val="auto"/>
          <w:sz w:val="32"/>
          <w:szCs w:val="32"/>
          <w:highlight w:val="none"/>
          <w:lang w:val="en-US" w:eastAsia="zh-CN"/>
        </w:rPr>
        <w:t>农业是新疆地区尤其是洛浦县人民经济的基础，而耕地资源的可持续利用是农业和农村可持续发展的基本条件。因此，低效农田整治是关系国民经济和社会可持续发展的全局性战略问题。“十分珍惜和合理利用每寸土地”是必须长期坚持的一项基本国策。为有效利用无效低效农田并增加农民户收入，洛浦县多鲁乡人民政府实施了低效农田整治项目。</w:t>
      </w:r>
    </w:p>
    <w:p>
      <w:pPr>
        <w:numPr>
          <w:ilvl w:val="0"/>
          <w:numId w:val="0"/>
        </w:numPr>
        <w:adjustRightInd w:val="0"/>
        <w:snapToGrid w:val="0"/>
        <w:spacing w:line="560" w:lineRule="exact"/>
        <w:ind w:firstLine="640" w:firstLineChars="200"/>
        <w:jc w:val="left"/>
        <w:outlineLvl w:val="0"/>
        <w:rPr>
          <w:rFonts w:hint="eastAsia" w:ascii="仿宋_GB2312" w:hAnsi="宋体" w:eastAsia="仿宋_GB2312" w:cs="仿宋_GB2312"/>
          <w:color w:val="auto"/>
          <w:sz w:val="32"/>
          <w:szCs w:val="32"/>
          <w:highlight w:val="none"/>
          <w:lang w:val="en-US" w:eastAsia="zh-CN"/>
        </w:rPr>
      </w:pPr>
      <w:r>
        <w:rPr>
          <w:rFonts w:hint="eastAsia" w:ascii="仿宋_GB2312" w:hAnsi="宋体" w:eastAsia="仿宋_GB2312" w:cs="仿宋_GB2312"/>
          <w:color w:val="auto"/>
          <w:sz w:val="32"/>
          <w:szCs w:val="32"/>
          <w:highlight w:val="none"/>
          <w:lang w:val="en-US" w:eastAsia="zh-CN"/>
        </w:rPr>
        <w:t xml:space="preserve">该项目主要是在洛浦县17个村开展低效农田整治工作，通过该项目实施，提高农业生产能力，解决部分农田低效低产。   </w:t>
      </w:r>
    </w:p>
    <w:p>
      <w:pPr>
        <w:numPr>
          <w:ilvl w:val="0"/>
          <w:numId w:val="0"/>
        </w:numPr>
        <w:adjustRightInd w:val="0"/>
        <w:snapToGrid w:val="0"/>
        <w:spacing w:line="560" w:lineRule="exact"/>
        <w:ind w:firstLine="640" w:firstLineChars="200"/>
        <w:jc w:val="left"/>
        <w:outlineLvl w:val="0"/>
        <w:rPr>
          <w:rFonts w:hint="eastAsia" w:ascii="黑体" w:hAnsi="黑体" w:eastAsia="黑体" w:cs="宋体"/>
          <w:color w:val="auto"/>
          <w:sz w:val="32"/>
          <w:szCs w:val="32"/>
          <w:highlight w:val="yellow"/>
          <w:lang w:eastAsia="zh-CN"/>
        </w:rPr>
      </w:pPr>
      <w:r>
        <w:rPr>
          <w:rFonts w:hint="eastAsia" w:ascii="黑体" w:hAnsi="黑体" w:eastAsia="黑体" w:cs="宋体"/>
          <w:color w:val="auto"/>
          <w:sz w:val="32"/>
          <w:szCs w:val="32"/>
        </w:rPr>
        <w:t>二、评价工作简述</w:t>
      </w:r>
      <w:bookmarkEnd w:id="1"/>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eastAsia="zh-CN"/>
        </w:rPr>
      </w:pPr>
      <w:bookmarkStart w:id="2" w:name="_Toc13087"/>
      <w:r>
        <w:rPr>
          <w:rFonts w:hint="eastAsia" w:ascii="仿宋_GB2312" w:hAnsi="仿宋_GB2312" w:eastAsia="仿宋_GB2312" w:cs="仿宋_GB2312"/>
          <w:color w:val="auto"/>
          <w:sz w:val="32"/>
          <w:szCs w:val="32"/>
          <w:highlight w:val="none"/>
        </w:rPr>
        <w:t>评价组自承接本项目后，立足于</w:t>
      </w:r>
      <w:r>
        <w:rPr>
          <w:rFonts w:hint="eastAsia" w:ascii="仿宋_GB2312" w:hAnsi="仿宋_GB2312" w:eastAsia="仿宋_GB2312" w:cs="仿宋_GB2312"/>
          <w:color w:val="auto"/>
          <w:sz w:val="32"/>
          <w:szCs w:val="32"/>
          <w:highlight w:val="none"/>
          <w:lang w:eastAsia="zh-CN"/>
        </w:rPr>
        <w:t>该</w:t>
      </w:r>
      <w:r>
        <w:rPr>
          <w:rFonts w:hint="eastAsia" w:ascii="仿宋_GB2312" w:hAnsi="仿宋_GB2312" w:eastAsia="仿宋_GB2312" w:cs="仿宋_GB2312"/>
          <w:color w:val="auto"/>
          <w:sz w:val="32"/>
          <w:szCs w:val="32"/>
          <w:highlight w:val="none"/>
        </w:rPr>
        <w:t>项目特点，本次评价关注重点：一是针对预算编制、资金执行的相关情况评价项目预算编制、财务核算是否到位</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二是评价</w:t>
      </w:r>
      <w:r>
        <w:rPr>
          <w:rFonts w:hint="eastAsia" w:ascii="仿宋_GB2312" w:hAnsi="仿宋_GB2312" w:eastAsia="仿宋_GB2312" w:cs="仿宋_GB2312"/>
          <w:color w:val="auto"/>
          <w:sz w:val="32"/>
          <w:szCs w:val="32"/>
          <w:highlight w:val="none"/>
          <w:lang w:eastAsia="zh-CN"/>
        </w:rPr>
        <w:t>项目实施</w:t>
      </w:r>
      <w:r>
        <w:rPr>
          <w:rFonts w:hint="eastAsia" w:ascii="仿宋_GB2312" w:hAnsi="仿宋_GB2312" w:eastAsia="仿宋_GB2312" w:cs="仿宋_GB2312"/>
          <w:color w:val="auto"/>
          <w:sz w:val="32"/>
          <w:szCs w:val="32"/>
          <w:highlight w:val="none"/>
        </w:rPr>
        <w:t>单位的管理制度、监管考核机制是否健全；三是评价项目是否按照目标执行，项目实施效果是否达到预期目标</w:t>
      </w:r>
      <w:r>
        <w:rPr>
          <w:rFonts w:hint="eastAsia" w:ascii="仿宋_GB2312" w:hAnsi="仿宋_GB2312" w:eastAsia="仿宋_GB2312" w:cs="仿宋_GB2312"/>
          <w:color w:val="auto"/>
          <w:sz w:val="32"/>
          <w:szCs w:val="32"/>
          <w:highlight w:val="none"/>
          <w:lang w:eastAsia="zh-CN"/>
        </w:rPr>
        <w:t>。</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hint="default"/>
          <w:color w:val="auto"/>
          <w:highlight w:val="yellow"/>
          <w:lang w:val="en-US" w:eastAsia="zh-CN"/>
        </w:rPr>
      </w:pPr>
      <w:r>
        <w:rPr>
          <w:rFonts w:hint="eastAsia" w:ascii="仿宋_GB2312" w:hAnsi="仿宋_GB2312" w:eastAsia="仿宋_GB2312" w:cs="仿宋_GB2312"/>
          <w:color w:val="auto"/>
          <w:sz w:val="32"/>
          <w:szCs w:val="32"/>
          <w:highlight w:val="none"/>
          <w:lang w:val="en-US" w:eastAsia="zh-CN"/>
        </w:rPr>
        <w:t>评价工作组通过前期调研，</w:t>
      </w:r>
      <w:r>
        <w:rPr>
          <w:rFonts w:hint="eastAsia" w:ascii="仿宋_GB2312" w:hAnsi="仿宋_GB2312" w:eastAsia="仿宋_GB2312" w:cs="仿宋_GB2312"/>
          <w:color w:val="auto"/>
          <w:sz w:val="32"/>
          <w:szCs w:val="32"/>
          <w:highlight w:val="none"/>
        </w:rPr>
        <w:t>了解项目管理流程及效果</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lang w:val="en-US" w:eastAsia="zh-CN"/>
        </w:rPr>
        <w:t>从项目决策、项目过程、项目产出和项目效益四个维度制定了工作方案，明确了评价的目的、方法、原则、指标、标准、社会调查方案等，重点对该项目的实施情况及效益进行了核实；评价工作组本着科学规范的绩效评价原则，运用成本效益分析法、比较分析法等方法，严格按照工作方案，经过数据采集、问卷调查、实地调研、数据分析和报告撰写等环节，完成了绩效评价工作。</w:t>
      </w:r>
    </w:p>
    <w:p>
      <w:pPr>
        <w:adjustRightInd w:val="0"/>
        <w:snapToGrid w:val="0"/>
        <w:spacing w:line="560" w:lineRule="exact"/>
        <w:ind w:firstLine="640" w:firstLineChars="200"/>
        <w:jc w:val="left"/>
        <w:outlineLvl w:val="0"/>
        <w:rPr>
          <w:rFonts w:hint="eastAsia" w:ascii="黑体" w:hAnsi="黑体" w:eastAsia="黑体" w:cs="宋体"/>
          <w:color w:val="auto"/>
          <w:sz w:val="32"/>
          <w:szCs w:val="32"/>
        </w:rPr>
      </w:pPr>
      <w:r>
        <w:rPr>
          <w:rFonts w:hint="eastAsia" w:ascii="黑体" w:hAnsi="黑体" w:eastAsia="黑体" w:cs="宋体"/>
          <w:color w:val="auto"/>
          <w:sz w:val="32"/>
          <w:szCs w:val="32"/>
        </w:rPr>
        <w:t>三、绩效评价分析</w:t>
      </w:r>
      <w:bookmarkEnd w:id="2"/>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bookmarkStart w:id="3" w:name="_Toc24046"/>
      <w:bookmarkStart w:id="4" w:name="_Toc4082"/>
      <w:r>
        <w:rPr>
          <w:rFonts w:hint="eastAsia" w:ascii="仿宋_GB2312" w:hAnsi="仿宋_GB2312" w:eastAsia="仿宋_GB2312" w:cs="仿宋_GB2312"/>
          <w:color w:val="auto"/>
          <w:sz w:val="32"/>
          <w:szCs w:val="32"/>
          <w:highlight w:val="none"/>
          <w:lang w:val="en-US" w:eastAsia="zh-CN"/>
        </w:rPr>
        <w:t>依据《自治区财政支出绩效评价管理暂行办法》（新财预〔2018〕189号）文件精神，评价工作组从绩效目标、绩效控制、产出及效果进行评价分析。绩效目标主要针对目标明确性、目标合理性和目标细化程度进行分析；绩效控制主要针对资金使用及管理情况、项目组织情况、项目管理情况进行分析；项目产出及效果主要针对项目的经济性、效率性和效益性进行分析。</w:t>
      </w:r>
    </w:p>
    <w:bookmarkEnd w:id="3"/>
    <w:p>
      <w:pPr>
        <w:adjustRightInd w:val="0"/>
        <w:snapToGrid w:val="0"/>
        <w:spacing w:line="560" w:lineRule="exact"/>
        <w:ind w:firstLine="640" w:firstLineChars="200"/>
        <w:jc w:val="left"/>
        <w:outlineLvl w:val="0"/>
        <w:rPr>
          <w:rFonts w:hint="eastAsia" w:ascii="黑体" w:hAnsi="黑体" w:eastAsia="黑体" w:cs="宋体"/>
          <w:color w:val="auto"/>
          <w:sz w:val="32"/>
          <w:szCs w:val="32"/>
          <w:highlight w:val="none"/>
        </w:rPr>
      </w:pPr>
      <w:r>
        <w:rPr>
          <w:rFonts w:hint="eastAsia" w:ascii="黑体" w:hAnsi="黑体" w:eastAsia="黑体" w:cs="宋体"/>
          <w:color w:val="auto"/>
          <w:sz w:val="32"/>
          <w:szCs w:val="32"/>
          <w:highlight w:val="none"/>
        </w:rPr>
        <w:t>四、评价结论</w:t>
      </w:r>
      <w:bookmarkEnd w:id="4"/>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经综合评价，项目得分为94.6分，其中：项目决策得分20分、项目过程得分19分；项目产出得分25.62分、项目效益得分30分，评价等级为优。</w:t>
      </w:r>
    </w:p>
    <w:p>
      <w:pPr>
        <w:ind w:firstLine="640" w:firstLineChars="200"/>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项目立项较规范，绩效目标合理绩效指标明确，项目管理制度较健全。该项目预算资金</w:t>
      </w:r>
      <w:r>
        <w:rPr>
          <w:rFonts w:hint="eastAsia" w:ascii="仿宋_GB2312" w:hAnsi="仿宋_GB2312" w:eastAsia="仿宋_GB2312" w:cs="仿宋_GB2312"/>
          <w:color w:val="auto"/>
          <w:kern w:val="0"/>
          <w:sz w:val="32"/>
          <w:szCs w:val="32"/>
          <w:highlight w:val="none"/>
          <w:lang w:val="en-US" w:eastAsia="zh-CN"/>
        </w:rPr>
        <w:t>195.30</w:t>
      </w:r>
      <w:r>
        <w:rPr>
          <w:rFonts w:hint="eastAsia" w:ascii="仿宋_GB2312" w:hAnsi="仿宋_GB2312" w:eastAsia="仿宋_GB2312" w:cs="仿宋_GB2312"/>
          <w:color w:val="auto"/>
          <w:sz w:val="32"/>
          <w:szCs w:val="32"/>
          <w:highlight w:val="none"/>
          <w:lang w:val="en-US" w:eastAsia="zh-CN"/>
        </w:rPr>
        <w:t>万元，实际支出195.30万元，预算资金执行率100%。通过文件研读、实地调研、数据分析等方式，全面了解该项目的使用效果，项目管理过程较规范；总的来看，该项目的实施，</w:t>
      </w:r>
      <w:r>
        <w:rPr>
          <w:rFonts w:hint="eastAsia" w:ascii="仿宋_GB2312" w:hAnsi="仿宋" w:eastAsia="仿宋_GB2312" w:cs="宋体"/>
          <w:b w:val="0"/>
          <w:bCs w:val="0"/>
          <w:color w:val="auto"/>
          <w:kern w:val="2"/>
          <w:sz w:val="32"/>
          <w:szCs w:val="32"/>
          <w:lang w:val="en-US" w:eastAsia="zh-CN" w:bidi="ar"/>
        </w:rPr>
        <w:t>解决了部分农田低效低产，为农业生产发展打下了基础</w:t>
      </w:r>
      <w:r>
        <w:rPr>
          <w:rFonts w:hint="eastAsia" w:ascii="仿宋_GB2312" w:hAnsi="仿宋_GB2312" w:eastAsia="仿宋_GB2312" w:cs="仿宋_GB2312"/>
          <w:color w:val="auto"/>
          <w:sz w:val="32"/>
          <w:szCs w:val="32"/>
          <w:highlight w:val="none"/>
          <w:lang w:val="en-US" w:eastAsia="zh-CN"/>
        </w:rPr>
        <w:t>。</w:t>
      </w:r>
    </w:p>
    <w:p>
      <w:pPr>
        <w:adjustRightInd w:val="0"/>
        <w:snapToGrid w:val="0"/>
        <w:spacing w:line="560" w:lineRule="exact"/>
        <w:ind w:firstLine="960" w:firstLineChars="300"/>
        <w:jc w:val="left"/>
        <w:outlineLvl w:val="0"/>
        <w:rPr>
          <w:rFonts w:hint="eastAsia" w:ascii="黑体" w:hAnsi="黑体" w:eastAsia="黑体" w:cs="宋体"/>
          <w:color w:val="auto"/>
          <w:sz w:val="32"/>
          <w:szCs w:val="32"/>
          <w:highlight w:val="none"/>
        </w:rPr>
      </w:pPr>
      <w:bookmarkStart w:id="5" w:name="_Toc25703"/>
      <w:r>
        <w:rPr>
          <w:rFonts w:hint="eastAsia" w:ascii="黑体" w:hAnsi="黑体" w:eastAsia="黑体" w:cs="宋体"/>
          <w:color w:val="auto"/>
          <w:sz w:val="32"/>
          <w:szCs w:val="32"/>
          <w:highlight w:val="none"/>
          <w:lang w:val="en-US" w:eastAsia="zh-CN"/>
        </w:rPr>
        <w:t>五、</w:t>
      </w:r>
      <w:r>
        <w:rPr>
          <w:rFonts w:hint="eastAsia" w:ascii="黑体" w:hAnsi="黑体" w:eastAsia="黑体" w:cs="宋体"/>
          <w:color w:val="auto"/>
          <w:sz w:val="32"/>
          <w:szCs w:val="32"/>
          <w:highlight w:val="none"/>
        </w:rPr>
        <w:t>问题</w:t>
      </w:r>
      <w:r>
        <w:rPr>
          <w:rFonts w:hint="eastAsia" w:ascii="黑体" w:hAnsi="黑体" w:eastAsia="黑体" w:cs="宋体"/>
          <w:color w:val="auto"/>
          <w:sz w:val="32"/>
          <w:szCs w:val="32"/>
          <w:highlight w:val="none"/>
          <w:lang w:val="en-US" w:eastAsia="zh-CN"/>
        </w:rPr>
        <w:t>及</w:t>
      </w:r>
      <w:r>
        <w:rPr>
          <w:rFonts w:hint="eastAsia" w:ascii="黑体" w:hAnsi="黑体" w:eastAsia="黑体" w:cs="宋体"/>
          <w:color w:val="auto"/>
          <w:sz w:val="32"/>
          <w:szCs w:val="32"/>
          <w:highlight w:val="none"/>
        </w:rPr>
        <w:t>建议</w:t>
      </w:r>
      <w:bookmarkEnd w:id="5"/>
    </w:p>
    <w:p>
      <w:pPr>
        <w:pStyle w:val="33"/>
        <w:adjustRightInd w:val="0"/>
        <w:snapToGrid w:val="0"/>
        <w:spacing w:line="560" w:lineRule="exact"/>
        <w:ind w:left="420" w:leftChars="200" w:firstLine="321" w:firstLineChars="100"/>
        <w:outlineLvl w:val="1"/>
        <w:rPr>
          <w:rFonts w:ascii="仿宋_GB2312" w:hAnsi="仿宋" w:eastAsia="仿宋_GB2312" w:cs="宋体"/>
          <w:b/>
          <w:bCs/>
          <w:color w:val="auto"/>
          <w:sz w:val="32"/>
          <w:szCs w:val="32"/>
        </w:rPr>
      </w:pPr>
      <w:bookmarkStart w:id="6" w:name="_Toc5400"/>
      <w:bookmarkStart w:id="7" w:name="_Toc19437"/>
      <w:bookmarkStart w:id="8" w:name="_Toc11063"/>
      <w:bookmarkStart w:id="9" w:name="_Toc22139"/>
      <w:bookmarkStart w:id="10" w:name="_Toc24350"/>
      <w:bookmarkStart w:id="11" w:name="_Toc6009"/>
      <w:r>
        <w:rPr>
          <w:rFonts w:hint="eastAsia" w:ascii="仿宋_GB2312" w:hAnsi="仿宋" w:eastAsia="仿宋_GB2312" w:cs="宋体"/>
          <w:b/>
          <w:bCs/>
          <w:color w:val="auto"/>
          <w:sz w:val="32"/>
          <w:szCs w:val="32"/>
        </w:rPr>
        <w:t>（一）问题</w:t>
      </w:r>
      <w:bookmarkEnd w:id="6"/>
      <w:bookmarkEnd w:id="7"/>
      <w:bookmarkEnd w:id="8"/>
      <w:bookmarkEnd w:id="9"/>
      <w:bookmarkEnd w:id="10"/>
      <w:bookmarkEnd w:id="11"/>
    </w:p>
    <w:p>
      <w:pPr>
        <w:keepNext w:val="0"/>
        <w:keepLines w:val="0"/>
        <w:pageBreakBefore w:val="0"/>
        <w:widowControl w:val="0"/>
        <w:kinsoku/>
        <w:wordWrap/>
        <w:overflowPunct/>
        <w:topLinePunct w:val="0"/>
        <w:autoSpaceDE/>
        <w:autoSpaceDN/>
        <w:bidi w:val="0"/>
        <w:adjustRightInd/>
        <w:snapToGrid/>
        <w:spacing w:line="560" w:lineRule="exact"/>
        <w:ind w:firstLine="624" w:firstLineChars="200"/>
        <w:textAlignment w:val="auto"/>
        <w:rPr>
          <w:rFonts w:hint="eastAsia" w:ascii="仿宋_GB2312" w:eastAsia="仿宋_GB2312" w:hAnsiTheme="minorHAnsi" w:cstheme="minorBidi"/>
          <w:color w:val="auto"/>
          <w:spacing w:val="-4"/>
          <w:kern w:val="2"/>
          <w:sz w:val="32"/>
          <w:szCs w:val="32"/>
          <w:lang w:val="en-US" w:eastAsia="zh-CN" w:bidi="ar-SA"/>
        </w:rPr>
      </w:pPr>
      <w:bookmarkStart w:id="12" w:name="_Toc25341"/>
      <w:bookmarkStart w:id="13" w:name="_Toc32170"/>
      <w:bookmarkStart w:id="14" w:name="_Toc21456"/>
      <w:bookmarkStart w:id="15" w:name="_Toc23428"/>
      <w:bookmarkStart w:id="16" w:name="_Toc13719"/>
      <w:bookmarkStart w:id="17" w:name="_Toc3933"/>
      <w:r>
        <w:rPr>
          <w:rFonts w:hint="eastAsia" w:ascii="仿宋_GB2312" w:eastAsia="仿宋_GB2312" w:hAnsiTheme="minorHAnsi" w:cstheme="minorBidi"/>
          <w:color w:val="auto"/>
          <w:spacing w:val="-4"/>
          <w:kern w:val="2"/>
          <w:sz w:val="32"/>
          <w:szCs w:val="32"/>
          <w:lang w:val="en-US" w:eastAsia="zh-CN" w:bidi="ar-SA"/>
        </w:rPr>
        <w:t>1.项目相关资料不完整不规范，如：项目验收报告基本信息不完整，乡政府相关人员无签字盖章，竣工日期未填写，无最终验收资料。</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24" w:firstLineChars="200"/>
        <w:textAlignment w:val="auto"/>
        <w:outlineLvl w:val="1"/>
        <w:rPr>
          <w:rFonts w:hint="eastAsia" w:ascii="仿宋_GB2312" w:eastAsia="仿宋_GB2312" w:hAnsiTheme="minorHAnsi" w:cstheme="minorBidi"/>
          <w:color w:val="auto"/>
          <w:spacing w:val="-4"/>
          <w:kern w:val="2"/>
          <w:sz w:val="32"/>
          <w:szCs w:val="32"/>
          <w:lang w:val="en-US" w:eastAsia="zh-CN" w:bidi="ar-SA"/>
        </w:rPr>
      </w:pPr>
      <w:r>
        <w:rPr>
          <w:rFonts w:hint="eastAsia" w:ascii="仿宋_GB2312" w:eastAsia="仿宋_GB2312" w:hAnsiTheme="minorHAnsi" w:cstheme="minorBidi"/>
          <w:color w:val="auto"/>
          <w:spacing w:val="-4"/>
          <w:kern w:val="2"/>
          <w:sz w:val="32"/>
          <w:szCs w:val="32"/>
          <w:lang w:val="en-US" w:eastAsia="zh-CN" w:bidi="ar-SA"/>
        </w:rPr>
        <w:t>2.项目管理工作存在欠缺，如：塔吾尕孜村等部分村项目完工时间已超出合同约定时间。</w:t>
      </w:r>
    </w:p>
    <w:p>
      <w:pPr>
        <w:pStyle w:val="33"/>
        <w:adjustRightInd w:val="0"/>
        <w:snapToGrid w:val="0"/>
        <w:spacing w:line="560" w:lineRule="exact"/>
        <w:ind w:left="420" w:leftChars="200" w:firstLine="321" w:firstLineChars="100"/>
        <w:outlineLvl w:val="1"/>
        <w:rPr>
          <w:rFonts w:hint="eastAsia" w:ascii="仿宋_GB2312" w:hAnsi="仿宋" w:eastAsia="仿宋_GB2312" w:cs="宋体"/>
          <w:b/>
          <w:bCs/>
          <w:color w:val="auto"/>
          <w:sz w:val="32"/>
          <w:szCs w:val="32"/>
        </w:rPr>
      </w:pPr>
      <w:r>
        <w:rPr>
          <w:rFonts w:hint="eastAsia" w:ascii="仿宋_GB2312" w:hAnsi="仿宋" w:eastAsia="仿宋_GB2312" w:cs="宋体"/>
          <w:b/>
          <w:bCs/>
          <w:color w:val="auto"/>
          <w:sz w:val="32"/>
          <w:szCs w:val="32"/>
        </w:rPr>
        <w:t>（</w:t>
      </w:r>
      <w:r>
        <w:rPr>
          <w:rFonts w:hint="eastAsia" w:ascii="仿宋_GB2312" w:hAnsi="仿宋" w:eastAsia="仿宋_GB2312" w:cs="宋体"/>
          <w:b/>
          <w:bCs/>
          <w:color w:val="auto"/>
          <w:sz w:val="32"/>
          <w:szCs w:val="32"/>
          <w:lang w:eastAsia="zh-CN"/>
        </w:rPr>
        <w:t>二</w:t>
      </w:r>
      <w:r>
        <w:rPr>
          <w:rFonts w:hint="eastAsia" w:ascii="仿宋_GB2312" w:hAnsi="仿宋" w:eastAsia="仿宋_GB2312" w:cs="宋体"/>
          <w:b/>
          <w:bCs/>
          <w:color w:val="auto"/>
          <w:sz w:val="32"/>
          <w:szCs w:val="32"/>
        </w:rPr>
        <w:t>）意见和建议</w:t>
      </w:r>
      <w:bookmarkEnd w:id="12"/>
      <w:bookmarkEnd w:id="13"/>
      <w:bookmarkEnd w:id="14"/>
      <w:bookmarkEnd w:id="15"/>
      <w:bookmarkEnd w:id="16"/>
      <w:bookmarkEnd w:id="17"/>
    </w:p>
    <w:p>
      <w:pPr>
        <w:keepNext w:val="0"/>
        <w:keepLines w:val="0"/>
        <w:pageBreakBefore w:val="0"/>
        <w:widowControl w:val="0"/>
        <w:kinsoku/>
        <w:wordWrap/>
        <w:overflowPunct/>
        <w:topLinePunct w:val="0"/>
        <w:autoSpaceDE/>
        <w:autoSpaceDN/>
        <w:bidi w:val="0"/>
        <w:adjustRightInd/>
        <w:snapToGrid/>
        <w:spacing w:line="560" w:lineRule="exact"/>
        <w:ind w:firstLine="624" w:firstLineChars="200"/>
        <w:textAlignment w:val="auto"/>
        <w:rPr>
          <w:rFonts w:hint="eastAsia" w:ascii="仿宋_GB2312" w:eastAsia="仿宋_GB2312" w:hAnsiTheme="minorHAnsi" w:cstheme="minorBidi"/>
          <w:color w:val="auto"/>
          <w:spacing w:val="-4"/>
          <w:kern w:val="2"/>
          <w:sz w:val="32"/>
          <w:szCs w:val="32"/>
          <w:lang w:val="en-US" w:eastAsia="zh-CN" w:bidi="ar-SA"/>
        </w:rPr>
      </w:pPr>
      <w:r>
        <w:rPr>
          <w:rFonts w:hint="eastAsia" w:ascii="仿宋_GB2312" w:eastAsia="仿宋_GB2312" w:hAnsiTheme="minorHAnsi" w:cstheme="minorBidi"/>
          <w:color w:val="auto"/>
          <w:spacing w:val="-4"/>
          <w:kern w:val="2"/>
          <w:sz w:val="32"/>
          <w:szCs w:val="32"/>
          <w:lang w:val="en-US" w:eastAsia="zh-CN" w:bidi="ar-SA"/>
        </w:rPr>
        <w:t>1.对缺失的相关资料进行补充完善，确保单位项目资料保存完整，齐全，加强后年度项目资料档案管理工作。</w:t>
      </w:r>
    </w:p>
    <w:p>
      <w:pPr>
        <w:keepNext w:val="0"/>
        <w:keepLines w:val="0"/>
        <w:pageBreakBefore w:val="0"/>
        <w:widowControl w:val="0"/>
        <w:kinsoku/>
        <w:wordWrap/>
        <w:overflowPunct/>
        <w:topLinePunct w:val="0"/>
        <w:autoSpaceDE/>
        <w:autoSpaceDN/>
        <w:bidi w:val="0"/>
        <w:adjustRightInd/>
        <w:snapToGrid/>
        <w:spacing w:line="560" w:lineRule="exact"/>
        <w:ind w:firstLine="624" w:firstLineChars="200"/>
        <w:textAlignment w:val="auto"/>
        <w:rPr>
          <w:rFonts w:hint="eastAsia" w:ascii="仿宋_GB2312" w:eastAsia="仿宋_GB2312" w:hAnsiTheme="minorHAnsi" w:cstheme="minorBidi"/>
          <w:color w:val="auto"/>
          <w:spacing w:val="-4"/>
          <w:kern w:val="2"/>
          <w:sz w:val="32"/>
          <w:szCs w:val="32"/>
          <w:lang w:val="en-US" w:eastAsia="zh-CN" w:bidi="ar-SA"/>
        </w:rPr>
      </w:pPr>
      <w:r>
        <w:rPr>
          <w:rFonts w:hint="eastAsia" w:ascii="仿宋_GB2312" w:eastAsia="仿宋_GB2312" w:hAnsiTheme="minorHAnsi" w:cstheme="minorBidi"/>
          <w:color w:val="auto"/>
          <w:spacing w:val="-4"/>
          <w:kern w:val="2"/>
          <w:sz w:val="32"/>
          <w:szCs w:val="32"/>
          <w:lang w:val="en-US" w:eastAsia="zh-CN" w:bidi="ar-SA"/>
        </w:rPr>
        <w:t>2.以此问题作为教训，在后年度项目实施过程中严格遵循相关项目管理办法，确保项目保质保期完成，确保财政资金使用效益。</w:t>
      </w:r>
    </w:p>
    <w:p>
      <w:pPr>
        <w:ind w:firstLine="2200" w:firstLineChars="500"/>
        <w:jc w:val="both"/>
        <w:rPr>
          <w:rFonts w:hint="eastAsia" w:ascii="黑体" w:hAnsi="黑体" w:eastAsia="黑体" w:cs="黑体"/>
          <w:b w:val="0"/>
          <w:bCs w:val="0"/>
          <w:color w:val="auto"/>
          <w:sz w:val="44"/>
          <w:szCs w:val="44"/>
        </w:rPr>
      </w:pPr>
    </w:p>
    <w:p>
      <w:pPr>
        <w:pStyle w:val="2"/>
        <w:rPr>
          <w:rFonts w:hint="eastAsia"/>
        </w:rPr>
      </w:pPr>
    </w:p>
    <w:p>
      <w:pPr>
        <w:ind w:firstLine="2200" w:firstLineChars="500"/>
        <w:jc w:val="both"/>
        <w:rPr>
          <w:rFonts w:hint="eastAsia" w:ascii="黑体" w:hAnsi="黑体" w:eastAsia="黑体" w:cs="黑体"/>
          <w:b w:val="0"/>
          <w:bCs w:val="0"/>
          <w:color w:val="auto"/>
          <w:sz w:val="44"/>
          <w:szCs w:val="44"/>
        </w:rPr>
      </w:pPr>
    </w:p>
    <w:p>
      <w:pPr>
        <w:ind w:firstLine="2200" w:firstLineChars="500"/>
        <w:jc w:val="both"/>
        <w:rPr>
          <w:rFonts w:hint="eastAsia" w:ascii="黑体" w:hAnsi="黑体" w:eastAsia="黑体" w:cs="黑体"/>
          <w:b w:val="0"/>
          <w:bCs w:val="0"/>
          <w:color w:val="auto"/>
          <w:sz w:val="44"/>
          <w:szCs w:val="44"/>
        </w:rPr>
      </w:pPr>
      <w:r>
        <w:rPr>
          <w:rFonts w:hint="eastAsia" w:ascii="黑体" w:hAnsi="黑体" w:eastAsia="黑体" w:cs="黑体"/>
          <w:b w:val="0"/>
          <w:bCs w:val="0"/>
          <w:color w:val="auto"/>
          <w:sz w:val="44"/>
          <w:szCs w:val="44"/>
        </w:rPr>
        <w:t>绩效评价工作组成员</w:t>
      </w:r>
    </w:p>
    <w:p>
      <w:pPr>
        <w:jc w:val="center"/>
        <w:rPr>
          <w:color w:val="auto"/>
        </w:rPr>
      </w:pPr>
    </w:p>
    <w:tbl>
      <w:tblPr>
        <w:tblStyle w:val="20"/>
        <w:tblW w:w="872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7"/>
        <w:gridCol w:w="1605"/>
        <w:gridCol w:w="1960"/>
        <w:gridCol w:w="1640"/>
        <w:gridCol w:w="1510"/>
        <w:gridCol w:w="14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527" w:type="dxa"/>
            <w:vAlign w:val="center"/>
          </w:tcPr>
          <w:p>
            <w:pPr>
              <w:pStyle w:val="13"/>
              <w:tabs>
                <w:tab w:val="right" w:leader="dot" w:pos="8302"/>
              </w:tabs>
              <w:spacing w:line="340" w:lineRule="exact"/>
              <w:jc w:val="center"/>
              <w:rPr>
                <w:rFonts w:ascii="黑体" w:hAnsi="黑体" w:eastAsia="黑体" w:cs="宋体"/>
                <w:color w:val="auto"/>
                <w:kern w:val="0"/>
                <w:sz w:val="24"/>
              </w:rPr>
            </w:pPr>
            <w:r>
              <w:rPr>
                <w:rFonts w:hint="eastAsia" w:ascii="黑体" w:hAnsi="黑体" w:eastAsia="黑体" w:cs="宋体"/>
                <w:color w:val="auto"/>
                <w:kern w:val="0"/>
                <w:sz w:val="24"/>
              </w:rPr>
              <w:t>序号</w:t>
            </w:r>
          </w:p>
        </w:tc>
        <w:tc>
          <w:tcPr>
            <w:tcW w:w="1605" w:type="dxa"/>
            <w:vAlign w:val="center"/>
          </w:tcPr>
          <w:p>
            <w:pPr>
              <w:pStyle w:val="13"/>
              <w:tabs>
                <w:tab w:val="right" w:leader="dot" w:pos="8302"/>
              </w:tabs>
              <w:spacing w:line="340" w:lineRule="exact"/>
              <w:jc w:val="center"/>
              <w:rPr>
                <w:rFonts w:ascii="黑体" w:hAnsi="黑体" w:eastAsia="黑体" w:cs="宋体"/>
                <w:color w:val="auto"/>
                <w:kern w:val="0"/>
                <w:sz w:val="24"/>
              </w:rPr>
            </w:pPr>
            <w:r>
              <w:rPr>
                <w:rFonts w:hint="eastAsia" w:ascii="黑体" w:hAnsi="黑体" w:eastAsia="黑体" w:cs="宋体"/>
                <w:color w:val="auto"/>
                <w:kern w:val="0"/>
                <w:sz w:val="24"/>
              </w:rPr>
              <w:t>项目职务</w:t>
            </w:r>
          </w:p>
        </w:tc>
        <w:tc>
          <w:tcPr>
            <w:tcW w:w="1960" w:type="dxa"/>
            <w:vAlign w:val="center"/>
          </w:tcPr>
          <w:p>
            <w:pPr>
              <w:pStyle w:val="13"/>
              <w:tabs>
                <w:tab w:val="right" w:leader="dot" w:pos="8302"/>
              </w:tabs>
              <w:spacing w:line="340" w:lineRule="exact"/>
              <w:jc w:val="center"/>
              <w:rPr>
                <w:rFonts w:ascii="黑体" w:hAnsi="黑体" w:eastAsia="黑体" w:cs="宋体"/>
                <w:color w:val="auto"/>
                <w:kern w:val="0"/>
                <w:sz w:val="24"/>
              </w:rPr>
            </w:pPr>
            <w:r>
              <w:rPr>
                <w:rFonts w:hint="eastAsia" w:ascii="黑体" w:hAnsi="黑体" w:eastAsia="黑体" w:cs="宋体"/>
                <w:color w:val="auto"/>
                <w:kern w:val="0"/>
                <w:sz w:val="24"/>
              </w:rPr>
              <w:t>姓名</w:t>
            </w:r>
          </w:p>
        </w:tc>
        <w:tc>
          <w:tcPr>
            <w:tcW w:w="1640" w:type="dxa"/>
            <w:vAlign w:val="center"/>
          </w:tcPr>
          <w:p>
            <w:pPr>
              <w:pStyle w:val="13"/>
              <w:tabs>
                <w:tab w:val="right" w:leader="dot" w:pos="8302"/>
              </w:tabs>
              <w:spacing w:line="340" w:lineRule="exact"/>
              <w:jc w:val="center"/>
              <w:rPr>
                <w:rFonts w:ascii="黑体" w:hAnsi="黑体" w:eastAsia="黑体" w:cs="宋体"/>
                <w:color w:val="auto"/>
                <w:kern w:val="0"/>
                <w:sz w:val="24"/>
              </w:rPr>
            </w:pPr>
            <w:r>
              <w:rPr>
                <w:rFonts w:hint="eastAsia" w:ascii="黑体" w:hAnsi="黑体" w:eastAsia="黑体" w:cs="宋体"/>
                <w:color w:val="auto"/>
                <w:kern w:val="0"/>
                <w:sz w:val="24"/>
              </w:rPr>
              <w:t>执业（从业）</w:t>
            </w:r>
          </w:p>
          <w:p>
            <w:pPr>
              <w:pStyle w:val="13"/>
              <w:tabs>
                <w:tab w:val="right" w:leader="dot" w:pos="8302"/>
              </w:tabs>
              <w:spacing w:line="340" w:lineRule="exact"/>
              <w:jc w:val="center"/>
              <w:rPr>
                <w:rFonts w:ascii="黑体" w:hAnsi="黑体" w:eastAsia="黑体" w:cs="宋体"/>
                <w:color w:val="auto"/>
                <w:kern w:val="0"/>
                <w:sz w:val="24"/>
              </w:rPr>
            </w:pPr>
            <w:r>
              <w:rPr>
                <w:rFonts w:hint="eastAsia" w:ascii="黑体" w:hAnsi="黑体" w:eastAsia="黑体" w:cs="宋体"/>
                <w:color w:val="auto"/>
                <w:kern w:val="0"/>
                <w:sz w:val="24"/>
              </w:rPr>
              <w:t>资格</w:t>
            </w:r>
          </w:p>
        </w:tc>
        <w:tc>
          <w:tcPr>
            <w:tcW w:w="1510" w:type="dxa"/>
            <w:vAlign w:val="center"/>
          </w:tcPr>
          <w:p>
            <w:pPr>
              <w:pStyle w:val="13"/>
              <w:tabs>
                <w:tab w:val="right" w:leader="dot" w:pos="8302"/>
              </w:tabs>
              <w:spacing w:line="340" w:lineRule="exact"/>
              <w:jc w:val="center"/>
              <w:rPr>
                <w:rFonts w:ascii="黑体" w:hAnsi="黑体" w:eastAsia="黑体" w:cs="宋体"/>
                <w:color w:val="auto"/>
                <w:kern w:val="0"/>
                <w:sz w:val="24"/>
              </w:rPr>
            </w:pPr>
            <w:r>
              <w:rPr>
                <w:rFonts w:hint="eastAsia" w:ascii="黑体" w:hAnsi="黑体" w:eastAsia="黑体" w:cs="宋体"/>
                <w:color w:val="auto"/>
                <w:kern w:val="0"/>
                <w:sz w:val="24"/>
              </w:rPr>
              <w:t>职称</w:t>
            </w:r>
          </w:p>
        </w:tc>
        <w:tc>
          <w:tcPr>
            <w:tcW w:w="1480" w:type="dxa"/>
            <w:vAlign w:val="center"/>
          </w:tcPr>
          <w:p>
            <w:pPr>
              <w:pStyle w:val="13"/>
              <w:tabs>
                <w:tab w:val="right" w:leader="dot" w:pos="8302"/>
              </w:tabs>
              <w:spacing w:line="340" w:lineRule="exact"/>
              <w:jc w:val="center"/>
              <w:rPr>
                <w:rFonts w:ascii="黑体" w:hAnsi="黑体" w:eastAsia="黑体" w:cs="宋体"/>
                <w:color w:val="auto"/>
                <w:kern w:val="0"/>
                <w:sz w:val="24"/>
              </w:rPr>
            </w:pPr>
            <w:r>
              <w:rPr>
                <w:rFonts w:hint="eastAsia" w:ascii="黑体" w:hAnsi="黑体" w:eastAsia="黑体" w:cs="宋体"/>
                <w:color w:val="auto"/>
                <w:kern w:val="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527"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1</w:t>
            </w:r>
          </w:p>
        </w:tc>
        <w:tc>
          <w:tcPr>
            <w:tcW w:w="1605"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项目负责人</w:t>
            </w:r>
          </w:p>
        </w:tc>
        <w:tc>
          <w:tcPr>
            <w:tcW w:w="196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叶金玲</w:t>
            </w:r>
          </w:p>
        </w:tc>
        <w:tc>
          <w:tcPr>
            <w:tcW w:w="164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注册会计师</w:t>
            </w:r>
          </w:p>
        </w:tc>
        <w:tc>
          <w:tcPr>
            <w:tcW w:w="151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中级会计师</w:t>
            </w:r>
          </w:p>
        </w:tc>
        <w:tc>
          <w:tcPr>
            <w:tcW w:w="148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项目总负责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2</w:t>
            </w:r>
          </w:p>
        </w:tc>
        <w:tc>
          <w:tcPr>
            <w:tcW w:w="1605"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项目财务专家</w:t>
            </w:r>
          </w:p>
        </w:tc>
        <w:tc>
          <w:tcPr>
            <w:tcW w:w="1960" w:type="dxa"/>
            <w:vAlign w:val="center"/>
          </w:tcPr>
          <w:p>
            <w:pPr>
              <w:pStyle w:val="13"/>
              <w:tabs>
                <w:tab w:val="right" w:leader="dot" w:pos="8302"/>
              </w:tabs>
              <w:spacing w:line="340" w:lineRule="exact"/>
              <w:jc w:val="center"/>
              <w:rPr>
                <w:rFonts w:hint="eastAsia" w:ascii="仿宋_GB2312" w:hAnsi="黑体" w:eastAsia="仿宋_GB2312" w:cs="宋体"/>
                <w:color w:val="auto"/>
                <w:kern w:val="0"/>
                <w:sz w:val="24"/>
                <w:lang w:eastAsia="zh-CN"/>
              </w:rPr>
            </w:pPr>
            <w:r>
              <w:rPr>
                <w:rFonts w:hint="eastAsia" w:ascii="仿宋_GB2312" w:hAnsi="黑体" w:eastAsia="仿宋_GB2312" w:cs="宋体"/>
                <w:color w:val="auto"/>
                <w:kern w:val="0"/>
                <w:sz w:val="24"/>
                <w:lang w:val="en-US" w:eastAsia="zh-CN"/>
              </w:rPr>
              <w:t>冯琼</w:t>
            </w:r>
          </w:p>
        </w:tc>
        <w:tc>
          <w:tcPr>
            <w:tcW w:w="164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注册会计师</w:t>
            </w:r>
          </w:p>
        </w:tc>
        <w:tc>
          <w:tcPr>
            <w:tcW w:w="151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中级会计师</w:t>
            </w:r>
          </w:p>
        </w:tc>
        <w:tc>
          <w:tcPr>
            <w:tcW w:w="148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资金审查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3</w:t>
            </w:r>
          </w:p>
        </w:tc>
        <w:tc>
          <w:tcPr>
            <w:tcW w:w="1605"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项目行业专家</w:t>
            </w:r>
          </w:p>
        </w:tc>
        <w:tc>
          <w:tcPr>
            <w:tcW w:w="196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kern w:val="0"/>
                <w:sz w:val="24"/>
                <w:lang w:val="en-US" w:eastAsia="zh-CN"/>
              </w:rPr>
              <w:t>曹堂哲</w:t>
            </w:r>
          </w:p>
        </w:tc>
        <w:tc>
          <w:tcPr>
            <w:tcW w:w="164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风险稳定评估师、高级投资管理师、计算机辅助设计师、信息管理师、物流工程师</w:t>
            </w:r>
          </w:p>
        </w:tc>
        <w:tc>
          <w:tcPr>
            <w:tcW w:w="151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中级经济师</w:t>
            </w:r>
          </w:p>
        </w:tc>
        <w:tc>
          <w:tcPr>
            <w:tcW w:w="148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审核指导   质量审核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trPr>
        <w:tc>
          <w:tcPr>
            <w:tcW w:w="527"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rPr>
              <w:t>4</w:t>
            </w:r>
          </w:p>
        </w:tc>
        <w:tc>
          <w:tcPr>
            <w:tcW w:w="1605" w:type="dxa"/>
            <w:vAlign w:val="center"/>
          </w:tcPr>
          <w:p>
            <w:pPr>
              <w:pStyle w:val="13"/>
              <w:tabs>
                <w:tab w:val="right" w:leader="dot" w:pos="8302"/>
              </w:tabs>
              <w:spacing w:line="340" w:lineRule="exact"/>
              <w:jc w:val="center"/>
              <w:rPr>
                <w:rFonts w:hint="default" w:ascii="仿宋_GB2312" w:hAnsi="黑体" w:eastAsia="仿宋_GB2312" w:cs="宋体"/>
                <w:color w:val="auto"/>
                <w:kern w:val="0"/>
                <w:sz w:val="24"/>
                <w:lang w:val="en-US" w:eastAsia="zh-CN"/>
              </w:rPr>
            </w:pPr>
            <w:r>
              <w:rPr>
                <w:rFonts w:hint="eastAsia" w:ascii="仿宋_GB2312" w:hAnsi="黑体" w:eastAsia="仿宋_GB2312" w:cs="宋体"/>
                <w:color w:val="auto"/>
                <w:kern w:val="0"/>
                <w:sz w:val="24"/>
              </w:rPr>
              <w:t>项目</w:t>
            </w:r>
            <w:r>
              <w:rPr>
                <w:rFonts w:hint="eastAsia" w:ascii="仿宋_GB2312" w:hAnsi="黑体" w:eastAsia="仿宋_GB2312" w:cs="宋体"/>
                <w:color w:val="auto"/>
                <w:kern w:val="0"/>
                <w:sz w:val="24"/>
                <w:lang w:val="en-US" w:eastAsia="zh-CN"/>
              </w:rPr>
              <w:t>组成员</w:t>
            </w:r>
          </w:p>
        </w:tc>
        <w:tc>
          <w:tcPr>
            <w:tcW w:w="1960" w:type="dxa"/>
            <w:vAlign w:val="center"/>
          </w:tcPr>
          <w:p>
            <w:pPr>
              <w:pStyle w:val="13"/>
              <w:tabs>
                <w:tab w:val="right" w:leader="dot" w:pos="8302"/>
              </w:tabs>
              <w:spacing w:line="340" w:lineRule="exact"/>
              <w:jc w:val="center"/>
              <w:rPr>
                <w:rFonts w:hint="eastAsia" w:ascii="仿宋_GB2312" w:hAnsi="黑体" w:eastAsia="仿宋_GB2312" w:cs="宋体"/>
                <w:color w:val="auto"/>
                <w:kern w:val="0"/>
                <w:sz w:val="24"/>
                <w:lang w:val="en-US" w:eastAsia="zh-CN"/>
              </w:rPr>
            </w:pPr>
            <w:r>
              <w:rPr>
                <w:rFonts w:hint="eastAsia" w:ascii="仿宋_GB2312" w:hAnsi="黑体" w:eastAsia="仿宋_GB2312" w:cs="宋体"/>
                <w:color w:val="auto"/>
                <w:kern w:val="0"/>
                <w:sz w:val="24"/>
                <w:lang w:val="en-US" w:eastAsia="zh-CN"/>
              </w:rPr>
              <w:t>古丽热依汉</w:t>
            </w:r>
          </w:p>
        </w:tc>
        <w:tc>
          <w:tcPr>
            <w:tcW w:w="1640" w:type="dxa"/>
            <w:vAlign w:val="center"/>
          </w:tcPr>
          <w:p>
            <w:pPr>
              <w:pStyle w:val="13"/>
              <w:tabs>
                <w:tab w:val="right" w:leader="dot" w:pos="8302"/>
              </w:tabs>
              <w:spacing w:line="340" w:lineRule="exact"/>
              <w:jc w:val="center"/>
              <w:rPr>
                <w:rFonts w:hint="eastAsia" w:ascii="仿宋_GB2312" w:hAnsi="黑体" w:eastAsia="仿宋_GB2312" w:cs="宋体"/>
                <w:color w:val="auto"/>
                <w:kern w:val="0"/>
                <w:sz w:val="24"/>
                <w:lang w:val="en-US" w:eastAsia="zh-CN"/>
              </w:rPr>
            </w:pPr>
          </w:p>
        </w:tc>
        <w:tc>
          <w:tcPr>
            <w:tcW w:w="151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lang w:val="en-US" w:eastAsia="zh-CN"/>
              </w:rPr>
              <w:t>助理</w:t>
            </w:r>
            <w:r>
              <w:rPr>
                <w:rFonts w:hint="eastAsia" w:ascii="仿宋_GB2312" w:hAnsi="黑体" w:eastAsia="仿宋_GB2312" w:cs="宋体"/>
                <w:color w:val="auto"/>
                <w:kern w:val="0"/>
                <w:sz w:val="24"/>
              </w:rPr>
              <w:t>会计师</w:t>
            </w:r>
          </w:p>
        </w:tc>
        <w:tc>
          <w:tcPr>
            <w:tcW w:w="148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527" w:type="dxa"/>
            <w:vAlign w:val="center"/>
          </w:tcPr>
          <w:p>
            <w:pPr>
              <w:pStyle w:val="13"/>
              <w:tabs>
                <w:tab w:val="right" w:leader="dot" w:pos="8302"/>
              </w:tabs>
              <w:spacing w:line="340" w:lineRule="exact"/>
              <w:jc w:val="center"/>
              <w:rPr>
                <w:rFonts w:hint="default" w:ascii="仿宋_GB2312" w:hAnsi="黑体" w:eastAsia="仿宋_GB2312" w:cs="宋体"/>
                <w:color w:val="auto"/>
                <w:kern w:val="0"/>
                <w:sz w:val="24"/>
                <w:lang w:val="en-US" w:eastAsia="zh-CN"/>
              </w:rPr>
            </w:pPr>
            <w:r>
              <w:rPr>
                <w:rFonts w:hint="eastAsia" w:ascii="仿宋_GB2312" w:hAnsi="黑体" w:eastAsia="仿宋_GB2312" w:cs="宋体"/>
                <w:color w:val="auto"/>
                <w:kern w:val="0"/>
                <w:sz w:val="24"/>
                <w:lang w:val="en-US" w:eastAsia="zh-CN"/>
              </w:rPr>
              <w:t>5</w:t>
            </w:r>
          </w:p>
        </w:tc>
        <w:tc>
          <w:tcPr>
            <w:tcW w:w="1605" w:type="dxa"/>
            <w:vAlign w:val="center"/>
          </w:tcPr>
          <w:p>
            <w:pPr>
              <w:pStyle w:val="13"/>
              <w:tabs>
                <w:tab w:val="right" w:leader="dot" w:pos="8302"/>
              </w:tabs>
              <w:spacing w:line="340" w:lineRule="exact"/>
              <w:jc w:val="center"/>
              <w:rPr>
                <w:rFonts w:hint="default" w:ascii="仿宋_GB2312" w:hAnsi="黑体" w:eastAsia="仿宋_GB2312" w:cs="宋体"/>
                <w:color w:val="auto"/>
                <w:kern w:val="0"/>
                <w:sz w:val="24"/>
                <w:lang w:val="en-US" w:eastAsia="zh-CN"/>
              </w:rPr>
            </w:pPr>
            <w:r>
              <w:rPr>
                <w:rFonts w:hint="eastAsia" w:ascii="仿宋_GB2312" w:hAnsi="黑体" w:eastAsia="仿宋_GB2312" w:cs="宋体"/>
                <w:color w:val="auto"/>
                <w:kern w:val="0"/>
                <w:sz w:val="24"/>
                <w:lang w:val="en-US" w:eastAsia="zh-CN"/>
              </w:rPr>
              <w:t>项目组成员</w:t>
            </w:r>
          </w:p>
        </w:tc>
        <w:tc>
          <w:tcPr>
            <w:tcW w:w="196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lang w:val="en-US" w:eastAsia="zh-CN"/>
              </w:rPr>
              <w:t>阿曼古丽</w:t>
            </w:r>
          </w:p>
        </w:tc>
        <w:tc>
          <w:tcPr>
            <w:tcW w:w="164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p>
        </w:tc>
        <w:tc>
          <w:tcPr>
            <w:tcW w:w="151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r>
              <w:rPr>
                <w:rFonts w:hint="eastAsia" w:ascii="仿宋_GB2312" w:hAnsi="黑体" w:eastAsia="仿宋_GB2312" w:cs="宋体"/>
                <w:color w:val="auto"/>
                <w:kern w:val="0"/>
                <w:sz w:val="24"/>
                <w:lang w:eastAsia="zh-CN"/>
              </w:rPr>
              <w:t>会计员</w:t>
            </w:r>
          </w:p>
        </w:tc>
        <w:tc>
          <w:tcPr>
            <w:tcW w:w="1480" w:type="dxa"/>
            <w:vAlign w:val="center"/>
          </w:tcPr>
          <w:p>
            <w:pPr>
              <w:pStyle w:val="13"/>
              <w:tabs>
                <w:tab w:val="right" w:leader="dot" w:pos="8302"/>
              </w:tabs>
              <w:spacing w:line="340" w:lineRule="exact"/>
              <w:jc w:val="center"/>
              <w:rPr>
                <w:rFonts w:ascii="仿宋_GB2312" w:hAnsi="黑体" w:eastAsia="仿宋_GB2312" w:cs="宋体"/>
                <w:color w:val="auto"/>
                <w:kern w:val="0"/>
                <w:sz w:val="24"/>
              </w:rPr>
            </w:pPr>
          </w:p>
        </w:tc>
      </w:tr>
    </w:tbl>
    <w:p>
      <w:pPr>
        <w:pStyle w:val="13"/>
        <w:tabs>
          <w:tab w:val="right" w:leader="dot" w:pos="8302"/>
        </w:tabs>
        <w:spacing w:line="340" w:lineRule="exact"/>
        <w:jc w:val="both"/>
        <w:rPr>
          <w:rFonts w:ascii="宋体" w:hAnsi="宋体" w:cs="宋体"/>
          <w:b/>
          <w:color w:val="auto"/>
          <w:sz w:val="28"/>
          <w:szCs w:val="28"/>
        </w:rPr>
        <w:sectPr>
          <w:pgSz w:w="11906" w:h="16838"/>
          <w:pgMar w:top="2098" w:right="1531" w:bottom="1984" w:left="1531" w:header="851" w:footer="992" w:gutter="0"/>
          <w:pgBorders>
            <w:top w:val="none" w:sz="0" w:space="0"/>
            <w:left w:val="none" w:sz="0" w:space="0"/>
            <w:bottom w:val="none" w:sz="0" w:space="0"/>
            <w:right w:val="none" w:sz="0" w:space="0"/>
          </w:pgBorders>
          <w:cols w:space="425" w:num="1"/>
          <w:docGrid w:type="lines" w:linePitch="312" w:charSpace="0"/>
        </w:sectPr>
      </w:pPr>
    </w:p>
    <w:p>
      <w:pPr>
        <w:pStyle w:val="13"/>
        <w:tabs>
          <w:tab w:val="right" w:leader="dot" w:pos="8302"/>
        </w:tabs>
        <w:spacing w:line="340" w:lineRule="exact"/>
        <w:jc w:val="center"/>
        <w:rPr>
          <w:rFonts w:hint="eastAsia" w:ascii="黑体" w:hAnsi="黑体" w:eastAsia="黑体" w:cs="黑体"/>
          <w:b/>
          <w:color w:val="auto"/>
          <w:sz w:val="36"/>
          <w:szCs w:val="36"/>
        </w:rPr>
      </w:pPr>
      <w:r>
        <w:rPr>
          <w:rFonts w:hint="eastAsia" w:ascii="黑体" w:hAnsi="黑体" w:eastAsia="黑体" w:cs="黑体"/>
          <w:b/>
          <w:color w:val="auto"/>
          <w:sz w:val="36"/>
          <w:szCs w:val="36"/>
        </w:rPr>
        <w:t>目 录</w:t>
      </w:r>
    </w:p>
    <w:sdt>
      <w:sdtPr>
        <w:rPr>
          <w:rFonts w:ascii="宋体" w:hAnsi="宋体" w:eastAsia="宋体" w:cstheme="minorBidi"/>
          <w:color w:val="auto"/>
          <w:kern w:val="2"/>
          <w:sz w:val="24"/>
          <w:szCs w:val="24"/>
          <w:lang w:val="en-US" w:eastAsia="zh-CN" w:bidi="ar-SA"/>
        </w:rPr>
        <w:id w:val="147475025"/>
        <w15:color w:val="DBDBDB"/>
        <w:docPartObj>
          <w:docPartGallery w:val="Table of Contents"/>
          <w:docPartUnique/>
        </w:docPartObj>
      </w:sdtPr>
      <w:sdtEndPr>
        <w:rPr>
          <w:rFonts w:asciiTheme="minorHAnsi" w:hAnsiTheme="minorHAnsi" w:eastAsiaTheme="minorEastAsia" w:cstheme="minorBidi"/>
          <w:b w:val="0"/>
          <w:bCs w:val="0"/>
          <w:color w:val="auto"/>
          <w:kern w:val="2"/>
          <w:sz w:val="21"/>
          <w:szCs w:val="24"/>
          <w:highlight w:val="none"/>
          <w:lang w:val="en-US" w:eastAsia="zh-CN" w:bidi="ar-SA"/>
        </w:rPr>
      </w:sdtEndPr>
      <w:sdtContent>
        <w:p>
          <w:pPr>
            <w:spacing w:before="0" w:beforeLines="0" w:after="0" w:afterLines="0" w:line="240" w:lineRule="auto"/>
            <w:ind w:left="0" w:leftChars="0" w:right="0" w:rightChars="0" w:firstLine="0" w:firstLineChars="0"/>
            <w:jc w:val="center"/>
            <w:rPr>
              <w:rFonts w:asciiTheme="minorHAnsi" w:hAnsiTheme="minorHAnsi" w:eastAsiaTheme="minorEastAsia" w:cstheme="minorBidi"/>
              <w:b w:val="0"/>
              <w:bCs w:val="0"/>
              <w:color w:val="auto"/>
              <w:kern w:val="2"/>
              <w:sz w:val="24"/>
              <w:szCs w:val="24"/>
              <w:highlight w:val="none"/>
              <w:lang w:val="en-US" w:eastAsia="zh-CN" w:bidi="ar-SA"/>
            </w:rPr>
          </w:pPr>
          <w:r>
            <w:rPr>
              <w:b w:val="0"/>
              <w:bCs w:val="0"/>
              <w:color w:val="auto"/>
              <w:sz w:val="24"/>
              <w:szCs w:val="24"/>
              <w:highlight w:val="none"/>
            </w:rPr>
            <w:fldChar w:fldCharType="begin"/>
          </w:r>
          <w:r>
            <w:rPr>
              <w:b w:val="0"/>
              <w:bCs w:val="0"/>
              <w:color w:val="auto"/>
              <w:sz w:val="24"/>
              <w:szCs w:val="24"/>
              <w:highlight w:val="none"/>
            </w:rPr>
            <w:instrText xml:space="preserve">TOC \o "1-2" \h \u </w:instrText>
          </w:r>
          <w:r>
            <w:rPr>
              <w:b w:val="0"/>
              <w:bCs w:val="0"/>
              <w:color w:val="auto"/>
              <w:sz w:val="24"/>
              <w:szCs w:val="24"/>
              <w:highlight w:val="none"/>
            </w:rPr>
            <w:fldChar w:fldCharType="separate"/>
          </w:r>
        </w:p>
        <w:p>
          <w:pPr>
            <w:pStyle w:val="13"/>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_Toc28183 </w:instrText>
          </w:r>
          <w:r>
            <w:rPr>
              <w:bCs w:val="0"/>
              <w:color w:val="auto"/>
              <w:szCs w:val="24"/>
              <w:highlight w:val="none"/>
            </w:rPr>
            <w:fldChar w:fldCharType="separate"/>
          </w:r>
          <w:r>
            <w:rPr>
              <w:rFonts w:hint="eastAsia" w:ascii="黑体" w:hAnsi="黑体" w:eastAsia="黑体" w:cs="宋体"/>
              <w:color w:val="auto"/>
              <w:szCs w:val="32"/>
              <w:highlight w:val="none"/>
            </w:rPr>
            <w:t>一、项目概述</w:t>
          </w:r>
          <w:r>
            <w:rPr>
              <w:color w:val="auto"/>
              <w:highlight w:val="none"/>
            </w:rPr>
            <w:tab/>
          </w:r>
          <w:r>
            <w:rPr>
              <w:color w:val="auto"/>
              <w:highlight w:val="none"/>
            </w:rPr>
            <w:fldChar w:fldCharType="begin"/>
          </w:r>
          <w:r>
            <w:rPr>
              <w:color w:val="auto"/>
              <w:highlight w:val="none"/>
            </w:rPr>
            <w:instrText xml:space="preserve"> PAGEREF _Toc28183 </w:instrText>
          </w:r>
          <w:r>
            <w:rPr>
              <w:color w:val="auto"/>
              <w:highlight w:val="none"/>
            </w:rPr>
            <w:fldChar w:fldCharType="separate"/>
          </w:r>
          <w:r>
            <w:rPr>
              <w:color w:val="auto"/>
              <w:highlight w:val="none"/>
            </w:rPr>
            <w:t>1</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_Toc27345 </w:instrText>
          </w:r>
          <w:r>
            <w:rPr>
              <w:bCs w:val="0"/>
              <w:color w:val="auto"/>
              <w:szCs w:val="24"/>
              <w:highlight w:val="none"/>
            </w:rPr>
            <w:fldChar w:fldCharType="separate"/>
          </w:r>
          <w:r>
            <w:rPr>
              <w:rFonts w:hint="eastAsia" w:ascii="仿宋_GB2312" w:hAnsi="仿宋" w:eastAsia="仿宋_GB2312" w:cs="宋体"/>
              <w:bCs/>
              <w:color w:val="auto"/>
              <w:szCs w:val="32"/>
              <w:highlight w:val="none"/>
            </w:rPr>
            <w:t>（一）项目基本情况</w:t>
          </w:r>
          <w:r>
            <w:rPr>
              <w:color w:val="auto"/>
              <w:highlight w:val="none"/>
            </w:rPr>
            <w:tab/>
          </w:r>
          <w:r>
            <w:rPr>
              <w:color w:val="auto"/>
              <w:highlight w:val="none"/>
            </w:rPr>
            <w:fldChar w:fldCharType="begin"/>
          </w:r>
          <w:r>
            <w:rPr>
              <w:color w:val="auto"/>
              <w:highlight w:val="none"/>
            </w:rPr>
            <w:instrText xml:space="preserve"> PAGEREF _Toc27345 </w:instrText>
          </w:r>
          <w:r>
            <w:rPr>
              <w:color w:val="auto"/>
              <w:highlight w:val="none"/>
            </w:rPr>
            <w:fldChar w:fldCharType="separate"/>
          </w:r>
          <w:r>
            <w:rPr>
              <w:color w:val="auto"/>
              <w:highlight w:val="none"/>
            </w:rPr>
            <w:t>1</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_Toc30597 </w:instrText>
          </w:r>
          <w:r>
            <w:rPr>
              <w:bCs w:val="0"/>
              <w:color w:val="auto"/>
              <w:szCs w:val="24"/>
              <w:highlight w:val="none"/>
            </w:rPr>
            <w:fldChar w:fldCharType="separate"/>
          </w:r>
          <w:r>
            <w:rPr>
              <w:rFonts w:hint="eastAsia" w:ascii="仿宋_GB2312" w:hAnsi="仿宋" w:eastAsia="仿宋_GB2312" w:cs="宋体"/>
              <w:bCs/>
              <w:color w:val="auto"/>
              <w:szCs w:val="32"/>
              <w:highlight w:val="none"/>
            </w:rPr>
            <w:t>（二）项目资金情况</w:t>
          </w:r>
          <w:r>
            <w:rPr>
              <w:color w:val="auto"/>
              <w:highlight w:val="none"/>
            </w:rPr>
            <w:tab/>
          </w:r>
          <w:r>
            <w:rPr>
              <w:color w:val="auto"/>
              <w:highlight w:val="none"/>
            </w:rPr>
            <w:fldChar w:fldCharType="begin"/>
          </w:r>
          <w:r>
            <w:rPr>
              <w:color w:val="auto"/>
              <w:highlight w:val="none"/>
            </w:rPr>
            <w:instrText xml:space="preserve"> PAGEREF _Toc30597 </w:instrText>
          </w:r>
          <w:r>
            <w:rPr>
              <w:color w:val="auto"/>
              <w:highlight w:val="none"/>
            </w:rPr>
            <w:fldChar w:fldCharType="separate"/>
          </w:r>
          <w:r>
            <w:rPr>
              <w:color w:val="auto"/>
              <w:highlight w:val="none"/>
            </w:rPr>
            <w:t>2</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_Toc4656 </w:instrText>
          </w:r>
          <w:r>
            <w:rPr>
              <w:bCs w:val="0"/>
              <w:color w:val="auto"/>
              <w:szCs w:val="24"/>
              <w:highlight w:val="none"/>
            </w:rPr>
            <w:fldChar w:fldCharType="separate"/>
          </w:r>
          <w:r>
            <w:rPr>
              <w:rFonts w:hint="eastAsia" w:ascii="仿宋_GB2312" w:hAnsi="仿宋" w:eastAsia="仿宋_GB2312" w:cs="宋体"/>
              <w:bCs/>
              <w:color w:val="auto"/>
              <w:szCs w:val="32"/>
              <w:highlight w:val="none"/>
            </w:rPr>
            <w:t>（三）绩效目标设置情况</w:t>
          </w:r>
          <w:r>
            <w:rPr>
              <w:color w:val="auto"/>
              <w:highlight w:val="none"/>
            </w:rPr>
            <w:tab/>
          </w:r>
          <w:r>
            <w:rPr>
              <w:color w:val="auto"/>
              <w:highlight w:val="none"/>
            </w:rPr>
            <w:fldChar w:fldCharType="begin"/>
          </w:r>
          <w:r>
            <w:rPr>
              <w:color w:val="auto"/>
              <w:highlight w:val="none"/>
            </w:rPr>
            <w:instrText xml:space="preserve"> PAGEREF _Toc4656 </w:instrText>
          </w:r>
          <w:r>
            <w:rPr>
              <w:color w:val="auto"/>
              <w:highlight w:val="none"/>
            </w:rPr>
            <w:fldChar w:fldCharType="separate"/>
          </w:r>
          <w:r>
            <w:rPr>
              <w:color w:val="auto"/>
              <w:highlight w:val="none"/>
            </w:rPr>
            <w:t>3</w:t>
          </w:r>
          <w:r>
            <w:rPr>
              <w:color w:val="auto"/>
              <w:highlight w:val="none"/>
            </w:rPr>
            <w:fldChar w:fldCharType="end"/>
          </w:r>
          <w:r>
            <w:rPr>
              <w:bCs w:val="0"/>
              <w:color w:val="auto"/>
              <w:szCs w:val="24"/>
              <w:highlight w:val="none"/>
            </w:rPr>
            <w:fldChar w:fldCharType="end"/>
          </w:r>
        </w:p>
        <w:p>
          <w:pPr>
            <w:pStyle w:val="13"/>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_Toc25486 </w:instrText>
          </w:r>
          <w:r>
            <w:rPr>
              <w:bCs w:val="0"/>
              <w:color w:val="auto"/>
              <w:szCs w:val="24"/>
              <w:highlight w:val="none"/>
            </w:rPr>
            <w:fldChar w:fldCharType="separate"/>
          </w:r>
          <w:r>
            <w:rPr>
              <w:rFonts w:hint="eastAsia" w:ascii="黑体" w:hAnsi="黑体" w:eastAsia="黑体" w:cs="宋体"/>
              <w:color w:val="auto"/>
              <w:szCs w:val="32"/>
              <w:highlight w:val="none"/>
            </w:rPr>
            <w:t>二、评价工作简述</w:t>
          </w:r>
          <w:r>
            <w:rPr>
              <w:color w:val="auto"/>
              <w:highlight w:val="none"/>
            </w:rPr>
            <w:tab/>
          </w:r>
          <w:r>
            <w:rPr>
              <w:color w:val="auto"/>
              <w:highlight w:val="none"/>
            </w:rPr>
            <w:fldChar w:fldCharType="begin"/>
          </w:r>
          <w:r>
            <w:rPr>
              <w:color w:val="auto"/>
              <w:highlight w:val="none"/>
            </w:rPr>
            <w:instrText xml:space="preserve"> PAGEREF _Toc25486 </w:instrText>
          </w:r>
          <w:r>
            <w:rPr>
              <w:color w:val="auto"/>
              <w:highlight w:val="none"/>
            </w:rPr>
            <w:fldChar w:fldCharType="separate"/>
          </w:r>
          <w:r>
            <w:rPr>
              <w:color w:val="auto"/>
              <w:highlight w:val="none"/>
            </w:rPr>
            <w:t>3</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_Toc8259 </w:instrText>
          </w:r>
          <w:r>
            <w:rPr>
              <w:bCs w:val="0"/>
              <w:color w:val="auto"/>
              <w:szCs w:val="24"/>
              <w:highlight w:val="none"/>
            </w:rPr>
            <w:fldChar w:fldCharType="separate"/>
          </w:r>
          <w:r>
            <w:rPr>
              <w:rFonts w:hint="eastAsia" w:ascii="仿宋_GB2312" w:hAnsi="仿宋" w:eastAsia="仿宋_GB2312" w:cs="宋体"/>
              <w:bCs/>
              <w:color w:val="auto"/>
              <w:szCs w:val="32"/>
              <w:highlight w:val="none"/>
            </w:rPr>
            <w:t>（一）评价目的</w:t>
          </w:r>
          <w:r>
            <w:rPr>
              <w:color w:val="auto"/>
              <w:highlight w:val="none"/>
            </w:rPr>
            <w:tab/>
          </w:r>
          <w:r>
            <w:rPr>
              <w:color w:val="auto"/>
              <w:highlight w:val="none"/>
            </w:rPr>
            <w:fldChar w:fldCharType="begin"/>
          </w:r>
          <w:r>
            <w:rPr>
              <w:color w:val="auto"/>
              <w:highlight w:val="none"/>
            </w:rPr>
            <w:instrText xml:space="preserve"> PAGEREF _Toc8259 </w:instrText>
          </w:r>
          <w:r>
            <w:rPr>
              <w:color w:val="auto"/>
              <w:highlight w:val="none"/>
            </w:rPr>
            <w:fldChar w:fldCharType="separate"/>
          </w:r>
          <w:r>
            <w:rPr>
              <w:color w:val="auto"/>
              <w:highlight w:val="none"/>
            </w:rPr>
            <w:t>5</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_Toc22761 </w:instrText>
          </w:r>
          <w:r>
            <w:rPr>
              <w:bCs w:val="0"/>
              <w:color w:val="auto"/>
              <w:szCs w:val="24"/>
              <w:highlight w:val="none"/>
            </w:rPr>
            <w:fldChar w:fldCharType="separate"/>
          </w:r>
          <w:r>
            <w:rPr>
              <w:rFonts w:hint="eastAsia" w:ascii="仿宋_GB2312" w:hAnsi="仿宋" w:eastAsia="仿宋_GB2312" w:cs="宋体"/>
              <w:bCs/>
              <w:color w:val="auto"/>
              <w:szCs w:val="32"/>
              <w:highlight w:val="none"/>
            </w:rPr>
            <w:t>（二）绩效评价工作</w:t>
          </w:r>
          <w:r>
            <w:rPr>
              <w:rFonts w:hint="eastAsia" w:ascii="仿宋_GB2312" w:hAnsi="仿宋" w:eastAsia="仿宋_GB2312" w:cs="宋体"/>
              <w:bCs/>
              <w:color w:val="auto"/>
              <w:szCs w:val="32"/>
              <w:highlight w:val="none"/>
              <w:lang w:val="en-US" w:eastAsia="zh-CN"/>
            </w:rPr>
            <w:t>的基本</w:t>
          </w:r>
          <w:r>
            <w:rPr>
              <w:rFonts w:hint="eastAsia" w:ascii="仿宋_GB2312" w:hAnsi="仿宋" w:eastAsia="仿宋_GB2312" w:cs="宋体"/>
              <w:bCs/>
              <w:color w:val="auto"/>
              <w:szCs w:val="32"/>
              <w:highlight w:val="none"/>
            </w:rPr>
            <w:t>思路</w:t>
          </w:r>
          <w:r>
            <w:rPr>
              <w:color w:val="auto"/>
              <w:highlight w:val="none"/>
            </w:rPr>
            <w:tab/>
          </w:r>
          <w:r>
            <w:rPr>
              <w:color w:val="auto"/>
              <w:highlight w:val="none"/>
            </w:rPr>
            <w:fldChar w:fldCharType="begin"/>
          </w:r>
          <w:r>
            <w:rPr>
              <w:color w:val="auto"/>
              <w:highlight w:val="none"/>
            </w:rPr>
            <w:instrText xml:space="preserve"> PAGEREF _Toc22761 </w:instrText>
          </w:r>
          <w:r>
            <w:rPr>
              <w:color w:val="auto"/>
              <w:highlight w:val="none"/>
            </w:rPr>
            <w:fldChar w:fldCharType="separate"/>
          </w:r>
          <w:r>
            <w:rPr>
              <w:color w:val="auto"/>
              <w:highlight w:val="none"/>
            </w:rPr>
            <w:t>5</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_Toc7962 </w:instrText>
          </w:r>
          <w:r>
            <w:rPr>
              <w:bCs w:val="0"/>
              <w:color w:val="auto"/>
              <w:szCs w:val="24"/>
              <w:highlight w:val="none"/>
            </w:rPr>
            <w:fldChar w:fldCharType="separate"/>
          </w:r>
          <w:r>
            <w:rPr>
              <w:rFonts w:hint="eastAsia" w:ascii="仿宋_GB2312" w:hAnsi="仿宋" w:eastAsia="仿宋_GB2312" w:cs="宋体"/>
              <w:bCs/>
              <w:color w:val="auto"/>
              <w:szCs w:val="32"/>
              <w:highlight w:val="none"/>
            </w:rPr>
            <w:t>（三）评价原则</w:t>
          </w:r>
          <w:r>
            <w:rPr>
              <w:color w:val="auto"/>
              <w:highlight w:val="none"/>
            </w:rPr>
            <w:tab/>
          </w:r>
          <w:r>
            <w:rPr>
              <w:color w:val="auto"/>
              <w:highlight w:val="none"/>
            </w:rPr>
            <w:fldChar w:fldCharType="begin"/>
          </w:r>
          <w:r>
            <w:rPr>
              <w:color w:val="auto"/>
              <w:highlight w:val="none"/>
            </w:rPr>
            <w:instrText xml:space="preserve"> PAGEREF _Toc7962 </w:instrText>
          </w:r>
          <w:r>
            <w:rPr>
              <w:color w:val="auto"/>
              <w:highlight w:val="none"/>
            </w:rPr>
            <w:fldChar w:fldCharType="separate"/>
          </w:r>
          <w:r>
            <w:rPr>
              <w:color w:val="auto"/>
              <w:highlight w:val="none"/>
            </w:rPr>
            <w:t>6</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_Toc1742 </w:instrText>
          </w:r>
          <w:r>
            <w:rPr>
              <w:bCs w:val="0"/>
              <w:color w:val="auto"/>
              <w:szCs w:val="24"/>
              <w:highlight w:val="none"/>
            </w:rPr>
            <w:fldChar w:fldCharType="separate"/>
          </w:r>
          <w:r>
            <w:rPr>
              <w:rFonts w:hint="eastAsia" w:ascii="仿宋_GB2312" w:hAnsi="仿宋" w:eastAsia="仿宋_GB2312" w:cs="宋体"/>
              <w:bCs/>
              <w:color w:val="auto"/>
              <w:szCs w:val="32"/>
              <w:highlight w:val="none"/>
            </w:rPr>
            <w:t>（四）评价方法</w:t>
          </w:r>
          <w:r>
            <w:rPr>
              <w:color w:val="auto"/>
              <w:highlight w:val="none"/>
            </w:rPr>
            <w:tab/>
          </w:r>
          <w:r>
            <w:rPr>
              <w:color w:val="auto"/>
              <w:highlight w:val="none"/>
            </w:rPr>
            <w:fldChar w:fldCharType="begin"/>
          </w:r>
          <w:r>
            <w:rPr>
              <w:color w:val="auto"/>
              <w:highlight w:val="none"/>
            </w:rPr>
            <w:instrText xml:space="preserve"> PAGEREF _Toc1742 </w:instrText>
          </w:r>
          <w:r>
            <w:rPr>
              <w:color w:val="auto"/>
              <w:highlight w:val="none"/>
            </w:rPr>
            <w:fldChar w:fldCharType="separate"/>
          </w:r>
          <w:r>
            <w:rPr>
              <w:color w:val="auto"/>
              <w:highlight w:val="none"/>
            </w:rPr>
            <w:t>6</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_Toc16588 </w:instrText>
          </w:r>
          <w:r>
            <w:rPr>
              <w:bCs w:val="0"/>
              <w:color w:val="auto"/>
              <w:szCs w:val="24"/>
              <w:highlight w:val="none"/>
            </w:rPr>
            <w:fldChar w:fldCharType="separate"/>
          </w:r>
          <w:r>
            <w:rPr>
              <w:rFonts w:hint="eastAsia" w:ascii="仿宋_GB2312" w:hAnsi="仿宋" w:eastAsia="仿宋_GB2312" w:cs="宋体"/>
              <w:bCs/>
              <w:color w:val="auto"/>
              <w:szCs w:val="32"/>
              <w:highlight w:val="none"/>
            </w:rPr>
            <w:t>（五） 指标体系</w:t>
          </w:r>
          <w:r>
            <w:rPr>
              <w:color w:val="auto"/>
              <w:highlight w:val="none"/>
            </w:rPr>
            <w:tab/>
          </w:r>
          <w:r>
            <w:rPr>
              <w:color w:val="auto"/>
              <w:highlight w:val="none"/>
            </w:rPr>
            <w:fldChar w:fldCharType="begin"/>
          </w:r>
          <w:r>
            <w:rPr>
              <w:color w:val="auto"/>
              <w:highlight w:val="none"/>
            </w:rPr>
            <w:instrText xml:space="preserve"> PAGEREF _Toc16588 </w:instrText>
          </w:r>
          <w:r>
            <w:rPr>
              <w:color w:val="auto"/>
              <w:highlight w:val="none"/>
            </w:rPr>
            <w:fldChar w:fldCharType="separate"/>
          </w:r>
          <w:r>
            <w:rPr>
              <w:color w:val="auto"/>
              <w:highlight w:val="none"/>
            </w:rPr>
            <w:t>6</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_Toc31692 </w:instrText>
          </w:r>
          <w:r>
            <w:rPr>
              <w:bCs w:val="0"/>
              <w:color w:val="auto"/>
              <w:szCs w:val="24"/>
              <w:highlight w:val="none"/>
            </w:rPr>
            <w:fldChar w:fldCharType="separate"/>
          </w:r>
          <w:r>
            <w:rPr>
              <w:rFonts w:hint="eastAsia" w:ascii="仿宋_GB2312" w:hAnsi="仿宋" w:eastAsia="仿宋_GB2312" w:cs="宋体"/>
              <w:bCs/>
              <w:color w:val="auto"/>
              <w:szCs w:val="32"/>
              <w:highlight w:val="none"/>
            </w:rPr>
            <w:t>（六）评价等级划分</w:t>
          </w:r>
          <w:r>
            <w:rPr>
              <w:color w:val="auto"/>
              <w:highlight w:val="none"/>
            </w:rPr>
            <w:tab/>
          </w:r>
          <w:r>
            <w:rPr>
              <w:color w:val="auto"/>
              <w:highlight w:val="none"/>
            </w:rPr>
            <w:fldChar w:fldCharType="begin"/>
          </w:r>
          <w:r>
            <w:rPr>
              <w:color w:val="auto"/>
              <w:highlight w:val="none"/>
            </w:rPr>
            <w:instrText xml:space="preserve"> PAGEREF _Toc31692 </w:instrText>
          </w:r>
          <w:r>
            <w:rPr>
              <w:color w:val="auto"/>
              <w:highlight w:val="none"/>
            </w:rPr>
            <w:fldChar w:fldCharType="separate"/>
          </w:r>
          <w:r>
            <w:rPr>
              <w:color w:val="auto"/>
              <w:highlight w:val="none"/>
            </w:rPr>
            <w:t>7</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_Toc24267 </w:instrText>
          </w:r>
          <w:r>
            <w:rPr>
              <w:bCs w:val="0"/>
              <w:color w:val="auto"/>
              <w:szCs w:val="24"/>
              <w:highlight w:val="none"/>
            </w:rPr>
            <w:fldChar w:fldCharType="separate"/>
          </w:r>
          <w:r>
            <w:rPr>
              <w:rFonts w:hint="eastAsia" w:ascii="仿宋_GB2312" w:hAnsi="仿宋" w:eastAsia="仿宋_GB2312" w:cs="宋体"/>
              <w:bCs/>
              <w:color w:val="auto"/>
              <w:szCs w:val="32"/>
              <w:highlight w:val="none"/>
            </w:rPr>
            <w:t>（七）评价工作实施情况</w:t>
          </w:r>
          <w:r>
            <w:rPr>
              <w:color w:val="auto"/>
              <w:highlight w:val="none"/>
            </w:rPr>
            <w:tab/>
          </w:r>
          <w:r>
            <w:rPr>
              <w:color w:val="auto"/>
              <w:highlight w:val="none"/>
            </w:rPr>
            <w:fldChar w:fldCharType="begin"/>
          </w:r>
          <w:r>
            <w:rPr>
              <w:color w:val="auto"/>
              <w:highlight w:val="none"/>
            </w:rPr>
            <w:instrText xml:space="preserve"> PAGEREF _Toc24267 </w:instrText>
          </w:r>
          <w:r>
            <w:rPr>
              <w:color w:val="auto"/>
              <w:highlight w:val="none"/>
            </w:rPr>
            <w:fldChar w:fldCharType="separate"/>
          </w:r>
          <w:r>
            <w:rPr>
              <w:color w:val="auto"/>
              <w:highlight w:val="none"/>
            </w:rPr>
            <w:t>7</w:t>
          </w:r>
          <w:r>
            <w:rPr>
              <w:color w:val="auto"/>
              <w:highlight w:val="none"/>
            </w:rPr>
            <w:fldChar w:fldCharType="end"/>
          </w:r>
          <w:r>
            <w:rPr>
              <w:bCs w:val="0"/>
              <w:color w:val="auto"/>
              <w:szCs w:val="24"/>
              <w:highlight w:val="none"/>
            </w:rPr>
            <w:fldChar w:fldCharType="end"/>
          </w:r>
        </w:p>
        <w:p>
          <w:pPr>
            <w:pStyle w:val="13"/>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_Toc27359 </w:instrText>
          </w:r>
          <w:r>
            <w:rPr>
              <w:bCs w:val="0"/>
              <w:color w:val="auto"/>
              <w:szCs w:val="24"/>
              <w:highlight w:val="none"/>
            </w:rPr>
            <w:fldChar w:fldCharType="separate"/>
          </w:r>
          <w:r>
            <w:rPr>
              <w:rFonts w:hint="eastAsia" w:ascii="黑体" w:hAnsi="黑体" w:eastAsia="黑体" w:cs="宋体"/>
              <w:color w:val="auto"/>
              <w:szCs w:val="32"/>
              <w:highlight w:val="none"/>
            </w:rPr>
            <w:t>三、绩效评价分析</w:t>
          </w:r>
          <w:r>
            <w:rPr>
              <w:color w:val="auto"/>
              <w:highlight w:val="none"/>
            </w:rPr>
            <w:tab/>
          </w:r>
          <w:r>
            <w:rPr>
              <w:color w:val="auto"/>
              <w:highlight w:val="none"/>
            </w:rPr>
            <w:fldChar w:fldCharType="begin"/>
          </w:r>
          <w:r>
            <w:rPr>
              <w:color w:val="auto"/>
              <w:highlight w:val="none"/>
            </w:rPr>
            <w:instrText xml:space="preserve"> PAGEREF _Toc27359 </w:instrText>
          </w:r>
          <w:r>
            <w:rPr>
              <w:color w:val="auto"/>
              <w:highlight w:val="none"/>
            </w:rPr>
            <w:fldChar w:fldCharType="separate"/>
          </w:r>
          <w:r>
            <w:rPr>
              <w:color w:val="auto"/>
              <w:highlight w:val="none"/>
            </w:rPr>
            <w:t>9</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_Toc5787 </w:instrText>
          </w:r>
          <w:r>
            <w:rPr>
              <w:bCs w:val="0"/>
              <w:color w:val="auto"/>
              <w:szCs w:val="24"/>
              <w:highlight w:val="none"/>
            </w:rPr>
            <w:fldChar w:fldCharType="separate"/>
          </w:r>
          <w:r>
            <w:rPr>
              <w:rFonts w:hint="eastAsia" w:ascii="仿宋_GB2312" w:hAnsi="仿宋" w:eastAsia="仿宋_GB2312" w:cs="宋体"/>
              <w:bCs/>
              <w:color w:val="auto"/>
              <w:szCs w:val="32"/>
              <w:highlight w:val="none"/>
            </w:rPr>
            <w:t>（一）项目决策分析</w:t>
          </w:r>
          <w:r>
            <w:rPr>
              <w:color w:val="auto"/>
              <w:highlight w:val="none"/>
            </w:rPr>
            <w:tab/>
          </w:r>
          <w:r>
            <w:rPr>
              <w:color w:val="auto"/>
              <w:highlight w:val="none"/>
            </w:rPr>
            <w:fldChar w:fldCharType="begin"/>
          </w:r>
          <w:r>
            <w:rPr>
              <w:color w:val="auto"/>
              <w:highlight w:val="none"/>
            </w:rPr>
            <w:instrText xml:space="preserve"> PAGEREF _Toc5787 </w:instrText>
          </w:r>
          <w:r>
            <w:rPr>
              <w:color w:val="auto"/>
              <w:highlight w:val="none"/>
            </w:rPr>
            <w:fldChar w:fldCharType="separate"/>
          </w:r>
          <w:r>
            <w:rPr>
              <w:color w:val="auto"/>
              <w:highlight w:val="none"/>
            </w:rPr>
            <w:t>9</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_Toc5610 </w:instrText>
          </w:r>
          <w:r>
            <w:rPr>
              <w:bCs w:val="0"/>
              <w:color w:val="auto"/>
              <w:szCs w:val="24"/>
              <w:highlight w:val="none"/>
            </w:rPr>
            <w:fldChar w:fldCharType="separate"/>
          </w:r>
          <w:r>
            <w:rPr>
              <w:rFonts w:hint="eastAsia" w:ascii="仿宋_GB2312" w:hAnsi="仿宋" w:eastAsia="仿宋_GB2312" w:cs="宋体"/>
              <w:bCs/>
              <w:color w:val="auto"/>
              <w:szCs w:val="32"/>
              <w:highlight w:val="none"/>
            </w:rPr>
            <w:t>（二）项目管理</w:t>
          </w:r>
          <w:r>
            <w:rPr>
              <w:rFonts w:hint="eastAsia" w:ascii="仿宋_GB2312" w:hAnsi="仿宋" w:eastAsia="仿宋_GB2312" w:cs="宋体"/>
              <w:bCs/>
              <w:color w:val="auto"/>
              <w:szCs w:val="32"/>
              <w:highlight w:val="none"/>
              <w:lang w:val="en-US" w:eastAsia="zh-CN"/>
            </w:rPr>
            <w:t>过程</w:t>
          </w:r>
          <w:r>
            <w:rPr>
              <w:rFonts w:hint="eastAsia" w:ascii="仿宋_GB2312" w:hAnsi="仿宋" w:eastAsia="仿宋_GB2312" w:cs="宋体"/>
              <w:bCs/>
              <w:color w:val="auto"/>
              <w:szCs w:val="32"/>
              <w:highlight w:val="none"/>
            </w:rPr>
            <w:t>情况分析</w:t>
          </w:r>
          <w:r>
            <w:rPr>
              <w:color w:val="auto"/>
              <w:highlight w:val="none"/>
            </w:rPr>
            <w:tab/>
          </w:r>
          <w:r>
            <w:rPr>
              <w:color w:val="auto"/>
              <w:highlight w:val="none"/>
            </w:rPr>
            <w:fldChar w:fldCharType="begin"/>
          </w:r>
          <w:r>
            <w:rPr>
              <w:color w:val="auto"/>
              <w:highlight w:val="none"/>
            </w:rPr>
            <w:instrText xml:space="preserve"> PAGEREF _Toc5610 </w:instrText>
          </w:r>
          <w:r>
            <w:rPr>
              <w:color w:val="auto"/>
              <w:highlight w:val="none"/>
            </w:rPr>
            <w:fldChar w:fldCharType="separate"/>
          </w:r>
          <w:r>
            <w:rPr>
              <w:color w:val="auto"/>
              <w:highlight w:val="none"/>
            </w:rPr>
            <w:t>11</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_Toc31015 </w:instrText>
          </w:r>
          <w:r>
            <w:rPr>
              <w:bCs w:val="0"/>
              <w:color w:val="auto"/>
              <w:szCs w:val="24"/>
              <w:highlight w:val="none"/>
            </w:rPr>
            <w:fldChar w:fldCharType="separate"/>
          </w:r>
          <w:r>
            <w:rPr>
              <w:rFonts w:hint="eastAsia" w:ascii="仿宋_GB2312" w:hAnsi="仿宋" w:eastAsia="仿宋_GB2312" w:cs="宋体"/>
              <w:bCs/>
              <w:color w:val="auto"/>
              <w:szCs w:val="32"/>
              <w:highlight w:val="none"/>
            </w:rPr>
            <w:t>（</w:t>
          </w:r>
          <w:r>
            <w:rPr>
              <w:rFonts w:hint="eastAsia" w:ascii="仿宋_GB2312" w:hAnsi="仿宋" w:eastAsia="仿宋_GB2312" w:cs="宋体"/>
              <w:bCs/>
              <w:color w:val="auto"/>
              <w:szCs w:val="32"/>
              <w:highlight w:val="none"/>
              <w:lang w:val="en-US" w:eastAsia="zh-CN"/>
            </w:rPr>
            <w:t>三</w:t>
          </w:r>
          <w:r>
            <w:rPr>
              <w:rFonts w:hint="eastAsia" w:ascii="仿宋_GB2312" w:hAnsi="仿宋" w:eastAsia="仿宋_GB2312" w:cs="宋体"/>
              <w:bCs/>
              <w:color w:val="auto"/>
              <w:szCs w:val="32"/>
              <w:highlight w:val="none"/>
            </w:rPr>
            <w:t>）项目</w:t>
          </w:r>
          <w:r>
            <w:rPr>
              <w:rFonts w:hint="eastAsia" w:ascii="仿宋_GB2312" w:hAnsi="仿宋" w:eastAsia="仿宋_GB2312" w:cs="宋体"/>
              <w:bCs/>
              <w:color w:val="auto"/>
              <w:szCs w:val="32"/>
              <w:highlight w:val="none"/>
              <w:lang w:val="en-US" w:eastAsia="zh-CN"/>
            </w:rPr>
            <w:t>产出</w:t>
          </w:r>
          <w:r>
            <w:rPr>
              <w:rFonts w:hint="eastAsia" w:ascii="仿宋_GB2312" w:hAnsi="仿宋" w:eastAsia="仿宋_GB2312" w:cs="宋体"/>
              <w:bCs/>
              <w:color w:val="auto"/>
              <w:szCs w:val="32"/>
              <w:highlight w:val="none"/>
            </w:rPr>
            <w:t>情况分析</w:t>
          </w:r>
          <w:r>
            <w:rPr>
              <w:color w:val="auto"/>
              <w:highlight w:val="none"/>
            </w:rPr>
            <w:tab/>
          </w:r>
          <w:r>
            <w:rPr>
              <w:color w:val="auto"/>
              <w:highlight w:val="none"/>
            </w:rPr>
            <w:fldChar w:fldCharType="begin"/>
          </w:r>
          <w:r>
            <w:rPr>
              <w:color w:val="auto"/>
              <w:highlight w:val="none"/>
            </w:rPr>
            <w:instrText xml:space="preserve"> PAGEREF _Toc31015 </w:instrText>
          </w:r>
          <w:r>
            <w:rPr>
              <w:color w:val="auto"/>
              <w:highlight w:val="none"/>
            </w:rPr>
            <w:fldChar w:fldCharType="separate"/>
          </w:r>
          <w:r>
            <w:rPr>
              <w:color w:val="auto"/>
              <w:highlight w:val="none"/>
            </w:rPr>
            <w:t>13</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_Toc3708 </w:instrText>
          </w:r>
          <w:r>
            <w:rPr>
              <w:bCs w:val="0"/>
              <w:color w:val="auto"/>
              <w:szCs w:val="24"/>
              <w:highlight w:val="none"/>
            </w:rPr>
            <w:fldChar w:fldCharType="separate"/>
          </w:r>
          <w:r>
            <w:rPr>
              <w:rFonts w:hint="eastAsia" w:ascii="仿宋_GB2312" w:hAnsi="仿宋" w:eastAsia="仿宋_GB2312" w:cs="宋体"/>
              <w:bCs/>
              <w:color w:val="auto"/>
              <w:szCs w:val="32"/>
              <w:highlight w:val="none"/>
              <w:lang w:val="en-US" w:eastAsia="zh-CN"/>
            </w:rPr>
            <w:t>（四）项目效益评价分析</w:t>
          </w:r>
          <w:r>
            <w:rPr>
              <w:color w:val="auto"/>
              <w:highlight w:val="none"/>
            </w:rPr>
            <w:tab/>
          </w:r>
          <w:r>
            <w:rPr>
              <w:color w:val="auto"/>
              <w:highlight w:val="none"/>
            </w:rPr>
            <w:fldChar w:fldCharType="begin"/>
          </w:r>
          <w:r>
            <w:rPr>
              <w:color w:val="auto"/>
              <w:highlight w:val="none"/>
            </w:rPr>
            <w:instrText xml:space="preserve"> PAGEREF _Toc3708 </w:instrText>
          </w:r>
          <w:r>
            <w:rPr>
              <w:color w:val="auto"/>
              <w:highlight w:val="none"/>
            </w:rPr>
            <w:fldChar w:fldCharType="separate"/>
          </w:r>
          <w:r>
            <w:rPr>
              <w:color w:val="auto"/>
              <w:highlight w:val="none"/>
            </w:rPr>
            <w:t>13</w:t>
          </w:r>
          <w:r>
            <w:rPr>
              <w:color w:val="auto"/>
              <w:highlight w:val="none"/>
            </w:rPr>
            <w:fldChar w:fldCharType="end"/>
          </w:r>
          <w:r>
            <w:rPr>
              <w:bCs w:val="0"/>
              <w:color w:val="auto"/>
              <w:szCs w:val="24"/>
              <w:highlight w:val="none"/>
            </w:rPr>
            <w:fldChar w:fldCharType="end"/>
          </w:r>
        </w:p>
        <w:p>
          <w:pPr>
            <w:pStyle w:val="13"/>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_Toc6584 </w:instrText>
          </w:r>
          <w:r>
            <w:rPr>
              <w:bCs w:val="0"/>
              <w:color w:val="auto"/>
              <w:szCs w:val="24"/>
              <w:highlight w:val="none"/>
            </w:rPr>
            <w:fldChar w:fldCharType="separate"/>
          </w:r>
          <w:r>
            <w:rPr>
              <w:rFonts w:hint="eastAsia" w:ascii="黑体" w:hAnsi="黑体" w:eastAsia="黑体" w:cs="宋体"/>
              <w:color w:val="auto"/>
              <w:szCs w:val="32"/>
              <w:highlight w:val="none"/>
              <w:lang w:val="en-US" w:eastAsia="zh-CN"/>
            </w:rPr>
            <w:t>四、</w:t>
          </w:r>
          <w:r>
            <w:rPr>
              <w:rFonts w:hint="eastAsia" w:ascii="黑体" w:hAnsi="黑体" w:eastAsia="黑体" w:cs="宋体"/>
              <w:color w:val="auto"/>
              <w:szCs w:val="32"/>
              <w:highlight w:val="none"/>
            </w:rPr>
            <w:t>评价结论</w:t>
          </w:r>
          <w:r>
            <w:rPr>
              <w:color w:val="auto"/>
              <w:highlight w:val="none"/>
            </w:rPr>
            <w:tab/>
          </w:r>
          <w:r>
            <w:rPr>
              <w:color w:val="auto"/>
              <w:highlight w:val="none"/>
            </w:rPr>
            <w:fldChar w:fldCharType="begin"/>
          </w:r>
          <w:r>
            <w:rPr>
              <w:color w:val="auto"/>
              <w:highlight w:val="none"/>
            </w:rPr>
            <w:instrText xml:space="preserve"> PAGEREF _Toc6584 </w:instrText>
          </w:r>
          <w:r>
            <w:rPr>
              <w:color w:val="auto"/>
              <w:highlight w:val="none"/>
            </w:rPr>
            <w:fldChar w:fldCharType="separate"/>
          </w:r>
          <w:r>
            <w:rPr>
              <w:color w:val="auto"/>
              <w:highlight w:val="none"/>
            </w:rPr>
            <w:t>14</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_Toc13481 </w:instrText>
          </w:r>
          <w:r>
            <w:rPr>
              <w:bCs w:val="0"/>
              <w:color w:val="auto"/>
              <w:szCs w:val="24"/>
              <w:highlight w:val="none"/>
            </w:rPr>
            <w:fldChar w:fldCharType="separate"/>
          </w:r>
          <w:r>
            <w:rPr>
              <w:rFonts w:hint="eastAsia" w:ascii="仿宋_GB2312" w:hAnsi="仿宋" w:eastAsia="仿宋_GB2312" w:cs="宋体"/>
              <w:bCs/>
              <w:color w:val="auto"/>
              <w:szCs w:val="32"/>
              <w:highlight w:val="none"/>
            </w:rPr>
            <w:t>（一）评分结果</w:t>
          </w:r>
          <w:r>
            <w:rPr>
              <w:color w:val="auto"/>
              <w:highlight w:val="none"/>
            </w:rPr>
            <w:tab/>
          </w:r>
          <w:r>
            <w:rPr>
              <w:color w:val="auto"/>
              <w:highlight w:val="none"/>
            </w:rPr>
            <w:fldChar w:fldCharType="begin"/>
          </w:r>
          <w:r>
            <w:rPr>
              <w:color w:val="auto"/>
              <w:highlight w:val="none"/>
            </w:rPr>
            <w:instrText xml:space="preserve"> PAGEREF _Toc13481 </w:instrText>
          </w:r>
          <w:r>
            <w:rPr>
              <w:color w:val="auto"/>
              <w:highlight w:val="none"/>
            </w:rPr>
            <w:fldChar w:fldCharType="separate"/>
          </w:r>
          <w:r>
            <w:rPr>
              <w:color w:val="auto"/>
              <w:highlight w:val="none"/>
            </w:rPr>
            <w:t>14</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_Toc3803 </w:instrText>
          </w:r>
          <w:r>
            <w:rPr>
              <w:bCs w:val="0"/>
              <w:color w:val="auto"/>
              <w:szCs w:val="24"/>
              <w:highlight w:val="none"/>
            </w:rPr>
            <w:fldChar w:fldCharType="separate"/>
          </w:r>
          <w:r>
            <w:rPr>
              <w:rFonts w:hint="eastAsia" w:ascii="仿宋_GB2312" w:hAnsi="仿宋" w:eastAsia="仿宋_GB2312" w:cs="宋体"/>
              <w:bCs/>
              <w:color w:val="auto"/>
              <w:szCs w:val="32"/>
              <w:highlight w:val="none"/>
            </w:rPr>
            <w:t>（二）项目总体评价结论</w:t>
          </w:r>
          <w:r>
            <w:rPr>
              <w:color w:val="auto"/>
              <w:highlight w:val="none"/>
            </w:rPr>
            <w:tab/>
          </w:r>
          <w:r>
            <w:rPr>
              <w:color w:val="auto"/>
              <w:highlight w:val="none"/>
            </w:rPr>
            <w:fldChar w:fldCharType="begin"/>
          </w:r>
          <w:r>
            <w:rPr>
              <w:color w:val="auto"/>
              <w:highlight w:val="none"/>
            </w:rPr>
            <w:instrText xml:space="preserve"> PAGEREF _Toc3803 </w:instrText>
          </w:r>
          <w:r>
            <w:rPr>
              <w:color w:val="auto"/>
              <w:highlight w:val="none"/>
            </w:rPr>
            <w:fldChar w:fldCharType="separate"/>
          </w:r>
          <w:r>
            <w:rPr>
              <w:color w:val="auto"/>
              <w:highlight w:val="none"/>
            </w:rPr>
            <w:t>14</w:t>
          </w:r>
          <w:r>
            <w:rPr>
              <w:color w:val="auto"/>
              <w:highlight w:val="none"/>
            </w:rPr>
            <w:fldChar w:fldCharType="end"/>
          </w:r>
          <w:r>
            <w:rPr>
              <w:bCs w:val="0"/>
              <w:color w:val="auto"/>
              <w:szCs w:val="24"/>
              <w:highlight w:val="none"/>
            </w:rPr>
            <w:fldChar w:fldCharType="end"/>
          </w:r>
        </w:p>
        <w:p>
          <w:pPr>
            <w:pStyle w:val="13"/>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_Toc7267 </w:instrText>
          </w:r>
          <w:r>
            <w:rPr>
              <w:bCs w:val="0"/>
              <w:color w:val="auto"/>
              <w:szCs w:val="24"/>
              <w:highlight w:val="none"/>
            </w:rPr>
            <w:fldChar w:fldCharType="separate"/>
          </w:r>
          <w:r>
            <w:rPr>
              <w:rFonts w:hint="eastAsia" w:ascii="黑体" w:hAnsi="黑体" w:eastAsia="黑体" w:cs="宋体"/>
              <w:color w:val="auto"/>
              <w:szCs w:val="32"/>
              <w:highlight w:val="none"/>
            </w:rPr>
            <w:t>五、问题</w:t>
          </w:r>
          <w:r>
            <w:rPr>
              <w:rFonts w:hint="eastAsia" w:ascii="黑体" w:hAnsi="黑体" w:eastAsia="黑体" w:cs="宋体"/>
              <w:color w:val="auto"/>
              <w:szCs w:val="32"/>
              <w:highlight w:val="none"/>
              <w:lang w:val="en-US" w:eastAsia="zh-CN"/>
            </w:rPr>
            <w:t>及建议</w:t>
          </w:r>
          <w:r>
            <w:rPr>
              <w:color w:val="auto"/>
              <w:highlight w:val="none"/>
            </w:rPr>
            <w:tab/>
          </w:r>
          <w:r>
            <w:rPr>
              <w:color w:val="auto"/>
              <w:highlight w:val="none"/>
            </w:rPr>
            <w:fldChar w:fldCharType="begin"/>
          </w:r>
          <w:r>
            <w:rPr>
              <w:color w:val="auto"/>
              <w:highlight w:val="none"/>
            </w:rPr>
            <w:instrText xml:space="preserve"> PAGEREF _Toc7267 </w:instrText>
          </w:r>
          <w:r>
            <w:rPr>
              <w:color w:val="auto"/>
              <w:highlight w:val="none"/>
            </w:rPr>
            <w:fldChar w:fldCharType="separate"/>
          </w:r>
          <w:r>
            <w:rPr>
              <w:color w:val="auto"/>
              <w:highlight w:val="none"/>
            </w:rPr>
            <w:t>14</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_Toc2013 </w:instrText>
          </w:r>
          <w:r>
            <w:rPr>
              <w:bCs w:val="0"/>
              <w:color w:val="auto"/>
              <w:szCs w:val="24"/>
              <w:highlight w:val="none"/>
            </w:rPr>
            <w:fldChar w:fldCharType="separate"/>
          </w:r>
          <w:r>
            <w:rPr>
              <w:rFonts w:hint="eastAsia" w:ascii="仿宋_GB2312" w:hAnsi="仿宋" w:eastAsia="仿宋_GB2312" w:cs="宋体"/>
              <w:bCs/>
              <w:color w:val="auto"/>
              <w:szCs w:val="32"/>
              <w:highlight w:val="none"/>
            </w:rPr>
            <w:t>（一）问题</w:t>
          </w:r>
          <w:r>
            <w:rPr>
              <w:color w:val="auto"/>
              <w:highlight w:val="none"/>
            </w:rPr>
            <w:tab/>
          </w:r>
          <w:r>
            <w:rPr>
              <w:color w:val="auto"/>
              <w:highlight w:val="none"/>
            </w:rPr>
            <w:fldChar w:fldCharType="begin"/>
          </w:r>
          <w:r>
            <w:rPr>
              <w:color w:val="auto"/>
              <w:highlight w:val="none"/>
            </w:rPr>
            <w:instrText xml:space="preserve"> PAGEREF _Toc2013 </w:instrText>
          </w:r>
          <w:r>
            <w:rPr>
              <w:color w:val="auto"/>
              <w:highlight w:val="none"/>
            </w:rPr>
            <w:fldChar w:fldCharType="separate"/>
          </w:r>
          <w:r>
            <w:rPr>
              <w:color w:val="auto"/>
              <w:highlight w:val="none"/>
            </w:rPr>
            <w:t>15</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_Toc4075 </w:instrText>
          </w:r>
          <w:r>
            <w:rPr>
              <w:bCs w:val="0"/>
              <w:color w:val="auto"/>
              <w:szCs w:val="24"/>
              <w:highlight w:val="none"/>
            </w:rPr>
            <w:fldChar w:fldCharType="separate"/>
          </w:r>
          <w:r>
            <w:rPr>
              <w:rFonts w:hint="eastAsia" w:ascii="仿宋_GB2312" w:hAnsi="仿宋" w:eastAsia="仿宋_GB2312" w:cs="宋体"/>
              <w:bCs/>
              <w:color w:val="auto"/>
              <w:szCs w:val="32"/>
              <w:highlight w:val="none"/>
            </w:rPr>
            <w:t>（</w:t>
          </w:r>
          <w:r>
            <w:rPr>
              <w:rFonts w:hint="eastAsia" w:ascii="仿宋_GB2312" w:hAnsi="仿宋" w:eastAsia="仿宋_GB2312" w:cs="宋体"/>
              <w:bCs/>
              <w:color w:val="auto"/>
              <w:szCs w:val="32"/>
              <w:highlight w:val="none"/>
              <w:lang w:val="en-US" w:eastAsia="zh-CN"/>
            </w:rPr>
            <w:t>二</w:t>
          </w:r>
          <w:r>
            <w:rPr>
              <w:rFonts w:hint="eastAsia" w:ascii="仿宋_GB2312" w:hAnsi="仿宋" w:eastAsia="仿宋_GB2312" w:cs="宋体"/>
              <w:bCs/>
              <w:color w:val="auto"/>
              <w:szCs w:val="32"/>
              <w:highlight w:val="none"/>
            </w:rPr>
            <w:t>）意见和建议</w:t>
          </w:r>
          <w:r>
            <w:rPr>
              <w:color w:val="auto"/>
              <w:highlight w:val="none"/>
            </w:rPr>
            <w:tab/>
          </w:r>
          <w:r>
            <w:rPr>
              <w:color w:val="auto"/>
              <w:highlight w:val="none"/>
            </w:rPr>
            <w:fldChar w:fldCharType="begin"/>
          </w:r>
          <w:r>
            <w:rPr>
              <w:color w:val="auto"/>
              <w:highlight w:val="none"/>
            </w:rPr>
            <w:instrText xml:space="preserve"> PAGEREF _Toc4075 </w:instrText>
          </w:r>
          <w:r>
            <w:rPr>
              <w:color w:val="auto"/>
              <w:highlight w:val="none"/>
            </w:rPr>
            <w:fldChar w:fldCharType="separate"/>
          </w:r>
          <w:r>
            <w:rPr>
              <w:color w:val="auto"/>
              <w:highlight w:val="none"/>
            </w:rPr>
            <w:t>15</w:t>
          </w:r>
          <w:r>
            <w:rPr>
              <w:color w:val="auto"/>
              <w:highlight w:val="none"/>
            </w:rPr>
            <w:fldChar w:fldCharType="end"/>
          </w:r>
          <w:r>
            <w:rPr>
              <w:bCs w:val="0"/>
              <w:color w:val="auto"/>
              <w:szCs w:val="24"/>
              <w:highlight w:val="none"/>
            </w:rPr>
            <w:fldChar w:fldCharType="end"/>
          </w:r>
        </w:p>
        <w:p>
          <w:pPr>
            <w:pStyle w:val="13"/>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_Toc17475 </w:instrText>
          </w:r>
          <w:r>
            <w:rPr>
              <w:bCs w:val="0"/>
              <w:color w:val="auto"/>
              <w:szCs w:val="24"/>
              <w:highlight w:val="none"/>
            </w:rPr>
            <w:fldChar w:fldCharType="separate"/>
          </w:r>
          <w:r>
            <w:rPr>
              <w:rFonts w:hint="eastAsia" w:ascii="黑体" w:hAnsi="黑体" w:eastAsia="黑体" w:cs="宋体"/>
              <w:color w:val="auto"/>
              <w:szCs w:val="32"/>
              <w:highlight w:val="none"/>
            </w:rPr>
            <w:t>六、主要经验及做法</w:t>
          </w:r>
          <w:r>
            <w:rPr>
              <w:color w:val="auto"/>
              <w:highlight w:val="none"/>
            </w:rPr>
            <w:tab/>
          </w:r>
          <w:r>
            <w:rPr>
              <w:color w:val="auto"/>
              <w:highlight w:val="none"/>
            </w:rPr>
            <w:fldChar w:fldCharType="begin"/>
          </w:r>
          <w:r>
            <w:rPr>
              <w:color w:val="auto"/>
              <w:highlight w:val="none"/>
            </w:rPr>
            <w:instrText xml:space="preserve"> PAGEREF _Toc17475 </w:instrText>
          </w:r>
          <w:r>
            <w:rPr>
              <w:color w:val="auto"/>
              <w:highlight w:val="none"/>
            </w:rPr>
            <w:fldChar w:fldCharType="separate"/>
          </w:r>
          <w:r>
            <w:rPr>
              <w:color w:val="auto"/>
              <w:highlight w:val="none"/>
            </w:rPr>
            <w:t>15</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_Toc32230 </w:instrText>
          </w:r>
          <w:r>
            <w:rPr>
              <w:bCs w:val="0"/>
              <w:color w:val="auto"/>
              <w:szCs w:val="24"/>
              <w:highlight w:val="none"/>
            </w:rPr>
            <w:fldChar w:fldCharType="separate"/>
          </w:r>
          <w:r>
            <w:rPr>
              <w:rFonts w:hint="eastAsia" w:ascii="仿宋_GB2312" w:hAnsi="仿宋" w:eastAsia="仿宋_GB2312" w:cs="宋体"/>
              <w:bCs/>
              <w:color w:val="auto"/>
              <w:szCs w:val="32"/>
              <w:highlight w:val="none"/>
            </w:rPr>
            <w:t>（一）项目实施过程有效监控</w:t>
          </w:r>
          <w:r>
            <w:rPr>
              <w:color w:val="auto"/>
              <w:highlight w:val="none"/>
            </w:rPr>
            <w:tab/>
          </w:r>
          <w:r>
            <w:rPr>
              <w:color w:val="auto"/>
              <w:highlight w:val="none"/>
            </w:rPr>
            <w:fldChar w:fldCharType="begin"/>
          </w:r>
          <w:r>
            <w:rPr>
              <w:color w:val="auto"/>
              <w:highlight w:val="none"/>
            </w:rPr>
            <w:instrText xml:space="preserve"> PAGEREF _Toc32230 </w:instrText>
          </w:r>
          <w:r>
            <w:rPr>
              <w:color w:val="auto"/>
              <w:highlight w:val="none"/>
            </w:rPr>
            <w:fldChar w:fldCharType="separate"/>
          </w:r>
          <w:r>
            <w:rPr>
              <w:color w:val="auto"/>
              <w:highlight w:val="none"/>
            </w:rPr>
            <w:t>15</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_Toc22631 </w:instrText>
          </w:r>
          <w:r>
            <w:rPr>
              <w:bCs w:val="0"/>
              <w:color w:val="auto"/>
              <w:szCs w:val="24"/>
              <w:highlight w:val="none"/>
            </w:rPr>
            <w:fldChar w:fldCharType="separate"/>
          </w:r>
          <w:r>
            <w:rPr>
              <w:rFonts w:hint="eastAsia" w:ascii="仿宋_GB2312" w:hAnsi="仿宋" w:eastAsia="仿宋_GB2312" w:cs="宋体"/>
              <w:bCs/>
              <w:color w:val="auto"/>
              <w:szCs w:val="32"/>
              <w:highlight w:val="none"/>
            </w:rPr>
            <w:t>（二）强化领导，明确职责，合理安排使用资金</w:t>
          </w:r>
          <w:r>
            <w:rPr>
              <w:color w:val="auto"/>
              <w:highlight w:val="none"/>
            </w:rPr>
            <w:tab/>
          </w:r>
          <w:r>
            <w:rPr>
              <w:color w:val="auto"/>
              <w:highlight w:val="none"/>
            </w:rPr>
            <w:fldChar w:fldCharType="begin"/>
          </w:r>
          <w:r>
            <w:rPr>
              <w:color w:val="auto"/>
              <w:highlight w:val="none"/>
            </w:rPr>
            <w:instrText xml:space="preserve"> PAGEREF _Toc22631 </w:instrText>
          </w:r>
          <w:r>
            <w:rPr>
              <w:color w:val="auto"/>
              <w:highlight w:val="none"/>
            </w:rPr>
            <w:fldChar w:fldCharType="separate"/>
          </w:r>
          <w:r>
            <w:rPr>
              <w:color w:val="auto"/>
              <w:highlight w:val="none"/>
            </w:rPr>
            <w:t>15</w:t>
          </w:r>
          <w:r>
            <w:rPr>
              <w:color w:val="auto"/>
              <w:highlight w:val="none"/>
            </w:rPr>
            <w:fldChar w:fldCharType="end"/>
          </w:r>
          <w:r>
            <w:rPr>
              <w:bCs w:val="0"/>
              <w:color w:val="auto"/>
              <w:szCs w:val="24"/>
              <w:highlight w:val="none"/>
            </w:rPr>
            <w:fldChar w:fldCharType="end"/>
          </w:r>
        </w:p>
        <w:p>
          <w:pPr>
            <w:pStyle w:val="13"/>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_Toc14650 </w:instrText>
          </w:r>
          <w:r>
            <w:rPr>
              <w:bCs w:val="0"/>
              <w:color w:val="auto"/>
              <w:szCs w:val="24"/>
              <w:highlight w:val="none"/>
            </w:rPr>
            <w:fldChar w:fldCharType="separate"/>
          </w:r>
          <w:r>
            <w:rPr>
              <w:rFonts w:hint="eastAsia" w:ascii="黑体" w:hAnsi="黑体" w:eastAsia="黑体" w:cs="宋体"/>
              <w:color w:val="auto"/>
              <w:szCs w:val="32"/>
              <w:highlight w:val="none"/>
            </w:rPr>
            <w:t>七、评价结果应用建议</w:t>
          </w:r>
          <w:r>
            <w:rPr>
              <w:color w:val="auto"/>
              <w:highlight w:val="none"/>
            </w:rPr>
            <w:tab/>
          </w:r>
          <w:r>
            <w:rPr>
              <w:color w:val="auto"/>
              <w:highlight w:val="none"/>
            </w:rPr>
            <w:fldChar w:fldCharType="begin"/>
          </w:r>
          <w:r>
            <w:rPr>
              <w:color w:val="auto"/>
              <w:highlight w:val="none"/>
            </w:rPr>
            <w:instrText xml:space="preserve"> PAGEREF _Toc14650 </w:instrText>
          </w:r>
          <w:r>
            <w:rPr>
              <w:color w:val="auto"/>
              <w:highlight w:val="none"/>
            </w:rPr>
            <w:fldChar w:fldCharType="separate"/>
          </w:r>
          <w:r>
            <w:rPr>
              <w:color w:val="auto"/>
              <w:highlight w:val="none"/>
            </w:rPr>
            <w:t>15</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_Toc6072 </w:instrText>
          </w:r>
          <w:r>
            <w:rPr>
              <w:bCs w:val="0"/>
              <w:color w:val="auto"/>
              <w:szCs w:val="24"/>
              <w:highlight w:val="none"/>
            </w:rPr>
            <w:fldChar w:fldCharType="separate"/>
          </w:r>
          <w:r>
            <w:rPr>
              <w:rFonts w:hint="eastAsia" w:ascii="仿宋_GB2312" w:hAnsi="黑体" w:eastAsia="仿宋_GB2312" w:cs="Times New Roman"/>
              <w:bCs/>
              <w:color w:val="auto"/>
              <w:szCs w:val="32"/>
              <w:highlight w:val="none"/>
            </w:rPr>
            <w:t>（一）及时对发现的问题进行整改</w:t>
          </w:r>
          <w:r>
            <w:rPr>
              <w:color w:val="auto"/>
              <w:highlight w:val="none"/>
            </w:rPr>
            <w:tab/>
          </w:r>
          <w:r>
            <w:rPr>
              <w:color w:val="auto"/>
              <w:highlight w:val="none"/>
            </w:rPr>
            <w:fldChar w:fldCharType="begin"/>
          </w:r>
          <w:r>
            <w:rPr>
              <w:color w:val="auto"/>
              <w:highlight w:val="none"/>
            </w:rPr>
            <w:instrText xml:space="preserve"> PAGEREF _Toc6072 </w:instrText>
          </w:r>
          <w:r>
            <w:rPr>
              <w:color w:val="auto"/>
              <w:highlight w:val="none"/>
            </w:rPr>
            <w:fldChar w:fldCharType="separate"/>
          </w:r>
          <w:r>
            <w:rPr>
              <w:color w:val="auto"/>
              <w:highlight w:val="none"/>
            </w:rPr>
            <w:t>16</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_Toc20240 </w:instrText>
          </w:r>
          <w:r>
            <w:rPr>
              <w:bCs w:val="0"/>
              <w:color w:val="auto"/>
              <w:szCs w:val="24"/>
              <w:highlight w:val="none"/>
            </w:rPr>
            <w:fldChar w:fldCharType="separate"/>
          </w:r>
          <w:r>
            <w:rPr>
              <w:rFonts w:hint="eastAsia" w:ascii="仿宋_GB2312" w:hAnsi="黑体" w:eastAsia="仿宋_GB2312" w:cs="Times New Roman"/>
              <w:bCs/>
              <w:color w:val="auto"/>
              <w:szCs w:val="32"/>
              <w:highlight w:val="none"/>
            </w:rPr>
            <w:t>（二） 建立绩效评价结果应用制度</w:t>
          </w:r>
          <w:r>
            <w:rPr>
              <w:color w:val="auto"/>
              <w:highlight w:val="none"/>
            </w:rPr>
            <w:tab/>
          </w:r>
          <w:r>
            <w:rPr>
              <w:color w:val="auto"/>
              <w:highlight w:val="none"/>
            </w:rPr>
            <w:fldChar w:fldCharType="begin"/>
          </w:r>
          <w:r>
            <w:rPr>
              <w:color w:val="auto"/>
              <w:highlight w:val="none"/>
            </w:rPr>
            <w:instrText xml:space="preserve"> PAGEREF _Toc20240 </w:instrText>
          </w:r>
          <w:r>
            <w:rPr>
              <w:color w:val="auto"/>
              <w:highlight w:val="none"/>
            </w:rPr>
            <w:fldChar w:fldCharType="separate"/>
          </w:r>
          <w:r>
            <w:rPr>
              <w:color w:val="auto"/>
              <w:highlight w:val="none"/>
            </w:rPr>
            <w:t>16</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_Toc5443 </w:instrText>
          </w:r>
          <w:r>
            <w:rPr>
              <w:bCs w:val="0"/>
              <w:color w:val="auto"/>
              <w:szCs w:val="24"/>
              <w:highlight w:val="none"/>
            </w:rPr>
            <w:fldChar w:fldCharType="separate"/>
          </w:r>
          <w:r>
            <w:rPr>
              <w:rFonts w:hint="eastAsia" w:ascii="仿宋_GB2312" w:hAnsi="黑体" w:eastAsia="仿宋_GB2312" w:cs="Times New Roman"/>
              <w:bCs/>
              <w:color w:val="auto"/>
              <w:szCs w:val="32"/>
              <w:highlight w:val="none"/>
            </w:rPr>
            <w:t>（三）</w:t>
          </w:r>
          <w:r>
            <w:rPr>
              <w:rFonts w:hint="eastAsia" w:ascii="仿宋_GB2312" w:hAnsi="黑体" w:eastAsia="仿宋_GB2312" w:cs="Times New Roman"/>
              <w:bCs/>
              <w:color w:val="auto"/>
              <w:szCs w:val="32"/>
              <w:highlight w:val="none"/>
              <w:lang w:val="en-US" w:eastAsia="zh-CN"/>
            </w:rPr>
            <w:t>强化</w:t>
          </w:r>
          <w:r>
            <w:rPr>
              <w:rFonts w:hint="eastAsia" w:ascii="仿宋_GB2312" w:hAnsi="黑体" w:eastAsia="仿宋_GB2312" w:cs="Times New Roman"/>
              <w:bCs/>
              <w:color w:val="auto"/>
              <w:szCs w:val="32"/>
              <w:highlight w:val="none"/>
            </w:rPr>
            <w:t>绩效评价结果应用</w:t>
          </w:r>
          <w:r>
            <w:rPr>
              <w:color w:val="auto"/>
              <w:highlight w:val="none"/>
            </w:rPr>
            <w:tab/>
          </w:r>
          <w:r>
            <w:rPr>
              <w:color w:val="auto"/>
              <w:highlight w:val="none"/>
            </w:rPr>
            <w:fldChar w:fldCharType="begin"/>
          </w:r>
          <w:r>
            <w:rPr>
              <w:color w:val="auto"/>
              <w:highlight w:val="none"/>
            </w:rPr>
            <w:instrText xml:space="preserve"> PAGEREF _Toc5443 </w:instrText>
          </w:r>
          <w:r>
            <w:rPr>
              <w:color w:val="auto"/>
              <w:highlight w:val="none"/>
            </w:rPr>
            <w:fldChar w:fldCharType="separate"/>
          </w:r>
          <w:r>
            <w:rPr>
              <w:color w:val="auto"/>
              <w:highlight w:val="none"/>
            </w:rPr>
            <w:t>16</w:t>
          </w:r>
          <w:r>
            <w:rPr>
              <w:color w:val="auto"/>
              <w:highlight w:val="none"/>
            </w:rPr>
            <w:fldChar w:fldCharType="end"/>
          </w:r>
          <w:r>
            <w:rPr>
              <w:bCs w:val="0"/>
              <w:color w:val="auto"/>
              <w:szCs w:val="24"/>
              <w:highlight w:val="none"/>
            </w:rPr>
            <w:fldChar w:fldCharType="end"/>
          </w:r>
        </w:p>
        <w:p>
          <w:pPr>
            <w:pStyle w:val="14"/>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_Toc4069 </w:instrText>
          </w:r>
          <w:r>
            <w:rPr>
              <w:bCs w:val="0"/>
              <w:color w:val="auto"/>
              <w:szCs w:val="24"/>
              <w:highlight w:val="none"/>
            </w:rPr>
            <w:fldChar w:fldCharType="separate"/>
          </w:r>
          <w:r>
            <w:rPr>
              <w:rFonts w:hint="eastAsia" w:ascii="仿宋_GB2312" w:hAnsi="黑体" w:eastAsia="仿宋_GB2312" w:cs="Times New Roman"/>
              <w:bCs/>
              <w:color w:val="auto"/>
              <w:szCs w:val="32"/>
              <w:highlight w:val="none"/>
            </w:rPr>
            <w:t>（四）评价结果公开</w:t>
          </w:r>
          <w:r>
            <w:rPr>
              <w:color w:val="auto"/>
              <w:highlight w:val="none"/>
            </w:rPr>
            <w:tab/>
          </w:r>
          <w:r>
            <w:rPr>
              <w:color w:val="auto"/>
              <w:highlight w:val="none"/>
            </w:rPr>
            <w:fldChar w:fldCharType="begin"/>
          </w:r>
          <w:r>
            <w:rPr>
              <w:color w:val="auto"/>
              <w:highlight w:val="none"/>
            </w:rPr>
            <w:instrText xml:space="preserve"> PAGEREF _Toc4069 </w:instrText>
          </w:r>
          <w:r>
            <w:rPr>
              <w:color w:val="auto"/>
              <w:highlight w:val="none"/>
            </w:rPr>
            <w:fldChar w:fldCharType="separate"/>
          </w:r>
          <w:r>
            <w:rPr>
              <w:color w:val="auto"/>
              <w:highlight w:val="none"/>
            </w:rPr>
            <w:t>17</w:t>
          </w:r>
          <w:r>
            <w:rPr>
              <w:color w:val="auto"/>
              <w:highlight w:val="none"/>
            </w:rPr>
            <w:fldChar w:fldCharType="end"/>
          </w:r>
          <w:r>
            <w:rPr>
              <w:bCs w:val="0"/>
              <w:color w:val="auto"/>
              <w:szCs w:val="24"/>
              <w:highlight w:val="none"/>
            </w:rPr>
            <w:fldChar w:fldCharType="end"/>
          </w:r>
        </w:p>
        <w:p>
          <w:pPr>
            <w:pStyle w:val="13"/>
            <w:tabs>
              <w:tab w:val="right" w:leader="dot" w:pos="8306"/>
            </w:tabs>
            <w:rPr>
              <w:color w:val="auto"/>
              <w:highlight w:val="none"/>
            </w:rPr>
          </w:pPr>
          <w:r>
            <w:rPr>
              <w:bCs w:val="0"/>
              <w:color w:val="auto"/>
              <w:szCs w:val="24"/>
              <w:highlight w:val="none"/>
            </w:rPr>
            <w:fldChar w:fldCharType="begin"/>
          </w:r>
          <w:r>
            <w:rPr>
              <w:bCs w:val="0"/>
              <w:color w:val="auto"/>
              <w:szCs w:val="24"/>
              <w:highlight w:val="none"/>
            </w:rPr>
            <w:instrText xml:space="preserve"> HYPERLINK \l _Toc17018 </w:instrText>
          </w:r>
          <w:r>
            <w:rPr>
              <w:bCs w:val="0"/>
              <w:color w:val="auto"/>
              <w:szCs w:val="24"/>
              <w:highlight w:val="none"/>
            </w:rPr>
            <w:fldChar w:fldCharType="separate"/>
          </w:r>
          <w:r>
            <w:rPr>
              <w:rFonts w:hint="eastAsia" w:ascii="黑体" w:hAnsi="黑体" w:eastAsia="黑体" w:cs="宋体"/>
              <w:color w:val="auto"/>
              <w:szCs w:val="32"/>
              <w:highlight w:val="none"/>
              <w:lang w:val="en-US" w:eastAsia="zh-CN"/>
            </w:rPr>
            <w:t>八、</w:t>
          </w:r>
          <w:r>
            <w:rPr>
              <w:rFonts w:hint="eastAsia" w:ascii="黑体" w:hAnsi="黑体" w:eastAsia="黑体" w:cs="宋体"/>
              <w:color w:val="auto"/>
              <w:szCs w:val="32"/>
              <w:highlight w:val="none"/>
            </w:rPr>
            <w:t>其他需说明的问题</w:t>
          </w:r>
          <w:r>
            <w:rPr>
              <w:color w:val="auto"/>
              <w:highlight w:val="none"/>
            </w:rPr>
            <w:tab/>
          </w:r>
          <w:r>
            <w:rPr>
              <w:color w:val="auto"/>
              <w:highlight w:val="none"/>
            </w:rPr>
            <w:fldChar w:fldCharType="begin"/>
          </w:r>
          <w:r>
            <w:rPr>
              <w:color w:val="auto"/>
              <w:highlight w:val="none"/>
            </w:rPr>
            <w:instrText xml:space="preserve"> PAGEREF _Toc17018 </w:instrText>
          </w:r>
          <w:r>
            <w:rPr>
              <w:color w:val="auto"/>
              <w:highlight w:val="none"/>
            </w:rPr>
            <w:fldChar w:fldCharType="separate"/>
          </w:r>
          <w:r>
            <w:rPr>
              <w:color w:val="auto"/>
              <w:highlight w:val="none"/>
            </w:rPr>
            <w:t>17</w:t>
          </w:r>
          <w:r>
            <w:rPr>
              <w:color w:val="auto"/>
              <w:highlight w:val="none"/>
            </w:rPr>
            <w:fldChar w:fldCharType="end"/>
          </w:r>
          <w:r>
            <w:rPr>
              <w:bCs w:val="0"/>
              <w:color w:val="auto"/>
              <w:szCs w:val="24"/>
              <w:highlight w:val="none"/>
            </w:rPr>
            <w:fldChar w:fldCharType="end"/>
          </w:r>
        </w:p>
        <w:p>
          <w:pPr>
            <w:pStyle w:val="13"/>
            <w:tabs>
              <w:tab w:val="right" w:leader="dot" w:pos="8306"/>
            </w:tabs>
            <w:rPr>
              <w:color w:val="auto"/>
            </w:rPr>
          </w:pPr>
          <w:r>
            <w:rPr>
              <w:bCs w:val="0"/>
              <w:color w:val="auto"/>
              <w:szCs w:val="24"/>
              <w:highlight w:val="none"/>
            </w:rPr>
            <w:fldChar w:fldCharType="begin"/>
          </w:r>
          <w:r>
            <w:rPr>
              <w:bCs w:val="0"/>
              <w:color w:val="auto"/>
              <w:szCs w:val="24"/>
              <w:highlight w:val="none"/>
            </w:rPr>
            <w:instrText xml:space="preserve"> HYPERLINK \l _Toc25791 </w:instrText>
          </w:r>
          <w:r>
            <w:rPr>
              <w:bCs w:val="0"/>
              <w:color w:val="auto"/>
              <w:szCs w:val="24"/>
              <w:highlight w:val="none"/>
            </w:rPr>
            <w:fldChar w:fldCharType="separate"/>
          </w:r>
          <w:r>
            <w:rPr>
              <w:rFonts w:hint="eastAsia" w:ascii="黑体" w:hAnsi="黑体" w:eastAsia="黑体" w:cs="宋体"/>
              <w:color w:val="auto"/>
              <w:szCs w:val="32"/>
              <w:highlight w:val="none"/>
            </w:rPr>
            <w:t>九、附件</w:t>
          </w:r>
          <w:r>
            <w:rPr>
              <w:color w:val="auto"/>
              <w:highlight w:val="none"/>
            </w:rPr>
            <w:tab/>
          </w:r>
          <w:r>
            <w:rPr>
              <w:color w:val="auto"/>
              <w:highlight w:val="none"/>
            </w:rPr>
            <w:fldChar w:fldCharType="begin"/>
          </w:r>
          <w:r>
            <w:rPr>
              <w:color w:val="auto"/>
              <w:highlight w:val="none"/>
            </w:rPr>
            <w:instrText xml:space="preserve"> PAGEREF _Toc25791 </w:instrText>
          </w:r>
          <w:r>
            <w:rPr>
              <w:color w:val="auto"/>
              <w:highlight w:val="none"/>
            </w:rPr>
            <w:fldChar w:fldCharType="separate"/>
          </w:r>
          <w:r>
            <w:rPr>
              <w:color w:val="auto"/>
              <w:highlight w:val="none"/>
            </w:rPr>
            <w:t>18</w:t>
          </w:r>
          <w:r>
            <w:rPr>
              <w:color w:val="auto"/>
              <w:highlight w:val="none"/>
            </w:rPr>
            <w:fldChar w:fldCharType="end"/>
          </w:r>
          <w:r>
            <w:rPr>
              <w:bCs w:val="0"/>
              <w:color w:val="auto"/>
              <w:szCs w:val="24"/>
              <w:highlight w:val="none"/>
            </w:rPr>
            <w:fldChar w:fldCharType="end"/>
          </w:r>
        </w:p>
        <w:p>
          <w:pPr>
            <w:spacing w:before="0" w:beforeLines="0" w:after="0" w:afterLines="0" w:line="240" w:lineRule="auto"/>
            <w:ind w:left="0" w:leftChars="0" w:right="0" w:rightChars="0" w:firstLine="0" w:firstLineChars="0"/>
            <w:jc w:val="center"/>
            <w:rPr>
              <w:b w:val="0"/>
              <w:bCs w:val="0"/>
              <w:color w:val="auto"/>
              <w:highlight w:val="none"/>
            </w:rPr>
          </w:pPr>
          <w:r>
            <w:rPr>
              <w:b w:val="0"/>
              <w:bCs w:val="0"/>
              <w:color w:val="auto"/>
              <w:sz w:val="24"/>
              <w:szCs w:val="24"/>
              <w:highlight w:val="none"/>
            </w:rPr>
            <w:fldChar w:fldCharType="end"/>
          </w:r>
        </w:p>
      </w:sdtContent>
    </w:sdt>
    <w:p>
      <w:pPr>
        <w:pStyle w:val="13"/>
        <w:tabs>
          <w:tab w:val="right" w:leader="dot" w:pos="8302"/>
        </w:tabs>
        <w:spacing w:line="340" w:lineRule="exact"/>
        <w:rPr>
          <w:rFonts w:ascii="黑体" w:hAnsi="黑体" w:eastAsia="黑体" w:cs="宋体"/>
          <w:color w:val="auto"/>
          <w:sz w:val="32"/>
          <w:szCs w:val="32"/>
        </w:rPr>
      </w:pPr>
    </w:p>
    <w:p>
      <w:pPr>
        <w:spacing w:line="600" w:lineRule="exact"/>
        <w:jc w:val="center"/>
        <w:outlineLvl w:val="9"/>
        <w:rPr>
          <w:rFonts w:ascii="方正小标宋_GBK" w:hAnsi="黑体" w:eastAsia="方正小标宋_GBK" w:cs="宋体"/>
          <w:color w:val="auto"/>
          <w:sz w:val="40"/>
          <w:szCs w:val="40"/>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start="48"/>
          <w:cols w:space="425" w:num="1"/>
          <w:docGrid w:type="lines" w:linePitch="312" w:charSpace="0"/>
        </w:sectPr>
      </w:pPr>
      <w:bookmarkStart w:id="122" w:name="_GoBack"/>
      <w:bookmarkEnd w:id="122"/>
      <w:bookmarkStart w:id="18" w:name="_Toc18687"/>
    </w:p>
    <w:p>
      <w:pPr>
        <w:spacing w:line="600" w:lineRule="exact"/>
        <w:jc w:val="center"/>
        <w:outlineLvl w:val="9"/>
        <w:rPr>
          <w:rFonts w:ascii="方正小标宋_GBK" w:hAnsi="黑体" w:eastAsia="方正小标宋_GBK" w:cs="宋体"/>
          <w:color w:val="auto"/>
          <w:sz w:val="44"/>
          <w:szCs w:val="44"/>
        </w:rPr>
      </w:pPr>
      <w:bookmarkStart w:id="19" w:name="_Toc29218"/>
      <w:bookmarkStart w:id="20" w:name="_Toc24347"/>
      <w:bookmarkStart w:id="21" w:name="_Toc1397"/>
      <w:bookmarkStart w:id="22" w:name="_Toc7636"/>
      <w:bookmarkStart w:id="23" w:name="_Toc31819"/>
      <w:bookmarkStart w:id="24" w:name="_Toc12923"/>
      <w:bookmarkStart w:id="25" w:name="_Toc16603"/>
      <w:bookmarkStart w:id="26" w:name="_Toc28273"/>
      <w:bookmarkStart w:id="27" w:name="_Toc14725"/>
      <w:bookmarkStart w:id="28" w:name="_Toc19311"/>
      <w:r>
        <w:rPr>
          <w:rFonts w:hint="eastAsia" w:ascii="方正小标宋_GBK" w:hAnsi="黑体" w:eastAsia="方正小标宋_GBK" w:cs="宋体"/>
          <w:b w:val="0"/>
          <w:bCs w:val="0"/>
          <w:color w:val="auto"/>
          <w:sz w:val="44"/>
          <w:szCs w:val="44"/>
          <w:lang w:eastAsia="zh-CN"/>
        </w:rPr>
        <w:t>洛浦县低效农田整治项目</w:t>
      </w:r>
      <w:r>
        <w:rPr>
          <w:rFonts w:hint="eastAsia" w:ascii="方正小标宋_GBK" w:hAnsi="黑体" w:eastAsia="方正小标宋_GBK" w:cs="宋体"/>
          <w:color w:val="auto"/>
          <w:sz w:val="44"/>
          <w:szCs w:val="44"/>
        </w:rPr>
        <w:t>绩效评价报告</w:t>
      </w:r>
      <w:bookmarkEnd w:id="18"/>
      <w:bookmarkEnd w:id="19"/>
      <w:bookmarkEnd w:id="20"/>
      <w:bookmarkEnd w:id="21"/>
      <w:bookmarkEnd w:id="22"/>
      <w:bookmarkEnd w:id="23"/>
      <w:bookmarkEnd w:id="24"/>
      <w:bookmarkEnd w:id="25"/>
      <w:bookmarkEnd w:id="26"/>
      <w:bookmarkEnd w:id="27"/>
      <w:bookmarkEnd w:id="28"/>
    </w:p>
    <w:p>
      <w:pPr>
        <w:adjustRightInd w:val="0"/>
        <w:snapToGrid w:val="0"/>
        <w:spacing w:line="560" w:lineRule="exact"/>
        <w:ind w:firstLine="640" w:firstLineChars="200"/>
        <w:jc w:val="left"/>
        <w:outlineLvl w:val="9"/>
        <w:rPr>
          <w:rFonts w:hint="eastAsia" w:ascii="黑体" w:hAnsi="黑体" w:eastAsia="黑体" w:cs="宋体"/>
          <w:color w:val="auto"/>
          <w:sz w:val="32"/>
          <w:szCs w:val="32"/>
        </w:rPr>
      </w:pPr>
    </w:p>
    <w:p>
      <w:pPr>
        <w:adjustRightInd w:val="0"/>
        <w:snapToGrid w:val="0"/>
        <w:spacing w:line="560" w:lineRule="exact"/>
        <w:ind w:firstLine="640" w:firstLineChars="200"/>
        <w:jc w:val="left"/>
        <w:outlineLvl w:val="0"/>
        <w:rPr>
          <w:rFonts w:ascii="黑体" w:hAnsi="黑体" w:eastAsia="黑体" w:cs="宋体"/>
          <w:color w:val="auto"/>
          <w:sz w:val="32"/>
          <w:szCs w:val="32"/>
        </w:rPr>
      </w:pPr>
      <w:bookmarkStart w:id="29" w:name="_Toc28183"/>
      <w:r>
        <w:rPr>
          <w:rFonts w:hint="eastAsia" w:ascii="黑体" w:hAnsi="黑体" w:eastAsia="黑体" w:cs="宋体"/>
          <w:color w:val="auto"/>
          <w:sz w:val="32"/>
          <w:szCs w:val="32"/>
        </w:rPr>
        <w:t>一、项目概述</w:t>
      </w:r>
      <w:bookmarkEnd w:id="29"/>
    </w:p>
    <w:p>
      <w:pPr>
        <w:pStyle w:val="33"/>
        <w:numPr>
          <w:ilvl w:val="0"/>
          <w:numId w:val="4"/>
        </w:numPr>
        <w:adjustRightInd w:val="0"/>
        <w:snapToGrid w:val="0"/>
        <w:spacing w:line="560" w:lineRule="exact"/>
        <w:ind w:left="0" w:firstLine="643"/>
        <w:rPr>
          <w:rFonts w:ascii="仿宋_GB2312" w:hAnsi="仿宋" w:eastAsia="仿宋_GB2312" w:cs="宋体"/>
          <w:b/>
          <w:bCs/>
          <w:vanish/>
          <w:color w:val="auto"/>
          <w:sz w:val="32"/>
          <w:szCs w:val="32"/>
        </w:rPr>
      </w:pPr>
      <w:bookmarkStart w:id="30" w:name="_Hlk24028365"/>
      <w:r>
        <w:rPr>
          <w:rFonts w:hint="eastAsia" w:ascii="仿宋_GB2312" w:hAnsi="仿宋" w:eastAsia="仿宋_GB2312" w:cs="宋体"/>
          <w:b/>
          <w:bCs/>
          <w:vanish/>
          <w:color w:val="auto"/>
          <w:sz w:val="32"/>
          <w:szCs w:val="32"/>
        </w:rPr>
        <w:t>项目概述</w:t>
      </w:r>
    </w:p>
    <w:p>
      <w:pPr>
        <w:pStyle w:val="33"/>
        <w:adjustRightInd w:val="0"/>
        <w:snapToGrid w:val="0"/>
        <w:spacing w:line="560" w:lineRule="exact"/>
        <w:ind w:left="0" w:leftChars="0" w:firstLine="321" w:firstLineChars="100"/>
        <w:outlineLvl w:val="1"/>
        <w:rPr>
          <w:rFonts w:ascii="仿宋_GB2312" w:hAnsi="仿宋" w:eastAsia="仿宋_GB2312" w:cs="宋体"/>
          <w:b/>
          <w:bCs/>
          <w:color w:val="auto"/>
          <w:sz w:val="32"/>
          <w:szCs w:val="32"/>
        </w:rPr>
      </w:pPr>
      <w:bookmarkStart w:id="31" w:name="_Toc27345"/>
      <w:r>
        <w:rPr>
          <w:rFonts w:hint="eastAsia" w:ascii="仿宋_GB2312" w:hAnsi="仿宋" w:eastAsia="仿宋_GB2312" w:cs="宋体"/>
          <w:b/>
          <w:bCs/>
          <w:color w:val="auto"/>
          <w:sz w:val="32"/>
          <w:szCs w:val="32"/>
        </w:rPr>
        <w:t>（一）项目基本情况</w:t>
      </w:r>
      <w:bookmarkEnd w:id="31"/>
    </w:p>
    <w:p>
      <w:pPr>
        <w:pStyle w:val="33"/>
        <w:tabs>
          <w:tab w:val="left" w:pos="1559"/>
        </w:tabs>
        <w:adjustRightInd w:val="0"/>
        <w:snapToGrid w:val="0"/>
        <w:spacing w:line="560" w:lineRule="exact"/>
        <w:ind w:firstLine="640"/>
        <w:outlineLvl w:val="2"/>
        <w:rPr>
          <w:rFonts w:hint="eastAsia" w:ascii="楷体" w:hAnsi="楷体" w:eastAsia="楷体" w:cs="楷体"/>
          <w:bCs/>
          <w:color w:val="auto"/>
          <w:sz w:val="32"/>
          <w:szCs w:val="32"/>
        </w:rPr>
      </w:pPr>
      <w:r>
        <w:rPr>
          <w:rFonts w:hint="eastAsia" w:ascii="楷体" w:hAnsi="楷体" w:eastAsia="楷体" w:cs="楷体"/>
          <w:bCs/>
          <w:color w:val="auto"/>
          <w:sz w:val="32"/>
          <w:szCs w:val="32"/>
        </w:rPr>
        <w:t>1.项目背景</w:t>
      </w:r>
    </w:p>
    <w:p>
      <w:pPr>
        <w:ind w:firstLine="624" w:firstLineChars="200"/>
        <w:rPr>
          <w:rFonts w:hint="default" w:ascii="仿宋_GB2312" w:hAnsi="仿宋_GB2312" w:eastAsia="仿宋_GB2312" w:cs="仿宋_GB2312"/>
          <w:color w:val="auto"/>
          <w:sz w:val="32"/>
          <w:szCs w:val="32"/>
          <w:highlight w:val="none"/>
          <w:lang w:val="en-US" w:eastAsia="zh-CN"/>
        </w:rPr>
      </w:pPr>
      <w:r>
        <w:rPr>
          <w:rStyle w:val="22"/>
          <w:rFonts w:hint="eastAsia" w:ascii="仿宋_GB2312" w:hAnsi="仿宋_GB2312" w:eastAsia="仿宋_GB2312" w:cs="仿宋_GB2312"/>
          <w:b w:val="0"/>
          <w:bCs w:val="0"/>
          <w:color w:val="auto"/>
          <w:spacing w:val="-4"/>
          <w:kern w:val="2"/>
          <w:sz w:val="32"/>
          <w:szCs w:val="32"/>
          <w:highlight w:val="none"/>
          <w:lang w:val="en-US" w:eastAsia="zh-CN" w:bidi="ar-SA"/>
        </w:rPr>
        <w:t>洛浦县以农业为主，经济基础薄弱，财政较为困难，灌区人民群众的收入远低于自治区的平均水平，属贫困村。同时该灌区是少数民族聚居地。该项目的实施一方面符合土地利用总体规划、土地整治专项规划及我县产业发展布局，对于具有引导我县产业发展的林果种植(含间作)、蔬菜种植、瓜果类等，以及群众二轮承包土地，在环境整治重点的沿路沿线位置优先进行奖补，另一方面确保实施区域内有效耕地面积增加，耕地质量提高，零碎耕地归并整理复垦项目实施后，农田设施完善，地块平整，道路通达，满足农产品运输或农业机械耕作的要求；</w:t>
      </w:r>
      <w:r>
        <w:rPr>
          <w:rFonts w:hint="eastAsia" w:ascii="仿宋_GB2312" w:hAnsi="仿宋_GB2312" w:eastAsia="仿宋_GB2312" w:cs="仿宋_GB2312"/>
          <w:color w:val="auto"/>
          <w:sz w:val="32"/>
          <w:szCs w:val="32"/>
          <w:highlight w:val="none"/>
          <w:lang w:val="en-US" w:eastAsia="zh-CN"/>
        </w:rPr>
        <w:t>农</w:t>
      </w:r>
      <w:r>
        <w:rPr>
          <w:rStyle w:val="22"/>
          <w:rFonts w:hint="eastAsia" w:ascii="仿宋_GB2312" w:hAnsi="仿宋_GB2312" w:eastAsia="仿宋_GB2312" w:cs="仿宋_GB2312"/>
          <w:b w:val="0"/>
          <w:bCs w:val="0"/>
          <w:color w:val="auto"/>
          <w:spacing w:val="-4"/>
          <w:kern w:val="2"/>
          <w:sz w:val="32"/>
          <w:szCs w:val="32"/>
          <w:highlight w:val="none"/>
          <w:lang w:val="en-US" w:eastAsia="zh-CN" w:bidi="ar-SA"/>
        </w:rPr>
        <w:t>田水利设施满足灌、排需要；能带动周边产业发展，周边生态环境优化。在此背景下,大力开展土地整治工作,增加耕地面积,改善耕地质量,提高粮食产量,对保障国家粮食安全有着重大意义。该项目是有洛浦县多鲁乡人民政府负责实施，总资金为195.30万元，主要是在洛浦县17个村开展低效农田整治工作，通过该项目实施，提高农业生产能力，解决部分农田低效低产。</w:t>
      </w:r>
    </w:p>
    <w:p>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洛浦县多鲁乡人民政府结合洛浦县实际情况以及年度工作计划，通过县委领导同意并过会后开始实施该项目。</w:t>
      </w:r>
    </w:p>
    <w:p>
      <w:pPr>
        <w:pStyle w:val="33"/>
        <w:tabs>
          <w:tab w:val="left" w:pos="1559"/>
        </w:tabs>
        <w:adjustRightInd w:val="0"/>
        <w:snapToGrid w:val="0"/>
        <w:spacing w:line="560" w:lineRule="exact"/>
        <w:ind w:firstLine="640"/>
        <w:outlineLvl w:val="2"/>
        <w:rPr>
          <w:rFonts w:hint="default" w:ascii="楷体" w:hAnsi="楷体" w:eastAsia="楷体" w:cs="楷体"/>
          <w:bCs/>
          <w:color w:val="auto"/>
          <w:sz w:val="32"/>
          <w:szCs w:val="32"/>
          <w:highlight w:val="none"/>
          <w:lang w:val="en-US" w:eastAsia="zh-CN"/>
        </w:rPr>
      </w:pPr>
      <w:r>
        <w:rPr>
          <w:rFonts w:hint="eastAsia" w:ascii="楷体" w:hAnsi="楷体" w:eastAsia="楷体" w:cs="楷体"/>
          <w:bCs/>
          <w:color w:val="auto"/>
          <w:sz w:val="32"/>
          <w:szCs w:val="32"/>
          <w:highlight w:val="none"/>
        </w:rPr>
        <w:t>2.项目实施主体</w:t>
      </w:r>
    </w:p>
    <w:p>
      <w:pPr>
        <w:keepNext w:val="0"/>
        <w:keepLines w:val="0"/>
        <w:pageBreakBefore w:val="0"/>
        <w:widowControl w:val="0"/>
        <w:kinsoku/>
        <w:wordWrap/>
        <w:overflowPunct/>
        <w:topLinePunct w:val="0"/>
        <w:autoSpaceDE/>
        <w:autoSpaceDN/>
        <w:bidi w:val="0"/>
        <w:adjustRightInd/>
        <w:snapToGrid/>
        <w:spacing w:line="560" w:lineRule="exact"/>
        <w:ind w:left="638" w:leftChars="304" w:firstLine="0" w:firstLineChars="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该项目由洛浦县多鲁乡人民政府负责实施，主要职能：</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sz w:val="32"/>
          <w:szCs w:val="32"/>
          <w:highlight w:val="none"/>
        </w:rPr>
        <w:t>（1）负责党的组织制度建设；（2）负责基层组织和党员队伍建设；（3）负责领导班子和领导干部队伍特别是优秀年轻干部队伍建设；（4）负责公务员队伍建设；（5）负责人才工作、干部人才援疆工作；（6）负责干部队伍建设宏观指导和干部教育培训、管理监督工作；（7）负责党的建设和组织工作研究；（8）负责离退休干部工作；（9）归口管理县委编办；（10）完成县委交办的其他工作。</w:t>
      </w:r>
    </w:p>
    <w:p>
      <w:pPr>
        <w:pStyle w:val="33"/>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2"/>
        <w:rPr>
          <w:rFonts w:hint="eastAsia"/>
          <w:color w:val="auto"/>
          <w:lang w:val="en-US" w:eastAsia="zh-CN"/>
        </w:rPr>
      </w:pPr>
      <w:r>
        <w:rPr>
          <w:rStyle w:val="22"/>
          <w:rFonts w:hint="eastAsia" w:ascii="仿宋_GB2312" w:hAnsi="仿宋_GB2312" w:eastAsia="仿宋_GB2312" w:cs="仿宋_GB2312"/>
          <w:b w:val="0"/>
          <w:color w:val="auto"/>
          <w:sz w:val="32"/>
          <w:szCs w:val="32"/>
          <w:highlight w:val="none"/>
          <w:lang w:val="en-US" w:eastAsia="zh-CN" w:bidi="ar"/>
        </w:rPr>
        <w:t>单位无下属预算单位，</w:t>
      </w:r>
      <w:r>
        <w:rPr>
          <w:rStyle w:val="22"/>
          <w:rFonts w:hint="eastAsia" w:ascii="仿宋_GB2312" w:hAnsi="仿宋_GB2312" w:eastAsia="仿宋_GB2312" w:cs="仿宋_GB2312"/>
          <w:b w:val="0"/>
          <w:color w:val="auto"/>
          <w:spacing w:val="-4"/>
          <w:sz w:val="32"/>
          <w:szCs w:val="32"/>
          <w:highlight w:val="none"/>
          <w:lang w:eastAsia="zh-CN"/>
        </w:rPr>
        <w:t>11个科室，分别是：党政党建办、纪检办、就业办、综治办、统战办、精神文明办、群众工作办、妇女工作办、武装办公室、扶贫办、财务室。人员情况，我单位202</w:t>
      </w:r>
      <w:r>
        <w:rPr>
          <w:rStyle w:val="22"/>
          <w:rFonts w:hint="eastAsia" w:ascii="仿宋_GB2312" w:hAnsi="仿宋_GB2312" w:eastAsia="仿宋_GB2312" w:cs="仿宋_GB2312"/>
          <w:b w:val="0"/>
          <w:color w:val="auto"/>
          <w:spacing w:val="-4"/>
          <w:sz w:val="32"/>
          <w:szCs w:val="32"/>
          <w:highlight w:val="none"/>
          <w:lang w:val="en-US" w:eastAsia="zh-CN"/>
        </w:rPr>
        <w:t>1</w:t>
      </w:r>
      <w:r>
        <w:rPr>
          <w:rStyle w:val="22"/>
          <w:rFonts w:hint="eastAsia" w:ascii="仿宋_GB2312" w:hAnsi="仿宋_GB2312" w:eastAsia="仿宋_GB2312" w:cs="仿宋_GB2312"/>
          <w:b w:val="0"/>
          <w:color w:val="auto"/>
          <w:spacing w:val="-4"/>
          <w:sz w:val="32"/>
          <w:szCs w:val="32"/>
          <w:highlight w:val="none"/>
          <w:lang w:eastAsia="zh-CN"/>
        </w:rPr>
        <w:t>年共有</w:t>
      </w:r>
      <w:r>
        <w:rPr>
          <w:rStyle w:val="22"/>
          <w:rFonts w:hint="eastAsia" w:ascii="仿宋_GB2312" w:hAnsi="仿宋_GB2312" w:eastAsia="仿宋_GB2312" w:cs="仿宋_GB2312"/>
          <w:b w:val="0"/>
          <w:color w:val="auto"/>
          <w:spacing w:val="-4"/>
          <w:sz w:val="32"/>
          <w:szCs w:val="32"/>
          <w:highlight w:val="none"/>
          <w:lang w:val="en-US" w:eastAsia="zh-CN"/>
        </w:rPr>
        <w:t>231</w:t>
      </w:r>
      <w:r>
        <w:rPr>
          <w:rStyle w:val="22"/>
          <w:rFonts w:hint="eastAsia" w:ascii="仿宋_GB2312" w:hAnsi="仿宋_GB2312" w:eastAsia="仿宋_GB2312" w:cs="仿宋_GB2312"/>
          <w:b w:val="0"/>
          <w:color w:val="auto"/>
          <w:spacing w:val="-4"/>
          <w:sz w:val="32"/>
          <w:szCs w:val="32"/>
          <w:highlight w:val="none"/>
          <w:lang w:eastAsia="zh-CN"/>
        </w:rPr>
        <w:t>人在职，其中:1</w:t>
      </w:r>
      <w:r>
        <w:rPr>
          <w:rStyle w:val="22"/>
          <w:rFonts w:hint="eastAsia" w:ascii="仿宋_GB2312" w:hAnsi="仿宋_GB2312" w:eastAsia="仿宋_GB2312" w:cs="仿宋_GB2312"/>
          <w:b w:val="0"/>
          <w:color w:val="auto"/>
          <w:spacing w:val="-4"/>
          <w:sz w:val="32"/>
          <w:szCs w:val="32"/>
          <w:highlight w:val="none"/>
          <w:lang w:val="en-US" w:eastAsia="zh-CN"/>
        </w:rPr>
        <w:t>71</w:t>
      </w:r>
      <w:r>
        <w:rPr>
          <w:rStyle w:val="22"/>
          <w:rFonts w:hint="eastAsia" w:ascii="仿宋_GB2312" w:hAnsi="仿宋_GB2312" w:eastAsia="仿宋_GB2312" w:cs="仿宋_GB2312"/>
          <w:b w:val="0"/>
          <w:color w:val="auto"/>
          <w:spacing w:val="-4"/>
          <w:sz w:val="32"/>
          <w:szCs w:val="32"/>
          <w:highlight w:val="none"/>
          <w:lang w:eastAsia="zh-CN"/>
        </w:rPr>
        <w:t>个行政人员；</w:t>
      </w:r>
      <w:r>
        <w:rPr>
          <w:rStyle w:val="22"/>
          <w:rFonts w:hint="eastAsia" w:ascii="仿宋_GB2312" w:hAnsi="仿宋_GB2312" w:eastAsia="仿宋_GB2312" w:cs="仿宋_GB2312"/>
          <w:b w:val="0"/>
          <w:color w:val="auto"/>
          <w:spacing w:val="-4"/>
          <w:sz w:val="32"/>
          <w:szCs w:val="32"/>
          <w:highlight w:val="none"/>
          <w:lang w:val="en-US" w:eastAsia="zh-CN"/>
        </w:rPr>
        <w:t>6</w:t>
      </w:r>
      <w:r>
        <w:rPr>
          <w:rStyle w:val="22"/>
          <w:rFonts w:hint="eastAsia" w:ascii="仿宋_GB2312" w:hAnsi="仿宋_GB2312" w:eastAsia="仿宋_GB2312" w:cs="仿宋_GB2312"/>
          <w:b w:val="0"/>
          <w:color w:val="auto"/>
          <w:spacing w:val="-4"/>
          <w:sz w:val="32"/>
          <w:szCs w:val="32"/>
          <w:highlight w:val="none"/>
          <w:lang w:eastAsia="zh-CN"/>
        </w:rPr>
        <w:t>个参照公务员管理人员；</w:t>
      </w:r>
      <w:r>
        <w:rPr>
          <w:rStyle w:val="22"/>
          <w:rFonts w:hint="eastAsia" w:ascii="仿宋_GB2312" w:hAnsi="仿宋_GB2312" w:eastAsia="仿宋_GB2312" w:cs="仿宋_GB2312"/>
          <w:b w:val="0"/>
          <w:color w:val="auto"/>
          <w:spacing w:val="-4"/>
          <w:sz w:val="32"/>
          <w:szCs w:val="32"/>
          <w:highlight w:val="none"/>
          <w:lang w:val="en-US" w:eastAsia="zh-CN"/>
        </w:rPr>
        <w:t>54</w:t>
      </w:r>
      <w:r>
        <w:rPr>
          <w:rStyle w:val="22"/>
          <w:rFonts w:hint="eastAsia" w:ascii="仿宋_GB2312" w:hAnsi="仿宋_GB2312" w:eastAsia="仿宋_GB2312" w:cs="仿宋_GB2312"/>
          <w:b w:val="0"/>
          <w:color w:val="auto"/>
          <w:spacing w:val="-4"/>
          <w:sz w:val="32"/>
          <w:szCs w:val="32"/>
          <w:highlight w:val="none"/>
          <w:lang w:eastAsia="zh-CN"/>
        </w:rPr>
        <w:t>个事业单位人员。退休人员</w:t>
      </w:r>
      <w:r>
        <w:rPr>
          <w:rStyle w:val="22"/>
          <w:rFonts w:hint="eastAsia" w:ascii="仿宋_GB2312" w:hAnsi="仿宋_GB2312" w:eastAsia="仿宋_GB2312" w:cs="仿宋_GB2312"/>
          <w:b w:val="0"/>
          <w:color w:val="auto"/>
          <w:spacing w:val="-4"/>
          <w:sz w:val="32"/>
          <w:szCs w:val="32"/>
          <w:highlight w:val="none"/>
          <w:lang w:val="en-US" w:eastAsia="zh-CN"/>
        </w:rPr>
        <w:t>31</w:t>
      </w:r>
      <w:r>
        <w:rPr>
          <w:rStyle w:val="22"/>
          <w:rFonts w:hint="eastAsia" w:ascii="仿宋_GB2312" w:hAnsi="仿宋_GB2312" w:eastAsia="仿宋_GB2312" w:cs="仿宋_GB2312"/>
          <w:b w:val="0"/>
          <w:color w:val="auto"/>
          <w:spacing w:val="-4"/>
          <w:sz w:val="32"/>
          <w:szCs w:val="32"/>
          <w:highlight w:val="none"/>
          <w:lang w:eastAsia="zh-CN"/>
        </w:rPr>
        <w:t>名，</w:t>
      </w:r>
      <w:r>
        <w:rPr>
          <w:rStyle w:val="22"/>
          <w:rFonts w:hint="eastAsia" w:ascii="仿宋_GB2312" w:hAnsi="仿宋_GB2312" w:eastAsia="仿宋_GB2312" w:cs="仿宋_GB2312"/>
          <w:b w:val="0"/>
          <w:color w:val="auto"/>
          <w:spacing w:val="-4"/>
          <w:sz w:val="32"/>
          <w:szCs w:val="32"/>
          <w:highlight w:val="none"/>
          <w:lang w:val="en-US" w:eastAsia="zh-CN"/>
        </w:rPr>
        <w:t>财政供养10人，</w:t>
      </w:r>
      <w:r>
        <w:rPr>
          <w:rStyle w:val="22"/>
          <w:rFonts w:hint="eastAsia" w:ascii="仿宋_GB2312" w:hAnsi="仿宋_GB2312" w:eastAsia="仿宋_GB2312" w:cs="仿宋_GB2312"/>
          <w:b w:val="0"/>
          <w:color w:val="auto"/>
          <w:spacing w:val="-4"/>
          <w:sz w:val="32"/>
          <w:szCs w:val="32"/>
          <w:highlight w:val="none"/>
          <w:lang w:eastAsia="zh-CN"/>
        </w:rPr>
        <w:t>公务车辆</w:t>
      </w:r>
      <w:r>
        <w:rPr>
          <w:rStyle w:val="22"/>
          <w:rFonts w:hint="eastAsia" w:ascii="仿宋_GB2312" w:hAnsi="仿宋_GB2312" w:eastAsia="仿宋_GB2312" w:cs="仿宋_GB2312"/>
          <w:b w:val="0"/>
          <w:color w:val="auto"/>
          <w:spacing w:val="-4"/>
          <w:sz w:val="32"/>
          <w:szCs w:val="32"/>
          <w:highlight w:val="none"/>
          <w:lang w:val="en-US" w:eastAsia="zh-CN"/>
        </w:rPr>
        <w:t>22</w:t>
      </w:r>
      <w:r>
        <w:rPr>
          <w:rStyle w:val="22"/>
          <w:rFonts w:hint="eastAsia" w:ascii="仿宋_GB2312" w:hAnsi="仿宋_GB2312" w:eastAsia="仿宋_GB2312" w:cs="仿宋_GB2312"/>
          <w:b w:val="0"/>
          <w:color w:val="auto"/>
          <w:spacing w:val="-4"/>
          <w:sz w:val="32"/>
          <w:szCs w:val="32"/>
          <w:highlight w:val="none"/>
          <w:lang w:eastAsia="zh-CN"/>
        </w:rPr>
        <w:t>辆</w:t>
      </w:r>
      <w:r>
        <w:rPr>
          <w:rStyle w:val="22"/>
          <w:rFonts w:hint="eastAsia" w:ascii="仿宋_GB2312" w:hAnsi="仿宋_GB2312" w:eastAsia="仿宋_GB2312" w:cs="仿宋_GB2312"/>
          <w:b w:val="0"/>
          <w:color w:val="auto"/>
          <w:spacing w:val="-4"/>
          <w:sz w:val="32"/>
          <w:szCs w:val="32"/>
          <w:highlight w:val="none"/>
          <w:lang w:val="en-US" w:eastAsia="zh-CN"/>
        </w:rPr>
        <w:t>。</w:t>
      </w:r>
    </w:p>
    <w:p>
      <w:pPr>
        <w:adjustRightInd w:val="0"/>
        <w:snapToGrid w:val="0"/>
        <w:spacing w:line="560" w:lineRule="exact"/>
        <w:ind w:firstLine="640" w:firstLineChars="200"/>
        <w:jc w:val="left"/>
        <w:outlineLvl w:val="0"/>
        <w:rPr>
          <w:rFonts w:ascii="楷体" w:hAnsi="楷体" w:eastAsia="楷体" w:cs="楷体"/>
          <w:bCs/>
          <w:color w:val="auto"/>
          <w:sz w:val="32"/>
          <w:szCs w:val="32"/>
        </w:rPr>
      </w:pPr>
      <w:r>
        <w:rPr>
          <w:rFonts w:hint="eastAsia" w:ascii="楷体" w:hAnsi="楷体" w:eastAsia="楷体" w:cs="楷体"/>
          <w:bCs/>
          <w:color w:val="auto"/>
          <w:sz w:val="32"/>
          <w:szCs w:val="32"/>
        </w:rPr>
        <w:t>3.项目内容</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按照500元/亩的标准发放3906亩地整治补助，涉及多鲁乡17个村。通过该项目实施，提高农业生产能力，解决部分农田低效低产。</w:t>
      </w:r>
    </w:p>
    <w:p>
      <w:pPr>
        <w:pStyle w:val="33"/>
        <w:tabs>
          <w:tab w:val="left" w:pos="1559"/>
        </w:tabs>
        <w:adjustRightInd w:val="0"/>
        <w:snapToGrid w:val="0"/>
        <w:spacing w:line="560" w:lineRule="exact"/>
        <w:ind w:firstLine="640"/>
        <w:outlineLvl w:val="2"/>
        <w:rPr>
          <w:rFonts w:hint="eastAsia" w:ascii="楷体" w:hAnsi="楷体" w:eastAsia="楷体" w:cs="楷体"/>
          <w:bCs/>
          <w:color w:val="auto"/>
          <w:sz w:val="32"/>
          <w:szCs w:val="32"/>
          <w:highlight w:val="none"/>
          <w:lang w:eastAsia="zh-CN"/>
        </w:rPr>
      </w:pPr>
      <w:r>
        <w:rPr>
          <w:rFonts w:hint="eastAsia" w:ascii="楷体" w:hAnsi="楷体" w:eastAsia="楷体" w:cs="楷体"/>
          <w:bCs/>
          <w:color w:val="auto"/>
          <w:sz w:val="32"/>
          <w:szCs w:val="32"/>
          <w:highlight w:val="none"/>
          <w:lang w:val="en-US" w:eastAsia="zh-CN"/>
        </w:rPr>
        <w:t>4</w:t>
      </w:r>
      <w:r>
        <w:rPr>
          <w:rFonts w:hint="eastAsia" w:ascii="楷体" w:hAnsi="楷体" w:eastAsia="楷体" w:cs="楷体"/>
          <w:bCs/>
          <w:color w:val="auto"/>
          <w:sz w:val="32"/>
          <w:szCs w:val="32"/>
          <w:highlight w:val="none"/>
        </w:rPr>
        <w:t>.立项依据</w:t>
      </w:r>
    </w:p>
    <w:p>
      <w:pPr>
        <w:pStyle w:val="41"/>
        <w:keepNext w:val="0"/>
        <w:keepLines w:val="0"/>
        <w:pageBreakBefore w:val="0"/>
        <w:widowControl w:val="0"/>
        <w:kinsoku/>
        <w:wordWrap/>
        <w:overflowPunct/>
        <w:topLinePunct w:val="0"/>
        <w:autoSpaceDE/>
        <w:autoSpaceDN/>
        <w:bidi w:val="0"/>
        <w:adjustRightInd/>
        <w:snapToGrid/>
        <w:spacing w:line="560" w:lineRule="exact"/>
        <w:ind w:left="0" w:firstLine="560"/>
        <w:textAlignment w:val="auto"/>
        <w:rPr>
          <w:rFonts w:hint="default"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该项目为补助类项目，无需立项申请，依据县年度工作计划以及单位资金申请报告开始实施该项目。</w:t>
      </w:r>
    </w:p>
    <w:p>
      <w:pPr>
        <w:pStyle w:val="33"/>
        <w:adjustRightInd w:val="0"/>
        <w:snapToGrid w:val="0"/>
        <w:spacing w:line="560" w:lineRule="exact"/>
        <w:ind w:left="420" w:leftChars="200" w:firstLine="321" w:firstLineChars="100"/>
        <w:outlineLvl w:val="1"/>
        <w:rPr>
          <w:rFonts w:ascii="仿宋_GB2312" w:hAnsi="仿宋" w:eastAsia="仿宋_GB2312" w:cs="宋体"/>
          <w:b/>
          <w:bCs/>
          <w:color w:val="auto"/>
          <w:sz w:val="32"/>
          <w:szCs w:val="32"/>
          <w:highlight w:val="none"/>
        </w:rPr>
      </w:pPr>
      <w:bookmarkStart w:id="32" w:name="_Toc30597"/>
      <w:r>
        <w:rPr>
          <w:rFonts w:hint="eastAsia" w:ascii="仿宋_GB2312" w:hAnsi="仿宋" w:eastAsia="仿宋_GB2312" w:cs="宋体"/>
          <w:b/>
          <w:bCs/>
          <w:color w:val="auto"/>
          <w:sz w:val="32"/>
          <w:szCs w:val="32"/>
          <w:highlight w:val="none"/>
        </w:rPr>
        <w:t>（二）项目资金情况</w:t>
      </w:r>
      <w:bookmarkEnd w:id="32"/>
    </w:p>
    <w:p>
      <w:pPr>
        <w:pStyle w:val="33"/>
        <w:tabs>
          <w:tab w:val="left" w:pos="1559"/>
        </w:tabs>
        <w:adjustRightInd w:val="0"/>
        <w:snapToGrid w:val="0"/>
        <w:spacing w:line="560" w:lineRule="exact"/>
        <w:ind w:firstLine="640"/>
        <w:outlineLvl w:val="2"/>
        <w:rPr>
          <w:rFonts w:ascii="楷体" w:hAnsi="楷体" w:eastAsia="楷体" w:cs="楷体"/>
          <w:bCs/>
          <w:color w:val="auto"/>
          <w:sz w:val="32"/>
          <w:szCs w:val="32"/>
        </w:rPr>
      </w:pPr>
      <w:r>
        <w:rPr>
          <w:rFonts w:hint="eastAsia" w:ascii="楷体" w:hAnsi="楷体" w:eastAsia="楷体" w:cs="楷体"/>
          <w:bCs/>
          <w:color w:val="auto"/>
          <w:sz w:val="32"/>
          <w:szCs w:val="32"/>
        </w:rPr>
        <w:t>1.项目资金预算及来源</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该项目预算资金为195.30万元，资金来源为</w:t>
      </w:r>
      <w:r>
        <w:rPr>
          <w:rFonts w:hint="eastAsia" w:ascii="仿宋_GB2312" w:hAnsi="仿宋_GB2312" w:eastAsia="仿宋_GB2312" w:cs="仿宋_GB2312"/>
          <w:color w:val="auto"/>
          <w:kern w:val="0"/>
          <w:sz w:val="32"/>
          <w:szCs w:val="32"/>
          <w:highlight w:val="none"/>
          <w:lang w:val="en-US" w:eastAsia="zh-CN"/>
        </w:rPr>
        <w:t>县级配套资金</w:t>
      </w:r>
      <w:r>
        <w:rPr>
          <w:rFonts w:hint="eastAsia" w:ascii="仿宋_GB2312" w:hAnsi="仿宋_GB2312" w:eastAsia="仿宋_GB2312" w:cs="仿宋_GB2312"/>
          <w:color w:val="auto"/>
          <w:kern w:val="2"/>
          <w:sz w:val="32"/>
          <w:szCs w:val="32"/>
          <w:highlight w:val="none"/>
          <w:lang w:val="en-US" w:eastAsia="zh-CN" w:bidi="ar-SA"/>
        </w:rPr>
        <w:t>，截止12月31日，到位资金为195.30万元，资金到位率100%。</w:t>
      </w:r>
    </w:p>
    <w:p>
      <w:pPr>
        <w:pStyle w:val="33"/>
        <w:tabs>
          <w:tab w:val="left" w:pos="1559"/>
        </w:tabs>
        <w:adjustRightInd w:val="0"/>
        <w:snapToGrid w:val="0"/>
        <w:spacing w:line="560" w:lineRule="exact"/>
        <w:ind w:firstLine="640"/>
        <w:outlineLvl w:val="2"/>
        <w:rPr>
          <w:rFonts w:hint="eastAsia" w:ascii="楷体" w:hAnsi="楷体" w:eastAsia="楷体" w:cs="楷体"/>
          <w:bCs/>
          <w:color w:val="auto"/>
          <w:sz w:val="32"/>
          <w:szCs w:val="32"/>
        </w:rPr>
      </w:pPr>
      <w:r>
        <w:rPr>
          <w:rFonts w:hint="eastAsia" w:ascii="楷体" w:hAnsi="楷体" w:eastAsia="楷体" w:cs="楷体"/>
          <w:bCs/>
          <w:color w:val="auto"/>
          <w:sz w:val="32"/>
          <w:szCs w:val="32"/>
        </w:rPr>
        <w:t>2.预算执行及结果</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截止绩效评价日，项目预算资金195.30万元，实际到位资金195.30万元，资金到位率100%，总支出195.30万元，预算执行率100%，该项目资金主要用于</w:t>
      </w:r>
      <w:r>
        <w:rPr>
          <w:rFonts w:hint="eastAsia" w:ascii="仿宋_GB2312" w:hAnsi="宋体" w:eastAsia="仿宋_GB2312" w:cs="仿宋_GB2312"/>
          <w:b w:val="0"/>
          <w:bCs w:val="0"/>
          <w:color w:val="auto"/>
          <w:sz w:val="32"/>
          <w:szCs w:val="32"/>
          <w:highlight w:val="none"/>
          <w:lang w:val="en-US" w:eastAsia="zh-CN"/>
        </w:rPr>
        <w:t>在洛浦县17个村开展低效农田整治工作</w:t>
      </w:r>
      <w:r>
        <w:rPr>
          <w:rFonts w:hint="eastAsia" w:ascii="仿宋_GB2312" w:hAnsi="仿宋_GB2312" w:eastAsia="仿宋_GB2312" w:cs="仿宋_GB2312"/>
          <w:color w:val="auto"/>
          <w:kern w:val="2"/>
          <w:sz w:val="32"/>
          <w:szCs w:val="32"/>
          <w:highlight w:val="none"/>
          <w:lang w:val="en-US" w:eastAsia="zh-CN" w:bidi="ar-SA"/>
        </w:rPr>
        <w:t>。</w:t>
      </w:r>
    </w:p>
    <w:p>
      <w:pPr>
        <w:pStyle w:val="33"/>
        <w:adjustRightInd w:val="0"/>
        <w:snapToGrid w:val="0"/>
        <w:spacing w:line="560" w:lineRule="exact"/>
        <w:ind w:left="420" w:leftChars="200" w:firstLine="321" w:firstLineChars="100"/>
        <w:outlineLvl w:val="1"/>
        <w:rPr>
          <w:rFonts w:ascii="仿宋_GB2312" w:hAnsi="仿宋" w:eastAsia="仿宋_GB2312" w:cs="宋体"/>
          <w:b/>
          <w:bCs/>
          <w:color w:val="auto"/>
          <w:sz w:val="32"/>
          <w:szCs w:val="32"/>
        </w:rPr>
      </w:pPr>
      <w:bookmarkStart w:id="33" w:name="_Toc4656"/>
      <w:r>
        <w:rPr>
          <w:rFonts w:hint="eastAsia" w:ascii="仿宋_GB2312" w:hAnsi="仿宋" w:eastAsia="仿宋_GB2312" w:cs="宋体"/>
          <w:b/>
          <w:bCs/>
          <w:color w:val="auto"/>
          <w:sz w:val="32"/>
          <w:szCs w:val="32"/>
        </w:rPr>
        <w:t>（三）绩效目标设置情况</w:t>
      </w:r>
      <w:bookmarkEnd w:id="33"/>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bookmarkStart w:id="34" w:name="_Toc1757"/>
      <w:bookmarkStart w:id="35" w:name="_Toc26467"/>
      <w:bookmarkStart w:id="36" w:name="_Toc8400"/>
      <w:bookmarkStart w:id="37" w:name="_Toc25486"/>
      <w:r>
        <w:rPr>
          <w:rFonts w:hint="eastAsia" w:ascii="仿宋_GB2312" w:hAnsi="仿宋_GB2312" w:eastAsia="仿宋_GB2312" w:cs="仿宋_GB2312"/>
          <w:color w:val="auto"/>
          <w:sz w:val="32"/>
          <w:szCs w:val="32"/>
          <w:highlight w:val="none"/>
        </w:rPr>
        <w:t>该项目共设立一级指标3个，二级指标</w:t>
      </w:r>
      <w:r>
        <w:rPr>
          <w:rFonts w:hint="eastAsia" w:ascii="仿宋_GB2312" w:hAnsi="仿宋_GB2312" w:eastAsia="仿宋_GB2312" w:cs="仿宋_GB2312"/>
          <w:color w:val="auto"/>
          <w:kern w:val="2"/>
          <w:sz w:val="32"/>
          <w:szCs w:val="32"/>
          <w:highlight w:val="none"/>
          <w:lang w:val="en-US" w:eastAsia="zh-CN" w:bidi="ar-SA"/>
        </w:rPr>
        <w:t>7</w:t>
      </w:r>
      <w:r>
        <w:rPr>
          <w:rFonts w:hint="eastAsia" w:ascii="仿宋_GB2312" w:hAnsi="仿宋_GB2312" w:eastAsia="仿宋_GB2312" w:cs="仿宋_GB2312"/>
          <w:color w:val="auto"/>
          <w:sz w:val="32"/>
          <w:szCs w:val="32"/>
          <w:highlight w:val="none"/>
        </w:rPr>
        <w:t>个，三级指标</w:t>
      </w:r>
      <w:r>
        <w:rPr>
          <w:rFonts w:hint="eastAsia" w:ascii="仿宋_GB2312" w:hAnsi="仿宋_GB2312" w:eastAsia="仿宋_GB2312" w:cs="仿宋_GB2312"/>
          <w:color w:val="auto"/>
          <w:kern w:val="2"/>
          <w:sz w:val="32"/>
          <w:szCs w:val="32"/>
          <w:highlight w:val="none"/>
          <w:lang w:val="en-US" w:eastAsia="zh-CN" w:bidi="ar-SA"/>
        </w:rPr>
        <w:t>12</w:t>
      </w:r>
      <w:r>
        <w:rPr>
          <w:rFonts w:hint="eastAsia" w:ascii="仿宋_GB2312" w:hAnsi="仿宋_GB2312" w:eastAsia="仿宋_GB2312" w:cs="仿宋_GB2312"/>
          <w:color w:val="auto"/>
          <w:sz w:val="32"/>
          <w:szCs w:val="32"/>
          <w:highlight w:val="none"/>
        </w:rPr>
        <w:t>个，指标量化率</w:t>
      </w:r>
      <w:r>
        <w:rPr>
          <w:rFonts w:hint="eastAsia" w:ascii="仿宋_GB2312" w:hAnsi="仿宋_GB2312" w:eastAsia="仿宋_GB2312" w:cs="仿宋_GB2312"/>
          <w:color w:val="auto"/>
          <w:kern w:val="2"/>
          <w:sz w:val="32"/>
          <w:szCs w:val="32"/>
          <w:highlight w:val="none"/>
          <w:lang w:val="en-US" w:eastAsia="zh-CN" w:bidi="ar-SA"/>
        </w:rPr>
        <w:t>75%</w:t>
      </w:r>
      <w:r>
        <w:rPr>
          <w:rFonts w:hint="eastAsia" w:ascii="仿宋_GB2312" w:hAnsi="仿宋_GB2312" w:eastAsia="仿宋_GB2312" w:cs="仿宋_GB2312"/>
          <w:color w:val="auto"/>
          <w:sz w:val="32"/>
          <w:szCs w:val="32"/>
          <w:highlight w:val="none"/>
        </w:rPr>
        <w:t>。绩效目标明确了项目产出数量和预期达到的效果，绩效目标指标制</w:t>
      </w:r>
      <w:r>
        <w:rPr>
          <w:rFonts w:hint="eastAsia" w:ascii="仿宋_GB2312" w:hAnsi="仿宋_GB2312" w:eastAsia="仿宋_GB2312" w:cs="仿宋_GB2312"/>
          <w:color w:val="auto"/>
          <w:sz w:val="32"/>
          <w:szCs w:val="32"/>
        </w:rPr>
        <w:t>定明确、细化、量化。整体来看，目标设立合理清晰</w:t>
      </w:r>
      <w:r>
        <w:rPr>
          <w:rFonts w:hint="eastAsia" w:ascii="仿宋_GB2312" w:hAnsi="仿宋_GB2312" w:eastAsia="仿宋_GB2312" w:cs="仿宋_GB2312"/>
          <w:color w:val="auto"/>
          <w:sz w:val="32"/>
          <w:szCs w:val="32"/>
          <w:lang w:val="en-US" w:eastAsia="zh-CN"/>
        </w:rPr>
        <w:t>：</w:t>
      </w:r>
      <w:bookmarkEnd w:id="34"/>
      <w:bookmarkEnd w:id="35"/>
      <w:bookmarkEnd w:id="36"/>
    </w:p>
    <w:p>
      <w:pPr>
        <w:pStyle w:val="33"/>
        <w:tabs>
          <w:tab w:val="left" w:pos="1559"/>
        </w:tabs>
        <w:adjustRightInd w:val="0"/>
        <w:snapToGrid w:val="0"/>
        <w:spacing w:line="560" w:lineRule="exact"/>
        <w:ind w:firstLine="640"/>
        <w:outlineLvl w:val="2"/>
        <w:rPr>
          <w:rFonts w:hint="eastAsia"/>
          <w:color w:val="auto"/>
          <w:highlight w:val="none"/>
          <w:lang w:val="en-US" w:eastAsia="zh-CN"/>
        </w:rPr>
      </w:pPr>
      <w:r>
        <w:rPr>
          <w:rFonts w:hint="eastAsia" w:ascii="楷体" w:hAnsi="楷体" w:eastAsia="楷体" w:cs="楷体"/>
          <w:bCs/>
          <w:color w:val="auto"/>
          <w:sz w:val="32"/>
          <w:szCs w:val="32"/>
          <w:highlight w:val="none"/>
          <w:lang w:val="en-US" w:eastAsia="zh-CN"/>
        </w:rPr>
        <w:t>1.</w:t>
      </w:r>
      <w:r>
        <w:rPr>
          <w:rFonts w:hint="eastAsia" w:ascii="楷体" w:hAnsi="楷体" w:eastAsia="楷体" w:cs="楷体"/>
          <w:bCs/>
          <w:color w:val="auto"/>
          <w:sz w:val="32"/>
          <w:szCs w:val="32"/>
          <w:highlight w:val="none"/>
        </w:rPr>
        <w:t>年度总目标</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color w:val="auto"/>
          <w:sz w:val="32"/>
          <w:szCs w:val="32"/>
          <w:highlight w:val="none"/>
          <w:lang w:val="en-US" w:eastAsia="zh-CN"/>
        </w:rPr>
      </w:pPr>
      <w:r>
        <w:rPr>
          <w:rFonts w:hint="eastAsia" w:ascii="仿宋_GB2312" w:eastAsia="仿宋_GB2312" w:cs="宋体"/>
          <w:color w:val="auto"/>
          <w:sz w:val="32"/>
          <w:szCs w:val="32"/>
          <w:highlight w:val="none"/>
          <w:lang w:val="en-US" w:eastAsia="zh-CN"/>
        </w:rPr>
        <w:t xml:space="preserve">按照500元/亩的标准发放3906亩地整治补助。通过该项目实施，提高农业生产能力，解决部分农田低效低产。 </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楷体" w:hAnsi="楷体" w:eastAsia="楷体" w:cs="楷体"/>
          <w:bCs/>
          <w:color w:val="auto"/>
          <w:sz w:val="32"/>
          <w:szCs w:val="32"/>
          <w:highlight w:val="none"/>
          <w:lang w:val="en-US" w:eastAsia="zh-CN"/>
        </w:rPr>
      </w:pPr>
      <w:r>
        <w:rPr>
          <w:rFonts w:hint="eastAsia" w:ascii="仿宋_GB2312" w:eastAsia="仿宋_GB2312" w:cs="宋体"/>
          <w:color w:val="auto"/>
          <w:sz w:val="32"/>
          <w:szCs w:val="32"/>
          <w:lang w:val="en-US" w:eastAsia="zh-CN"/>
        </w:rPr>
        <w:t>2.</w:t>
      </w:r>
      <w:r>
        <w:rPr>
          <w:rFonts w:hint="eastAsia" w:ascii="楷体" w:hAnsi="楷体" w:eastAsia="楷体" w:cs="楷体"/>
          <w:bCs/>
          <w:color w:val="auto"/>
          <w:sz w:val="32"/>
          <w:szCs w:val="32"/>
          <w:highlight w:val="none"/>
          <w:lang w:val="en-US" w:eastAsia="zh-CN"/>
        </w:rPr>
        <w:t>阶段性绩效目标</w:t>
      </w:r>
    </w:p>
    <w:p>
      <w:pPr>
        <w:pStyle w:val="33"/>
        <w:numPr>
          <w:ilvl w:val="0"/>
          <w:numId w:val="0"/>
        </w:numPr>
        <w:tabs>
          <w:tab w:val="left" w:pos="1559"/>
        </w:tabs>
        <w:adjustRightInd w:val="0"/>
        <w:snapToGrid w:val="0"/>
        <w:spacing w:line="560" w:lineRule="exact"/>
        <w:ind w:firstLine="640" w:firstLineChars="200"/>
        <w:outlineLvl w:val="2"/>
        <w:rPr>
          <w:rFonts w:hint="eastAsia" w:ascii="仿宋_GB2312" w:eastAsia="仿宋_GB2312" w:cs="宋体"/>
          <w:color w:val="auto"/>
          <w:kern w:val="2"/>
          <w:sz w:val="32"/>
          <w:szCs w:val="32"/>
          <w:lang w:val="en-US" w:eastAsia="zh-CN" w:bidi="ar-SA"/>
        </w:rPr>
      </w:pPr>
      <w:r>
        <w:rPr>
          <w:rFonts w:hint="eastAsia" w:ascii="仿宋_GB2312" w:eastAsia="仿宋_GB2312" w:cs="宋体" w:hAnsiTheme="minorHAnsi"/>
          <w:color w:val="auto"/>
          <w:kern w:val="2"/>
          <w:sz w:val="32"/>
          <w:szCs w:val="32"/>
          <w:lang w:val="en-US" w:eastAsia="zh-CN" w:bidi="ar-SA"/>
        </w:rPr>
        <w:t>根据</w:t>
      </w:r>
      <w:r>
        <w:rPr>
          <w:rFonts w:hint="eastAsia" w:ascii="仿宋_GB2312" w:hAnsi="仿宋" w:eastAsia="仿宋_GB2312" w:cs="宋体"/>
          <w:color w:val="auto"/>
          <w:kern w:val="2"/>
          <w:sz w:val="32"/>
          <w:szCs w:val="32"/>
          <w:lang w:val="en-US" w:eastAsia="zh-CN" w:bidi="ar"/>
        </w:rPr>
        <w:t>《中华人民共和国预算法》、《自治区党委自治区人民政府关于全面实施预算绩效管理的实施意见》（新党发〔2018〕30号）、《自治区全面实施预算绩效管理的工作方案》（新财预〔2018〕158号）和《关于印发〈自治区财政支出绩效评价管理暂行办法〉的通知》（新财预〔2018〕189号）文件要求，结合该项目实际情况，评价小组对项</w:t>
      </w:r>
      <w:r>
        <w:rPr>
          <w:rFonts w:hint="eastAsia" w:ascii="仿宋_GB2312" w:hAnsi="仿宋" w:eastAsia="仿宋_GB2312" w:cs="宋体"/>
          <w:color w:val="auto"/>
          <w:kern w:val="2"/>
          <w:sz w:val="32"/>
          <w:szCs w:val="32"/>
          <w:highlight w:val="none"/>
          <w:lang w:val="en-US" w:eastAsia="zh-CN" w:bidi="ar"/>
        </w:rPr>
        <w:t>目绩效目标进行了进一步的完善，并与项目单位沟通确定后，项目共设置一级指标3个，二级指标7个，三级指标12个</w:t>
      </w:r>
      <w:r>
        <w:rPr>
          <w:rFonts w:hint="eastAsia" w:ascii="仿宋_GB2312" w:eastAsia="仿宋_GB2312" w:cs="宋体" w:hAnsiTheme="minorHAnsi"/>
          <w:color w:val="auto"/>
          <w:kern w:val="2"/>
          <w:sz w:val="32"/>
          <w:szCs w:val="32"/>
          <w:lang w:val="en-US" w:eastAsia="zh-CN" w:bidi="ar-SA"/>
        </w:rPr>
        <w:t>，其中</w:t>
      </w:r>
      <w:r>
        <w:rPr>
          <w:rFonts w:hint="eastAsia" w:ascii="仿宋_GB2312" w:eastAsia="仿宋_GB2312" w:cs="宋体"/>
          <w:color w:val="auto"/>
          <w:kern w:val="2"/>
          <w:sz w:val="32"/>
          <w:szCs w:val="32"/>
          <w:lang w:val="en-US" w:eastAsia="zh-CN" w:bidi="ar-SA"/>
        </w:rPr>
        <w:t>：</w:t>
      </w:r>
    </w:p>
    <w:p>
      <w:pPr>
        <w:pStyle w:val="33"/>
        <w:numPr>
          <w:ilvl w:val="0"/>
          <w:numId w:val="5"/>
        </w:numPr>
        <w:tabs>
          <w:tab w:val="left" w:pos="1559"/>
        </w:tabs>
        <w:adjustRightInd w:val="0"/>
        <w:snapToGrid w:val="0"/>
        <w:spacing w:line="560" w:lineRule="exact"/>
        <w:ind w:firstLine="640"/>
        <w:outlineLvl w:val="2"/>
        <w:rPr>
          <w:rFonts w:hint="eastAsia"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产出指标：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rPr>
        <w:t>数量</w:t>
      </w:r>
      <w:r>
        <w:rPr>
          <w:rFonts w:hint="eastAsia" w:ascii="仿宋_GB2312" w:eastAsia="仿宋_GB2312"/>
          <w:color w:val="auto"/>
          <w:sz w:val="32"/>
          <w:szCs w:val="32"/>
          <w:highlight w:val="none"/>
          <w:lang w:val="en-US" w:eastAsia="zh-CN"/>
        </w:rPr>
        <w:t>指标</w:t>
      </w:r>
      <w:r>
        <w:rPr>
          <w:rFonts w:hint="eastAsia" w:ascii="仿宋_GB2312" w:eastAsia="仿宋_GB2312"/>
          <w:color w:val="auto"/>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 w:eastAsia="仿宋_GB2312" w:cs="宋体"/>
          <w:color w:val="auto"/>
          <w:kern w:val="2"/>
          <w:sz w:val="32"/>
          <w:szCs w:val="32"/>
          <w:highlight w:val="none"/>
          <w:lang w:val="en-US" w:eastAsia="zh-CN" w:bidi="ar"/>
        </w:rPr>
      </w:pPr>
      <w:r>
        <w:rPr>
          <w:rFonts w:hint="eastAsia" w:ascii="仿宋_GB2312" w:hAnsi="仿宋" w:eastAsia="仿宋_GB2312" w:cs="宋体"/>
          <w:color w:val="auto"/>
          <w:kern w:val="2"/>
          <w:sz w:val="32"/>
          <w:szCs w:val="32"/>
          <w:highlight w:val="none"/>
          <w:lang w:val="en-US" w:eastAsia="zh-CN" w:bidi="ar"/>
        </w:rPr>
        <w:t>整治农田亩数，预期值3906亩；</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 w:eastAsia="仿宋_GB2312" w:cs="宋体"/>
          <w:color w:val="auto"/>
          <w:kern w:val="2"/>
          <w:sz w:val="32"/>
          <w:szCs w:val="32"/>
          <w:highlight w:val="none"/>
          <w:lang w:val="en-US" w:eastAsia="zh-CN" w:bidi="ar"/>
        </w:rPr>
      </w:pPr>
      <w:r>
        <w:rPr>
          <w:rFonts w:hint="eastAsia" w:ascii="仿宋_GB2312" w:hAnsi="仿宋" w:eastAsia="仿宋_GB2312" w:cs="宋体"/>
          <w:color w:val="auto"/>
          <w:kern w:val="2"/>
          <w:sz w:val="32"/>
          <w:szCs w:val="32"/>
          <w:highlight w:val="none"/>
          <w:lang w:val="en-US" w:eastAsia="zh-CN" w:bidi="ar"/>
        </w:rPr>
        <w:t>项目涉及村数量，预期值17个；</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hAnsi="仿宋" w:eastAsia="仿宋_GB2312" w:cs="宋体"/>
          <w:color w:val="auto"/>
          <w:kern w:val="2"/>
          <w:sz w:val="32"/>
          <w:szCs w:val="32"/>
          <w:highlight w:val="none"/>
          <w:lang w:val="en-US" w:eastAsia="zh-CN" w:bidi="ar"/>
        </w:rPr>
      </w:pPr>
      <w:r>
        <w:rPr>
          <w:rFonts w:hint="eastAsia" w:ascii="仿宋_GB2312" w:hAnsi="仿宋" w:eastAsia="仿宋_GB2312" w:cs="宋体"/>
          <w:color w:val="auto"/>
          <w:kern w:val="2"/>
          <w:sz w:val="32"/>
          <w:szCs w:val="32"/>
          <w:highlight w:val="none"/>
          <w:lang w:val="en-US" w:eastAsia="zh-CN" w:bidi="ar"/>
        </w:rPr>
        <w:t>补助发放次数，预期值1次。</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 w:eastAsia="仿宋_GB2312" w:cs="宋体"/>
          <w:color w:val="auto"/>
          <w:kern w:val="2"/>
          <w:sz w:val="32"/>
          <w:szCs w:val="32"/>
          <w:highlight w:val="none"/>
          <w:lang w:val="en-US" w:eastAsia="zh-CN" w:bidi="ar"/>
        </w:rPr>
      </w:pPr>
      <w:r>
        <w:rPr>
          <w:rFonts w:hint="eastAsia" w:ascii="仿宋_GB2312" w:hAnsi="仿宋" w:eastAsia="仿宋_GB2312" w:cs="宋体"/>
          <w:color w:val="auto"/>
          <w:kern w:val="2"/>
          <w:sz w:val="32"/>
          <w:szCs w:val="32"/>
          <w:highlight w:val="none"/>
          <w:lang w:val="en-US" w:eastAsia="zh-CN" w:bidi="ar"/>
        </w:rPr>
        <w:t>质量指标：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 w:eastAsia="仿宋_GB2312" w:cs="宋体"/>
          <w:color w:val="auto"/>
          <w:kern w:val="2"/>
          <w:sz w:val="32"/>
          <w:szCs w:val="32"/>
          <w:highlight w:val="none"/>
          <w:lang w:val="en-US" w:eastAsia="zh-CN" w:bidi="ar"/>
        </w:rPr>
      </w:pPr>
      <w:r>
        <w:rPr>
          <w:rFonts w:hint="eastAsia" w:ascii="仿宋_GB2312" w:hAnsi="仿宋" w:eastAsia="仿宋_GB2312" w:cs="宋体"/>
          <w:color w:val="auto"/>
          <w:kern w:val="2"/>
          <w:sz w:val="32"/>
          <w:szCs w:val="32"/>
          <w:highlight w:val="none"/>
          <w:lang w:val="en-US" w:eastAsia="zh-CN" w:bidi="ar"/>
        </w:rPr>
        <w:t>补助足额发放率，预期指标值100%；</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 w:eastAsia="仿宋_GB2312" w:cs="宋体"/>
          <w:color w:val="auto"/>
          <w:kern w:val="2"/>
          <w:sz w:val="32"/>
          <w:szCs w:val="32"/>
          <w:highlight w:val="none"/>
          <w:lang w:val="en-US" w:eastAsia="zh-CN" w:bidi="ar"/>
        </w:rPr>
      </w:pPr>
      <w:r>
        <w:rPr>
          <w:rFonts w:hint="eastAsia" w:ascii="仿宋_GB2312" w:hAnsi="仿宋" w:eastAsia="仿宋_GB2312" w:cs="宋体"/>
          <w:color w:val="auto"/>
          <w:kern w:val="2"/>
          <w:sz w:val="32"/>
          <w:szCs w:val="32"/>
          <w:highlight w:val="none"/>
          <w:lang w:val="en-US" w:eastAsia="zh-CN" w:bidi="ar"/>
        </w:rPr>
        <w:t>工作开展合格率，预期指标值100%。</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 w:eastAsia="仿宋_GB2312" w:cs="宋体"/>
          <w:color w:val="auto"/>
          <w:kern w:val="2"/>
          <w:sz w:val="32"/>
          <w:szCs w:val="32"/>
          <w:highlight w:val="none"/>
          <w:lang w:val="en-US" w:eastAsia="zh-CN" w:bidi="ar"/>
        </w:rPr>
      </w:pPr>
      <w:r>
        <w:rPr>
          <w:rFonts w:hint="eastAsia" w:ascii="仿宋_GB2312" w:hAnsi="仿宋" w:eastAsia="仿宋_GB2312" w:cs="宋体"/>
          <w:color w:val="auto"/>
          <w:kern w:val="2"/>
          <w:sz w:val="32"/>
          <w:szCs w:val="32"/>
          <w:highlight w:val="none"/>
          <w:lang w:val="en-US" w:eastAsia="zh-CN" w:bidi="ar"/>
        </w:rPr>
        <w:t>时效指标：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 w:eastAsia="仿宋_GB2312" w:cs="宋体"/>
          <w:color w:val="auto"/>
          <w:kern w:val="2"/>
          <w:sz w:val="32"/>
          <w:szCs w:val="32"/>
          <w:highlight w:val="none"/>
          <w:lang w:val="en-US" w:eastAsia="zh-CN" w:bidi="ar"/>
        </w:rPr>
      </w:pPr>
      <w:r>
        <w:rPr>
          <w:rFonts w:hint="eastAsia" w:ascii="仿宋_GB2312" w:hAnsi="仿宋" w:eastAsia="仿宋_GB2312" w:cs="宋体"/>
          <w:color w:val="auto"/>
          <w:kern w:val="2"/>
          <w:sz w:val="32"/>
          <w:szCs w:val="32"/>
          <w:highlight w:val="none"/>
          <w:lang w:val="en-US" w:eastAsia="zh-CN" w:bidi="ar"/>
        </w:rPr>
        <w:t>补助发放及时性，预期指标值100%；</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hAnsi="仿宋" w:eastAsia="仿宋_GB2312" w:cs="宋体"/>
          <w:color w:val="auto"/>
          <w:kern w:val="2"/>
          <w:sz w:val="32"/>
          <w:szCs w:val="32"/>
          <w:highlight w:val="none"/>
          <w:lang w:val="en-US" w:eastAsia="zh-CN" w:bidi="ar"/>
        </w:rPr>
      </w:pPr>
      <w:r>
        <w:rPr>
          <w:rFonts w:hint="default" w:ascii="仿宋_GB2312" w:hAnsi="仿宋" w:eastAsia="仿宋_GB2312" w:cs="宋体"/>
          <w:color w:val="auto"/>
          <w:kern w:val="2"/>
          <w:sz w:val="32"/>
          <w:szCs w:val="32"/>
          <w:highlight w:val="none"/>
          <w:lang w:val="en-US" w:eastAsia="zh-CN" w:bidi="ar"/>
        </w:rPr>
        <w:t>项目截止时间</w:t>
      </w:r>
      <w:r>
        <w:rPr>
          <w:rFonts w:hint="eastAsia" w:ascii="仿宋_GB2312" w:hAnsi="仿宋" w:eastAsia="仿宋_GB2312" w:cs="宋体"/>
          <w:color w:val="auto"/>
          <w:kern w:val="2"/>
          <w:sz w:val="32"/>
          <w:szCs w:val="32"/>
          <w:highlight w:val="none"/>
          <w:lang w:val="en-US" w:eastAsia="zh-CN" w:bidi="ar"/>
        </w:rPr>
        <w:t>，预期指标值2021年8月。</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 w:eastAsia="仿宋_GB2312" w:cs="宋体"/>
          <w:color w:val="auto"/>
          <w:kern w:val="2"/>
          <w:sz w:val="32"/>
          <w:szCs w:val="32"/>
          <w:highlight w:val="none"/>
          <w:lang w:val="en-US" w:eastAsia="zh-CN" w:bidi="ar"/>
        </w:rPr>
      </w:pPr>
      <w:r>
        <w:rPr>
          <w:rFonts w:hint="eastAsia" w:ascii="仿宋_GB2312" w:hAnsi="仿宋" w:eastAsia="仿宋_GB2312" w:cs="宋体"/>
          <w:color w:val="auto"/>
          <w:kern w:val="2"/>
          <w:sz w:val="32"/>
          <w:szCs w:val="32"/>
          <w:highlight w:val="none"/>
          <w:lang w:val="en-US" w:eastAsia="zh-CN" w:bidi="ar"/>
        </w:rPr>
        <w:t>成本指标：</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 w:eastAsia="仿宋_GB2312" w:cs="宋体"/>
          <w:color w:val="auto"/>
          <w:kern w:val="2"/>
          <w:sz w:val="32"/>
          <w:szCs w:val="32"/>
          <w:highlight w:val="none"/>
          <w:lang w:val="en-US" w:eastAsia="zh-CN" w:bidi="ar"/>
        </w:rPr>
        <w:t>补助发放标准，预期指标值500元/亩</w:t>
      </w:r>
      <w:r>
        <w:rPr>
          <w:rFonts w:hint="eastAsia" w:ascii="仿宋_GB2312" w:hAnsi="仿宋_GB2312" w:eastAsia="仿宋_GB2312" w:cs="仿宋_GB2312"/>
          <w:color w:val="auto"/>
          <w:sz w:val="32"/>
          <w:szCs w:val="32"/>
          <w:highlight w:val="none"/>
          <w:lang w:val="en-US" w:eastAsia="zh-CN"/>
        </w:rPr>
        <w:t>。</w:t>
      </w:r>
    </w:p>
    <w:p>
      <w:pPr>
        <w:numPr>
          <w:ilvl w:val="0"/>
          <w:numId w:val="6"/>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效益指标：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 w:eastAsia="仿宋_GB2312" w:cs="宋体"/>
          <w:color w:val="auto"/>
          <w:kern w:val="2"/>
          <w:sz w:val="32"/>
          <w:szCs w:val="32"/>
          <w:highlight w:val="none"/>
          <w:lang w:val="en-US" w:eastAsia="zh-CN" w:bidi="ar"/>
        </w:rPr>
      </w:pPr>
      <w:r>
        <w:rPr>
          <w:rFonts w:hint="eastAsia" w:ascii="仿宋_GB2312" w:hAnsi="仿宋" w:eastAsia="仿宋_GB2312" w:cs="宋体"/>
          <w:color w:val="auto"/>
          <w:kern w:val="2"/>
          <w:sz w:val="32"/>
          <w:szCs w:val="32"/>
          <w:highlight w:val="none"/>
          <w:lang w:val="en-US" w:eastAsia="zh-CN" w:bidi="ar"/>
        </w:rPr>
        <w:t>经济效益指标：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 w:eastAsia="仿宋_GB2312" w:cs="宋体"/>
          <w:color w:val="auto"/>
          <w:kern w:val="2"/>
          <w:sz w:val="32"/>
          <w:szCs w:val="32"/>
          <w:highlight w:val="none"/>
          <w:lang w:val="en-US" w:eastAsia="zh-CN" w:bidi="ar"/>
        </w:rPr>
      </w:pPr>
      <w:r>
        <w:rPr>
          <w:rFonts w:hint="eastAsia" w:ascii="仿宋_GB2312" w:hAnsi="仿宋" w:eastAsia="仿宋_GB2312" w:cs="宋体"/>
          <w:color w:val="auto"/>
          <w:kern w:val="2"/>
          <w:sz w:val="32"/>
          <w:szCs w:val="32"/>
          <w:highlight w:val="none"/>
          <w:lang w:val="en-US" w:eastAsia="zh-CN" w:bidi="ar"/>
        </w:rPr>
        <w:t>不涉及经济效益指标。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 w:eastAsia="仿宋_GB2312" w:cs="宋体"/>
          <w:color w:val="auto"/>
          <w:kern w:val="2"/>
          <w:sz w:val="32"/>
          <w:szCs w:val="32"/>
          <w:highlight w:val="none"/>
          <w:lang w:val="en-US" w:eastAsia="zh-CN" w:bidi="ar"/>
        </w:rPr>
      </w:pPr>
      <w:r>
        <w:rPr>
          <w:rFonts w:hint="eastAsia" w:ascii="仿宋_GB2312" w:hAnsi="仿宋" w:eastAsia="仿宋_GB2312" w:cs="宋体"/>
          <w:color w:val="auto"/>
          <w:kern w:val="2"/>
          <w:sz w:val="32"/>
          <w:szCs w:val="32"/>
          <w:highlight w:val="none"/>
          <w:lang w:val="en-US" w:eastAsia="zh-CN" w:bidi="ar"/>
        </w:rPr>
        <w:t>社会效益指标：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eastAsia="仿宋_GB2312"/>
          <w:color w:val="auto"/>
          <w:sz w:val="32"/>
          <w:szCs w:val="32"/>
          <w:highlight w:val="none"/>
          <w:lang w:val="en-US" w:eastAsia="zh-CN"/>
        </w:rPr>
      </w:pPr>
      <w:r>
        <w:rPr>
          <w:rFonts w:hint="eastAsia" w:ascii="仿宋_GB2312" w:eastAsia="仿宋_GB2312"/>
          <w:color w:val="auto"/>
          <w:sz w:val="32"/>
          <w:szCs w:val="32"/>
          <w:highlight w:val="none"/>
        </w:rPr>
        <w:t>提高农业生产能力</w:t>
      </w:r>
      <w:r>
        <w:rPr>
          <w:rFonts w:hint="eastAsia" w:ascii="仿宋_GB2312" w:eastAsia="仿宋_GB2312"/>
          <w:color w:val="auto"/>
          <w:sz w:val="32"/>
          <w:szCs w:val="32"/>
          <w:highlight w:val="none"/>
          <w:lang w:eastAsia="zh-CN"/>
        </w:rPr>
        <w:t>，预期指标值</w:t>
      </w:r>
      <w:r>
        <w:rPr>
          <w:rFonts w:hint="eastAsia" w:ascii="仿宋_GB2312" w:eastAsia="仿宋_GB2312"/>
          <w:color w:val="auto"/>
          <w:sz w:val="32"/>
          <w:szCs w:val="32"/>
          <w:highlight w:val="none"/>
          <w:lang w:val="en-US" w:eastAsia="zh-CN"/>
        </w:rPr>
        <w:t>显著提高；</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eastAsia="仿宋_GB2312"/>
          <w:color w:val="auto"/>
          <w:sz w:val="32"/>
          <w:szCs w:val="32"/>
          <w:highlight w:val="none"/>
          <w:lang w:val="en-US" w:eastAsia="zh-CN"/>
        </w:rPr>
      </w:pPr>
      <w:r>
        <w:rPr>
          <w:rFonts w:hint="eastAsia" w:ascii="仿宋_GB2312" w:eastAsia="仿宋_GB2312"/>
          <w:color w:val="auto"/>
          <w:sz w:val="32"/>
          <w:szCs w:val="32"/>
          <w:highlight w:val="none"/>
          <w:lang w:val="en-US" w:eastAsia="zh-CN"/>
        </w:rPr>
        <w:t>解决部分农田低效低产</w:t>
      </w:r>
      <w:r>
        <w:rPr>
          <w:rFonts w:hint="eastAsia" w:ascii="仿宋_GB2312" w:eastAsia="仿宋_GB2312"/>
          <w:color w:val="auto"/>
          <w:sz w:val="32"/>
          <w:szCs w:val="32"/>
          <w:highlight w:val="none"/>
          <w:lang w:eastAsia="zh-CN"/>
        </w:rPr>
        <w:t>，预期指标值效果显著。</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 w:eastAsia="仿宋_GB2312" w:cs="宋体"/>
          <w:bCs/>
          <w:color w:val="auto"/>
          <w:sz w:val="32"/>
          <w:szCs w:val="32"/>
          <w:highlight w:val="none"/>
          <w:lang w:eastAsia="zh-CN" w:bidi="ar"/>
        </w:rPr>
      </w:pPr>
      <w:r>
        <w:rPr>
          <w:rFonts w:hint="eastAsia" w:ascii="仿宋_GB2312" w:hAnsi="仿宋" w:eastAsia="仿宋_GB2312" w:cs="宋体"/>
          <w:bCs/>
          <w:color w:val="auto"/>
          <w:sz w:val="32"/>
          <w:szCs w:val="32"/>
          <w:highlight w:val="none"/>
          <w:lang w:bidi="ar"/>
        </w:rPr>
        <w:t>生态效益指标</w:t>
      </w:r>
      <w:r>
        <w:rPr>
          <w:rFonts w:hint="eastAsia" w:ascii="仿宋_GB2312" w:hAnsi="仿宋" w:eastAsia="仿宋_GB2312" w:cs="宋体"/>
          <w:bCs/>
          <w:color w:val="auto"/>
          <w:sz w:val="32"/>
          <w:szCs w:val="32"/>
          <w:highlight w:val="none"/>
          <w:lang w:eastAsia="zh-CN" w:bidi="ar"/>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hAnsi="仿宋" w:eastAsia="仿宋_GB2312" w:cs="宋体"/>
          <w:bCs/>
          <w:color w:val="auto"/>
          <w:sz w:val="32"/>
          <w:szCs w:val="32"/>
          <w:highlight w:val="none"/>
          <w:lang w:val="en-US" w:eastAsia="zh-CN" w:bidi="ar"/>
        </w:rPr>
      </w:pPr>
      <w:r>
        <w:rPr>
          <w:rFonts w:hint="eastAsia" w:ascii="仿宋_GB2312" w:hAnsi="仿宋" w:eastAsia="仿宋_GB2312" w:cs="宋体"/>
          <w:bCs/>
          <w:color w:val="auto"/>
          <w:sz w:val="32"/>
          <w:szCs w:val="32"/>
          <w:highlight w:val="none"/>
          <w:lang w:val="en-US" w:eastAsia="zh-CN" w:bidi="ar"/>
        </w:rPr>
        <w:t>不涉及生态效益指标。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 w:eastAsia="仿宋_GB2312" w:cs="宋体"/>
          <w:bCs/>
          <w:color w:val="auto"/>
          <w:sz w:val="32"/>
          <w:szCs w:val="32"/>
          <w:highlight w:val="none"/>
          <w:lang w:eastAsia="zh-CN" w:bidi="ar"/>
        </w:rPr>
      </w:pPr>
      <w:r>
        <w:rPr>
          <w:rFonts w:hint="eastAsia" w:ascii="仿宋_GB2312" w:hAnsi="仿宋" w:eastAsia="仿宋_GB2312" w:cs="宋体"/>
          <w:bCs/>
          <w:color w:val="auto"/>
          <w:sz w:val="32"/>
          <w:szCs w:val="32"/>
          <w:highlight w:val="none"/>
          <w:lang w:bidi="ar"/>
        </w:rPr>
        <w:t>可持续影响指标</w:t>
      </w:r>
      <w:r>
        <w:rPr>
          <w:rFonts w:hint="eastAsia" w:ascii="仿宋_GB2312" w:hAnsi="仿宋" w:eastAsia="仿宋_GB2312" w:cs="宋体"/>
          <w:bCs/>
          <w:color w:val="auto"/>
          <w:sz w:val="32"/>
          <w:szCs w:val="32"/>
          <w:highlight w:val="none"/>
          <w:lang w:eastAsia="zh-CN" w:bidi="ar"/>
        </w:rPr>
        <w:t>：</w:t>
      </w:r>
    </w:p>
    <w:p>
      <w:pPr>
        <w:numPr>
          <w:ilvl w:val="0"/>
          <w:numId w:val="0"/>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 w:eastAsia="仿宋_GB2312" w:cs="宋体"/>
          <w:bCs/>
          <w:color w:val="auto"/>
          <w:sz w:val="32"/>
          <w:szCs w:val="32"/>
          <w:highlight w:val="none"/>
          <w:lang w:val="en-US" w:eastAsia="zh-CN" w:bidi="ar"/>
        </w:rPr>
        <w:t>业务保障持续时间，预期指标值小于等于15年</w:t>
      </w:r>
      <w:r>
        <w:rPr>
          <w:rFonts w:hint="eastAsia" w:ascii="仿宋_GB2312" w:hAnsi="仿宋_GB2312" w:eastAsia="仿宋_GB2312" w:cs="仿宋_GB2312"/>
          <w:b w:val="0"/>
          <w:bCs w:val="0"/>
          <w:color w:val="auto"/>
          <w:kern w:val="2"/>
          <w:sz w:val="32"/>
          <w:szCs w:val="32"/>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60" w:lineRule="exact"/>
        <w:ind w:leftChars="200"/>
        <w:textAlignment w:val="auto"/>
        <w:outlineLvl w:val="9"/>
        <w:rPr>
          <w:rStyle w:val="22"/>
          <w:rFonts w:hint="eastAsia" w:ascii="仿宋_GB2312" w:hAnsi="仿宋" w:eastAsia="仿宋_GB2312"/>
          <w:b w:val="0"/>
          <w:bCs w:val="0"/>
          <w:color w:val="auto"/>
          <w:spacing w:val="-4"/>
          <w:sz w:val="32"/>
          <w:szCs w:val="32"/>
          <w:lang w:eastAsia="zh-CN"/>
        </w:rPr>
      </w:pPr>
      <w:r>
        <w:rPr>
          <w:rStyle w:val="22"/>
          <w:rFonts w:hint="eastAsia" w:ascii="仿宋_GB2312" w:hAnsi="仿宋" w:eastAsia="仿宋_GB2312"/>
          <w:b w:val="0"/>
          <w:bCs w:val="0"/>
          <w:color w:val="auto"/>
          <w:spacing w:val="-4"/>
          <w:sz w:val="32"/>
          <w:szCs w:val="32"/>
          <w:lang w:eastAsia="zh-CN"/>
        </w:rPr>
        <w:t>（</w:t>
      </w:r>
      <w:r>
        <w:rPr>
          <w:rStyle w:val="22"/>
          <w:rFonts w:hint="eastAsia" w:ascii="仿宋_GB2312" w:hAnsi="仿宋" w:eastAsia="仿宋_GB2312"/>
          <w:b w:val="0"/>
          <w:bCs w:val="0"/>
          <w:color w:val="auto"/>
          <w:spacing w:val="-4"/>
          <w:sz w:val="32"/>
          <w:szCs w:val="32"/>
          <w:lang w:val="en-US" w:eastAsia="zh-CN"/>
        </w:rPr>
        <w:t>3</w:t>
      </w:r>
      <w:r>
        <w:rPr>
          <w:rStyle w:val="22"/>
          <w:rFonts w:hint="eastAsia" w:ascii="仿宋_GB2312" w:hAnsi="仿宋" w:eastAsia="仿宋_GB2312"/>
          <w:b w:val="0"/>
          <w:bCs w:val="0"/>
          <w:color w:val="auto"/>
          <w:spacing w:val="-4"/>
          <w:sz w:val="32"/>
          <w:szCs w:val="32"/>
          <w:lang w:eastAsia="zh-CN"/>
        </w:rPr>
        <w:t>）满意度指标：</w:t>
      </w:r>
    </w:p>
    <w:p>
      <w:pPr>
        <w:numPr>
          <w:ilvl w:val="0"/>
          <w:numId w:val="0"/>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 w:eastAsia="仿宋_GB2312" w:cs="宋体"/>
          <w:bCs/>
          <w:color w:val="auto"/>
          <w:sz w:val="32"/>
          <w:szCs w:val="32"/>
          <w:highlight w:val="none"/>
          <w:lang w:bidi="ar"/>
        </w:rPr>
        <w:t>群众满意度</w:t>
      </w:r>
      <w:r>
        <w:rPr>
          <w:rFonts w:hint="eastAsia" w:ascii="仿宋_GB2312" w:hAnsi="仿宋" w:eastAsia="仿宋_GB2312" w:cs="宋体"/>
          <w:bCs/>
          <w:color w:val="auto"/>
          <w:sz w:val="32"/>
          <w:szCs w:val="32"/>
          <w:highlight w:val="none"/>
          <w:lang w:eastAsia="zh-CN" w:bidi="ar"/>
        </w:rPr>
        <w:t>，</w:t>
      </w:r>
      <w:r>
        <w:rPr>
          <w:rFonts w:hint="eastAsia" w:ascii="仿宋" w:hAnsi="仿宋" w:eastAsia="仿宋"/>
          <w:color w:val="auto"/>
          <w:sz w:val="32"/>
          <w:szCs w:val="32"/>
          <w:highlight w:val="none"/>
        </w:rPr>
        <w:t>预期指标值</w:t>
      </w:r>
      <w:r>
        <w:rPr>
          <w:rFonts w:hint="eastAsia" w:ascii="仿宋" w:hAnsi="仿宋" w:eastAsia="仿宋"/>
          <w:color w:val="auto"/>
          <w:sz w:val="32"/>
          <w:szCs w:val="32"/>
          <w:highlight w:val="none"/>
          <w:lang w:val="en-US" w:eastAsia="zh-CN"/>
        </w:rPr>
        <w:t>大于等于95</w:t>
      </w:r>
      <w:r>
        <w:rPr>
          <w:rFonts w:hint="eastAsia" w:ascii="仿宋" w:hAnsi="仿宋" w:eastAsia="仿宋"/>
          <w:color w:val="auto"/>
          <w:sz w:val="32"/>
          <w:szCs w:val="32"/>
          <w:highlight w:val="none"/>
        </w:rPr>
        <w:t>%</w:t>
      </w:r>
      <w:r>
        <w:rPr>
          <w:rFonts w:hint="eastAsia" w:ascii="仿宋_GB2312" w:hAnsi="仿宋_GB2312" w:eastAsia="仿宋_GB2312" w:cs="仿宋_GB2312"/>
          <w:b w:val="0"/>
          <w:bCs w:val="0"/>
          <w:color w:val="auto"/>
          <w:kern w:val="2"/>
          <w:sz w:val="32"/>
          <w:szCs w:val="32"/>
          <w:lang w:val="en-US" w:eastAsia="zh-CN" w:bidi="ar-SA"/>
        </w:rPr>
        <w:t>。</w:t>
      </w:r>
    </w:p>
    <w:p>
      <w:pPr>
        <w:adjustRightInd w:val="0"/>
        <w:snapToGrid w:val="0"/>
        <w:spacing w:line="560" w:lineRule="exact"/>
        <w:ind w:firstLine="640" w:firstLineChars="200"/>
        <w:jc w:val="left"/>
        <w:outlineLvl w:val="0"/>
        <w:rPr>
          <w:rFonts w:ascii="黑体" w:hAnsi="黑体" w:eastAsia="黑体" w:cs="宋体"/>
          <w:color w:val="auto"/>
          <w:sz w:val="32"/>
          <w:szCs w:val="32"/>
          <w:highlight w:val="none"/>
        </w:rPr>
      </w:pPr>
      <w:r>
        <w:rPr>
          <w:rFonts w:hint="eastAsia" w:ascii="黑体" w:hAnsi="黑体" w:eastAsia="黑体" w:cs="宋体"/>
          <w:color w:val="auto"/>
          <w:sz w:val="32"/>
          <w:szCs w:val="32"/>
          <w:highlight w:val="none"/>
        </w:rPr>
        <w:t>二、评价工作简述</w:t>
      </w:r>
      <w:bookmarkEnd w:id="37"/>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hAnsiTheme="minorHAnsi"/>
          <w:color w:val="auto"/>
          <w:kern w:val="2"/>
          <w:sz w:val="32"/>
          <w:szCs w:val="32"/>
          <w:highlight w:val="none"/>
          <w:lang w:val="en-US" w:eastAsia="zh-CN" w:bidi="ar-SA"/>
        </w:rPr>
      </w:pPr>
      <w:bookmarkStart w:id="38" w:name="_Toc3416"/>
      <w:bookmarkStart w:id="39" w:name="_Toc7630"/>
      <w:bookmarkStart w:id="40" w:name="_Toc19614"/>
      <w:r>
        <w:rPr>
          <w:rFonts w:hint="eastAsia" w:ascii="仿宋_GB2312" w:eastAsia="仿宋_GB2312" w:cs="宋体" w:hAnsiTheme="minorHAnsi"/>
          <w:color w:val="auto"/>
          <w:kern w:val="2"/>
          <w:sz w:val="32"/>
          <w:szCs w:val="32"/>
          <w:lang w:val="en-US" w:eastAsia="zh-CN" w:bidi="ar-SA"/>
        </w:rPr>
        <w:t>受</w:t>
      </w:r>
      <w:r>
        <w:rPr>
          <w:rFonts w:hint="eastAsia" w:ascii="仿宋_GB2312" w:eastAsia="仿宋_GB2312" w:cs="宋体"/>
          <w:color w:val="auto"/>
          <w:kern w:val="2"/>
          <w:sz w:val="32"/>
          <w:szCs w:val="32"/>
          <w:lang w:val="en-US" w:eastAsia="zh-CN" w:bidi="ar-SA"/>
        </w:rPr>
        <w:t>洛浦</w:t>
      </w:r>
      <w:r>
        <w:rPr>
          <w:rFonts w:hint="eastAsia" w:ascii="仿宋_GB2312" w:eastAsia="仿宋_GB2312" w:cs="宋体" w:hAnsiTheme="minorHAnsi"/>
          <w:color w:val="auto"/>
          <w:kern w:val="2"/>
          <w:sz w:val="32"/>
          <w:szCs w:val="32"/>
          <w:lang w:val="en-US" w:eastAsia="zh-CN" w:bidi="ar-SA"/>
        </w:rPr>
        <w:t>县财政局委托，中瑞诚会计师事务所（特殊普通合伙）喀什分所（以下简称“评价机构”）承担</w:t>
      </w:r>
      <w:r>
        <w:rPr>
          <w:rFonts w:hint="eastAsia" w:ascii="仿宋_GB2312" w:eastAsia="仿宋_GB2312" w:cs="宋体"/>
          <w:color w:val="auto"/>
          <w:kern w:val="2"/>
          <w:sz w:val="32"/>
          <w:szCs w:val="32"/>
          <w:lang w:val="en-US" w:eastAsia="zh-CN" w:bidi="ar-SA"/>
        </w:rPr>
        <w:t>低效农田整治项目</w:t>
      </w:r>
      <w:r>
        <w:rPr>
          <w:rFonts w:hint="eastAsia" w:ascii="仿宋_GB2312" w:eastAsia="仿宋_GB2312" w:cs="宋体" w:hAnsiTheme="minorHAnsi"/>
          <w:color w:val="auto"/>
          <w:kern w:val="2"/>
          <w:sz w:val="32"/>
          <w:szCs w:val="32"/>
          <w:lang w:val="en-US" w:eastAsia="zh-CN" w:bidi="ar-SA"/>
        </w:rPr>
        <w:t>支出的绩效评价工作。为更好地保障绩效评价工作的顺利实施，根据财政部颁发的《项目支出绩效评价管理办法》（财预〔2020〕10号）、新疆维吾尔自治区财政厅颁发的《自治区财政支出绩效评价管理暂行办法》（新财预〔2018〕189号）等文件规定，评价机构成立绩效评价工作组（以下简称“评价工作组”）</w:t>
      </w:r>
      <w:r>
        <w:rPr>
          <w:rFonts w:hint="eastAsia" w:ascii="仿宋_GB2312" w:eastAsia="仿宋_GB2312" w:cs="宋体" w:hAnsiTheme="minorHAnsi"/>
          <w:color w:val="auto"/>
          <w:kern w:val="2"/>
          <w:sz w:val="32"/>
          <w:szCs w:val="32"/>
          <w:highlight w:val="none"/>
          <w:lang w:val="en-US" w:eastAsia="zh-CN" w:bidi="ar-SA"/>
        </w:rPr>
        <w:t>对</w:t>
      </w:r>
      <w:r>
        <w:rPr>
          <w:rFonts w:hint="eastAsia" w:ascii="仿宋_GB2312" w:eastAsia="仿宋_GB2312" w:cs="宋体"/>
          <w:color w:val="auto"/>
          <w:kern w:val="2"/>
          <w:sz w:val="32"/>
          <w:szCs w:val="32"/>
          <w:highlight w:val="none"/>
          <w:lang w:val="en-US" w:eastAsia="zh-CN" w:bidi="ar-SA"/>
        </w:rPr>
        <w:t>项目</w:t>
      </w:r>
      <w:r>
        <w:rPr>
          <w:rFonts w:hint="eastAsia" w:ascii="仿宋_GB2312" w:eastAsia="仿宋_GB2312" w:cs="宋体" w:hAnsiTheme="minorHAnsi"/>
          <w:color w:val="auto"/>
          <w:kern w:val="2"/>
          <w:sz w:val="32"/>
          <w:szCs w:val="32"/>
          <w:highlight w:val="none"/>
          <w:lang w:val="en-US" w:eastAsia="zh-CN" w:bidi="ar-SA"/>
        </w:rPr>
        <w:t>资金投入、资金使用和资金使用效益等方面进行了绩效评价。</w:t>
      </w:r>
      <w:bookmarkEnd w:id="38"/>
      <w:bookmarkEnd w:id="39"/>
      <w:bookmarkEnd w:id="40"/>
    </w:p>
    <w:p>
      <w:pPr>
        <w:pStyle w:val="33"/>
        <w:numPr>
          <w:ilvl w:val="0"/>
          <w:numId w:val="4"/>
        </w:numPr>
        <w:adjustRightInd w:val="0"/>
        <w:snapToGrid w:val="0"/>
        <w:spacing w:line="560" w:lineRule="exact"/>
        <w:ind w:firstLine="643"/>
        <w:rPr>
          <w:rFonts w:ascii="仿宋_GB2312" w:hAnsi="仿宋" w:eastAsia="仿宋_GB2312" w:cs="宋体"/>
          <w:b/>
          <w:bCs/>
          <w:vanish/>
          <w:color w:val="auto"/>
          <w:sz w:val="32"/>
          <w:szCs w:val="32"/>
          <w:highlight w:val="none"/>
        </w:rPr>
      </w:pPr>
      <w:r>
        <w:rPr>
          <w:rFonts w:hint="eastAsia" w:ascii="仿宋_GB2312" w:hAnsi="仿宋" w:eastAsia="仿宋_GB2312" w:cs="宋体"/>
          <w:b/>
          <w:bCs/>
          <w:vanish/>
          <w:color w:val="auto"/>
          <w:sz w:val="32"/>
          <w:szCs w:val="32"/>
          <w:highlight w:val="none"/>
        </w:rPr>
        <w:t>评价工作简述</w:t>
      </w:r>
    </w:p>
    <w:p>
      <w:pPr>
        <w:pStyle w:val="33"/>
        <w:adjustRightInd w:val="0"/>
        <w:snapToGrid w:val="0"/>
        <w:spacing w:line="560" w:lineRule="exact"/>
        <w:ind w:left="420" w:leftChars="200" w:firstLine="321" w:firstLineChars="100"/>
        <w:outlineLvl w:val="1"/>
        <w:rPr>
          <w:rFonts w:ascii="仿宋_GB2312" w:hAnsi="仿宋" w:eastAsia="仿宋_GB2312" w:cs="宋体"/>
          <w:b/>
          <w:bCs/>
          <w:color w:val="auto"/>
          <w:sz w:val="32"/>
          <w:szCs w:val="32"/>
          <w:highlight w:val="none"/>
        </w:rPr>
      </w:pPr>
      <w:bookmarkStart w:id="41" w:name="_Toc8259"/>
      <w:r>
        <w:rPr>
          <w:rFonts w:hint="eastAsia" w:ascii="仿宋_GB2312" w:hAnsi="仿宋" w:eastAsia="仿宋_GB2312" w:cs="宋体"/>
          <w:b/>
          <w:bCs/>
          <w:color w:val="auto"/>
          <w:sz w:val="32"/>
          <w:szCs w:val="32"/>
          <w:highlight w:val="none"/>
        </w:rPr>
        <w:t>（一）评价目的</w:t>
      </w:r>
      <w:bookmarkEnd w:id="41"/>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rPr>
      </w:pPr>
      <w:bookmarkStart w:id="42" w:name="_Toc22761"/>
      <w:bookmarkStart w:id="43" w:name="_Toc18186"/>
      <w:r>
        <w:rPr>
          <w:rFonts w:hint="eastAsia" w:ascii="仿宋_GB2312" w:hAnsi="仿宋_GB2312" w:eastAsia="仿宋_GB2312" w:cs="仿宋_GB2312"/>
          <w:color w:val="auto"/>
          <w:sz w:val="32"/>
          <w:szCs w:val="32"/>
        </w:rPr>
        <w:t>按照自治区财政厅和</w:t>
      </w:r>
      <w:r>
        <w:rPr>
          <w:rFonts w:hint="eastAsia" w:ascii="仿宋_GB2312" w:hAnsi="仿宋_GB2312" w:eastAsia="仿宋_GB2312" w:cs="仿宋_GB2312"/>
          <w:color w:val="auto"/>
          <w:sz w:val="32"/>
          <w:szCs w:val="32"/>
          <w:lang w:val="en-US" w:eastAsia="zh-CN"/>
        </w:rPr>
        <w:t>洛浦县</w:t>
      </w:r>
      <w:r>
        <w:rPr>
          <w:rFonts w:hint="eastAsia" w:ascii="仿宋_GB2312" w:hAnsi="仿宋_GB2312" w:eastAsia="仿宋_GB2312" w:cs="仿宋_GB2312"/>
          <w:color w:val="auto"/>
          <w:sz w:val="32"/>
          <w:szCs w:val="32"/>
        </w:rPr>
        <w:t>财政局“加强财政支出管理，强化支出责任，建立科学、合理的财政支出绩效评价管理体系，提高财政资金使用效益”的要求，通过</w:t>
      </w:r>
      <w:r>
        <w:rPr>
          <w:rFonts w:hint="eastAsia" w:ascii="仿宋_GB2312" w:hAnsi="仿宋_GB2312" w:eastAsia="仿宋_GB2312" w:cs="仿宋_GB2312"/>
          <w:color w:val="auto"/>
          <w:sz w:val="32"/>
          <w:szCs w:val="32"/>
          <w:lang w:eastAsia="zh-CN"/>
        </w:rPr>
        <w:t>项目</w:t>
      </w:r>
      <w:r>
        <w:rPr>
          <w:rFonts w:hint="eastAsia" w:ascii="仿宋_GB2312" w:hAnsi="仿宋_GB2312" w:eastAsia="仿宋_GB2312" w:cs="仿宋_GB2312"/>
          <w:color w:val="auto"/>
          <w:sz w:val="32"/>
          <w:szCs w:val="32"/>
        </w:rPr>
        <w:t>决策、过程、产出、效益的全过程梳理、评价，客观公正反映项目立项</w:t>
      </w:r>
      <w:r>
        <w:rPr>
          <w:rFonts w:hint="eastAsia" w:ascii="仿宋_GB2312" w:hAnsi="仿宋_GB2312" w:eastAsia="仿宋_GB2312" w:cs="仿宋_GB2312"/>
          <w:color w:val="auto"/>
          <w:sz w:val="32"/>
          <w:szCs w:val="32"/>
          <w:highlight w:val="none"/>
        </w:rPr>
        <w:t>的科学性、项目实施的规范性、项目管理的有效性和项目效果</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总结项目实施经验，发现存在</w:t>
      </w:r>
      <w:r>
        <w:rPr>
          <w:rFonts w:hint="eastAsia" w:ascii="仿宋_GB2312" w:hAnsi="仿宋_GB2312" w:eastAsia="仿宋_GB2312" w:cs="仿宋_GB2312"/>
          <w:color w:val="auto"/>
          <w:sz w:val="32"/>
          <w:szCs w:val="32"/>
          <w:highlight w:val="none"/>
          <w:lang w:eastAsia="zh-CN"/>
        </w:rPr>
        <w:t>的</w:t>
      </w:r>
      <w:r>
        <w:rPr>
          <w:rFonts w:hint="eastAsia" w:ascii="仿宋_GB2312" w:hAnsi="仿宋_GB2312" w:eastAsia="仿宋_GB2312" w:cs="仿宋_GB2312"/>
          <w:color w:val="auto"/>
          <w:sz w:val="32"/>
          <w:szCs w:val="32"/>
          <w:highlight w:val="none"/>
        </w:rPr>
        <w:t>问题，提出针对性建议</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为</w:t>
      </w:r>
      <w:r>
        <w:rPr>
          <w:rFonts w:hint="eastAsia" w:ascii="仿宋_GB2312" w:hAnsi="仿宋_GB2312" w:eastAsia="仿宋_GB2312" w:cs="仿宋_GB2312"/>
          <w:color w:val="auto"/>
          <w:sz w:val="32"/>
          <w:szCs w:val="32"/>
          <w:highlight w:val="none"/>
          <w:lang w:val="en-US" w:eastAsia="zh-CN"/>
        </w:rPr>
        <w:t>后年度</w:t>
      </w:r>
      <w:r>
        <w:rPr>
          <w:rFonts w:hint="eastAsia" w:ascii="仿宋_GB2312" w:hAnsi="仿宋_GB2312" w:eastAsia="仿宋_GB2312" w:cs="仿宋_GB2312"/>
          <w:color w:val="auto"/>
          <w:sz w:val="32"/>
          <w:szCs w:val="32"/>
          <w:highlight w:val="none"/>
          <w:lang w:eastAsia="zh-CN"/>
        </w:rPr>
        <w:t>项目的绩效</w:t>
      </w:r>
      <w:r>
        <w:rPr>
          <w:rFonts w:hint="eastAsia" w:ascii="仿宋_GB2312" w:hAnsi="仿宋_GB2312" w:eastAsia="仿宋_GB2312" w:cs="仿宋_GB2312"/>
          <w:color w:val="auto"/>
          <w:sz w:val="32"/>
          <w:szCs w:val="32"/>
          <w:highlight w:val="none"/>
        </w:rPr>
        <w:t>管理提供参考依据。</w:t>
      </w:r>
    </w:p>
    <w:p>
      <w:pPr>
        <w:pStyle w:val="33"/>
        <w:adjustRightInd w:val="0"/>
        <w:snapToGrid w:val="0"/>
        <w:spacing w:line="560" w:lineRule="exact"/>
        <w:ind w:left="420" w:leftChars="200" w:firstLine="321" w:firstLineChars="100"/>
        <w:outlineLvl w:val="1"/>
        <w:rPr>
          <w:rFonts w:ascii="仿宋_GB2312" w:hAnsi="仿宋" w:eastAsia="仿宋_GB2312" w:cs="宋体"/>
          <w:b/>
          <w:bCs/>
          <w:color w:val="auto"/>
          <w:sz w:val="32"/>
          <w:szCs w:val="32"/>
        </w:rPr>
      </w:pPr>
      <w:r>
        <w:rPr>
          <w:rFonts w:hint="eastAsia" w:ascii="仿宋_GB2312" w:hAnsi="仿宋" w:eastAsia="仿宋_GB2312" w:cs="宋体"/>
          <w:b/>
          <w:bCs/>
          <w:color w:val="auto"/>
          <w:sz w:val="32"/>
          <w:szCs w:val="32"/>
          <w:highlight w:val="none"/>
        </w:rPr>
        <w:t>（二）绩效评价工作</w:t>
      </w:r>
      <w:r>
        <w:rPr>
          <w:rFonts w:hint="eastAsia" w:ascii="仿宋_GB2312" w:hAnsi="仿宋" w:eastAsia="仿宋_GB2312" w:cs="宋体"/>
          <w:b/>
          <w:bCs/>
          <w:color w:val="auto"/>
          <w:sz w:val="32"/>
          <w:szCs w:val="32"/>
          <w:lang w:val="en-US" w:eastAsia="zh-CN"/>
        </w:rPr>
        <w:t>的基本</w:t>
      </w:r>
      <w:r>
        <w:rPr>
          <w:rFonts w:hint="eastAsia" w:ascii="仿宋_GB2312" w:hAnsi="仿宋" w:eastAsia="仿宋_GB2312" w:cs="宋体"/>
          <w:b/>
          <w:bCs/>
          <w:color w:val="auto"/>
          <w:sz w:val="32"/>
          <w:szCs w:val="32"/>
        </w:rPr>
        <w:t>思路</w:t>
      </w:r>
      <w:bookmarkEnd w:id="42"/>
      <w:bookmarkEnd w:id="43"/>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hAnsiTheme="minorHAnsi"/>
          <w:color w:val="auto"/>
          <w:kern w:val="2"/>
          <w:sz w:val="32"/>
          <w:szCs w:val="32"/>
          <w:highlight w:val="none"/>
          <w:lang w:val="en-US" w:eastAsia="zh-CN" w:bidi="ar-SA"/>
        </w:rPr>
      </w:pPr>
      <w:bookmarkStart w:id="44" w:name="_Toc14072"/>
      <w:bookmarkStart w:id="45" w:name="_Toc27648031"/>
      <w:bookmarkStart w:id="46" w:name="_Toc27651416"/>
      <w:bookmarkStart w:id="47" w:name="_Toc27493321"/>
      <w:bookmarkStart w:id="48" w:name="_Toc7209"/>
      <w:r>
        <w:rPr>
          <w:rFonts w:hint="eastAsia" w:ascii="仿宋_GB2312" w:eastAsia="仿宋_GB2312" w:cs="宋体" w:hAnsiTheme="minorHAnsi"/>
          <w:color w:val="auto"/>
          <w:kern w:val="2"/>
          <w:sz w:val="32"/>
          <w:szCs w:val="32"/>
          <w:lang w:val="en-US" w:eastAsia="zh-CN" w:bidi="ar-SA"/>
        </w:rPr>
        <w:t>本次评价从项目决策（包括项目立项依据的充分性和立项程序的规范性、绩效目标的合理性和绩效指标的明确性、预算编制的科学性和资金分配的合理性）、项目过程（包括项目资金中的资金到位、预算执行、资金使用的合规性、管理制度的健全性和制度执行的有效性）、项目产出（包括项目产出中的产出数量、产出质量、产出时效、产出成本）和项目效益（包括项目效果中的经济效益、社会效益、生态效益、</w:t>
      </w:r>
      <w:r>
        <w:rPr>
          <w:rFonts w:hint="eastAsia" w:ascii="仿宋_GB2312" w:eastAsia="仿宋_GB2312" w:cs="宋体" w:hAnsiTheme="minorHAnsi"/>
          <w:color w:val="auto"/>
          <w:kern w:val="2"/>
          <w:sz w:val="32"/>
          <w:szCs w:val="32"/>
          <w:highlight w:val="none"/>
          <w:lang w:val="en-US" w:eastAsia="zh-CN" w:bidi="ar-SA"/>
        </w:rPr>
        <w:t>可持续影响、服务对象满意度）四个维度进行评价。评价对象为</w:t>
      </w:r>
      <w:r>
        <w:rPr>
          <w:rFonts w:hint="eastAsia" w:ascii="仿宋_GB2312" w:eastAsia="仿宋_GB2312" w:cs="宋体"/>
          <w:color w:val="auto"/>
          <w:kern w:val="2"/>
          <w:sz w:val="32"/>
          <w:szCs w:val="32"/>
          <w:highlight w:val="none"/>
          <w:lang w:val="en-US" w:eastAsia="zh-CN" w:bidi="ar-SA"/>
        </w:rPr>
        <w:t>县级配套资金</w:t>
      </w:r>
      <w:r>
        <w:rPr>
          <w:rFonts w:hint="eastAsia" w:ascii="仿宋_GB2312" w:eastAsia="仿宋_GB2312" w:cs="宋体" w:hAnsiTheme="minorHAnsi"/>
          <w:color w:val="auto"/>
          <w:kern w:val="2"/>
          <w:sz w:val="32"/>
          <w:szCs w:val="32"/>
          <w:highlight w:val="none"/>
          <w:lang w:val="en-US" w:eastAsia="zh-CN" w:bidi="ar-SA"/>
        </w:rPr>
        <w:t>，评价核心为资金的支出完成情况和效果。</w:t>
      </w:r>
      <w:bookmarkEnd w:id="44"/>
      <w:bookmarkEnd w:id="45"/>
      <w:bookmarkEnd w:id="46"/>
      <w:bookmarkEnd w:id="47"/>
      <w:bookmarkEnd w:id="48"/>
    </w:p>
    <w:p>
      <w:pPr>
        <w:pStyle w:val="33"/>
        <w:adjustRightInd w:val="0"/>
        <w:snapToGrid w:val="0"/>
        <w:spacing w:line="560" w:lineRule="exact"/>
        <w:ind w:left="420" w:leftChars="200" w:firstLine="321" w:firstLineChars="100"/>
        <w:outlineLvl w:val="1"/>
        <w:rPr>
          <w:rFonts w:ascii="仿宋_GB2312" w:hAnsi="仿宋" w:eastAsia="仿宋_GB2312" w:cs="宋体"/>
          <w:b/>
          <w:bCs/>
          <w:color w:val="auto"/>
          <w:sz w:val="32"/>
          <w:szCs w:val="32"/>
        </w:rPr>
      </w:pPr>
      <w:bookmarkStart w:id="49" w:name="_Toc7962"/>
      <w:r>
        <w:rPr>
          <w:rFonts w:hint="eastAsia" w:ascii="仿宋_GB2312" w:hAnsi="仿宋" w:eastAsia="仿宋_GB2312" w:cs="宋体"/>
          <w:b/>
          <w:bCs/>
          <w:color w:val="auto"/>
          <w:sz w:val="32"/>
          <w:szCs w:val="32"/>
        </w:rPr>
        <w:t>（三）评价原则</w:t>
      </w:r>
      <w:bookmarkEnd w:id="49"/>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color w:val="auto"/>
          <w:sz w:val="32"/>
          <w:szCs w:val="32"/>
        </w:rPr>
      </w:pPr>
      <w:bookmarkStart w:id="50" w:name="_Toc1742"/>
      <w:r>
        <w:rPr>
          <w:rFonts w:hint="eastAsia" w:ascii="仿宋_GB2312" w:hAnsi="仿宋_GB2312" w:eastAsia="仿宋_GB2312" w:cs="仿宋_GB2312"/>
          <w:color w:val="auto"/>
          <w:sz w:val="32"/>
          <w:szCs w:val="32"/>
          <w:lang w:val="en-US" w:eastAsia="zh-CN"/>
        </w:rPr>
        <w:t>1.</w:t>
      </w:r>
      <w:r>
        <w:rPr>
          <w:rFonts w:hint="eastAsia" w:ascii="仿宋_GB2312" w:hAnsi="仿宋_GB2312" w:eastAsia="仿宋_GB2312" w:cs="仿宋_GB2312"/>
          <w:color w:val="auto"/>
          <w:sz w:val="32"/>
          <w:szCs w:val="32"/>
        </w:rPr>
        <w:t>相关性原则。绩效评价指标与绩效目标有直接的联系，能够恰当反映目标的实现程度。</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2.</w:t>
      </w:r>
      <w:r>
        <w:rPr>
          <w:rFonts w:hint="eastAsia" w:ascii="仿宋_GB2312" w:hAnsi="仿宋_GB2312" w:eastAsia="仿宋_GB2312" w:cs="仿宋_GB2312"/>
          <w:color w:val="auto"/>
          <w:sz w:val="32"/>
          <w:szCs w:val="32"/>
        </w:rPr>
        <w:t>重要性原则。优先使用最具评价对象代表性、最能反映评价要求的核心指标。</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3.</w:t>
      </w:r>
      <w:r>
        <w:rPr>
          <w:rFonts w:hint="eastAsia" w:ascii="仿宋_GB2312" w:hAnsi="仿宋_GB2312" w:eastAsia="仿宋_GB2312" w:cs="仿宋_GB2312"/>
          <w:color w:val="auto"/>
          <w:sz w:val="32"/>
          <w:szCs w:val="32"/>
        </w:rPr>
        <w:t>可比性原则。对同类评价对象设定共性的绩效评价指标，以便于评价标准的规范和评价结果可相互比较。</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4.</w:t>
      </w:r>
      <w:r>
        <w:rPr>
          <w:rFonts w:hint="eastAsia" w:ascii="仿宋_GB2312" w:hAnsi="仿宋_GB2312" w:eastAsia="仿宋_GB2312" w:cs="仿宋_GB2312"/>
          <w:color w:val="auto"/>
          <w:sz w:val="32"/>
          <w:szCs w:val="32"/>
        </w:rPr>
        <w:t>系统性原则。将定量指标与定性指标相结合，定量指标量化，定性指标可衡量，系统反映财政支出所产生的社会效益</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sz w:val="32"/>
          <w:szCs w:val="32"/>
        </w:rPr>
        <w:t>经济效益、环境效益和可持续影响等。</w:t>
      </w:r>
    </w:p>
    <w:p>
      <w:pPr>
        <w:pStyle w:val="33"/>
        <w:keepNext w:val="0"/>
        <w:keepLines w:val="0"/>
        <w:pageBreakBefore w:val="0"/>
        <w:widowControl w:val="0"/>
        <w:kinsoku/>
        <w:wordWrap/>
        <w:overflowPunct/>
        <w:topLinePunct w:val="0"/>
        <w:autoSpaceDE/>
        <w:autoSpaceDN/>
        <w:bidi w:val="0"/>
        <w:adjustRightInd w:val="0"/>
        <w:snapToGrid w:val="0"/>
        <w:spacing w:line="560" w:lineRule="exact"/>
        <w:textAlignment w:val="auto"/>
        <w:outlineLvl w:val="1"/>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5.</w:t>
      </w:r>
      <w:r>
        <w:rPr>
          <w:rFonts w:hint="eastAsia" w:ascii="仿宋_GB2312" w:hAnsi="仿宋_GB2312" w:eastAsia="仿宋_GB2312" w:cs="仿宋_GB2312"/>
          <w:color w:val="auto"/>
          <w:sz w:val="32"/>
          <w:szCs w:val="32"/>
        </w:rPr>
        <w:t>经济性原则。通俗易懂、简便易行，数据的获得考虑现实条件和可操作性，符合成本效益原则。</w:t>
      </w:r>
    </w:p>
    <w:p>
      <w:pPr>
        <w:pStyle w:val="33"/>
        <w:adjustRightInd w:val="0"/>
        <w:snapToGrid w:val="0"/>
        <w:spacing w:line="560" w:lineRule="exact"/>
        <w:ind w:left="420" w:leftChars="200" w:firstLine="321" w:firstLineChars="100"/>
        <w:outlineLvl w:val="1"/>
        <w:rPr>
          <w:rFonts w:ascii="仿宋_GB2312" w:hAnsi="仿宋" w:eastAsia="仿宋_GB2312" w:cs="宋体"/>
          <w:b/>
          <w:bCs/>
          <w:color w:val="auto"/>
          <w:sz w:val="32"/>
          <w:szCs w:val="32"/>
        </w:rPr>
      </w:pPr>
      <w:r>
        <w:rPr>
          <w:rFonts w:hint="eastAsia" w:ascii="仿宋_GB2312" w:hAnsi="仿宋" w:eastAsia="仿宋_GB2312" w:cs="宋体"/>
          <w:b/>
          <w:bCs/>
          <w:color w:val="auto"/>
          <w:sz w:val="32"/>
          <w:szCs w:val="32"/>
        </w:rPr>
        <w:t>（四）评价方法</w:t>
      </w:r>
      <w:bookmarkEnd w:id="50"/>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color w:val="auto"/>
          <w:sz w:val="32"/>
          <w:szCs w:val="32"/>
          <w:lang w:val="en-US" w:eastAsia="zh-CN"/>
        </w:rPr>
      </w:pPr>
      <w:bookmarkStart w:id="51" w:name="_Toc16588"/>
      <w:r>
        <w:rPr>
          <w:rFonts w:hint="eastAsia" w:ascii="仿宋_GB2312" w:hAnsi="仿宋_GB2312" w:eastAsia="仿宋_GB2312" w:cs="仿宋_GB2312"/>
          <w:color w:val="auto"/>
          <w:sz w:val="32"/>
          <w:szCs w:val="32"/>
          <w:lang w:val="en-US" w:eastAsia="zh-CN"/>
        </w:rPr>
        <w:t>本次绩效评价主要采用以下评价方法：</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1.比较法，通过对绩效目标与实施效果、历史与当期情况、不同部门和地区同类支出的比较，综合分析绩效目标实现程度。</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2.因素分析法，通过综合分析影响绩效目标实现、实施效果的内外因素，评价绩效目标实现程度。</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3.公众评判法，通过专家评估、公众问卷及抽样调查等对财政支出效果进行评判，评价绩效目标实现程度。</w:t>
      </w:r>
    </w:p>
    <w:p>
      <w:pPr>
        <w:pStyle w:val="33"/>
        <w:numPr>
          <w:ilvl w:val="0"/>
          <w:numId w:val="7"/>
        </w:numPr>
        <w:adjustRightInd w:val="0"/>
        <w:snapToGrid w:val="0"/>
        <w:spacing w:line="560" w:lineRule="exact"/>
        <w:ind w:left="420" w:leftChars="200" w:firstLine="321" w:firstLineChars="100"/>
        <w:outlineLvl w:val="1"/>
        <w:rPr>
          <w:rFonts w:hint="eastAsia" w:ascii="仿宋_GB2312" w:hAnsi="仿宋" w:eastAsia="仿宋_GB2312" w:cs="宋体"/>
          <w:b/>
          <w:bCs/>
          <w:color w:val="auto"/>
          <w:sz w:val="32"/>
          <w:szCs w:val="32"/>
        </w:rPr>
      </w:pPr>
      <w:r>
        <w:rPr>
          <w:rFonts w:hint="eastAsia" w:ascii="仿宋_GB2312" w:hAnsi="仿宋" w:eastAsia="仿宋_GB2312" w:cs="宋体"/>
          <w:b/>
          <w:bCs/>
          <w:color w:val="auto"/>
          <w:sz w:val="32"/>
          <w:szCs w:val="32"/>
        </w:rPr>
        <w:t>指标体系</w:t>
      </w:r>
      <w:bookmarkEnd w:id="51"/>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bookmarkStart w:id="52" w:name="_Toc8115"/>
      <w:bookmarkStart w:id="53" w:name="_Toc10934"/>
      <w:bookmarkStart w:id="54" w:name="_Toc32612"/>
      <w:bookmarkStart w:id="55" w:name="_Toc986"/>
      <w:bookmarkStart w:id="56" w:name="_Toc16677"/>
      <w:bookmarkStart w:id="57" w:name="_Toc22089"/>
      <w:bookmarkStart w:id="58" w:name="_Toc16367"/>
      <w:bookmarkStart w:id="59" w:name="_Toc31692"/>
      <w:r>
        <w:rPr>
          <w:rFonts w:hint="eastAsia" w:ascii="仿宋_GB2312" w:hAnsi="仿宋_GB2312" w:eastAsia="仿宋_GB2312" w:cs="仿宋_GB2312"/>
          <w:color w:val="auto"/>
          <w:sz w:val="32"/>
          <w:szCs w:val="32"/>
          <w:highlight w:val="none"/>
          <w:lang w:val="en-US" w:eastAsia="zh-CN"/>
        </w:rPr>
        <w:t>根据财政部颁发的《项目支出绩效评价管理办法》（财预〔2020〕10号）等相关文件精神，结合重点项目特点，在与专家组、项目单位充分协商的基础上，评价工作组细化了该专项的绩效评价指标体系，详见附件一。</w:t>
      </w:r>
      <w:bookmarkEnd w:id="52"/>
      <w:bookmarkEnd w:id="53"/>
      <w:bookmarkEnd w:id="54"/>
      <w:bookmarkEnd w:id="55"/>
      <w:bookmarkEnd w:id="56"/>
      <w:bookmarkEnd w:id="57"/>
    </w:p>
    <w:p>
      <w:pPr>
        <w:pStyle w:val="33"/>
        <w:adjustRightInd w:val="0"/>
        <w:snapToGrid w:val="0"/>
        <w:spacing w:line="560" w:lineRule="exact"/>
        <w:ind w:left="420" w:leftChars="200" w:firstLine="321" w:firstLineChars="100"/>
        <w:outlineLvl w:val="1"/>
        <w:rPr>
          <w:rFonts w:ascii="仿宋_GB2312" w:hAnsi="仿宋" w:eastAsia="仿宋_GB2312" w:cs="宋体"/>
          <w:b/>
          <w:bCs/>
          <w:color w:val="auto"/>
          <w:sz w:val="32"/>
          <w:szCs w:val="32"/>
        </w:rPr>
      </w:pPr>
      <w:r>
        <w:rPr>
          <w:rFonts w:hint="eastAsia" w:ascii="仿宋_GB2312" w:hAnsi="仿宋" w:eastAsia="仿宋_GB2312" w:cs="宋体"/>
          <w:b/>
          <w:bCs/>
          <w:color w:val="auto"/>
          <w:sz w:val="32"/>
          <w:szCs w:val="32"/>
        </w:rPr>
        <w:t>（六）评价等级划分</w:t>
      </w:r>
      <w:bookmarkEnd w:id="58"/>
      <w:bookmarkEnd w:id="59"/>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根据财政部颁发的《项目支出绩效评价管理办法》（财预〔2020〕10号）等相关文件精神，本次绩效评价结果主要采取评分和评级相结合的方式，具体分值和等级可根据不同评价的内容设定。总分一般设置为100分，其中项目决策20分、项目过程20分、项目产出30分、项目绩效30分。评价结果分为优、良、中、差四个等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优（90分（含）—100分）；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良（80分（含）—90分）；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中（60分（含）—80分）；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差（0分—60分）。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highlight w:val="none"/>
          <w:lang w:val="en-US" w:eastAsia="zh-CN"/>
        </w:rPr>
        <w:t>对在项目进行绩效评价的过程中，如果实施单位有弄虚作假、瞒报谎报情况之行为，绩效评价组将如实上报至洛浦县多鲁乡人民政府、洛浦县财政局，并予以通报批评；情节严重的，绩效评价结果将直接判定为不合格等级。</w:t>
      </w:r>
    </w:p>
    <w:p>
      <w:pPr>
        <w:pStyle w:val="33"/>
        <w:adjustRightInd w:val="0"/>
        <w:snapToGrid w:val="0"/>
        <w:spacing w:line="560" w:lineRule="exact"/>
        <w:ind w:left="420" w:leftChars="200" w:firstLine="321" w:firstLineChars="100"/>
        <w:outlineLvl w:val="1"/>
        <w:rPr>
          <w:rFonts w:ascii="仿宋_GB2312" w:hAnsi="仿宋" w:eastAsia="仿宋_GB2312" w:cs="宋体"/>
          <w:b/>
          <w:bCs/>
          <w:color w:val="auto"/>
          <w:sz w:val="32"/>
          <w:szCs w:val="32"/>
        </w:rPr>
      </w:pPr>
      <w:bookmarkStart w:id="60" w:name="_Toc24267"/>
      <w:r>
        <w:rPr>
          <w:rFonts w:hint="eastAsia" w:ascii="仿宋_GB2312" w:hAnsi="仿宋" w:eastAsia="仿宋_GB2312" w:cs="宋体"/>
          <w:b/>
          <w:bCs/>
          <w:color w:val="auto"/>
          <w:sz w:val="32"/>
          <w:szCs w:val="32"/>
        </w:rPr>
        <w:t>（七）评价工作实施情况</w:t>
      </w:r>
      <w:bookmarkEnd w:id="60"/>
    </w:p>
    <w:p>
      <w:pPr>
        <w:pStyle w:val="33"/>
        <w:tabs>
          <w:tab w:val="left" w:pos="1559"/>
        </w:tabs>
        <w:adjustRightInd w:val="0"/>
        <w:snapToGrid w:val="0"/>
        <w:spacing w:line="560" w:lineRule="exact"/>
        <w:ind w:firstLine="640"/>
        <w:outlineLvl w:val="2"/>
        <w:rPr>
          <w:rFonts w:ascii="楷体" w:hAnsi="楷体" w:eastAsia="楷体" w:cs="楷体"/>
          <w:bCs/>
          <w:color w:val="auto"/>
          <w:sz w:val="32"/>
          <w:szCs w:val="32"/>
        </w:rPr>
      </w:pPr>
      <w:bookmarkStart w:id="61" w:name="_Toc12973"/>
      <w:bookmarkStart w:id="62" w:name="_Toc8898"/>
      <w:r>
        <w:rPr>
          <w:rFonts w:hint="eastAsia" w:ascii="楷体" w:hAnsi="楷体" w:eastAsia="楷体" w:cs="楷体"/>
          <w:bCs/>
          <w:color w:val="auto"/>
          <w:sz w:val="32"/>
          <w:szCs w:val="32"/>
        </w:rPr>
        <w:t>1.评价工作程序和时间安排</w:t>
      </w:r>
      <w:bookmarkEnd w:id="61"/>
      <w:bookmarkEnd w:id="62"/>
    </w:p>
    <w:p>
      <w:pPr>
        <w:adjustRightInd w:val="0"/>
        <w:snapToGrid w:val="0"/>
        <w:spacing w:line="560" w:lineRule="exact"/>
        <w:ind w:firstLine="640" w:firstLineChars="200"/>
        <w:rPr>
          <w:rFonts w:ascii="Times New Roman" w:hAnsi="Times New Roman" w:eastAsia="仿宋" w:cs="Times New Roman"/>
          <w:color w:val="auto"/>
          <w:sz w:val="32"/>
          <w:szCs w:val="32"/>
        </w:rPr>
      </w:pPr>
      <w:r>
        <w:rPr>
          <w:rFonts w:hint="eastAsia" w:ascii="仿宋_GB2312" w:hAnsi="仿宋_GB2312" w:eastAsia="仿宋_GB2312" w:cs="仿宋_GB2312"/>
          <w:color w:val="auto"/>
          <w:sz w:val="32"/>
          <w:szCs w:val="32"/>
          <w:highlight w:val="none"/>
          <w:lang w:val="en-US" w:eastAsia="zh-CN"/>
        </w:rPr>
        <w:t>本次绩效评价各阶段具体工作内容及时间进度安排详见</w:t>
      </w:r>
      <w:r>
        <w:rPr>
          <w:rFonts w:hint="eastAsia" w:ascii="仿宋" w:hAnsi="仿宋" w:eastAsia="仿宋" w:cs="仿宋"/>
          <w:color w:val="auto"/>
          <w:sz w:val="32"/>
          <w:szCs w:val="32"/>
        </w:rPr>
        <w:t>下表：</w:t>
      </w:r>
    </w:p>
    <w:p>
      <w:pPr>
        <w:spacing w:after="156" w:afterLines="50" w:line="560" w:lineRule="exact"/>
        <w:jc w:val="center"/>
        <w:rPr>
          <w:rFonts w:ascii="Times New Roman" w:hAnsi="Times New Roman" w:eastAsia="黑体" w:cs="Times New Roman"/>
          <w:color w:val="auto"/>
          <w:sz w:val="32"/>
          <w:szCs w:val="32"/>
          <w:highlight w:val="none"/>
        </w:rPr>
      </w:pPr>
      <w:bookmarkStart w:id="63" w:name="_Toc3615"/>
      <w:bookmarkStart w:id="64" w:name="_Toc28992"/>
      <w:r>
        <w:rPr>
          <w:rFonts w:ascii="Times New Roman" w:hAnsi="Times New Roman" w:eastAsia="黑体" w:cs="Times New Roman"/>
          <w:color w:val="auto"/>
          <w:sz w:val="32"/>
          <w:szCs w:val="32"/>
          <w:highlight w:val="none"/>
        </w:rPr>
        <w:t>绩效评价工作程序和时间安排表</w:t>
      </w:r>
    </w:p>
    <w:tbl>
      <w:tblPr>
        <w:tblStyle w:val="1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534"/>
        <w:gridCol w:w="4293"/>
        <w:gridCol w:w="1814"/>
        <w:gridCol w:w="1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688" w:type="dxa"/>
            <w:shd w:val="clear" w:color="auto" w:fill="C0C0C0"/>
            <w:vAlign w:val="center"/>
          </w:tcPr>
          <w:p>
            <w:pPr>
              <w:adjustRightInd w:val="0"/>
              <w:snapToGrid w:val="0"/>
              <w:jc w:val="distribute"/>
              <w:rPr>
                <w:rFonts w:hint="eastAsia" w:ascii="仿宋" w:hAnsi="仿宋" w:eastAsia="仿宋" w:cs="仿宋"/>
                <w:b/>
                <w:bCs/>
                <w:color w:val="auto"/>
                <w:sz w:val="20"/>
                <w:szCs w:val="20"/>
              </w:rPr>
            </w:pPr>
            <w:r>
              <w:rPr>
                <w:rFonts w:hint="eastAsia" w:ascii="仿宋" w:hAnsi="仿宋" w:eastAsia="仿宋" w:cs="仿宋"/>
                <w:b/>
                <w:bCs/>
                <w:color w:val="auto"/>
                <w:sz w:val="20"/>
                <w:szCs w:val="20"/>
              </w:rPr>
              <w:t>阶段</w:t>
            </w:r>
          </w:p>
          <w:p>
            <w:pPr>
              <w:adjustRightInd w:val="0"/>
              <w:snapToGrid w:val="0"/>
              <w:jc w:val="distribute"/>
              <w:rPr>
                <w:rFonts w:hint="eastAsia" w:ascii="仿宋" w:hAnsi="仿宋" w:eastAsia="仿宋" w:cs="仿宋"/>
                <w:b/>
                <w:bCs/>
                <w:color w:val="auto"/>
                <w:sz w:val="20"/>
                <w:szCs w:val="20"/>
              </w:rPr>
            </w:pPr>
            <w:r>
              <w:rPr>
                <w:rFonts w:hint="eastAsia" w:ascii="仿宋" w:hAnsi="仿宋" w:eastAsia="仿宋" w:cs="仿宋"/>
                <w:b/>
                <w:bCs/>
                <w:color w:val="auto"/>
                <w:sz w:val="20"/>
                <w:szCs w:val="20"/>
              </w:rPr>
              <w:t>安排</w:t>
            </w:r>
          </w:p>
        </w:tc>
        <w:tc>
          <w:tcPr>
            <w:tcW w:w="4827" w:type="dxa"/>
            <w:gridSpan w:val="2"/>
            <w:shd w:val="clear" w:color="auto" w:fill="C0C0C0"/>
            <w:vAlign w:val="center"/>
          </w:tcPr>
          <w:p>
            <w:pPr>
              <w:adjustRightInd w:val="0"/>
              <w:snapToGrid w:val="0"/>
              <w:jc w:val="center"/>
              <w:rPr>
                <w:rFonts w:hint="eastAsia" w:ascii="仿宋" w:hAnsi="仿宋" w:eastAsia="仿宋" w:cs="仿宋"/>
                <w:b/>
                <w:bCs/>
                <w:color w:val="auto"/>
                <w:sz w:val="20"/>
                <w:szCs w:val="20"/>
              </w:rPr>
            </w:pPr>
            <w:r>
              <w:rPr>
                <w:rFonts w:hint="eastAsia" w:ascii="仿宋" w:hAnsi="仿宋" w:eastAsia="仿宋" w:cs="仿宋"/>
                <w:b/>
                <w:bCs/>
                <w:color w:val="auto"/>
                <w:sz w:val="20"/>
                <w:szCs w:val="20"/>
              </w:rPr>
              <w:t>工作内容</w:t>
            </w:r>
          </w:p>
        </w:tc>
        <w:tc>
          <w:tcPr>
            <w:tcW w:w="1814" w:type="dxa"/>
            <w:shd w:val="clear" w:color="auto" w:fill="C0C0C0"/>
            <w:vAlign w:val="center"/>
          </w:tcPr>
          <w:p>
            <w:pPr>
              <w:adjustRightInd w:val="0"/>
              <w:snapToGrid w:val="0"/>
              <w:jc w:val="center"/>
              <w:rPr>
                <w:rFonts w:hint="eastAsia" w:ascii="仿宋" w:hAnsi="仿宋" w:eastAsia="仿宋" w:cs="仿宋"/>
                <w:b/>
                <w:bCs/>
                <w:color w:val="auto"/>
                <w:sz w:val="20"/>
                <w:szCs w:val="20"/>
              </w:rPr>
            </w:pPr>
            <w:r>
              <w:rPr>
                <w:rFonts w:hint="eastAsia" w:ascii="仿宋" w:hAnsi="仿宋" w:eastAsia="仿宋" w:cs="仿宋"/>
                <w:b/>
                <w:bCs/>
                <w:color w:val="auto"/>
                <w:sz w:val="20"/>
                <w:szCs w:val="20"/>
              </w:rPr>
              <w:t>进度安排</w:t>
            </w:r>
          </w:p>
        </w:tc>
        <w:tc>
          <w:tcPr>
            <w:tcW w:w="1175" w:type="dxa"/>
            <w:shd w:val="clear" w:color="auto" w:fill="C0C0C0"/>
            <w:vAlign w:val="center"/>
          </w:tcPr>
          <w:p>
            <w:pPr>
              <w:adjustRightInd w:val="0"/>
              <w:snapToGrid w:val="0"/>
              <w:jc w:val="center"/>
              <w:rPr>
                <w:rFonts w:hint="eastAsia" w:ascii="仿宋" w:hAnsi="仿宋" w:eastAsia="仿宋" w:cs="仿宋"/>
                <w:b/>
                <w:bCs/>
                <w:color w:val="auto"/>
                <w:sz w:val="20"/>
                <w:szCs w:val="20"/>
              </w:rPr>
            </w:pPr>
            <w:r>
              <w:rPr>
                <w:rFonts w:hint="eastAsia" w:ascii="仿宋" w:hAnsi="仿宋" w:eastAsia="仿宋" w:cs="仿宋"/>
                <w:b/>
                <w:bCs/>
                <w:color w:val="auto"/>
                <w:sz w:val="20"/>
                <w:szCs w:val="20"/>
              </w:rPr>
              <w:t>参与方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688" w:type="dxa"/>
            <w:vMerge w:val="restart"/>
            <w:shd w:val="clear" w:color="auto" w:fill="auto"/>
            <w:vAlign w:val="center"/>
          </w:tcPr>
          <w:p>
            <w:pPr>
              <w:adjustRightInd w:val="0"/>
              <w:snapToGrid w:val="0"/>
              <w:jc w:val="center"/>
              <w:rPr>
                <w:rFonts w:hint="eastAsia" w:ascii="仿宋" w:hAnsi="仿宋" w:eastAsia="仿宋" w:cs="仿宋"/>
                <w:b/>
                <w:bCs/>
                <w:color w:val="auto"/>
                <w:sz w:val="20"/>
                <w:szCs w:val="20"/>
              </w:rPr>
            </w:pPr>
            <w:r>
              <w:rPr>
                <w:rFonts w:hint="eastAsia" w:ascii="Times New Roman" w:hAnsi="Times New Roman" w:eastAsia="仿宋_GB2312" w:cs="仿宋"/>
                <w:b/>
                <w:bCs/>
                <w:color w:val="auto"/>
                <w:spacing w:val="40"/>
                <w:sz w:val="20"/>
                <w:szCs w:val="20"/>
              </w:rPr>
              <w:t>评价准备阶段</w:t>
            </w:r>
          </w:p>
        </w:tc>
        <w:tc>
          <w:tcPr>
            <w:tcW w:w="4827" w:type="dxa"/>
            <w:gridSpan w:val="2"/>
            <w:shd w:val="clear" w:color="auto" w:fill="auto"/>
            <w:vAlign w:val="center"/>
          </w:tcPr>
          <w:p>
            <w:pPr>
              <w:adjustRightInd w:val="0"/>
              <w:snapToGrid w:val="0"/>
              <w:jc w:val="left"/>
              <w:rPr>
                <w:rFonts w:hint="eastAsia" w:ascii="仿宋" w:hAnsi="仿宋" w:eastAsia="仿宋" w:cs="仿宋"/>
                <w:b/>
                <w:bCs/>
                <w:color w:val="auto"/>
                <w:sz w:val="20"/>
                <w:szCs w:val="20"/>
              </w:rPr>
            </w:pPr>
            <w:r>
              <w:rPr>
                <w:rFonts w:hint="eastAsia" w:ascii="Times New Roman" w:hAnsi="Times New Roman" w:eastAsia="仿宋_GB2312" w:cs="仿宋"/>
                <w:color w:val="auto"/>
                <w:sz w:val="20"/>
                <w:szCs w:val="20"/>
              </w:rPr>
              <w:t>制定《项目实施工作方案》，收集并研究分析项目政策资料，编制指标评价体系和资料清单，并发送被评价单位准备资料。</w:t>
            </w:r>
          </w:p>
        </w:tc>
        <w:tc>
          <w:tcPr>
            <w:tcW w:w="1814" w:type="dxa"/>
            <w:shd w:val="clear" w:color="auto" w:fill="auto"/>
            <w:vAlign w:val="center"/>
          </w:tcPr>
          <w:p>
            <w:pPr>
              <w:adjustRightInd w:val="0"/>
              <w:snapToGrid w:val="0"/>
              <w:jc w:val="left"/>
              <w:rPr>
                <w:rFonts w:hint="eastAsia" w:ascii="仿宋" w:hAnsi="仿宋" w:eastAsia="仿宋" w:cs="仿宋"/>
                <w:b/>
                <w:bCs/>
                <w:color w:val="auto"/>
                <w:sz w:val="20"/>
                <w:szCs w:val="20"/>
              </w:rPr>
            </w:pPr>
            <w:r>
              <w:rPr>
                <w:rFonts w:hint="eastAsia" w:ascii="Times New Roman" w:hAnsi="Times New Roman" w:eastAsia="仿宋_GB2312" w:cs="仿宋"/>
                <w:color w:val="auto"/>
                <w:sz w:val="20"/>
                <w:szCs w:val="20"/>
                <w:lang w:eastAsia="zh-CN"/>
              </w:rPr>
              <w:t>202</w:t>
            </w:r>
            <w:r>
              <w:rPr>
                <w:rFonts w:hint="eastAsia" w:ascii="Times New Roman" w:hAnsi="Times New Roman" w:eastAsia="仿宋_GB2312" w:cs="仿宋"/>
                <w:color w:val="auto"/>
                <w:sz w:val="20"/>
                <w:szCs w:val="20"/>
                <w:lang w:val="en-US" w:eastAsia="zh-CN"/>
              </w:rPr>
              <w:t>2</w:t>
            </w:r>
            <w:r>
              <w:rPr>
                <w:rFonts w:hint="eastAsia" w:ascii="Times New Roman" w:hAnsi="Times New Roman" w:eastAsia="仿宋_GB2312" w:cs="仿宋"/>
                <w:color w:val="auto"/>
                <w:sz w:val="20"/>
                <w:szCs w:val="20"/>
              </w:rPr>
              <w:t>年</w:t>
            </w:r>
            <w:r>
              <w:rPr>
                <w:rFonts w:hint="eastAsia" w:ascii="Times New Roman" w:hAnsi="Times New Roman" w:eastAsia="仿宋_GB2312" w:cs="仿宋"/>
                <w:color w:val="auto"/>
                <w:sz w:val="20"/>
                <w:szCs w:val="20"/>
                <w:lang w:val="en-US" w:eastAsia="zh-CN"/>
              </w:rPr>
              <w:t>03</w:t>
            </w:r>
            <w:r>
              <w:rPr>
                <w:rFonts w:hint="eastAsia" w:ascii="Times New Roman" w:hAnsi="Times New Roman" w:eastAsia="仿宋_GB2312" w:cs="仿宋"/>
                <w:color w:val="auto"/>
                <w:sz w:val="20"/>
                <w:szCs w:val="20"/>
              </w:rPr>
              <w:t>月</w:t>
            </w:r>
            <w:r>
              <w:rPr>
                <w:rFonts w:hint="eastAsia" w:ascii="Times New Roman" w:hAnsi="Times New Roman" w:eastAsia="仿宋_GB2312" w:cs="仿宋"/>
                <w:color w:val="auto"/>
                <w:sz w:val="20"/>
                <w:szCs w:val="20"/>
                <w:lang w:val="en-US" w:eastAsia="zh-CN"/>
              </w:rPr>
              <w:t>01</w:t>
            </w:r>
            <w:r>
              <w:rPr>
                <w:rFonts w:hint="eastAsia" w:ascii="Times New Roman" w:hAnsi="Times New Roman" w:eastAsia="仿宋_GB2312" w:cs="仿宋"/>
                <w:color w:val="auto"/>
                <w:sz w:val="20"/>
                <w:szCs w:val="20"/>
              </w:rPr>
              <w:t>日</w:t>
            </w:r>
          </w:p>
        </w:tc>
        <w:tc>
          <w:tcPr>
            <w:tcW w:w="1175" w:type="dxa"/>
            <w:shd w:val="clear" w:color="auto" w:fill="auto"/>
            <w:vAlign w:val="center"/>
          </w:tcPr>
          <w:p>
            <w:pPr>
              <w:adjustRightInd w:val="0"/>
              <w:snapToGrid w:val="0"/>
              <w:jc w:val="center"/>
              <w:rPr>
                <w:rFonts w:hint="eastAsia" w:ascii="仿宋" w:hAnsi="仿宋" w:eastAsia="仿宋" w:cs="仿宋"/>
                <w:b/>
                <w:bCs/>
                <w:color w:val="auto"/>
                <w:sz w:val="20"/>
                <w:szCs w:val="20"/>
              </w:rPr>
            </w:pPr>
            <w:r>
              <w:rPr>
                <w:rFonts w:hint="eastAsia" w:ascii="Times New Roman" w:hAnsi="Times New Roman" w:eastAsia="仿宋_GB2312" w:cs="仿宋"/>
                <w:color w:val="auto"/>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3"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color w:val="auto"/>
                <w:spacing w:val="40"/>
                <w:sz w:val="20"/>
                <w:szCs w:val="20"/>
              </w:rPr>
            </w:pPr>
          </w:p>
        </w:tc>
        <w:tc>
          <w:tcPr>
            <w:tcW w:w="534" w:type="dxa"/>
            <w:vMerge w:val="restart"/>
            <w:shd w:val="clear" w:color="auto" w:fill="auto"/>
            <w:vAlign w:val="center"/>
          </w:tcPr>
          <w:p>
            <w:pPr>
              <w:adjustRightInd w:val="0"/>
              <w:snapToGrid w:val="0"/>
              <w:jc w:val="left"/>
              <w:rPr>
                <w:rFonts w:hint="eastAsia" w:ascii="Times New Roman" w:hAnsi="Times New Roman" w:eastAsia="仿宋_GB2312" w:cs="仿宋"/>
                <w:b/>
                <w:bCs/>
                <w:color w:val="auto"/>
                <w:sz w:val="20"/>
                <w:szCs w:val="20"/>
              </w:rPr>
            </w:pPr>
            <w:r>
              <w:rPr>
                <w:rFonts w:hint="eastAsia" w:ascii="Times New Roman" w:hAnsi="Times New Roman" w:eastAsia="仿宋_GB2312" w:cs="仿宋"/>
                <w:b/>
                <w:bCs/>
                <w:color w:val="auto"/>
                <w:sz w:val="20"/>
                <w:szCs w:val="20"/>
              </w:rPr>
              <w:t>编写相关文本</w:t>
            </w:r>
          </w:p>
          <w:p>
            <w:pPr>
              <w:adjustRightInd w:val="0"/>
              <w:snapToGrid w:val="0"/>
              <w:jc w:val="left"/>
              <w:rPr>
                <w:rFonts w:hint="eastAsia" w:ascii="Times New Roman" w:hAnsi="Times New Roman" w:eastAsia="仿宋_GB2312" w:cs="仿宋"/>
                <w:b/>
                <w:bCs/>
                <w:color w:val="auto"/>
                <w:sz w:val="20"/>
                <w:szCs w:val="20"/>
              </w:rPr>
            </w:pPr>
            <w:r>
              <w:rPr>
                <w:rFonts w:hint="eastAsia" w:ascii="Times New Roman" w:hAnsi="Times New Roman" w:eastAsia="仿宋_GB2312" w:cs="仿宋"/>
                <w:b/>
                <w:bCs/>
                <w:color w:val="auto"/>
                <w:sz w:val="20"/>
                <w:szCs w:val="20"/>
              </w:rPr>
              <w:t>、</w:t>
            </w:r>
          </w:p>
          <w:p>
            <w:pPr>
              <w:adjustRightInd w:val="0"/>
              <w:snapToGrid w:val="0"/>
              <w:jc w:val="left"/>
              <w:rPr>
                <w:rFonts w:hint="eastAsia" w:ascii="仿宋" w:hAnsi="仿宋" w:eastAsia="仿宋" w:cs="仿宋"/>
                <w:color w:val="auto"/>
                <w:sz w:val="20"/>
                <w:szCs w:val="20"/>
              </w:rPr>
            </w:pPr>
            <w:r>
              <w:rPr>
                <w:rFonts w:hint="eastAsia" w:ascii="Times New Roman" w:hAnsi="Times New Roman" w:eastAsia="仿宋_GB2312" w:cs="仿宋"/>
                <w:b/>
                <w:bCs/>
                <w:color w:val="auto"/>
                <w:sz w:val="20"/>
                <w:szCs w:val="20"/>
              </w:rPr>
              <w:t>准备资料</w:t>
            </w:r>
          </w:p>
        </w:tc>
        <w:tc>
          <w:tcPr>
            <w:tcW w:w="4293" w:type="dxa"/>
            <w:shd w:val="clear" w:color="auto" w:fill="auto"/>
            <w:vAlign w:val="center"/>
          </w:tcPr>
          <w:p>
            <w:pPr>
              <w:adjustRightInd w:val="0"/>
              <w:snapToGrid w:val="0"/>
              <w:jc w:val="left"/>
              <w:rPr>
                <w:rFonts w:hint="eastAsia" w:ascii="Times New Roman" w:hAnsi="Times New Roman" w:eastAsia="仿宋_GB2312" w:cs="仿宋"/>
                <w:b/>
                <w:bCs/>
                <w:color w:val="auto"/>
                <w:sz w:val="20"/>
                <w:szCs w:val="20"/>
              </w:rPr>
            </w:pPr>
            <w:r>
              <w:rPr>
                <w:rFonts w:hint="eastAsia" w:ascii="Times New Roman" w:hAnsi="Times New Roman" w:eastAsia="仿宋_GB2312" w:cs="仿宋"/>
                <w:b/>
                <w:bCs/>
                <w:color w:val="auto"/>
                <w:sz w:val="20"/>
                <w:szCs w:val="20"/>
              </w:rPr>
              <w:t>首轮提交文本及资料：</w:t>
            </w:r>
          </w:p>
          <w:p>
            <w:pPr>
              <w:adjustRightInd w:val="0"/>
              <w:snapToGrid w:val="0"/>
              <w:jc w:val="left"/>
              <w:rPr>
                <w:rFonts w:hint="eastAsia" w:ascii="Times New Roman" w:hAnsi="Times New Roman" w:eastAsia="仿宋_GB2312" w:cs="仿宋"/>
                <w:color w:val="auto"/>
                <w:sz w:val="20"/>
                <w:szCs w:val="20"/>
              </w:rPr>
            </w:pPr>
            <w:r>
              <w:rPr>
                <w:rFonts w:hint="eastAsia" w:ascii="Times New Roman" w:hAnsi="Times New Roman" w:eastAsia="仿宋_GB2312" w:cs="仿宋"/>
                <w:color w:val="auto"/>
                <w:sz w:val="20"/>
                <w:szCs w:val="20"/>
              </w:rPr>
              <w:t>1.项目单位提交自评绩效报告；</w:t>
            </w:r>
          </w:p>
          <w:p>
            <w:pPr>
              <w:adjustRightInd w:val="0"/>
              <w:snapToGrid w:val="0"/>
              <w:jc w:val="left"/>
              <w:rPr>
                <w:rFonts w:hint="eastAsia" w:ascii="仿宋" w:hAnsi="仿宋" w:eastAsia="仿宋" w:cs="仿宋"/>
                <w:color w:val="auto"/>
                <w:sz w:val="20"/>
                <w:szCs w:val="20"/>
              </w:rPr>
            </w:pPr>
            <w:r>
              <w:rPr>
                <w:rFonts w:hint="eastAsia" w:ascii="Times New Roman" w:hAnsi="Times New Roman" w:eastAsia="仿宋_GB2312" w:cs="仿宋"/>
                <w:color w:val="auto"/>
                <w:sz w:val="20"/>
                <w:szCs w:val="20"/>
              </w:rPr>
              <w:t>2.项目单位按照资料清单要求准备相关资料，提交评价工作组。</w:t>
            </w:r>
          </w:p>
        </w:tc>
        <w:tc>
          <w:tcPr>
            <w:tcW w:w="1814" w:type="dxa"/>
            <w:shd w:val="clear" w:color="auto" w:fill="auto"/>
            <w:vAlign w:val="center"/>
          </w:tcPr>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lang w:eastAsia="zh-CN"/>
              </w:rPr>
              <w:t>202</w:t>
            </w:r>
            <w:r>
              <w:rPr>
                <w:rFonts w:hint="eastAsia" w:ascii="Times New Roman" w:hAnsi="Times New Roman" w:eastAsia="仿宋_GB2312" w:cs="仿宋"/>
                <w:color w:val="auto"/>
                <w:sz w:val="20"/>
                <w:szCs w:val="20"/>
                <w:lang w:val="en-US" w:eastAsia="zh-CN"/>
              </w:rPr>
              <w:t>2</w:t>
            </w:r>
            <w:r>
              <w:rPr>
                <w:rFonts w:hint="eastAsia" w:ascii="Times New Roman" w:hAnsi="Times New Roman" w:eastAsia="仿宋_GB2312" w:cs="仿宋"/>
                <w:color w:val="auto"/>
                <w:sz w:val="20"/>
                <w:szCs w:val="20"/>
              </w:rPr>
              <w:t>年</w:t>
            </w:r>
            <w:r>
              <w:rPr>
                <w:rFonts w:hint="eastAsia" w:ascii="Times New Roman" w:hAnsi="Times New Roman" w:eastAsia="仿宋_GB2312" w:cs="仿宋"/>
                <w:color w:val="auto"/>
                <w:sz w:val="20"/>
                <w:szCs w:val="20"/>
                <w:lang w:val="en-US" w:eastAsia="zh-CN"/>
              </w:rPr>
              <w:t>03</w:t>
            </w:r>
            <w:r>
              <w:rPr>
                <w:rFonts w:hint="eastAsia" w:ascii="Times New Roman" w:hAnsi="Times New Roman" w:eastAsia="仿宋_GB2312" w:cs="仿宋"/>
                <w:color w:val="auto"/>
                <w:sz w:val="20"/>
                <w:szCs w:val="20"/>
              </w:rPr>
              <w:t>月</w:t>
            </w:r>
            <w:r>
              <w:rPr>
                <w:rFonts w:hint="eastAsia" w:ascii="Times New Roman" w:hAnsi="Times New Roman" w:eastAsia="仿宋_GB2312" w:cs="仿宋"/>
                <w:color w:val="auto"/>
                <w:sz w:val="20"/>
                <w:szCs w:val="20"/>
                <w:lang w:val="en-US" w:eastAsia="zh-CN"/>
              </w:rPr>
              <w:t>13</w:t>
            </w:r>
            <w:r>
              <w:rPr>
                <w:rFonts w:hint="eastAsia" w:ascii="Times New Roman" w:hAnsi="Times New Roman" w:eastAsia="仿宋_GB2312" w:cs="仿宋"/>
                <w:color w:val="auto"/>
                <w:sz w:val="20"/>
                <w:szCs w:val="20"/>
              </w:rPr>
              <w:t>日</w:t>
            </w:r>
          </w:p>
        </w:tc>
        <w:tc>
          <w:tcPr>
            <w:tcW w:w="1175" w:type="dxa"/>
            <w:vMerge w:val="restart"/>
            <w:shd w:val="clear" w:color="auto" w:fill="auto"/>
            <w:vAlign w:val="center"/>
          </w:tcPr>
          <w:p>
            <w:pPr>
              <w:adjustRightInd w:val="0"/>
              <w:snapToGrid w:val="0"/>
              <w:jc w:val="center"/>
              <w:rPr>
                <w:rFonts w:hint="eastAsia" w:ascii="Times New Roman" w:hAnsi="Times New Roman" w:eastAsia="仿宋_GB2312" w:cs="仿宋"/>
                <w:color w:val="auto"/>
                <w:sz w:val="20"/>
                <w:szCs w:val="20"/>
              </w:rPr>
            </w:pPr>
            <w:r>
              <w:rPr>
                <w:rFonts w:hint="eastAsia" w:ascii="Times New Roman" w:hAnsi="Times New Roman" w:eastAsia="仿宋_GB2312" w:cs="仿宋"/>
                <w:color w:val="auto"/>
                <w:sz w:val="20"/>
                <w:szCs w:val="20"/>
              </w:rPr>
              <w:t>项目单位</w:t>
            </w:r>
          </w:p>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color w:val="auto"/>
                <w:spacing w:val="40"/>
                <w:sz w:val="20"/>
                <w:szCs w:val="20"/>
              </w:rPr>
            </w:pPr>
          </w:p>
        </w:tc>
        <w:tc>
          <w:tcPr>
            <w:tcW w:w="534" w:type="dxa"/>
            <w:vMerge w:val="continue"/>
            <w:shd w:val="clear" w:color="auto" w:fill="auto"/>
            <w:vAlign w:val="center"/>
          </w:tcPr>
          <w:p>
            <w:pPr>
              <w:adjustRightInd w:val="0"/>
              <w:snapToGrid w:val="0"/>
              <w:jc w:val="left"/>
              <w:rPr>
                <w:rFonts w:hint="eastAsia" w:ascii="仿宋" w:hAnsi="仿宋" w:eastAsia="仿宋" w:cs="仿宋"/>
                <w:color w:val="auto"/>
                <w:sz w:val="20"/>
                <w:szCs w:val="20"/>
              </w:rPr>
            </w:pPr>
          </w:p>
        </w:tc>
        <w:tc>
          <w:tcPr>
            <w:tcW w:w="4293" w:type="dxa"/>
            <w:tcBorders>
              <w:bottom w:val="single" w:color="auto" w:sz="4" w:space="0"/>
            </w:tcBorders>
            <w:shd w:val="clear" w:color="auto" w:fill="auto"/>
            <w:vAlign w:val="center"/>
          </w:tcPr>
          <w:p>
            <w:pPr>
              <w:adjustRightInd w:val="0"/>
              <w:snapToGrid w:val="0"/>
              <w:jc w:val="left"/>
              <w:rPr>
                <w:rFonts w:hint="eastAsia" w:ascii="Times New Roman" w:hAnsi="Times New Roman" w:eastAsia="仿宋_GB2312" w:cs="仿宋"/>
                <w:b/>
                <w:bCs/>
                <w:color w:val="auto"/>
                <w:sz w:val="20"/>
                <w:szCs w:val="20"/>
              </w:rPr>
            </w:pPr>
            <w:r>
              <w:rPr>
                <w:rFonts w:hint="eastAsia" w:ascii="Times New Roman" w:hAnsi="Times New Roman" w:eastAsia="仿宋_GB2312" w:cs="仿宋"/>
                <w:b/>
                <w:bCs/>
                <w:color w:val="auto"/>
                <w:sz w:val="20"/>
                <w:szCs w:val="20"/>
              </w:rPr>
              <w:t>修改文本及补充资料：</w:t>
            </w:r>
          </w:p>
          <w:p>
            <w:pPr>
              <w:adjustRightInd w:val="0"/>
              <w:snapToGrid w:val="0"/>
              <w:jc w:val="left"/>
              <w:rPr>
                <w:rFonts w:hint="eastAsia" w:ascii="Times New Roman" w:hAnsi="Times New Roman" w:eastAsia="仿宋_GB2312" w:cs="仿宋"/>
                <w:color w:val="auto"/>
                <w:sz w:val="20"/>
                <w:szCs w:val="20"/>
              </w:rPr>
            </w:pPr>
            <w:r>
              <w:rPr>
                <w:rFonts w:hint="eastAsia" w:ascii="Times New Roman" w:hAnsi="Times New Roman" w:eastAsia="仿宋_GB2312" w:cs="仿宋"/>
                <w:color w:val="auto"/>
                <w:sz w:val="20"/>
                <w:szCs w:val="20"/>
              </w:rPr>
              <w:t>1.评价工作组提出绩效报告修改意见，并反馈项目单位进行修改；</w:t>
            </w:r>
          </w:p>
          <w:p>
            <w:pPr>
              <w:adjustRightInd w:val="0"/>
              <w:snapToGrid w:val="0"/>
              <w:jc w:val="left"/>
              <w:rPr>
                <w:rFonts w:hint="eastAsia" w:ascii="仿宋" w:hAnsi="仿宋" w:eastAsia="仿宋" w:cs="仿宋"/>
                <w:color w:val="auto"/>
                <w:sz w:val="20"/>
                <w:szCs w:val="20"/>
              </w:rPr>
            </w:pPr>
            <w:r>
              <w:rPr>
                <w:rFonts w:hint="eastAsia" w:ascii="Times New Roman" w:hAnsi="Times New Roman" w:eastAsia="仿宋_GB2312" w:cs="仿宋"/>
                <w:color w:val="auto"/>
                <w:sz w:val="20"/>
                <w:szCs w:val="20"/>
              </w:rPr>
              <w:t>2.评价工作组对资料进行审核，提出补充修改意见。</w:t>
            </w:r>
          </w:p>
        </w:tc>
        <w:tc>
          <w:tcPr>
            <w:tcW w:w="1814" w:type="dxa"/>
            <w:tcBorders>
              <w:bottom w:val="single" w:color="auto" w:sz="4" w:space="0"/>
            </w:tcBorders>
            <w:shd w:val="clear" w:color="auto" w:fill="auto"/>
            <w:vAlign w:val="center"/>
          </w:tcPr>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lang w:eastAsia="zh-CN"/>
              </w:rPr>
              <w:t>202</w:t>
            </w:r>
            <w:r>
              <w:rPr>
                <w:rFonts w:hint="eastAsia" w:ascii="Times New Roman" w:hAnsi="Times New Roman" w:eastAsia="仿宋_GB2312" w:cs="仿宋"/>
                <w:color w:val="auto"/>
                <w:sz w:val="20"/>
                <w:szCs w:val="20"/>
                <w:lang w:val="en-US" w:eastAsia="zh-CN"/>
              </w:rPr>
              <w:t>2</w:t>
            </w:r>
            <w:r>
              <w:rPr>
                <w:rFonts w:hint="eastAsia" w:ascii="Times New Roman" w:hAnsi="Times New Roman" w:eastAsia="仿宋_GB2312" w:cs="仿宋"/>
                <w:color w:val="auto"/>
                <w:sz w:val="20"/>
                <w:szCs w:val="20"/>
              </w:rPr>
              <w:t>年</w:t>
            </w:r>
            <w:r>
              <w:rPr>
                <w:rFonts w:hint="eastAsia" w:ascii="Times New Roman" w:hAnsi="Times New Roman" w:eastAsia="仿宋_GB2312" w:cs="仿宋"/>
                <w:color w:val="auto"/>
                <w:sz w:val="20"/>
                <w:szCs w:val="20"/>
                <w:lang w:val="en-US" w:eastAsia="zh-CN"/>
              </w:rPr>
              <w:t>03</w:t>
            </w:r>
            <w:r>
              <w:rPr>
                <w:rFonts w:hint="eastAsia" w:ascii="Times New Roman" w:hAnsi="Times New Roman" w:eastAsia="仿宋_GB2312" w:cs="仿宋"/>
                <w:color w:val="auto"/>
                <w:sz w:val="20"/>
                <w:szCs w:val="20"/>
              </w:rPr>
              <w:t>月</w:t>
            </w:r>
            <w:r>
              <w:rPr>
                <w:rFonts w:hint="eastAsia" w:ascii="Times New Roman" w:hAnsi="Times New Roman" w:eastAsia="仿宋_GB2312" w:cs="仿宋"/>
                <w:color w:val="auto"/>
                <w:sz w:val="20"/>
                <w:szCs w:val="20"/>
                <w:lang w:val="en-US" w:eastAsia="zh-CN"/>
              </w:rPr>
              <w:t>20</w:t>
            </w:r>
            <w:r>
              <w:rPr>
                <w:rFonts w:hint="eastAsia" w:ascii="Times New Roman" w:hAnsi="Times New Roman" w:eastAsia="仿宋_GB2312" w:cs="仿宋"/>
                <w:color w:val="auto"/>
                <w:sz w:val="20"/>
                <w:szCs w:val="20"/>
              </w:rPr>
              <w:t>日</w:t>
            </w:r>
          </w:p>
        </w:tc>
        <w:tc>
          <w:tcPr>
            <w:tcW w:w="1175" w:type="dxa"/>
            <w:vMerge w:val="continue"/>
            <w:shd w:val="clear" w:color="auto" w:fill="auto"/>
            <w:vAlign w:val="center"/>
          </w:tcPr>
          <w:p>
            <w:pPr>
              <w:adjustRightInd w:val="0"/>
              <w:snapToGrid w:val="0"/>
              <w:jc w:val="center"/>
              <w:rPr>
                <w:rFonts w:hint="eastAsia" w:ascii="仿宋" w:hAnsi="仿宋" w:eastAsia="仿宋" w:cs="仿宋"/>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7"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color w:val="auto"/>
                <w:spacing w:val="40"/>
                <w:sz w:val="20"/>
                <w:szCs w:val="20"/>
              </w:rPr>
            </w:pPr>
          </w:p>
        </w:tc>
        <w:tc>
          <w:tcPr>
            <w:tcW w:w="534" w:type="dxa"/>
            <w:vMerge w:val="continue"/>
            <w:shd w:val="clear" w:color="auto" w:fill="auto"/>
            <w:vAlign w:val="center"/>
          </w:tcPr>
          <w:p>
            <w:pPr>
              <w:adjustRightInd w:val="0"/>
              <w:snapToGrid w:val="0"/>
              <w:spacing w:after="120"/>
              <w:jc w:val="left"/>
              <w:rPr>
                <w:rFonts w:hint="eastAsia" w:ascii="仿宋" w:hAnsi="仿宋" w:eastAsia="仿宋" w:cs="仿宋"/>
                <w:b/>
                <w:bCs/>
                <w:color w:val="auto"/>
                <w:sz w:val="20"/>
                <w:szCs w:val="20"/>
              </w:rPr>
            </w:pPr>
          </w:p>
        </w:tc>
        <w:tc>
          <w:tcPr>
            <w:tcW w:w="4293" w:type="dxa"/>
            <w:shd w:val="clear" w:color="auto" w:fill="auto"/>
            <w:vAlign w:val="center"/>
          </w:tcPr>
          <w:p>
            <w:pPr>
              <w:adjustRightInd w:val="0"/>
              <w:snapToGrid w:val="0"/>
              <w:jc w:val="left"/>
              <w:rPr>
                <w:rFonts w:hint="eastAsia" w:ascii="Times New Roman" w:hAnsi="Times New Roman" w:eastAsia="仿宋_GB2312" w:cs="仿宋"/>
                <w:b/>
                <w:bCs/>
                <w:color w:val="auto"/>
                <w:sz w:val="20"/>
                <w:szCs w:val="20"/>
              </w:rPr>
            </w:pPr>
            <w:r>
              <w:rPr>
                <w:rFonts w:hint="eastAsia" w:ascii="Times New Roman" w:hAnsi="Times New Roman" w:eastAsia="仿宋_GB2312" w:cs="仿宋"/>
                <w:b/>
                <w:bCs/>
                <w:color w:val="auto"/>
                <w:sz w:val="20"/>
                <w:szCs w:val="20"/>
              </w:rPr>
              <w:t>确定终版文本及资料：</w:t>
            </w:r>
          </w:p>
          <w:p>
            <w:pPr>
              <w:adjustRightInd w:val="0"/>
              <w:snapToGrid w:val="0"/>
              <w:jc w:val="left"/>
              <w:rPr>
                <w:rFonts w:hint="eastAsia" w:ascii="Times New Roman" w:hAnsi="Times New Roman" w:eastAsia="仿宋_GB2312" w:cs="仿宋"/>
                <w:color w:val="auto"/>
                <w:sz w:val="20"/>
                <w:szCs w:val="20"/>
              </w:rPr>
            </w:pPr>
            <w:r>
              <w:rPr>
                <w:rFonts w:hint="eastAsia" w:ascii="Times New Roman" w:hAnsi="Times New Roman" w:eastAsia="仿宋_GB2312" w:cs="仿宋"/>
                <w:color w:val="auto"/>
                <w:sz w:val="20"/>
                <w:szCs w:val="20"/>
              </w:rPr>
              <w:t>1.评价工作组再次审核绩效报告，项目单位参照修改意见进行修改并定稿；</w:t>
            </w:r>
          </w:p>
          <w:p>
            <w:pPr>
              <w:adjustRightInd w:val="0"/>
              <w:snapToGrid w:val="0"/>
              <w:jc w:val="left"/>
              <w:rPr>
                <w:rFonts w:hint="eastAsia" w:ascii="仿宋" w:hAnsi="仿宋" w:eastAsia="仿宋" w:cs="仿宋"/>
                <w:b/>
                <w:bCs/>
                <w:color w:val="auto"/>
                <w:sz w:val="20"/>
                <w:szCs w:val="20"/>
              </w:rPr>
            </w:pPr>
            <w:r>
              <w:rPr>
                <w:rFonts w:hint="eastAsia" w:ascii="Times New Roman" w:hAnsi="Times New Roman" w:eastAsia="仿宋_GB2312" w:cs="仿宋"/>
                <w:color w:val="auto"/>
                <w:sz w:val="20"/>
                <w:szCs w:val="20"/>
              </w:rPr>
              <w:t>2.项目单位按照补充修改意见完善资料，并将终版资料提交评价工作组，并签署资料确认单。</w:t>
            </w:r>
          </w:p>
        </w:tc>
        <w:tc>
          <w:tcPr>
            <w:tcW w:w="1814" w:type="dxa"/>
            <w:shd w:val="clear" w:color="auto" w:fill="auto"/>
            <w:vAlign w:val="center"/>
          </w:tcPr>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lang w:eastAsia="zh-CN"/>
              </w:rPr>
              <w:t>202</w:t>
            </w:r>
            <w:r>
              <w:rPr>
                <w:rFonts w:hint="eastAsia" w:ascii="Times New Roman" w:hAnsi="Times New Roman" w:eastAsia="仿宋_GB2312" w:cs="仿宋"/>
                <w:color w:val="auto"/>
                <w:sz w:val="20"/>
                <w:szCs w:val="20"/>
                <w:lang w:val="en-US" w:eastAsia="zh-CN"/>
              </w:rPr>
              <w:t>2</w:t>
            </w:r>
            <w:r>
              <w:rPr>
                <w:rFonts w:hint="eastAsia" w:ascii="Times New Roman" w:hAnsi="Times New Roman" w:eastAsia="仿宋_GB2312" w:cs="仿宋"/>
                <w:color w:val="auto"/>
                <w:sz w:val="20"/>
                <w:szCs w:val="20"/>
              </w:rPr>
              <w:t>年</w:t>
            </w:r>
            <w:r>
              <w:rPr>
                <w:rFonts w:hint="eastAsia" w:ascii="Times New Roman" w:hAnsi="Times New Roman" w:eastAsia="仿宋_GB2312" w:cs="仿宋"/>
                <w:color w:val="auto"/>
                <w:sz w:val="20"/>
                <w:szCs w:val="20"/>
                <w:lang w:val="en-US" w:eastAsia="zh-CN"/>
              </w:rPr>
              <w:t>03</w:t>
            </w:r>
            <w:r>
              <w:rPr>
                <w:rFonts w:hint="eastAsia" w:ascii="Times New Roman" w:hAnsi="Times New Roman" w:eastAsia="仿宋_GB2312" w:cs="仿宋"/>
                <w:color w:val="auto"/>
                <w:sz w:val="20"/>
                <w:szCs w:val="20"/>
              </w:rPr>
              <w:t>月</w:t>
            </w:r>
            <w:r>
              <w:rPr>
                <w:rFonts w:hint="eastAsia" w:ascii="Times New Roman" w:hAnsi="Times New Roman" w:eastAsia="仿宋_GB2312" w:cs="仿宋"/>
                <w:color w:val="auto"/>
                <w:sz w:val="20"/>
                <w:szCs w:val="20"/>
                <w:lang w:val="en-US" w:eastAsia="zh-CN"/>
              </w:rPr>
              <w:t>22</w:t>
            </w:r>
            <w:r>
              <w:rPr>
                <w:rFonts w:hint="eastAsia" w:ascii="Times New Roman" w:hAnsi="Times New Roman" w:eastAsia="仿宋_GB2312" w:cs="仿宋"/>
                <w:color w:val="auto"/>
                <w:sz w:val="20"/>
                <w:szCs w:val="20"/>
              </w:rPr>
              <w:t>日</w:t>
            </w:r>
          </w:p>
        </w:tc>
        <w:tc>
          <w:tcPr>
            <w:tcW w:w="1175" w:type="dxa"/>
            <w:vMerge w:val="continue"/>
            <w:shd w:val="clear" w:color="auto" w:fill="auto"/>
            <w:vAlign w:val="center"/>
          </w:tcPr>
          <w:p>
            <w:pPr>
              <w:adjustRightInd w:val="0"/>
              <w:snapToGrid w:val="0"/>
              <w:jc w:val="center"/>
              <w:rPr>
                <w:rFonts w:hint="eastAsia" w:ascii="仿宋" w:hAnsi="仿宋" w:eastAsia="仿宋" w:cs="仿宋"/>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8" w:hRule="atLeast"/>
          <w:jc w:val="center"/>
        </w:trPr>
        <w:tc>
          <w:tcPr>
            <w:tcW w:w="688" w:type="dxa"/>
            <w:vMerge w:val="continue"/>
            <w:shd w:val="clear" w:color="auto" w:fill="auto"/>
            <w:textDirection w:val="tbRlV"/>
            <w:vAlign w:val="center"/>
          </w:tcPr>
          <w:p>
            <w:pPr>
              <w:adjustRightInd w:val="0"/>
              <w:snapToGrid w:val="0"/>
              <w:ind w:firstLine="560" w:firstLineChars="200"/>
              <w:jc w:val="center"/>
              <w:rPr>
                <w:rFonts w:hint="eastAsia" w:ascii="仿宋" w:hAnsi="仿宋" w:eastAsia="仿宋" w:cs="仿宋"/>
                <w:color w:val="auto"/>
                <w:spacing w:val="40"/>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b/>
                <w:bCs/>
                <w:color w:val="auto"/>
                <w:sz w:val="20"/>
                <w:szCs w:val="20"/>
              </w:rPr>
            </w:pPr>
            <w:r>
              <w:rPr>
                <w:rFonts w:hint="eastAsia" w:ascii="Times New Roman" w:hAnsi="Times New Roman" w:eastAsia="仿宋_GB2312" w:cs="仿宋"/>
                <w:b/>
                <w:bCs/>
                <w:color w:val="auto"/>
                <w:sz w:val="20"/>
                <w:szCs w:val="20"/>
              </w:rPr>
              <w:t>整理、分析资料：</w:t>
            </w:r>
            <w:r>
              <w:rPr>
                <w:rFonts w:hint="eastAsia" w:ascii="Times New Roman" w:hAnsi="Times New Roman" w:eastAsia="仿宋_GB2312" w:cs="仿宋"/>
                <w:color w:val="auto"/>
                <w:sz w:val="20"/>
                <w:szCs w:val="20"/>
              </w:rPr>
              <w:t>评价工作组对所收集资料进行整理、对资金支出情况进行分析，就有关问题与项目单位核实。</w:t>
            </w:r>
          </w:p>
        </w:tc>
        <w:tc>
          <w:tcPr>
            <w:tcW w:w="1814" w:type="dxa"/>
            <w:shd w:val="clear" w:color="auto" w:fill="auto"/>
            <w:vAlign w:val="center"/>
          </w:tcPr>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lang w:eastAsia="zh-CN"/>
              </w:rPr>
              <w:t>202</w:t>
            </w:r>
            <w:r>
              <w:rPr>
                <w:rFonts w:hint="eastAsia" w:ascii="Times New Roman" w:hAnsi="Times New Roman" w:eastAsia="仿宋_GB2312" w:cs="仿宋"/>
                <w:color w:val="auto"/>
                <w:sz w:val="20"/>
                <w:szCs w:val="20"/>
                <w:lang w:val="en-US" w:eastAsia="zh-CN"/>
              </w:rPr>
              <w:t>2</w:t>
            </w:r>
            <w:r>
              <w:rPr>
                <w:rFonts w:hint="eastAsia" w:ascii="Times New Roman" w:hAnsi="Times New Roman" w:eastAsia="仿宋_GB2312" w:cs="仿宋"/>
                <w:color w:val="auto"/>
                <w:sz w:val="20"/>
                <w:szCs w:val="20"/>
              </w:rPr>
              <w:t>年</w:t>
            </w:r>
            <w:r>
              <w:rPr>
                <w:rFonts w:hint="eastAsia" w:ascii="Times New Roman" w:hAnsi="Times New Roman" w:eastAsia="仿宋_GB2312" w:cs="仿宋"/>
                <w:color w:val="auto"/>
                <w:sz w:val="20"/>
                <w:szCs w:val="20"/>
                <w:lang w:val="en-US" w:eastAsia="zh-CN"/>
              </w:rPr>
              <w:t>04</w:t>
            </w:r>
            <w:r>
              <w:rPr>
                <w:rFonts w:hint="eastAsia" w:ascii="Times New Roman" w:hAnsi="Times New Roman" w:eastAsia="仿宋_GB2312" w:cs="仿宋"/>
                <w:color w:val="auto"/>
                <w:sz w:val="20"/>
                <w:szCs w:val="20"/>
              </w:rPr>
              <w:t>月</w:t>
            </w:r>
            <w:r>
              <w:rPr>
                <w:rFonts w:hint="eastAsia" w:ascii="Times New Roman" w:hAnsi="Times New Roman" w:eastAsia="仿宋_GB2312" w:cs="仿宋"/>
                <w:color w:val="auto"/>
                <w:sz w:val="20"/>
                <w:szCs w:val="20"/>
                <w:lang w:val="en-US" w:eastAsia="zh-CN"/>
              </w:rPr>
              <w:t>3</w:t>
            </w:r>
            <w:r>
              <w:rPr>
                <w:rFonts w:hint="eastAsia" w:ascii="Times New Roman" w:hAnsi="Times New Roman" w:eastAsia="仿宋_GB2312" w:cs="仿宋"/>
                <w:color w:val="auto"/>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color w:val="auto"/>
                <w:sz w:val="20"/>
                <w:szCs w:val="20"/>
              </w:rPr>
            </w:pPr>
            <w:r>
              <w:rPr>
                <w:rFonts w:hint="eastAsia" w:ascii="Times New Roman" w:hAnsi="Times New Roman" w:eastAsia="仿宋_GB2312" w:cs="仿宋"/>
                <w:color w:val="auto"/>
                <w:sz w:val="20"/>
                <w:szCs w:val="20"/>
              </w:rPr>
              <w:t>评价机构</w:t>
            </w:r>
          </w:p>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rPr>
              <w:t>项目单位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0" w:hRule="atLeast"/>
          <w:jc w:val="center"/>
        </w:trPr>
        <w:tc>
          <w:tcPr>
            <w:tcW w:w="688" w:type="dxa"/>
            <w:vMerge w:val="continue"/>
            <w:shd w:val="clear" w:color="auto" w:fill="auto"/>
            <w:textDirection w:val="tbRlV"/>
            <w:vAlign w:val="center"/>
          </w:tcPr>
          <w:p>
            <w:pPr>
              <w:adjustRightInd w:val="0"/>
              <w:snapToGrid w:val="0"/>
              <w:ind w:left="113" w:leftChars="0" w:firstLine="560" w:firstLineChars="200"/>
              <w:jc w:val="center"/>
              <w:rPr>
                <w:rFonts w:hint="eastAsia" w:ascii="仿宋" w:hAnsi="仿宋" w:eastAsia="仿宋" w:cs="仿宋"/>
                <w:color w:val="auto"/>
                <w:spacing w:val="40"/>
                <w:sz w:val="20"/>
                <w:szCs w:val="20"/>
              </w:rPr>
            </w:pP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b/>
                <w:bCs/>
                <w:color w:val="auto"/>
                <w:sz w:val="20"/>
                <w:szCs w:val="20"/>
              </w:rPr>
            </w:pPr>
            <w:r>
              <w:rPr>
                <w:rFonts w:hint="eastAsia" w:ascii="Times New Roman" w:hAnsi="Times New Roman" w:eastAsia="仿宋_GB2312" w:cs="仿宋"/>
                <w:b/>
                <w:bCs/>
                <w:color w:val="auto"/>
                <w:sz w:val="20"/>
                <w:szCs w:val="20"/>
              </w:rPr>
              <w:t>成立评价工作小组：</w:t>
            </w:r>
            <w:r>
              <w:rPr>
                <w:rFonts w:hint="eastAsia" w:ascii="Times New Roman" w:hAnsi="Times New Roman" w:eastAsia="仿宋_GB2312" w:cs="仿宋"/>
                <w:color w:val="auto"/>
                <w:sz w:val="20"/>
                <w:szCs w:val="20"/>
              </w:rPr>
              <w:t>遴选相关业务、财务、管理等组成评价工作小组，并对小组成员进行培训。</w:t>
            </w:r>
          </w:p>
        </w:tc>
        <w:tc>
          <w:tcPr>
            <w:tcW w:w="1814" w:type="dxa"/>
            <w:tcBorders>
              <w:bottom w:val="single" w:color="auto" w:sz="4" w:space="0"/>
            </w:tcBorders>
            <w:shd w:val="clear" w:color="auto" w:fill="auto"/>
            <w:vAlign w:val="center"/>
          </w:tcPr>
          <w:p>
            <w:pPr>
              <w:adjustRightInd w:val="0"/>
              <w:snapToGrid w:val="0"/>
              <w:spacing w:before="120" w:after="12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lang w:eastAsia="zh-CN"/>
              </w:rPr>
              <w:t>202</w:t>
            </w:r>
            <w:r>
              <w:rPr>
                <w:rFonts w:hint="eastAsia" w:ascii="Times New Roman" w:hAnsi="Times New Roman" w:eastAsia="仿宋_GB2312" w:cs="仿宋"/>
                <w:color w:val="auto"/>
                <w:sz w:val="20"/>
                <w:szCs w:val="20"/>
                <w:lang w:val="en-US" w:eastAsia="zh-CN"/>
              </w:rPr>
              <w:t>2</w:t>
            </w:r>
            <w:r>
              <w:rPr>
                <w:rFonts w:hint="eastAsia" w:ascii="Times New Roman" w:hAnsi="Times New Roman" w:eastAsia="仿宋_GB2312" w:cs="仿宋"/>
                <w:color w:val="auto"/>
                <w:sz w:val="20"/>
                <w:szCs w:val="20"/>
              </w:rPr>
              <w:t>年</w:t>
            </w:r>
            <w:r>
              <w:rPr>
                <w:rFonts w:hint="eastAsia" w:ascii="Times New Roman" w:hAnsi="Times New Roman" w:eastAsia="仿宋_GB2312" w:cs="仿宋"/>
                <w:color w:val="auto"/>
                <w:sz w:val="20"/>
                <w:szCs w:val="20"/>
                <w:lang w:val="en-US" w:eastAsia="zh-CN"/>
              </w:rPr>
              <w:t>04</w:t>
            </w:r>
            <w:r>
              <w:rPr>
                <w:rFonts w:hint="eastAsia" w:ascii="Times New Roman" w:hAnsi="Times New Roman" w:eastAsia="仿宋_GB2312" w:cs="仿宋"/>
                <w:color w:val="auto"/>
                <w:sz w:val="20"/>
                <w:szCs w:val="20"/>
              </w:rPr>
              <w:t>月</w:t>
            </w:r>
            <w:r>
              <w:rPr>
                <w:rFonts w:hint="eastAsia" w:ascii="Times New Roman" w:hAnsi="Times New Roman" w:eastAsia="仿宋_GB2312" w:cs="仿宋"/>
                <w:color w:val="auto"/>
                <w:sz w:val="20"/>
                <w:szCs w:val="20"/>
                <w:lang w:val="en-US" w:eastAsia="zh-CN"/>
              </w:rPr>
              <w:t>4</w:t>
            </w:r>
            <w:r>
              <w:rPr>
                <w:rFonts w:hint="eastAsia" w:ascii="Times New Roman" w:hAnsi="Times New Roman" w:eastAsia="仿宋_GB2312" w:cs="仿宋"/>
                <w:color w:val="auto"/>
                <w:sz w:val="20"/>
                <w:szCs w:val="20"/>
              </w:rPr>
              <w:t>日</w:t>
            </w:r>
          </w:p>
        </w:tc>
        <w:tc>
          <w:tcPr>
            <w:tcW w:w="1175" w:type="dxa"/>
            <w:tcBorders>
              <w:bottom w:val="single" w:color="auto" w:sz="4" w:space="0"/>
            </w:tcBorders>
            <w:shd w:val="clear" w:color="auto" w:fill="auto"/>
            <w:vAlign w:val="center"/>
          </w:tcPr>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4" w:hRule="atLeast"/>
          <w:jc w:val="center"/>
        </w:trPr>
        <w:tc>
          <w:tcPr>
            <w:tcW w:w="688" w:type="dxa"/>
            <w:vMerge w:val="restart"/>
            <w:shd w:val="clear" w:color="auto" w:fill="auto"/>
            <w:textDirection w:val="tbRlV"/>
            <w:vAlign w:val="center"/>
          </w:tcPr>
          <w:p>
            <w:pPr>
              <w:adjustRightInd w:val="0"/>
              <w:snapToGrid w:val="0"/>
              <w:ind w:firstLine="281" w:firstLineChars="100"/>
              <w:rPr>
                <w:rFonts w:hint="eastAsia" w:ascii="仿宋" w:hAnsi="仿宋" w:eastAsia="仿宋" w:cs="仿宋"/>
                <w:color w:val="auto"/>
                <w:spacing w:val="40"/>
                <w:sz w:val="20"/>
                <w:szCs w:val="20"/>
              </w:rPr>
            </w:pPr>
            <w:r>
              <w:rPr>
                <w:rFonts w:hint="eastAsia" w:ascii="Times New Roman" w:hAnsi="Times New Roman" w:eastAsia="仿宋_GB2312" w:cs="仿宋"/>
                <w:b/>
                <w:bCs/>
                <w:color w:val="auto"/>
                <w:spacing w:val="40"/>
                <w:sz w:val="20"/>
                <w:szCs w:val="20"/>
              </w:rPr>
              <w:t>评价实施阶段</w:t>
            </w: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color w:val="auto"/>
                <w:sz w:val="20"/>
                <w:szCs w:val="20"/>
              </w:rPr>
            </w:pPr>
            <w:r>
              <w:rPr>
                <w:rFonts w:hint="eastAsia" w:ascii="Times New Roman" w:hAnsi="Times New Roman" w:eastAsia="仿宋_GB2312" w:cs="仿宋"/>
                <w:b/>
                <w:bCs/>
                <w:color w:val="auto"/>
                <w:sz w:val="20"/>
                <w:szCs w:val="20"/>
              </w:rPr>
              <w:t>现场调研：</w:t>
            </w:r>
            <w:r>
              <w:rPr>
                <w:rFonts w:hint="eastAsia" w:ascii="Times New Roman" w:hAnsi="Times New Roman" w:eastAsia="仿宋_GB2312" w:cs="仿宋"/>
                <w:color w:val="auto"/>
                <w:sz w:val="20"/>
                <w:szCs w:val="20"/>
              </w:rPr>
              <w:t>根据项目情况，评价工作组对项目现场进行调研，核实项目完成情况及效益实现情况。</w:t>
            </w:r>
          </w:p>
        </w:tc>
        <w:tc>
          <w:tcPr>
            <w:tcW w:w="1814" w:type="dxa"/>
            <w:tcBorders>
              <w:bottom w:val="single" w:color="auto" w:sz="4" w:space="0"/>
            </w:tcBorders>
            <w:shd w:val="clear" w:color="auto" w:fill="auto"/>
            <w:vAlign w:val="center"/>
          </w:tcPr>
          <w:p>
            <w:pPr>
              <w:adjustRightInd w:val="0"/>
              <w:snapToGrid w:val="0"/>
              <w:spacing w:before="120" w:after="12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lang w:eastAsia="zh-CN"/>
              </w:rPr>
              <w:t>202</w:t>
            </w:r>
            <w:r>
              <w:rPr>
                <w:rFonts w:hint="eastAsia" w:ascii="Times New Roman" w:hAnsi="Times New Roman" w:eastAsia="仿宋_GB2312" w:cs="仿宋"/>
                <w:color w:val="auto"/>
                <w:sz w:val="20"/>
                <w:szCs w:val="20"/>
                <w:lang w:val="en-US" w:eastAsia="zh-CN"/>
              </w:rPr>
              <w:t>2</w:t>
            </w:r>
            <w:r>
              <w:rPr>
                <w:rFonts w:hint="eastAsia" w:ascii="Times New Roman" w:hAnsi="Times New Roman" w:eastAsia="仿宋_GB2312" w:cs="仿宋"/>
                <w:color w:val="auto"/>
                <w:sz w:val="20"/>
                <w:szCs w:val="20"/>
              </w:rPr>
              <w:t>年</w:t>
            </w:r>
            <w:r>
              <w:rPr>
                <w:rFonts w:hint="eastAsia" w:ascii="Times New Roman" w:hAnsi="Times New Roman" w:eastAsia="仿宋_GB2312" w:cs="仿宋"/>
                <w:color w:val="auto"/>
                <w:sz w:val="20"/>
                <w:szCs w:val="20"/>
                <w:lang w:val="en-US" w:eastAsia="zh-CN"/>
              </w:rPr>
              <w:t>05</w:t>
            </w:r>
            <w:r>
              <w:rPr>
                <w:rFonts w:hint="eastAsia" w:ascii="Times New Roman" w:hAnsi="Times New Roman" w:eastAsia="仿宋_GB2312" w:cs="仿宋"/>
                <w:color w:val="auto"/>
                <w:sz w:val="20"/>
                <w:szCs w:val="20"/>
              </w:rPr>
              <w:t>月</w:t>
            </w:r>
            <w:r>
              <w:rPr>
                <w:rFonts w:hint="eastAsia" w:ascii="Times New Roman" w:hAnsi="Times New Roman" w:eastAsia="仿宋_GB2312" w:cs="仿宋"/>
                <w:color w:val="auto"/>
                <w:sz w:val="20"/>
                <w:szCs w:val="20"/>
                <w:lang w:val="en-US" w:eastAsia="zh-CN"/>
              </w:rPr>
              <w:t>10</w:t>
            </w:r>
            <w:r>
              <w:rPr>
                <w:rFonts w:hint="eastAsia" w:ascii="Times New Roman" w:hAnsi="Times New Roman" w:eastAsia="仿宋_GB2312" w:cs="仿宋"/>
                <w:color w:val="auto"/>
                <w:sz w:val="20"/>
                <w:szCs w:val="20"/>
              </w:rPr>
              <w:t>日</w:t>
            </w:r>
          </w:p>
        </w:tc>
        <w:tc>
          <w:tcPr>
            <w:tcW w:w="1175" w:type="dxa"/>
            <w:tcBorders>
              <w:bottom w:val="single" w:color="auto" w:sz="4" w:space="0"/>
            </w:tcBorders>
            <w:shd w:val="clear" w:color="auto" w:fill="auto"/>
            <w:vAlign w:val="center"/>
          </w:tcPr>
          <w:p>
            <w:pPr>
              <w:adjustRightInd w:val="0"/>
              <w:snapToGrid w:val="0"/>
              <w:jc w:val="center"/>
              <w:rPr>
                <w:rFonts w:hint="eastAsia" w:ascii="Times New Roman" w:hAnsi="Times New Roman" w:eastAsia="仿宋_GB2312" w:cs="仿宋"/>
                <w:color w:val="auto"/>
                <w:sz w:val="20"/>
                <w:szCs w:val="20"/>
              </w:rPr>
            </w:pPr>
            <w:r>
              <w:rPr>
                <w:rFonts w:hint="eastAsia" w:ascii="Times New Roman" w:hAnsi="Times New Roman" w:eastAsia="仿宋_GB2312" w:cs="仿宋"/>
                <w:color w:val="auto"/>
                <w:sz w:val="20"/>
                <w:szCs w:val="20"/>
              </w:rPr>
              <w:t>项目单位</w:t>
            </w:r>
          </w:p>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0" w:hRule="atLeast"/>
          <w:jc w:val="center"/>
        </w:trPr>
        <w:tc>
          <w:tcPr>
            <w:tcW w:w="688" w:type="dxa"/>
            <w:vMerge w:val="continue"/>
            <w:shd w:val="clear" w:color="auto" w:fill="auto"/>
            <w:textDirection w:val="tbRlV"/>
            <w:vAlign w:val="center"/>
          </w:tcPr>
          <w:p>
            <w:pPr>
              <w:adjustRightInd w:val="0"/>
              <w:snapToGrid w:val="0"/>
              <w:ind w:firstLine="400" w:firstLineChars="200"/>
              <w:jc w:val="center"/>
              <w:rPr>
                <w:rFonts w:hint="eastAsia" w:ascii="仿宋" w:hAnsi="仿宋" w:eastAsia="仿宋" w:cs="仿宋"/>
                <w:color w:val="auto"/>
                <w:sz w:val="20"/>
                <w:szCs w:val="20"/>
              </w:rPr>
            </w:pPr>
          </w:p>
        </w:tc>
        <w:tc>
          <w:tcPr>
            <w:tcW w:w="4827" w:type="dxa"/>
            <w:gridSpan w:val="2"/>
            <w:shd w:val="clear" w:color="auto" w:fill="auto"/>
            <w:vAlign w:val="center"/>
          </w:tcPr>
          <w:p>
            <w:pPr>
              <w:rPr>
                <w:rFonts w:hint="eastAsia" w:ascii="仿宋" w:hAnsi="仿宋" w:eastAsia="仿宋" w:cs="仿宋"/>
                <w:b/>
                <w:bCs/>
                <w:color w:val="auto"/>
                <w:sz w:val="20"/>
                <w:szCs w:val="20"/>
              </w:rPr>
            </w:pPr>
            <w:r>
              <w:rPr>
                <w:rFonts w:hint="eastAsia" w:ascii="Times New Roman" w:hAnsi="Times New Roman" w:eastAsia="仿宋_GB2312" w:cs="仿宋"/>
                <w:b/>
                <w:bCs/>
                <w:color w:val="auto"/>
                <w:sz w:val="20"/>
                <w:szCs w:val="20"/>
              </w:rPr>
              <w:t>组织针对性培训：</w:t>
            </w:r>
            <w:r>
              <w:rPr>
                <w:rFonts w:hint="eastAsia" w:ascii="Times New Roman" w:hAnsi="Times New Roman" w:eastAsia="仿宋_GB2312" w:cs="仿宋"/>
                <w:color w:val="auto"/>
                <w:sz w:val="20"/>
                <w:szCs w:val="20"/>
              </w:rPr>
              <w:t>评价工作组根据预算部门（单位）的不同需求，开展有针对性的培训工作。</w:t>
            </w:r>
          </w:p>
        </w:tc>
        <w:tc>
          <w:tcPr>
            <w:tcW w:w="1814" w:type="dxa"/>
            <w:shd w:val="clear" w:color="auto" w:fill="auto"/>
            <w:vAlign w:val="center"/>
          </w:tcPr>
          <w:p>
            <w:pPr>
              <w:adjustRightInd w:val="0"/>
              <w:snapToGrid w:val="0"/>
              <w:spacing w:before="120" w:after="12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lang w:eastAsia="zh-CN"/>
              </w:rPr>
              <w:t>202</w:t>
            </w:r>
            <w:r>
              <w:rPr>
                <w:rFonts w:hint="eastAsia" w:ascii="Times New Roman" w:hAnsi="Times New Roman" w:eastAsia="仿宋_GB2312" w:cs="仿宋"/>
                <w:color w:val="auto"/>
                <w:sz w:val="20"/>
                <w:szCs w:val="20"/>
                <w:lang w:val="en-US" w:eastAsia="zh-CN"/>
              </w:rPr>
              <w:t>2</w:t>
            </w:r>
            <w:r>
              <w:rPr>
                <w:rFonts w:hint="eastAsia" w:ascii="Times New Roman" w:hAnsi="Times New Roman" w:eastAsia="仿宋_GB2312" w:cs="仿宋"/>
                <w:color w:val="auto"/>
                <w:sz w:val="20"/>
                <w:szCs w:val="20"/>
              </w:rPr>
              <w:t>年</w:t>
            </w:r>
            <w:r>
              <w:rPr>
                <w:rFonts w:hint="eastAsia" w:ascii="Times New Roman" w:hAnsi="Times New Roman" w:eastAsia="仿宋_GB2312" w:cs="仿宋"/>
                <w:color w:val="auto"/>
                <w:sz w:val="20"/>
                <w:szCs w:val="20"/>
                <w:lang w:val="en-US" w:eastAsia="zh-CN"/>
              </w:rPr>
              <w:t>05</w:t>
            </w:r>
            <w:r>
              <w:rPr>
                <w:rFonts w:hint="eastAsia" w:ascii="Times New Roman" w:hAnsi="Times New Roman" w:eastAsia="仿宋_GB2312" w:cs="仿宋"/>
                <w:color w:val="auto"/>
                <w:sz w:val="20"/>
                <w:szCs w:val="20"/>
              </w:rPr>
              <w:t>月</w:t>
            </w:r>
            <w:r>
              <w:rPr>
                <w:rFonts w:hint="eastAsia" w:ascii="Times New Roman" w:hAnsi="Times New Roman" w:eastAsia="仿宋_GB2312" w:cs="仿宋"/>
                <w:color w:val="auto"/>
                <w:sz w:val="20"/>
                <w:szCs w:val="20"/>
                <w:lang w:val="en-US" w:eastAsia="zh-CN"/>
              </w:rPr>
              <w:t>12</w:t>
            </w:r>
            <w:r>
              <w:rPr>
                <w:rFonts w:hint="eastAsia" w:ascii="Times New Roman" w:hAnsi="Times New Roman" w:eastAsia="仿宋_GB2312" w:cs="仿宋"/>
                <w:color w:val="auto"/>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color w:val="auto"/>
                <w:sz w:val="20"/>
                <w:szCs w:val="20"/>
              </w:rPr>
            </w:pPr>
            <w:r>
              <w:rPr>
                <w:rFonts w:hint="eastAsia" w:ascii="Times New Roman" w:hAnsi="Times New Roman" w:eastAsia="仿宋_GB2312" w:cs="仿宋"/>
                <w:color w:val="auto"/>
                <w:sz w:val="20"/>
                <w:szCs w:val="20"/>
              </w:rPr>
              <w:t>评价机构</w:t>
            </w:r>
          </w:p>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88" w:type="dxa"/>
            <w:vMerge w:val="continue"/>
            <w:shd w:val="clear" w:color="auto" w:fill="auto"/>
            <w:textDirection w:val="tbRlV"/>
            <w:vAlign w:val="center"/>
          </w:tcPr>
          <w:p>
            <w:pPr>
              <w:adjustRightInd w:val="0"/>
              <w:snapToGrid w:val="0"/>
              <w:ind w:firstLine="400" w:firstLineChars="200"/>
              <w:jc w:val="center"/>
              <w:rPr>
                <w:rFonts w:hint="eastAsia" w:ascii="仿宋" w:hAnsi="仿宋" w:eastAsia="仿宋" w:cs="仿宋"/>
                <w:color w:val="auto"/>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b/>
                <w:bCs/>
                <w:color w:val="auto"/>
                <w:sz w:val="20"/>
                <w:szCs w:val="20"/>
              </w:rPr>
            </w:pPr>
            <w:r>
              <w:rPr>
                <w:rFonts w:hint="eastAsia" w:ascii="Times New Roman" w:hAnsi="Times New Roman" w:eastAsia="仿宋_GB2312" w:cs="仿宋"/>
                <w:b/>
                <w:bCs/>
                <w:color w:val="auto"/>
                <w:sz w:val="20"/>
                <w:szCs w:val="20"/>
              </w:rPr>
              <w:t>现场评价会：</w:t>
            </w:r>
            <w:r>
              <w:rPr>
                <w:rFonts w:hint="eastAsia" w:ascii="Times New Roman" w:hAnsi="Times New Roman" w:eastAsia="仿宋_GB2312" w:cs="仿宋"/>
                <w:color w:val="auto"/>
                <w:sz w:val="20"/>
                <w:szCs w:val="20"/>
              </w:rPr>
              <w:t>召开现场评价会议，核实项目执行情况，出具评价意见。</w:t>
            </w:r>
          </w:p>
        </w:tc>
        <w:tc>
          <w:tcPr>
            <w:tcW w:w="1814" w:type="dxa"/>
            <w:shd w:val="clear" w:color="auto" w:fill="auto"/>
            <w:vAlign w:val="center"/>
          </w:tcPr>
          <w:p>
            <w:pPr>
              <w:adjustRightInd w:val="0"/>
              <w:snapToGrid w:val="0"/>
              <w:spacing w:before="120" w:after="12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lang w:eastAsia="zh-CN"/>
              </w:rPr>
              <w:t>202</w:t>
            </w:r>
            <w:r>
              <w:rPr>
                <w:rFonts w:hint="eastAsia" w:ascii="Times New Roman" w:hAnsi="Times New Roman" w:eastAsia="仿宋_GB2312" w:cs="仿宋"/>
                <w:color w:val="auto"/>
                <w:sz w:val="20"/>
                <w:szCs w:val="20"/>
                <w:lang w:val="en-US" w:eastAsia="zh-CN"/>
              </w:rPr>
              <w:t>2</w:t>
            </w:r>
            <w:r>
              <w:rPr>
                <w:rFonts w:hint="eastAsia" w:ascii="Times New Roman" w:hAnsi="Times New Roman" w:eastAsia="仿宋_GB2312" w:cs="仿宋"/>
                <w:color w:val="auto"/>
                <w:sz w:val="20"/>
                <w:szCs w:val="20"/>
              </w:rPr>
              <w:t>年</w:t>
            </w:r>
            <w:r>
              <w:rPr>
                <w:rFonts w:hint="eastAsia" w:ascii="Times New Roman" w:hAnsi="Times New Roman" w:eastAsia="仿宋_GB2312" w:cs="仿宋"/>
                <w:color w:val="auto"/>
                <w:sz w:val="20"/>
                <w:szCs w:val="20"/>
                <w:lang w:val="en-US" w:eastAsia="zh-CN"/>
              </w:rPr>
              <w:t>06</w:t>
            </w:r>
            <w:r>
              <w:rPr>
                <w:rFonts w:hint="eastAsia" w:ascii="Times New Roman" w:hAnsi="Times New Roman" w:eastAsia="仿宋_GB2312" w:cs="仿宋"/>
                <w:color w:val="auto"/>
                <w:sz w:val="20"/>
                <w:szCs w:val="20"/>
              </w:rPr>
              <w:t>月</w:t>
            </w:r>
            <w:r>
              <w:rPr>
                <w:rFonts w:hint="eastAsia" w:ascii="Times New Roman" w:hAnsi="Times New Roman" w:eastAsia="仿宋_GB2312" w:cs="仿宋"/>
                <w:color w:val="auto"/>
                <w:sz w:val="20"/>
                <w:szCs w:val="20"/>
                <w:lang w:val="en-US" w:eastAsia="zh-CN"/>
              </w:rPr>
              <w:t>13</w:t>
            </w:r>
            <w:r>
              <w:rPr>
                <w:rFonts w:hint="eastAsia" w:ascii="Times New Roman" w:hAnsi="Times New Roman" w:eastAsia="仿宋_GB2312" w:cs="仿宋"/>
                <w:color w:val="auto"/>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color w:val="auto"/>
                <w:sz w:val="20"/>
                <w:szCs w:val="20"/>
              </w:rPr>
            </w:pPr>
            <w:r>
              <w:rPr>
                <w:rFonts w:hint="eastAsia" w:ascii="Times New Roman" w:hAnsi="Times New Roman" w:eastAsia="仿宋_GB2312" w:cs="仿宋"/>
                <w:color w:val="auto"/>
                <w:sz w:val="20"/>
                <w:szCs w:val="20"/>
              </w:rPr>
              <w:t>评价机构</w:t>
            </w:r>
          </w:p>
          <w:p>
            <w:pPr>
              <w:adjustRightInd w:val="0"/>
              <w:snapToGrid w:val="0"/>
              <w:jc w:val="center"/>
              <w:rPr>
                <w:rFonts w:hint="eastAsia" w:ascii="Times New Roman" w:hAnsi="Times New Roman" w:eastAsia="仿宋_GB2312" w:cs="仿宋"/>
                <w:color w:val="auto"/>
                <w:sz w:val="20"/>
                <w:szCs w:val="20"/>
              </w:rPr>
            </w:pPr>
            <w:r>
              <w:rPr>
                <w:rFonts w:hint="eastAsia" w:ascii="Times New Roman" w:hAnsi="Times New Roman" w:eastAsia="仿宋_GB2312" w:cs="仿宋"/>
                <w:color w:val="auto"/>
                <w:sz w:val="20"/>
                <w:szCs w:val="20"/>
              </w:rPr>
              <w:t>项目单位</w:t>
            </w:r>
          </w:p>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8" w:hRule="atLeast"/>
          <w:jc w:val="center"/>
        </w:trPr>
        <w:tc>
          <w:tcPr>
            <w:tcW w:w="688" w:type="dxa"/>
            <w:vMerge w:val="restart"/>
            <w:shd w:val="clear" w:color="auto" w:fill="auto"/>
            <w:textDirection w:val="tbRlV"/>
            <w:vAlign w:val="center"/>
          </w:tcPr>
          <w:p>
            <w:pPr>
              <w:adjustRightInd w:val="0"/>
              <w:snapToGrid w:val="0"/>
              <w:ind w:firstLine="120" w:firstLineChars="50"/>
              <w:rPr>
                <w:rFonts w:hint="eastAsia" w:ascii="仿宋" w:hAnsi="仿宋" w:eastAsia="仿宋" w:cs="仿宋"/>
                <w:color w:val="auto"/>
                <w:spacing w:val="20"/>
                <w:sz w:val="20"/>
                <w:szCs w:val="20"/>
              </w:rPr>
            </w:pPr>
            <w:r>
              <w:rPr>
                <w:rFonts w:hint="eastAsia" w:ascii="Times New Roman" w:hAnsi="Times New Roman" w:eastAsia="仿宋_GB2312" w:cs="仿宋"/>
                <w:b/>
                <w:bCs/>
                <w:color w:val="auto"/>
                <w:spacing w:val="20"/>
                <w:sz w:val="20"/>
                <w:szCs w:val="20"/>
              </w:rPr>
              <w:t>形成报告阶段</w:t>
            </w:r>
          </w:p>
        </w:tc>
        <w:tc>
          <w:tcPr>
            <w:tcW w:w="4827" w:type="dxa"/>
            <w:gridSpan w:val="2"/>
            <w:shd w:val="clear" w:color="auto" w:fill="auto"/>
            <w:vAlign w:val="center"/>
          </w:tcPr>
          <w:p>
            <w:pPr>
              <w:adjustRightInd w:val="0"/>
              <w:snapToGrid w:val="0"/>
              <w:jc w:val="left"/>
              <w:rPr>
                <w:rFonts w:hint="eastAsia" w:ascii="仿宋" w:hAnsi="仿宋" w:eastAsia="仿宋" w:cs="仿宋"/>
                <w:color w:val="auto"/>
                <w:sz w:val="20"/>
                <w:szCs w:val="20"/>
              </w:rPr>
            </w:pPr>
            <w:r>
              <w:rPr>
                <w:rFonts w:hint="eastAsia" w:ascii="Times New Roman" w:hAnsi="Times New Roman" w:eastAsia="仿宋_GB2312" w:cs="仿宋"/>
                <w:b/>
                <w:bCs/>
                <w:color w:val="auto"/>
                <w:sz w:val="20"/>
                <w:szCs w:val="20"/>
              </w:rPr>
              <w:t>撰写报告：</w:t>
            </w:r>
            <w:r>
              <w:rPr>
                <w:rFonts w:hint="eastAsia" w:ascii="Times New Roman" w:hAnsi="Times New Roman" w:eastAsia="仿宋_GB2312" w:cs="仿宋"/>
                <w:color w:val="auto"/>
                <w:sz w:val="20"/>
                <w:szCs w:val="20"/>
              </w:rPr>
              <w:t>评价工作组撰写项目绩效评价报告。</w:t>
            </w:r>
          </w:p>
        </w:tc>
        <w:tc>
          <w:tcPr>
            <w:tcW w:w="1814" w:type="dxa"/>
            <w:shd w:val="clear" w:color="auto" w:fill="auto"/>
            <w:vAlign w:val="center"/>
          </w:tcPr>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lang w:eastAsia="zh-CN"/>
              </w:rPr>
              <w:t>202</w:t>
            </w:r>
            <w:r>
              <w:rPr>
                <w:rFonts w:hint="eastAsia" w:ascii="Times New Roman" w:hAnsi="Times New Roman" w:eastAsia="仿宋_GB2312" w:cs="仿宋"/>
                <w:color w:val="auto"/>
                <w:sz w:val="20"/>
                <w:szCs w:val="20"/>
                <w:lang w:val="en-US" w:eastAsia="zh-CN"/>
              </w:rPr>
              <w:t>2</w:t>
            </w:r>
            <w:r>
              <w:rPr>
                <w:rFonts w:hint="eastAsia" w:ascii="Times New Roman" w:hAnsi="Times New Roman" w:eastAsia="仿宋_GB2312" w:cs="仿宋"/>
                <w:color w:val="auto"/>
                <w:sz w:val="20"/>
                <w:szCs w:val="20"/>
              </w:rPr>
              <w:t>年</w:t>
            </w:r>
            <w:r>
              <w:rPr>
                <w:rFonts w:hint="eastAsia" w:ascii="Times New Roman" w:hAnsi="Times New Roman" w:eastAsia="仿宋_GB2312" w:cs="仿宋"/>
                <w:color w:val="auto"/>
                <w:sz w:val="20"/>
                <w:szCs w:val="20"/>
                <w:lang w:val="en-US" w:eastAsia="zh-CN"/>
              </w:rPr>
              <w:t>06</w:t>
            </w:r>
            <w:r>
              <w:rPr>
                <w:rFonts w:hint="eastAsia" w:ascii="Times New Roman" w:hAnsi="Times New Roman" w:eastAsia="仿宋_GB2312" w:cs="仿宋"/>
                <w:color w:val="auto"/>
                <w:sz w:val="20"/>
                <w:szCs w:val="20"/>
              </w:rPr>
              <w:t>月</w:t>
            </w:r>
            <w:r>
              <w:rPr>
                <w:rFonts w:hint="eastAsia" w:ascii="Times New Roman" w:hAnsi="Times New Roman" w:eastAsia="仿宋_GB2312" w:cs="仿宋"/>
                <w:color w:val="auto"/>
                <w:sz w:val="20"/>
                <w:szCs w:val="20"/>
                <w:lang w:val="en-US" w:eastAsia="zh-CN"/>
              </w:rPr>
              <w:t>16</w:t>
            </w:r>
            <w:r>
              <w:rPr>
                <w:rFonts w:hint="eastAsia" w:ascii="Times New Roman" w:hAnsi="Times New Roman" w:eastAsia="仿宋_GB2312" w:cs="仿宋"/>
                <w:color w:val="auto"/>
                <w:sz w:val="20"/>
                <w:szCs w:val="20"/>
              </w:rPr>
              <w:t>日</w:t>
            </w:r>
          </w:p>
        </w:tc>
        <w:tc>
          <w:tcPr>
            <w:tcW w:w="1175" w:type="dxa"/>
            <w:shd w:val="clear" w:color="auto" w:fill="auto"/>
            <w:vAlign w:val="center"/>
          </w:tcPr>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0" w:hRule="atLeast"/>
          <w:jc w:val="center"/>
        </w:trPr>
        <w:tc>
          <w:tcPr>
            <w:tcW w:w="688" w:type="dxa"/>
            <w:vMerge w:val="continue"/>
            <w:shd w:val="clear" w:color="auto" w:fill="auto"/>
            <w:vAlign w:val="center"/>
          </w:tcPr>
          <w:p>
            <w:pPr>
              <w:adjustRightInd w:val="0"/>
              <w:snapToGrid w:val="0"/>
              <w:ind w:firstLine="400" w:firstLineChars="200"/>
              <w:jc w:val="center"/>
              <w:rPr>
                <w:rFonts w:hint="eastAsia" w:ascii="仿宋" w:hAnsi="仿宋" w:eastAsia="仿宋" w:cs="仿宋"/>
                <w:color w:val="auto"/>
                <w:sz w:val="20"/>
                <w:szCs w:val="20"/>
              </w:rPr>
            </w:pP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color w:val="auto"/>
                <w:sz w:val="20"/>
                <w:szCs w:val="20"/>
              </w:rPr>
            </w:pPr>
            <w:r>
              <w:rPr>
                <w:rFonts w:hint="eastAsia" w:ascii="Times New Roman" w:hAnsi="Times New Roman" w:eastAsia="仿宋_GB2312" w:cs="仿宋"/>
                <w:b/>
                <w:bCs/>
                <w:color w:val="auto"/>
                <w:sz w:val="20"/>
                <w:szCs w:val="20"/>
              </w:rPr>
              <w:t>报告征求意见：</w:t>
            </w:r>
            <w:r>
              <w:rPr>
                <w:rFonts w:hint="eastAsia" w:ascii="Times New Roman" w:hAnsi="Times New Roman" w:eastAsia="仿宋_GB2312" w:cs="仿宋"/>
                <w:color w:val="auto"/>
                <w:sz w:val="20"/>
                <w:szCs w:val="20"/>
              </w:rPr>
              <w:t>评价报告经评价机构三级审核后，送交委托方及项目单位征求意见。</w:t>
            </w:r>
          </w:p>
        </w:tc>
        <w:tc>
          <w:tcPr>
            <w:tcW w:w="1814" w:type="dxa"/>
            <w:tcBorders>
              <w:bottom w:val="single" w:color="auto" w:sz="4" w:space="0"/>
            </w:tcBorders>
            <w:shd w:val="clear" w:color="auto" w:fill="auto"/>
            <w:vAlign w:val="center"/>
          </w:tcPr>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lang w:eastAsia="zh-CN"/>
              </w:rPr>
              <w:t>202</w:t>
            </w:r>
            <w:r>
              <w:rPr>
                <w:rFonts w:hint="eastAsia" w:ascii="Times New Roman" w:hAnsi="Times New Roman" w:eastAsia="仿宋_GB2312" w:cs="仿宋"/>
                <w:color w:val="auto"/>
                <w:sz w:val="20"/>
                <w:szCs w:val="20"/>
                <w:lang w:val="en-US" w:eastAsia="zh-CN"/>
              </w:rPr>
              <w:t>2</w:t>
            </w:r>
            <w:r>
              <w:rPr>
                <w:rFonts w:hint="eastAsia" w:ascii="Times New Roman" w:hAnsi="Times New Roman" w:eastAsia="仿宋_GB2312" w:cs="仿宋"/>
                <w:color w:val="auto"/>
                <w:sz w:val="20"/>
                <w:szCs w:val="20"/>
              </w:rPr>
              <w:t>年</w:t>
            </w:r>
            <w:r>
              <w:rPr>
                <w:rFonts w:hint="eastAsia" w:ascii="Times New Roman" w:hAnsi="Times New Roman" w:eastAsia="仿宋_GB2312" w:cs="仿宋"/>
                <w:color w:val="auto"/>
                <w:sz w:val="20"/>
                <w:szCs w:val="20"/>
                <w:lang w:val="en-US" w:eastAsia="zh-CN"/>
              </w:rPr>
              <w:t>06</w:t>
            </w:r>
            <w:r>
              <w:rPr>
                <w:rFonts w:hint="eastAsia" w:ascii="Times New Roman" w:hAnsi="Times New Roman" w:eastAsia="仿宋_GB2312" w:cs="仿宋"/>
                <w:color w:val="auto"/>
                <w:sz w:val="20"/>
                <w:szCs w:val="20"/>
              </w:rPr>
              <w:t>月</w:t>
            </w:r>
            <w:r>
              <w:rPr>
                <w:rFonts w:hint="eastAsia" w:ascii="Times New Roman" w:hAnsi="Times New Roman" w:eastAsia="仿宋_GB2312" w:cs="仿宋"/>
                <w:color w:val="auto"/>
                <w:sz w:val="20"/>
                <w:szCs w:val="20"/>
                <w:lang w:val="en-US" w:eastAsia="zh-CN"/>
              </w:rPr>
              <w:t>23</w:t>
            </w:r>
            <w:r>
              <w:rPr>
                <w:rFonts w:hint="eastAsia" w:ascii="Times New Roman" w:hAnsi="Times New Roman" w:eastAsia="仿宋_GB2312" w:cs="仿宋"/>
                <w:color w:val="auto"/>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color w:val="auto"/>
                <w:sz w:val="20"/>
                <w:szCs w:val="20"/>
              </w:rPr>
            </w:pPr>
            <w:r>
              <w:rPr>
                <w:rFonts w:hint="eastAsia" w:ascii="Times New Roman" w:hAnsi="Times New Roman" w:eastAsia="仿宋_GB2312" w:cs="仿宋"/>
                <w:color w:val="auto"/>
                <w:sz w:val="20"/>
                <w:szCs w:val="20"/>
              </w:rPr>
              <w:t>评价机构</w:t>
            </w:r>
          </w:p>
          <w:p>
            <w:pPr>
              <w:adjustRightInd w:val="0"/>
              <w:snapToGrid w:val="0"/>
              <w:jc w:val="center"/>
              <w:rPr>
                <w:rFonts w:hint="eastAsia" w:ascii="Times New Roman" w:hAnsi="Times New Roman" w:eastAsia="仿宋_GB2312" w:cs="仿宋"/>
                <w:color w:val="auto"/>
                <w:sz w:val="20"/>
                <w:szCs w:val="20"/>
              </w:rPr>
            </w:pPr>
            <w:r>
              <w:rPr>
                <w:rFonts w:hint="eastAsia" w:ascii="Times New Roman" w:hAnsi="Times New Roman" w:eastAsia="仿宋_GB2312" w:cs="仿宋"/>
                <w:color w:val="auto"/>
                <w:sz w:val="20"/>
                <w:szCs w:val="20"/>
              </w:rPr>
              <w:t>项目单位</w:t>
            </w:r>
          </w:p>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8" w:hRule="atLeast"/>
          <w:jc w:val="center"/>
        </w:trPr>
        <w:tc>
          <w:tcPr>
            <w:tcW w:w="688" w:type="dxa"/>
            <w:vMerge w:val="continue"/>
            <w:shd w:val="clear" w:color="auto" w:fill="auto"/>
            <w:vAlign w:val="center"/>
          </w:tcPr>
          <w:p>
            <w:pPr>
              <w:adjustRightInd w:val="0"/>
              <w:snapToGrid w:val="0"/>
              <w:ind w:firstLine="400" w:firstLineChars="200"/>
              <w:jc w:val="center"/>
              <w:rPr>
                <w:rFonts w:hint="eastAsia" w:ascii="仿宋" w:hAnsi="仿宋" w:eastAsia="仿宋" w:cs="仿宋"/>
                <w:color w:val="auto"/>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color w:val="auto"/>
                <w:sz w:val="20"/>
                <w:szCs w:val="20"/>
              </w:rPr>
            </w:pPr>
            <w:r>
              <w:rPr>
                <w:rFonts w:hint="eastAsia" w:ascii="Times New Roman" w:hAnsi="Times New Roman" w:eastAsia="仿宋_GB2312" w:cs="仿宋"/>
                <w:b/>
                <w:bCs/>
                <w:color w:val="auto"/>
                <w:sz w:val="20"/>
                <w:szCs w:val="20"/>
              </w:rPr>
              <w:t>报送报告：</w:t>
            </w:r>
            <w:r>
              <w:rPr>
                <w:rFonts w:hint="eastAsia" w:ascii="Times New Roman" w:hAnsi="Times New Roman" w:eastAsia="仿宋_GB2312" w:cs="仿宋"/>
                <w:color w:val="auto"/>
                <w:sz w:val="20"/>
                <w:szCs w:val="20"/>
              </w:rPr>
              <w:t>根据委托方意见修改报告，在规定时间内正式向委托方报送绩效评价报告。</w:t>
            </w:r>
          </w:p>
        </w:tc>
        <w:tc>
          <w:tcPr>
            <w:tcW w:w="1814" w:type="dxa"/>
            <w:shd w:val="clear" w:color="auto" w:fill="auto"/>
            <w:vAlign w:val="center"/>
          </w:tcPr>
          <w:p>
            <w:pPr>
              <w:adjustRightInd w:val="0"/>
              <w:snapToGrid w:val="0"/>
              <w:spacing w:after="12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lang w:eastAsia="zh-CN"/>
              </w:rPr>
              <w:t>202</w:t>
            </w:r>
            <w:r>
              <w:rPr>
                <w:rFonts w:hint="eastAsia" w:ascii="Times New Roman" w:hAnsi="Times New Roman" w:eastAsia="仿宋_GB2312" w:cs="仿宋"/>
                <w:color w:val="auto"/>
                <w:sz w:val="20"/>
                <w:szCs w:val="20"/>
                <w:lang w:val="en-US" w:eastAsia="zh-CN"/>
              </w:rPr>
              <w:t>2</w:t>
            </w:r>
            <w:r>
              <w:rPr>
                <w:rFonts w:hint="eastAsia" w:ascii="Times New Roman" w:hAnsi="Times New Roman" w:eastAsia="仿宋_GB2312" w:cs="仿宋"/>
                <w:color w:val="auto"/>
                <w:sz w:val="20"/>
                <w:szCs w:val="20"/>
              </w:rPr>
              <w:t>年</w:t>
            </w:r>
            <w:r>
              <w:rPr>
                <w:rFonts w:hint="eastAsia" w:ascii="Times New Roman" w:hAnsi="Times New Roman" w:eastAsia="仿宋_GB2312" w:cs="仿宋"/>
                <w:color w:val="auto"/>
                <w:sz w:val="20"/>
                <w:szCs w:val="20"/>
                <w:lang w:val="en-US" w:eastAsia="zh-CN"/>
              </w:rPr>
              <w:t>06</w:t>
            </w:r>
            <w:r>
              <w:rPr>
                <w:rFonts w:hint="eastAsia" w:ascii="Times New Roman" w:hAnsi="Times New Roman" w:eastAsia="仿宋_GB2312" w:cs="仿宋"/>
                <w:color w:val="auto"/>
                <w:sz w:val="20"/>
                <w:szCs w:val="20"/>
              </w:rPr>
              <w:t>月</w:t>
            </w:r>
            <w:r>
              <w:rPr>
                <w:rFonts w:hint="eastAsia" w:ascii="Times New Roman" w:hAnsi="Times New Roman" w:eastAsia="仿宋_GB2312" w:cs="仿宋"/>
                <w:color w:val="auto"/>
                <w:sz w:val="20"/>
                <w:szCs w:val="20"/>
                <w:highlight w:val="none"/>
                <w:lang w:val="en-US" w:eastAsia="zh-CN"/>
              </w:rPr>
              <w:t>30</w:t>
            </w:r>
            <w:r>
              <w:rPr>
                <w:rFonts w:hint="eastAsia" w:ascii="Times New Roman" w:hAnsi="Times New Roman" w:eastAsia="仿宋_GB2312" w:cs="仿宋"/>
                <w:color w:val="auto"/>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color w:val="auto"/>
                <w:sz w:val="20"/>
                <w:szCs w:val="20"/>
              </w:rPr>
            </w:pPr>
            <w:r>
              <w:rPr>
                <w:rFonts w:hint="eastAsia" w:ascii="Times New Roman" w:hAnsi="Times New Roman" w:eastAsia="仿宋_GB2312" w:cs="仿宋"/>
                <w:color w:val="auto"/>
                <w:sz w:val="20"/>
                <w:szCs w:val="20"/>
              </w:rPr>
              <w:t>评价机构</w:t>
            </w:r>
          </w:p>
          <w:p>
            <w:pPr>
              <w:adjustRightInd w:val="0"/>
              <w:snapToGrid w:val="0"/>
              <w:jc w:val="center"/>
              <w:rPr>
                <w:rFonts w:hint="eastAsia" w:ascii="Times New Roman" w:hAnsi="Times New Roman" w:eastAsia="仿宋_GB2312" w:cs="仿宋"/>
                <w:color w:val="auto"/>
                <w:sz w:val="20"/>
                <w:szCs w:val="20"/>
              </w:rPr>
            </w:pPr>
            <w:r>
              <w:rPr>
                <w:rFonts w:hint="eastAsia" w:ascii="Times New Roman" w:hAnsi="Times New Roman" w:eastAsia="仿宋_GB2312" w:cs="仿宋"/>
                <w:color w:val="auto"/>
                <w:sz w:val="20"/>
                <w:szCs w:val="20"/>
              </w:rPr>
              <w:t>项目单位</w:t>
            </w:r>
          </w:p>
          <w:p>
            <w:pPr>
              <w:adjustRightInd w:val="0"/>
              <w:snapToGrid w:val="0"/>
              <w:jc w:val="center"/>
              <w:rPr>
                <w:rFonts w:hint="eastAsia" w:ascii="仿宋" w:hAnsi="仿宋" w:eastAsia="仿宋" w:cs="仿宋"/>
                <w:color w:val="auto"/>
                <w:sz w:val="20"/>
                <w:szCs w:val="20"/>
              </w:rPr>
            </w:pPr>
            <w:r>
              <w:rPr>
                <w:rFonts w:hint="eastAsia" w:ascii="Times New Roman" w:hAnsi="Times New Roman" w:eastAsia="仿宋_GB2312" w:cs="仿宋"/>
                <w:color w:val="auto"/>
                <w:sz w:val="20"/>
                <w:szCs w:val="20"/>
              </w:rPr>
              <w:t>委托单位</w:t>
            </w:r>
          </w:p>
        </w:tc>
      </w:tr>
    </w:tbl>
    <w:p>
      <w:pPr>
        <w:pStyle w:val="33"/>
        <w:tabs>
          <w:tab w:val="left" w:pos="1559"/>
        </w:tabs>
        <w:adjustRightInd w:val="0"/>
        <w:snapToGrid w:val="0"/>
        <w:spacing w:line="560" w:lineRule="exact"/>
        <w:ind w:left="0" w:leftChars="0" w:firstLine="640" w:firstLineChars="200"/>
        <w:outlineLvl w:val="2"/>
        <w:rPr>
          <w:rFonts w:ascii="楷体" w:hAnsi="楷体" w:eastAsia="楷体" w:cs="楷体"/>
          <w:bCs/>
          <w:color w:val="auto"/>
          <w:sz w:val="32"/>
          <w:szCs w:val="32"/>
        </w:rPr>
      </w:pPr>
      <w:r>
        <w:rPr>
          <w:rFonts w:hint="eastAsia" w:ascii="楷体" w:hAnsi="楷体" w:eastAsia="楷体" w:cs="楷体"/>
          <w:bCs/>
          <w:color w:val="auto"/>
          <w:sz w:val="32"/>
          <w:szCs w:val="32"/>
        </w:rPr>
        <w:t>2.实地调研概况</w:t>
      </w:r>
      <w:bookmarkEnd w:id="63"/>
      <w:bookmarkEnd w:id="64"/>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走访调查：采取现场走访调查的形式，了解项目实际情况。到项目实施单位及实施现场，深入实地进行调研和分析，严格按照项目实施方案进行管理，了解前期工作及项目实施情况。</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研读文件：通过检查实施单位自评（总结）报告、研读相关制度文件等，了解在项目实施过程中，作为项目主管单位，是否对项目实施进行协调监督管理，是否制定相关、有效的监督管理制度，是否监督落实项目建设质量情况。</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审阅项目财务收支情况：审阅该项目实施单位记录资金收支的凭证、后附单据及相关文件，审阅该项目的相关规定，审核资金收支是否合规等。</w:t>
      </w:r>
    </w:p>
    <w:p>
      <w:pPr>
        <w:adjustRightInd w:val="0"/>
        <w:snapToGrid w:val="0"/>
        <w:spacing w:line="560" w:lineRule="exact"/>
        <w:ind w:firstLine="640" w:firstLineChars="200"/>
        <w:jc w:val="left"/>
        <w:outlineLvl w:val="0"/>
        <w:rPr>
          <w:rFonts w:ascii="黑体" w:hAnsi="黑体" w:eastAsia="黑体" w:cs="宋体"/>
          <w:color w:val="auto"/>
          <w:sz w:val="32"/>
          <w:szCs w:val="32"/>
        </w:rPr>
      </w:pPr>
      <w:bookmarkStart w:id="65" w:name="_Toc27359"/>
      <w:r>
        <w:rPr>
          <w:rFonts w:hint="eastAsia" w:ascii="黑体" w:hAnsi="黑体" w:eastAsia="黑体" w:cs="宋体"/>
          <w:color w:val="auto"/>
          <w:sz w:val="32"/>
          <w:szCs w:val="32"/>
        </w:rPr>
        <w:t>三、绩效评价分析</w:t>
      </w:r>
      <w:bookmarkEnd w:id="65"/>
    </w:p>
    <w:p>
      <w:pPr>
        <w:pStyle w:val="33"/>
        <w:numPr>
          <w:ilvl w:val="0"/>
          <w:numId w:val="4"/>
        </w:numPr>
        <w:adjustRightInd w:val="0"/>
        <w:snapToGrid w:val="0"/>
        <w:spacing w:line="560" w:lineRule="exact"/>
        <w:ind w:left="0" w:firstLine="643"/>
        <w:rPr>
          <w:rFonts w:ascii="仿宋_GB2312" w:hAnsi="仿宋" w:eastAsia="仿宋_GB2312" w:cs="宋体"/>
          <w:b/>
          <w:bCs/>
          <w:vanish/>
          <w:color w:val="auto"/>
          <w:sz w:val="32"/>
          <w:szCs w:val="32"/>
        </w:rPr>
      </w:pPr>
      <w:r>
        <w:rPr>
          <w:rFonts w:hint="eastAsia" w:ascii="仿宋_GB2312" w:hAnsi="仿宋" w:eastAsia="仿宋_GB2312" w:cs="宋体"/>
          <w:b/>
          <w:bCs/>
          <w:vanish/>
          <w:color w:val="auto"/>
          <w:sz w:val="32"/>
          <w:szCs w:val="32"/>
        </w:rPr>
        <w:t>绩效评价分析</w:t>
      </w:r>
    </w:p>
    <w:p>
      <w:pPr>
        <w:pStyle w:val="33"/>
        <w:adjustRightInd w:val="0"/>
        <w:snapToGrid w:val="0"/>
        <w:spacing w:line="560" w:lineRule="exact"/>
        <w:ind w:left="420" w:leftChars="200" w:firstLine="321" w:firstLineChars="100"/>
        <w:outlineLvl w:val="1"/>
        <w:rPr>
          <w:rFonts w:ascii="仿宋_GB2312" w:hAnsi="仿宋" w:eastAsia="仿宋_GB2312" w:cs="宋体"/>
          <w:b/>
          <w:bCs/>
          <w:color w:val="auto"/>
          <w:sz w:val="32"/>
          <w:szCs w:val="32"/>
          <w:highlight w:val="none"/>
        </w:rPr>
      </w:pPr>
      <w:bookmarkStart w:id="66" w:name="_Toc5787"/>
      <w:r>
        <w:rPr>
          <w:rFonts w:hint="eastAsia" w:ascii="仿宋_GB2312" w:hAnsi="仿宋" w:eastAsia="仿宋_GB2312" w:cs="宋体"/>
          <w:b/>
          <w:bCs/>
          <w:color w:val="auto"/>
          <w:sz w:val="32"/>
          <w:szCs w:val="32"/>
          <w:highlight w:val="none"/>
        </w:rPr>
        <w:t>（一）项目决策分析</w:t>
      </w:r>
      <w:bookmarkEnd w:id="66"/>
    </w:p>
    <w:p>
      <w:pPr>
        <w:pStyle w:val="33"/>
        <w:tabs>
          <w:tab w:val="left" w:pos="1559"/>
        </w:tabs>
        <w:adjustRightInd w:val="0"/>
        <w:snapToGrid w:val="0"/>
        <w:spacing w:line="560" w:lineRule="exact"/>
        <w:ind w:firstLine="640"/>
        <w:outlineLvl w:val="2"/>
        <w:rPr>
          <w:rFonts w:hint="eastAsia" w:ascii="楷体" w:hAnsi="楷体" w:eastAsia="楷体" w:cs="楷体"/>
          <w:bCs/>
          <w:color w:val="auto"/>
          <w:sz w:val="32"/>
          <w:szCs w:val="32"/>
          <w:highlight w:val="none"/>
          <w:lang w:val="en-US" w:eastAsia="zh-CN"/>
        </w:rPr>
      </w:pPr>
      <w:bookmarkStart w:id="67" w:name="_Toc27861"/>
      <w:r>
        <w:rPr>
          <w:rFonts w:hint="eastAsia" w:ascii="楷体" w:hAnsi="楷体" w:eastAsia="楷体" w:cs="楷体"/>
          <w:bCs/>
          <w:color w:val="auto"/>
          <w:sz w:val="32"/>
          <w:szCs w:val="32"/>
          <w:highlight w:val="none"/>
        </w:rPr>
        <w:t>1.</w:t>
      </w:r>
      <w:r>
        <w:rPr>
          <w:rFonts w:hint="eastAsia" w:ascii="楷体" w:hAnsi="楷体" w:eastAsia="楷体" w:cs="楷体"/>
          <w:bCs/>
          <w:color w:val="auto"/>
          <w:sz w:val="32"/>
          <w:szCs w:val="32"/>
          <w:highlight w:val="none"/>
          <w:lang w:val="en-US" w:eastAsia="zh-CN"/>
        </w:rPr>
        <w:t xml:space="preserve">项目立项情况  </w:t>
      </w:r>
    </w:p>
    <w:p>
      <w:pPr>
        <w:adjustRightInd w:val="0"/>
        <w:snapToGrid w:val="0"/>
        <w:spacing w:line="560" w:lineRule="exact"/>
        <w:ind w:firstLine="640" w:firstLineChars="200"/>
        <w:rPr>
          <w:rFonts w:hint="eastAsia" w:ascii="仿宋_GB2312" w:hAnsi="仿宋_GB2312" w:eastAsia="仿宋_GB2312" w:cs="仿宋_GB2312"/>
          <w:color w:val="auto"/>
          <w:sz w:val="32"/>
          <w:szCs w:val="32"/>
          <w:highlight w:val="yellow"/>
          <w:lang w:val="en-US" w:eastAsia="zh-CN"/>
        </w:rPr>
      </w:pP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sz w:val="32"/>
          <w:szCs w:val="32"/>
          <w:lang w:val="en-US" w:eastAsia="zh-CN"/>
        </w:rPr>
        <w:t>1</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sz w:val="32"/>
          <w:szCs w:val="32"/>
          <w:lang w:val="en-US" w:eastAsia="zh-CN"/>
        </w:rPr>
        <w:t>立项依据的充分性</w:t>
      </w:r>
    </w:p>
    <w:p>
      <w:pPr>
        <w:pStyle w:val="41"/>
        <w:keepNext w:val="0"/>
        <w:keepLines w:val="0"/>
        <w:pageBreakBefore w:val="0"/>
        <w:widowControl w:val="0"/>
        <w:kinsoku/>
        <w:wordWrap/>
        <w:overflowPunct/>
        <w:topLinePunct w:val="0"/>
        <w:autoSpaceDE/>
        <w:autoSpaceDN/>
        <w:bidi w:val="0"/>
        <w:adjustRightInd/>
        <w:snapToGrid/>
        <w:spacing w:line="560" w:lineRule="exact"/>
        <w:ind w:left="0" w:firstLine="560"/>
        <w:textAlignment w:val="auto"/>
        <w:rPr>
          <w:rFonts w:hint="default"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该项目的实施符合《中华人民共和国土地管理法》(以下简称《土地管理法》)和《中华人民共和国土地管理法实施条例》(以下简称《土地管理法实施条例》)等相关法规政策及部门职责，依据充分；项目是按照规定的程序申请设立；审批文件、材料符合相关要求，项目前期是已经过必要的集体决策。</w:t>
      </w:r>
    </w:p>
    <w:p>
      <w:pPr>
        <w:adjustRightInd w:val="0"/>
        <w:snapToGrid w:val="0"/>
        <w:spacing w:line="560" w:lineRule="exact"/>
        <w:ind w:firstLine="640" w:firstLineChars="200"/>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（2）立项程序规范性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决策依据情况：项目符合经济社会发展规划和部门年度工作计划，为全面贯彻落实中央、自治区、地区的决策部署，落实地委关于和田地区</w:t>
      </w:r>
      <w:r>
        <w:rPr>
          <w:rFonts w:hint="eastAsia" w:ascii="仿宋_GB2312" w:hAnsi="仿宋" w:eastAsia="仿宋_GB2312" w:cs="宋体"/>
          <w:color w:val="auto"/>
          <w:kern w:val="2"/>
          <w:sz w:val="32"/>
          <w:szCs w:val="32"/>
          <w:highlight w:val="none"/>
          <w:lang w:val="en-US" w:eastAsia="zh-CN" w:bidi="ar"/>
        </w:rPr>
        <w:t>对全县开展低效农田整治工作</w:t>
      </w:r>
      <w:r>
        <w:rPr>
          <w:rFonts w:hint="eastAsia" w:ascii="仿宋_GB2312" w:hAnsi="仿宋_GB2312" w:eastAsia="仿宋_GB2312" w:cs="仿宋_GB2312"/>
          <w:color w:val="auto"/>
          <w:sz w:val="32"/>
          <w:szCs w:val="32"/>
          <w:highlight w:val="none"/>
          <w:lang w:val="en-US" w:eastAsia="zh-CN"/>
        </w:rPr>
        <w:t>的相关安排部署，制定《洛浦县低效农田整治项目实施方案》，对该项目进行实施。</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b w:val="0"/>
          <w:bCs w:val="0"/>
          <w:color w:val="auto"/>
          <w:kern w:val="2"/>
          <w:sz w:val="32"/>
          <w:szCs w:val="32"/>
          <w:highlight w:val="none"/>
          <w:shd w:val="clear" w:color="auto" w:fill="auto"/>
          <w:lang w:val="en-US" w:eastAsia="zh-CN" w:bidi="ar"/>
        </w:rPr>
      </w:pPr>
      <w:r>
        <w:rPr>
          <w:rFonts w:hint="eastAsia" w:ascii="仿宋_GB2312" w:hAnsi="仿宋_GB2312" w:eastAsia="仿宋_GB2312" w:cs="仿宋_GB2312"/>
          <w:color w:val="auto"/>
          <w:sz w:val="32"/>
          <w:szCs w:val="32"/>
          <w:highlight w:val="none"/>
          <w:lang w:val="en-US" w:eastAsia="zh-CN"/>
        </w:rPr>
        <w:t>决策程序情况：</w:t>
      </w:r>
      <w:r>
        <w:rPr>
          <w:rStyle w:val="22"/>
          <w:rFonts w:hint="eastAsia" w:ascii="仿宋_GB2312" w:hAnsi="仿宋_GB2312" w:eastAsia="仿宋_GB2312" w:cs="仿宋_GB2312"/>
          <w:b w:val="0"/>
          <w:bCs w:val="0"/>
          <w:color w:val="auto"/>
          <w:spacing w:val="-4"/>
          <w:sz w:val="32"/>
          <w:szCs w:val="32"/>
          <w:highlight w:val="none"/>
          <w:lang w:val="en-US" w:eastAsia="zh-CN"/>
        </w:rPr>
        <w:t>按照地区印发的实施方案，由</w:t>
      </w:r>
      <w:bookmarkEnd w:id="67"/>
      <w:r>
        <w:rPr>
          <w:rStyle w:val="22"/>
          <w:rFonts w:hint="eastAsia" w:ascii="仿宋_GB2312" w:hAnsi="仿宋_GB2312" w:eastAsia="仿宋_GB2312" w:cs="仿宋_GB2312"/>
          <w:b w:val="0"/>
          <w:bCs w:val="0"/>
          <w:color w:val="auto"/>
          <w:spacing w:val="-4"/>
          <w:sz w:val="32"/>
          <w:szCs w:val="32"/>
          <w:highlight w:val="none"/>
          <w:lang w:val="en-US" w:eastAsia="zh-CN"/>
        </w:rPr>
        <w:t>洛浦县多鲁乡人民政府根据《中华人民共和国土地管理法》文件</w:t>
      </w:r>
      <w:r>
        <w:rPr>
          <w:rFonts w:hint="eastAsia" w:ascii="仿宋_GB2312" w:hAnsi="仿宋_GB2312" w:eastAsia="仿宋_GB2312" w:cs="仿宋_GB2312"/>
          <w:b w:val="0"/>
          <w:bCs w:val="0"/>
          <w:color w:val="auto"/>
          <w:kern w:val="2"/>
          <w:sz w:val="32"/>
          <w:szCs w:val="32"/>
          <w:highlight w:val="none"/>
          <w:shd w:val="clear" w:color="auto" w:fill="auto"/>
          <w:lang w:val="en-US" w:eastAsia="zh-CN" w:bidi="ar"/>
        </w:rPr>
        <w:t>项目政策文件要求，结合本单位年度工作计划和项目支出需要，拟定了项目实施内容和项目预算明细，经分管领导签字确认后报送局长审核项目资金，经本单位会议研究审定，最终确定项目申报书。本单位在申报项目时，严格按照相关规定提供资料,并组织有关技术人员进行评估，严格按照本单位资金管理办法执行，符合评价标准；由此可见项目立项程序简洁规范。</w:t>
      </w:r>
    </w:p>
    <w:p>
      <w:pPr>
        <w:adjustRightInd w:val="0"/>
        <w:snapToGrid w:val="0"/>
        <w:spacing w:line="560" w:lineRule="exact"/>
        <w:ind w:firstLine="640" w:firstLineChars="200"/>
        <w:outlineLvl w:val="2"/>
        <w:rPr>
          <w:rFonts w:hint="default" w:ascii="楷体" w:hAnsi="楷体" w:eastAsia="楷体" w:cs="楷体"/>
          <w:bCs/>
          <w:color w:val="auto"/>
          <w:kern w:val="2"/>
          <w:sz w:val="32"/>
          <w:szCs w:val="32"/>
          <w:lang w:val="en-US" w:eastAsia="zh-CN" w:bidi="ar-SA"/>
        </w:rPr>
      </w:pPr>
      <w:r>
        <w:rPr>
          <w:rFonts w:hint="eastAsia" w:ascii="楷体" w:hAnsi="楷体" w:eastAsia="楷体" w:cs="楷体"/>
          <w:bCs/>
          <w:color w:val="auto"/>
          <w:kern w:val="2"/>
          <w:sz w:val="32"/>
          <w:szCs w:val="32"/>
          <w:lang w:val="en-US" w:eastAsia="zh-CN" w:bidi="ar-SA"/>
        </w:rPr>
        <w:t>2.绩效目标设立情况</w:t>
      </w:r>
    </w:p>
    <w:p>
      <w:pPr>
        <w:adjustRightInd w:val="0"/>
        <w:snapToGrid w:val="0"/>
        <w:spacing w:line="560" w:lineRule="exact"/>
        <w:ind w:firstLine="640" w:firstLineChars="200"/>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（1）绩效目标合理性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绩效目标的内涵明确、具体、可衡量。所设立的绩效目标可以考核并能够指导洛浦县多鲁乡人民政府低效农田整治项目的业务工作。指标与评价对象密切相关，全面反映项目实施内容及项目预期绩效情况，绩效目标设立符合洛浦县</w:t>
      </w:r>
      <w:r>
        <w:rPr>
          <w:rFonts w:hint="eastAsia" w:ascii="仿宋_GB2312" w:hAnsi="仿宋" w:eastAsia="仿宋_GB2312" w:cs="宋体"/>
          <w:color w:val="auto"/>
          <w:kern w:val="2"/>
          <w:sz w:val="32"/>
          <w:szCs w:val="32"/>
          <w:highlight w:val="none"/>
          <w:lang w:val="en-US" w:eastAsia="zh-CN" w:bidi="ar"/>
        </w:rPr>
        <w:t>对全县开展低效农田整治工作</w:t>
      </w:r>
      <w:r>
        <w:rPr>
          <w:rFonts w:hint="eastAsia" w:ascii="仿宋_GB2312" w:hAnsi="仿宋_GB2312" w:eastAsia="仿宋_GB2312" w:cs="仿宋_GB2312"/>
          <w:color w:val="auto"/>
          <w:sz w:val="32"/>
          <w:szCs w:val="32"/>
          <w:highlight w:val="none"/>
          <w:lang w:val="en-US" w:eastAsia="zh-CN"/>
        </w:rPr>
        <w:t>要求和洛浦县多鲁乡人民政府单位2021年工作计划，明确了项目产出数量和预期达到的效果。整体来看，绩效目标设立比较明确。</w:t>
      </w:r>
    </w:p>
    <w:p>
      <w:pPr>
        <w:adjustRightInd w:val="0"/>
        <w:snapToGrid w:val="0"/>
        <w:spacing w:line="560" w:lineRule="exact"/>
        <w:ind w:firstLine="640" w:firstLineChars="200"/>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（2）绩效指标明确性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该项目所设置绩效目标是：一级指标3条，二级指标7条，三级指标12条，可量化指标9条，指标量化率75%，该项目总体绩效目标明确，符合绩效目标明确、细化、量化条件。</w:t>
      </w:r>
    </w:p>
    <w:p>
      <w:pPr>
        <w:adjustRightInd w:val="0"/>
        <w:snapToGrid w:val="0"/>
        <w:spacing w:line="560" w:lineRule="exact"/>
        <w:ind w:firstLine="640" w:firstLineChars="200"/>
        <w:outlineLvl w:val="2"/>
        <w:rPr>
          <w:rFonts w:hint="default" w:ascii="楷体" w:hAnsi="楷体" w:eastAsia="楷体" w:cs="楷体"/>
          <w:bCs/>
          <w:color w:val="auto"/>
          <w:kern w:val="2"/>
          <w:sz w:val="32"/>
          <w:szCs w:val="32"/>
          <w:lang w:val="en-US" w:eastAsia="zh-CN" w:bidi="ar-SA"/>
        </w:rPr>
      </w:pPr>
      <w:r>
        <w:rPr>
          <w:rFonts w:hint="eastAsia" w:ascii="楷体" w:hAnsi="楷体" w:eastAsia="楷体" w:cs="楷体"/>
          <w:bCs/>
          <w:color w:val="auto"/>
          <w:kern w:val="2"/>
          <w:sz w:val="32"/>
          <w:szCs w:val="32"/>
          <w:highlight w:val="none"/>
          <w:lang w:val="en-US" w:eastAsia="zh-CN" w:bidi="ar-SA"/>
        </w:rPr>
        <w:t>3.资</w:t>
      </w:r>
      <w:r>
        <w:rPr>
          <w:rFonts w:hint="eastAsia" w:ascii="楷体" w:hAnsi="楷体" w:eastAsia="楷体" w:cs="楷体"/>
          <w:bCs/>
          <w:color w:val="auto"/>
          <w:kern w:val="2"/>
          <w:sz w:val="32"/>
          <w:szCs w:val="32"/>
          <w:lang w:val="en-US" w:eastAsia="zh-CN" w:bidi="ar-SA"/>
        </w:rPr>
        <w:t>金投入情况</w:t>
      </w:r>
    </w:p>
    <w:p>
      <w:pPr>
        <w:adjustRightInd w:val="0"/>
        <w:snapToGrid w:val="0"/>
        <w:spacing w:line="560" w:lineRule="exact"/>
        <w:ind w:firstLine="640" w:firstLineChars="200"/>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（1）预算编制科学性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yellow"/>
          <w:lang w:val="en-US" w:eastAsia="zh-CN"/>
        </w:rPr>
      </w:pPr>
      <w:r>
        <w:rPr>
          <w:rFonts w:hint="eastAsia" w:ascii="仿宋_GB2312" w:hAnsi="仿宋_GB2312" w:eastAsia="仿宋_GB2312" w:cs="仿宋_GB2312"/>
          <w:color w:val="auto"/>
          <w:sz w:val="32"/>
          <w:szCs w:val="32"/>
          <w:highlight w:val="none"/>
          <w:lang w:val="en-US" w:eastAsia="zh-CN"/>
        </w:rPr>
        <w:t>该项目主要是按照500元/亩的标准发放3906亩地整治补助，涉及多鲁乡17个村。预算编制基本符合科学制度国民经济和社会发展规划，推动经济高质量发展，开启全面建设社会新征程。洛浦县多鲁乡人民政府根据项目情况进行预算编制，使项目的资金额度与年度目标相适应，制定了明确详细的项目资金支出计划和进度，该项目预算编制比较科学合理。</w:t>
      </w:r>
    </w:p>
    <w:p>
      <w:pPr>
        <w:adjustRightInd w:val="0"/>
        <w:snapToGrid w:val="0"/>
        <w:spacing w:line="560" w:lineRule="exact"/>
        <w:ind w:firstLine="640" w:firstLineChars="200"/>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（2）资金分配合理性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bookmarkStart w:id="68" w:name="_Toc5610"/>
      <w:r>
        <w:rPr>
          <w:rFonts w:hint="eastAsia" w:ascii="仿宋_GB2312" w:hAnsi="仿宋_GB2312" w:eastAsia="仿宋_GB2312" w:cs="仿宋_GB2312"/>
          <w:color w:val="auto"/>
          <w:sz w:val="32"/>
          <w:szCs w:val="32"/>
          <w:highlight w:val="none"/>
          <w:lang w:val="en-US" w:eastAsia="zh-CN"/>
        </w:rPr>
        <w:t>项目预算资金分配具有测算依据，分配额度合理，与补助单位或地方实际相适应，与工作任务相匹配，充分体现了资金分配的合理性。</w:t>
      </w:r>
    </w:p>
    <w:p>
      <w:pPr>
        <w:pStyle w:val="33"/>
        <w:adjustRightInd w:val="0"/>
        <w:snapToGrid w:val="0"/>
        <w:spacing w:line="560" w:lineRule="exact"/>
        <w:ind w:left="420" w:leftChars="200" w:firstLine="321" w:firstLineChars="100"/>
        <w:outlineLvl w:val="1"/>
        <w:rPr>
          <w:rFonts w:ascii="仿宋_GB2312" w:hAnsi="仿宋" w:eastAsia="仿宋_GB2312" w:cs="宋体"/>
          <w:b/>
          <w:bCs/>
          <w:color w:val="auto"/>
          <w:sz w:val="32"/>
          <w:szCs w:val="32"/>
        </w:rPr>
      </w:pPr>
      <w:r>
        <w:rPr>
          <w:rFonts w:hint="eastAsia" w:ascii="仿宋_GB2312" w:hAnsi="仿宋" w:eastAsia="仿宋_GB2312" w:cs="宋体"/>
          <w:b/>
          <w:bCs/>
          <w:color w:val="auto"/>
          <w:sz w:val="32"/>
          <w:szCs w:val="32"/>
        </w:rPr>
        <w:t>（二）项目管理</w:t>
      </w:r>
      <w:r>
        <w:rPr>
          <w:rFonts w:hint="eastAsia" w:ascii="仿宋_GB2312" w:hAnsi="仿宋" w:eastAsia="仿宋_GB2312" w:cs="宋体"/>
          <w:b/>
          <w:bCs/>
          <w:color w:val="auto"/>
          <w:sz w:val="32"/>
          <w:szCs w:val="32"/>
          <w:lang w:val="en-US" w:eastAsia="zh-CN"/>
        </w:rPr>
        <w:t>过程</w:t>
      </w:r>
      <w:r>
        <w:rPr>
          <w:rFonts w:hint="eastAsia" w:ascii="仿宋_GB2312" w:hAnsi="仿宋" w:eastAsia="仿宋_GB2312" w:cs="宋体"/>
          <w:b/>
          <w:bCs/>
          <w:color w:val="auto"/>
          <w:sz w:val="32"/>
          <w:szCs w:val="32"/>
        </w:rPr>
        <w:t>情况分析</w:t>
      </w:r>
      <w:bookmarkEnd w:id="68"/>
    </w:p>
    <w:p>
      <w:pPr>
        <w:pStyle w:val="33"/>
        <w:tabs>
          <w:tab w:val="left" w:pos="1559"/>
        </w:tabs>
        <w:adjustRightInd w:val="0"/>
        <w:snapToGrid w:val="0"/>
        <w:spacing w:line="560" w:lineRule="exact"/>
        <w:ind w:firstLine="640"/>
        <w:outlineLvl w:val="2"/>
        <w:rPr>
          <w:rFonts w:hint="eastAsia" w:ascii="楷体" w:hAnsi="楷体" w:eastAsia="楷体" w:cs="楷体"/>
          <w:bCs/>
          <w:color w:val="auto"/>
          <w:sz w:val="32"/>
          <w:szCs w:val="32"/>
          <w:lang w:val="en-US" w:eastAsia="zh-CN"/>
        </w:rPr>
      </w:pPr>
      <w:bookmarkStart w:id="69" w:name="_Toc11398"/>
      <w:r>
        <w:rPr>
          <w:rFonts w:hint="eastAsia" w:ascii="楷体" w:hAnsi="楷体" w:eastAsia="楷体" w:cs="楷体"/>
          <w:bCs/>
          <w:color w:val="auto"/>
          <w:sz w:val="32"/>
          <w:szCs w:val="32"/>
        </w:rPr>
        <w:t>1.项目资金</w:t>
      </w:r>
      <w:bookmarkEnd w:id="69"/>
      <w:r>
        <w:rPr>
          <w:rFonts w:hint="eastAsia" w:ascii="楷体" w:hAnsi="楷体" w:eastAsia="楷体" w:cs="楷体"/>
          <w:bCs/>
          <w:color w:val="auto"/>
          <w:sz w:val="32"/>
          <w:szCs w:val="32"/>
          <w:lang w:val="en-US" w:eastAsia="zh-CN"/>
        </w:rPr>
        <w:t>情况</w:t>
      </w:r>
    </w:p>
    <w:p>
      <w:pPr>
        <w:adjustRightInd w:val="0"/>
        <w:snapToGrid w:val="0"/>
        <w:spacing w:line="560" w:lineRule="exact"/>
        <w:ind w:firstLine="640" w:firstLineChars="200"/>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rPr>
        <w:t>（</w:t>
      </w:r>
      <w:r>
        <w:rPr>
          <w:rFonts w:hint="eastAsia" w:ascii="仿宋_GB2312" w:hAnsi="仿宋_GB2312" w:eastAsia="仿宋_GB2312" w:cs="仿宋_GB2312"/>
          <w:color w:val="auto"/>
          <w:sz w:val="32"/>
          <w:szCs w:val="32"/>
          <w:lang w:val="en-US" w:eastAsia="zh-CN"/>
        </w:rPr>
        <w:t>1</w:t>
      </w:r>
      <w:r>
        <w:rPr>
          <w:rFonts w:hint="eastAsia" w:ascii="仿宋_GB2312" w:hAnsi="仿宋_GB2312" w:eastAsia="仿宋_GB2312" w:cs="仿宋_GB2312"/>
          <w:color w:val="auto"/>
          <w:sz w:val="32"/>
          <w:szCs w:val="32"/>
        </w:rPr>
        <w:t>）资金到</w:t>
      </w:r>
      <w:r>
        <w:rPr>
          <w:rFonts w:hint="eastAsia" w:ascii="仿宋_GB2312" w:hAnsi="仿宋_GB2312" w:eastAsia="仿宋_GB2312" w:cs="仿宋_GB2312"/>
          <w:color w:val="auto"/>
          <w:sz w:val="32"/>
          <w:szCs w:val="32"/>
          <w:highlight w:val="none"/>
        </w:rPr>
        <w:t>位情况</w:t>
      </w:r>
    </w:p>
    <w:p>
      <w:pPr>
        <w:pStyle w:val="41"/>
        <w:keepNext w:val="0"/>
        <w:keepLines w:val="0"/>
        <w:pageBreakBefore w:val="0"/>
        <w:widowControl w:val="0"/>
        <w:kinsoku/>
        <w:wordWrap/>
        <w:overflowPunct/>
        <w:topLinePunct w:val="0"/>
        <w:autoSpaceDE/>
        <w:autoSpaceDN/>
        <w:bidi w:val="0"/>
        <w:adjustRightInd/>
        <w:snapToGrid/>
        <w:spacing w:line="560" w:lineRule="exact"/>
        <w:ind w:firstLine="56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本项目预算资金为195.30万元，实际到位资金为195.30万元；资金来源为县级配套资金</w:t>
      </w:r>
      <w:r>
        <w:rPr>
          <w:rFonts w:hint="eastAsia" w:ascii="仿宋_GB2312" w:hAnsi="仿宋_GB2312" w:eastAsia="仿宋_GB2312" w:cs="仿宋_GB2312"/>
          <w:color w:val="auto"/>
          <w:kern w:val="2"/>
          <w:sz w:val="32"/>
          <w:szCs w:val="32"/>
          <w:highlight w:val="none"/>
          <w:lang w:val="en-US" w:eastAsia="zh-CN" w:bidi="ar-SA"/>
        </w:rPr>
        <w:t>，</w:t>
      </w:r>
      <w:r>
        <w:rPr>
          <w:rFonts w:hint="eastAsia" w:ascii="仿宋_GB2312" w:hAnsi="仿宋_GB2312" w:eastAsia="仿宋_GB2312" w:cs="仿宋_GB2312"/>
          <w:color w:val="auto"/>
          <w:sz w:val="32"/>
          <w:szCs w:val="32"/>
          <w:highlight w:val="none"/>
          <w:lang w:val="en-US" w:eastAsia="zh-CN"/>
        </w:rPr>
        <w:t>资金到位率100%。</w:t>
      </w:r>
    </w:p>
    <w:p>
      <w:pPr>
        <w:pStyle w:val="41"/>
        <w:keepNext w:val="0"/>
        <w:keepLines w:val="0"/>
        <w:pageBreakBefore w:val="0"/>
        <w:widowControl w:val="0"/>
        <w:kinsoku/>
        <w:wordWrap/>
        <w:overflowPunct/>
        <w:topLinePunct w:val="0"/>
        <w:autoSpaceDE/>
        <w:autoSpaceDN/>
        <w:bidi w:val="0"/>
        <w:spacing w:line="560" w:lineRule="exact"/>
        <w:ind w:firstLine="56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（2）预算管理情况</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预算执行与预算编制基本一致，项目预算195.30万元，实际支出195.30万元，预算执行率100%。</w:t>
      </w:r>
    </w:p>
    <w:p>
      <w:pPr>
        <w:numPr>
          <w:ilvl w:val="0"/>
          <w:numId w:val="8"/>
        </w:numPr>
        <w:adjustRightInd w:val="0"/>
        <w:snapToGrid w:val="0"/>
        <w:spacing w:line="560" w:lineRule="exact"/>
        <w:ind w:firstLine="640" w:firstLineChars="200"/>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资金使用合规性</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该项目资金严格按照和田地区财政资金管理制度支付资金；资金的支付有完整的审批程序和手续，符合制度要求；项目资金进行单独核算，财务手续基本合理、完整，资金支付是按照自治区和洛浦县资金管理办法规定执行，资金使用规范合理。未发现资金有截留、挤占、挪用、虚列开支等情况。</w:t>
      </w:r>
    </w:p>
    <w:p>
      <w:pPr>
        <w:pStyle w:val="33"/>
        <w:tabs>
          <w:tab w:val="left" w:pos="1559"/>
        </w:tabs>
        <w:adjustRightInd w:val="0"/>
        <w:snapToGrid w:val="0"/>
        <w:spacing w:line="560" w:lineRule="exact"/>
        <w:ind w:firstLine="640"/>
        <w:outlineLvl w:val="2"/>
        <w:rPr>
          <w:rFonts w:hint="default" w:ascii="楷体" w:hAnsi="楷体" w:eastAsia="楷体" w:cs="楷体"/>
          <w:bCs/>
          <w:color w:val="auto"/>
          <w:sz w:val="32"/>
          <w:szCs w:val="32"/>
          <w:lang w:val="en-US" w:eastAsia="zh-CN"/>
        </w:rPr>
      </w:pPr>
      <w:r>
        <w:rPr>
          <w:rFonts w:hint="eastAsia" w:ascii="楷体" w:hAnsi="楷体" w:eastAsia="楷体" w:cs="楷体"/>
          <w:bCs/>
          <w:color w:val="auto"/>
          <w:sz w:val="32"/>
          <w:szCs w:val="32"/>
          <w:lang w:val="en-US" w:eastAsia="zh-CN"/>
        </w:rPr>
        <w:t>2</w:t>
      </w:r>
      <w:r>
        <w:rPr>
          <w:rFonts w:hint="eastAsia" w:ascii="楷体" w:hAnsi="楷体" w:eastAsia="楷体" w:cs="楷体"/>
          <w:bCs/>
          <w:color w:val="auto"/>
          <w:sz w:val="32"/>
          <w:szCs w:val="32"/>
        </w:rPr>
        <w:t>.</w:t>
      </w:r>
      <w:r>
        <w:rPr>
          <w:rFonts w:hint="eastAsia" w:ascii="楷体" w:hAnsi="楷体" w:eastAsia="楷体" w:cs="楷体"/>
          <w:bCs/>
          <w:color w:val="auto"/>
          <w:sz w:val="32"/>
          <w:szCs w:val="32"/>
          <w:lang w:val="en-US" w:eastAsia="zh-CN"/>
        </w:rPr>
        <w:t>组织实施情况</w:t>
      </w:r>
    </w:p>
    <w:p>
      <w:pPr>
        <w:adjustRightInd w:val="0"/>
        <w:snapToGrid w:val="0"/>
        <w:spacing w:line="560" w:lineRule="exact"/>
        <w:ind w:firstLine="640" w:firstLineChars="200"/>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（1）管理制度健全性</w:t>
      </w:r>
    </w:p>
    <w:p>
      <w:pPr>
        <w:adjustRightInd w:val="0"/>
        <w:snapToGrid w:val="0"/>
        <w:spacing w:line="560" w:lineRule="exact"/>
        <w:ind w:firstLine="640" w:firstLineChars="200"/>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洛浦县多鲁乡人民政府项目资金管理参照《洛浦县财政资金拨付管理暂行办法》等文件，规范了项目资金使用标准，确保项目实施单位的资金预算申请、资金执行、资金调整、监督检查、验收等过程在相关制度和流程的有效监督管控之下。项目在实施过程中17个村具体实施该项目，具体负责招标，签合同，日常监督工作，多鲁乡人民政府定期对项目实施情况进行监督检查并提出相关意见；项目单位建立《项目管理制度》，制度涵盖了项目的设立、质量管理、安全管理、成本控制、项目验收等流程管理制度，项目管理制度健全。</w:t>
      </w:r>
    </w:p>
    <w:p>
      <w:pPr>
        <w:adjustRightInd w:val="0"/>
        <w:snapToGrid w:val="0"/>
        <w:spacing w:line="560" w:lineRule="exact"/>
        <w:ind w:firstLine="640" w:firstLineChars="200"/>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（2）制度执行有效性</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项目资金支出严格按照自治区、地区（市）、县资金管理办法运行，项目启动实施后，为了加快该项目的实施，项目严格按照有关管理制度和资金管理制度实施。单位不定期下项目现场进行视察，督促项目进度，把控项目质量，要求按时按标准完成项目。按照要求提出资金拨付申请，按程序审批后报账。</w:t>
      </w:r>
      <w:r>
        <w:rPr>
          <w:rFonts w:hint="eastAsia" w:ascii="仿宋_GB2312" w:hAnsi="仿宋_GB2312" w:eastAsia="仿宋_GB2312" w:cs="仿宋_GB2312"/>
          <w:color w:val="auto"/>
          <w:kern w:val="2"/>
          <w:sz w:val="32"/>
          <w:szCs w:val="32"/>
          <w:highlight w:val="none"/>
          <w:lang w:val="en-US" w:eastAsia="zh-CN" w:bidi="ar-SA"/>
        </w:rPr>
        <w:t>建立健全财务管理制度，健全专项资金台账，做好与金融机构的定期对账工作，确保项目专项资金安全使用，</w:t>
      </w:r>
      <w:r>
        <w:rPr>
          <w:rFonts w:hint="eastAsia" w:ascii="仿宋_GB2312" w:hAnsi="仿宋_GB2312" w:eastAsia="仿宋_GB2312" w:cs="仿宋_GB2312"/>
          <w:color w:val="auto"/>
          <w:sz w:val="32"/>
          <w:szCs w:val="32"/>
          <w:highlight w:val="none"/>
          <w:lang w:val="en-US" w:eastAsia="zh-CN"/>
        </w:rPr>
        <w:t>资金的支付有完整的审批程序和手续，符合制度要求；项目资金进行单独核算，财务手续基本合理、完整，未发现专项资金有截留、挤占、挪用、虚列开支等情况。</w:t>
      </w:r>
    </w:p>
    <w:p>
      <w:pPr>
        <w:pStyle w:val="33"/>
        <w:adjustRightInd w:val="0"/>
        <w:snapToGrid w:val="0"/>
        <w:spacing w:line="560" w:lineRule="exact"/>
        <w:ind w:left="420" w:leftChars="200" w:firstLine="321" w:firstLineChars="100"/>
        <w:outlineLvl w:val="1"/>
        <w:rPr>
          <w:rFonts w:hint="eastAsia" w:ascii="楷体" w:hAnsi="楷体" w:eastAsia="楷体" w:cs="楷体"/>
          <w:bCs/>
          <w:color w:val="auto"/>
          <w:sz w:val="32"/>
          <w:szCs w:val="32"/>
          <w:highlight w:val="none"/>
          <w:lang w:val="en-US" w:eastAsia="zh-CN"/>
        </w:rPr>
      </w:pPr>
      <w:bookmarkStart w:id="70" w:name="_Toc31015"/>
      <w:r>
        <w:rPr>
          <w:rFonts w:hint="eastAsia" w:ascii="仿宋_GB2312" w:hAnsi="仿宋" w:eastAsia="仿宋_GB2312" w:cs="宋体"/>
          <w:b/>
          <w:bCs/>
          <w:color w:val="auto"/>
          <w:sz w:val="32"/>
          <w:szCs w:val="32"/>
          <w:highlight w:val="none"/>
        </w:rPr>
        <w:t>（</w:t>
      </w:r>
      <w:r>
        <w:rPr>
          <w:rFonts w:hint="eastAsia" w:ascii="仿宋_GB2312" w:hAnsi="仿宋" w:eastAsia="仿宋_GB2312" w:cs="宋体"/>
          <w:b/>
          <w:bCs/>
          <w:color w:val="auto"/>
          <w:sz w:val="32"/>
          <w:szCs w:val="32"/>
          <w:highlight w:val="none"/>
          <w:lang w:val="en-US" w:eastAsia="zh-CN"/>
        </w:rPr>
        <w:t>三</w:t>
      </w:r>
      <w:r>
        <w:rPr>
          <w:rFonts w:hint="eastAsia" w:ascii="仿宋_GB2312" w:hAnsi="仿宋" w:eastAsia="仿宋_GB2312" w:cs="宋体"/>
          <w:b/>
          <w:bCs/>
          <w:color w:val="auto"/>
          <w:sz w:val="32"/>
          <w:szCs w:val="32"/>
          <w:highlight w:val="none"/>
        </w:rPr>
        <w:t>）项目</w:t>
      </w:r>
      <w:r>
        <w:rPr>
          <w:rFonts w:hint="eastAsia" w:ascii="仿宋_GB2312" w:hAnsi="仿宋" w:eastAsia="仿宋_GB2312" w:cs="宋体"/>
          <w:b/>
          <w:bCs/>
          <w:color w:val="auto"/>
          <w:sz w:val="32"/>
          <w:szCs w:val="32"/>
          <w:highlight w:val="none"/>
          <w:lang w:val="en-US" w:eastAsia="zh-CN"/>
        </w:rPr>
        <w:t>产出</w:t>
      </w:r>
      <w:r>
        <w:rPr>
          <w:rFonts w:hint="eastAsia" w:ascii="仿宋_GB2312" w:hAnsi="仿宋" w:eastAsia="仿宋_GB2312" w:cs="宋体"/>
          <w:b/>
          <w:bCs/>
          <w:color w:val="auto"/>
          <w:sz w:val="32"/>
          <w:szCs w:val="32"/>
          <w:highlight w:val="none"/>
        </w:rPr>
        <w:t>情况分析</w:t>
      </w:r>
      <w:bookmarkEnd w:id="70"/>
    </w:p>
    <w:p>
      <w:pPr>
        <w:pStyle w:val="33"/>
        <w:tabs>
          <w:tab w:val="left" w:pos="1559"/>
        </w:tabs>
        <w:adjustRightInd w:val="0"/>
        <w:snapToGrid w:val="0"/>
        <w:spacing w:line="560" w:lineRule="exact"/>
        <w:ind w:firstLine="640"/>
        <w:outlineLvl w:val="2"/>
        <w:rPr>
          <w:rFonts w:hint="eastAsia" w:ascii="楷体" w:hAnsi="楷体" w:eastAsia="楷体" w:cs="楷体"/>
          <w:bCs/>
          <w:color w:val="auto"/>
          <w:sz w:val="32"/>
          <w:szCs w:val="32"/>
          <w:highlight w:val="none"/>
          <w:lang w:val="en-US" w:eastAsia="zh-CN"/>
        </w:rPr>
      </w:pPr>
      <w:r>
        <w:rPr>
          <w:rFonts w:hint="eastAsia" w:ascii="楷体" w:hAnsi="楷体" w:eastAsia="楷体" w:cs="楷体"/>
          <w:bCs/>
          <w:color w:val="auto"/>
          <w:sz w:val="32"/>
          <w:szCs w:val="32"/>
          <w:highlight w:val="none"/>
          <w:lang w:val="en-US" w:eastAsia="zh-CN"/>
        </w:rPr>
        <w:t>1.产出数量情况</w:t>
      </w:r>
    </w:p>
    <w:p>
      <w:pPr>
        <w:pStyle w:val="33"/>
        <w:tabs>
          <w:tab w:val="left" w:pos="1559"/>
        </w:tabs>
        <w:adjustRightInd w:val="0"/>
        <w:snapToGrid w:val="0"/>
        <w:spacing w:line="560" w:lineRule="exact"/>
        <w:ind w:firstLine="640"/>
        <w:outlineLvl w:val="2"/>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已完成了多鲁乡12个村3906亩低效农田整治工作。</w:t>
      </w:r>
    </w:p>
    <w:p>
      <w:pPr>
        <w:pStyle w:val="33"/>
        <w:tabs>
          <w:tab w:val="left" w:pos="1559"/>
        </w:tabs>
        <w:adjustRightInd w:val="0"/>
        <w:snapToGrid w:val="0"/>
        <w:spacing w:line="560" w:lineRule="exact"/>
        <w:ind w:firstLine="640"/>
        <w:outlineLvl w:val="2"/>
        <w:rPr>
          <w:rFonts w:hint="eastAsia" w:ascii="楷体" w:hAnsi="楷体" w:eastAsia="楷体" w:cs="楷体"/>
          <w:bCs/>
          <w:color w:val="auto"/>
          <w:sz w:val="32"/>
          <w:szCs w:val="32"/>
          <w:highlight w:val="none"/>
          <w:lang w:val="en-US" w:eastAsia="zh-CN"/>
        </w:rPr>
      </w:pPr>
      <w:r>
        <w:rPr>
          <w:rFonts w:hint="eastAsia" w:ascii="楷体" w:hAnsi="楷体" w:eastAsia="楷体" w:cs="楷体"/>
          <w:bCs/>
          <w:color w:val="auto"/>
          <w:sz w:val="32"/>
          <w:szCs w:val="32"/>
          <w:highlight w:val="none"/>
          <w:lang w:val="en-US" w:eastAsia="zh-CN"/>
        </w:rPr>
        <w:t>2.产出质量情况</w:t>
      </w:r>
    </w:p>
    <w:p>
      <w:pPr>
        <w:pStyle w:val="33"/>
        <w:tabs>
          <w:tab w:val="left" w:pos="1559"/>
        </w:tabs>
        <w:adjustRightInd w:val="0"/>
        <w:snapToGrid w:val="0"/>
        <w:spacing w:line="560" w:lineRule="exact"/>
        <w:ind w:firstLine="640"/>
        <w:outlineLvl w:val="2"/>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确保了补助资金足额发放，发放率为100%；工作开展合格率100%。</w:t>
      </w:r>
    </w:p>
    <w:p>
      <w:pPr>
        <w:pStyle w:val="33"/>
        <w:tabs>
          <w:tab w:val="left" w:pos="1559"/>
        </w:tabs>
        <w:adjustRightInd w:val="0"/>
        <w:snapToGrid w:val="0"/>
        <w:spacing w:line="560" w:lineRule="exact"/>
        <w:ind w:firstLine="640"/>
        <w:outlineLvl w:val="2"/>
        <w:rPr>
          <w:rFonts w:hint="eastAsia" w:ascii="楷体" w:hAnsi="楷体" w:eastAsia="楷体" w:cs="楷体"/>
          <w:bCs/>
          <w:color w:val="auto"/>
          <w:sz w:val="32"/>
          <w:szCs w:val="32"/>
          <w:highlight w:val="none"/>
          <w:lang w:val="en-US" w:eastAsia="zh-CN"/>
        </w:rPr>
      </w:pPr>
      <w:r>
        <w:rPr>
          <w:rFonts w:hint="eastAsia" w:ascii="楷体" w:hAnsi="楷体" w:eastAsia="楷体" w:cs="楷体"/>
          <w:bCs/>
          <w:color w:val="auto"/>
          <w:sz w:val="32"/>
          <w:szCs w:val="32"/>
          <w:highlight w:val="none"/>
          <w:lang w:val="en-US" w:eastAsia="zh-CN"/>
        </w:rPr>
        <w:t>3.产出时效情况</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确保了补助发放及时性达到100%，项目截止时间2021年8月。</w:t>
      </w:r>
    </w:p>
    <w:p>
      <w:pPr>
        <w:pStyle w:val="33"/>
        <w:tabs>
          <w:tab w:val="left" w:pos="1559"/>
        </w:tabs>
        <w:adjustRightInd w:val="0"/>
        <w:snapToGrid w:val="0"/>
        <w:spacing w:line="560" w:lineRule="exact"/>
        <w:ind w:firstLine="640"/>
        <w:outlineLvl w:val="2"/>
        <w:rPr>
          <w:rFonts w:hint="eastAsia" w:ascii="楷体" w:hAnsi="楷体" w:eastAsia="楷体" w:cs="楷体"/>
          <w:bCs/>
          <w:color w:val="auto"/>
          <w:sz w:val="32"/>
          <w:szCs w:val="32"/>
          <w:highlight w:val="none"/>
          <w:lang w:val="en-US" w:eastAsia="zh-CN"/>
        </w:rPr>
      </w:pPr>
      <w:r>
        <w:rPr>
          <w:rFonts w:hint="eastAsia" w:ascii="楷体" w:hAnsi="楷体" w:eastAsia="楷体" w:cs="楷体"/>
          <w:bCs/>
          <w:color w:val="auto"/>
          <w:sz w:val="32"/>
          <w:szCs w:val="32"/>
          <w:highlight w:val="none"/>
          <w:lang w:val="en-US" w:eastAsia="zh-CN"/>
        </w:rPr>
        <w:t>4.产出成本情况</w:t>
      </w:r>
    </w:p>
    <w:p>
      <w:pPr>
        <w:pStyle w:val="6"/>
        <w:ind w:firstLine="640" w:firstLineChars="200"/>
        <w:rPr>
          <w:rFonts w:hint="default" w:ascii="仿宋_GB2312" w:hAnsi="仿宋_GB2312" w:eastAsia="仿宋_GB2312" w:cs="仿宋_GB2312"/>
          <w:color w:val="auto"/>
          <w:kern w:val="2"/>
          <w:sz w:val="32"/>
          <w:szCs w:val="32"/>
          <w:highlight w:val="none"/>
          <w:lang w:val="en-US" w:eastAsia="zh-CN" w:bidi="ar-SA"/>
        </w:rPr>
      </w:pPr>
      <w:bookmarkStart w:id="71" w:name="_Toc3708"/>
      <w:r>
        <w:rPr>
          <w:rFonts w:hint="eastAsia" w:ascii="仿宋_GB2312" w:hAnsi="仿宋_GB2312" w:eastAsia="仿宋_GB2312" w:cs="仿宋_GB2312"/>
          <w:color w:val="auto"/>
          <w:kern w:val="2"/>
          <w:sz w:val="32"/>
          <w:szCs w:val="32"/>
          <w:highlight w:val="none"/>
          <w:lang w:val="en-US" w:eastAsia="zh-CN" w:bidi="ar-SA"/>
        </w:rPr>
        <w:t>项目验收合格之后，按照500元/亩的标准发放了3906亩地补助资金。</w:t>
      </w:r>
    </w:p>
    <w:p>
      <w:pPr>
        <w:pStyle w:val="6"/>
        <w:ind w:firstLine="321" w:firstLineChars="100"/>
        <w:rPr>
          <w:rFonts w:hint="eastAsia" w:ascii="仿宋_GB2312" w:hAnsi="仿宋" w:eastAsia="仿宋_GB2312" w:cs="宋体"/>
          <w:b/>
          <w:bCs/>
          <w:color w:val="auto"/>
          <w:sz w:val="32"/>
          <w:szCs w:val="32"/>
          <w:highlight w:val="none"/>
          <w:lang w:val="en-US" w:eastAsia="zh-CN"/>
        </w:rPr>
      </w:pPr>
      <w:r>
        <w:rPr>
          <w:rFonts w:hint="eastAsia" w:ascii="仿宋_GB2312" w:hAnsi="仿宋" w:eastAsia="仿宋_GB2312" w:cs="宋体"/>
          <w:b/>
          <w:bCs/>
          <w:color w:val="auto"/>
          <w:sz w:val="32"/>
          <w:szCs w:val="32"/>
          <w:highlight w:val="none"/>
          <w:lang w:val="en-US" w:eastAsia="zh-CN"/>
        </w:rPr>
        <w:t>（四）项目效益评价分析</w:t>
      </w:r>
      <w:bookmarkEnd w:id="71"/>
    </w:p>
    <w:p>
      <w:pPr>
        <w:pStyle w:val="33"/>
        <w:tabs>
          <w:tab w:val="left" w:pos="1559"/>
        </w:tabs>
        <w:adjustRightInd w:val="0"/>
        <w:snapToGrid w:val="0"/>
        <w:spacing w:line="560" w:lineRule="exact"/>
        <w:ind w:firstLine="640"/>
        <w:outlineLvl w:val="2"/>
        <w:rPr>
          <w:rFonts w:hint="eastAsia" w:ascii="楷体" w:hAnsi="楷体" w:eastAsia="楷体" w:cs="楷体"/>
          <w:bCs/>
          <w:color w:val="auto"/>
          <w:sz w:val="32"/>
          <w:szCs w:val="32"/>
          <w:highlight w:val="none"/>
          <w:lang w:val="en-US" w:eastAsia="zh-CN"/>
        </w:rPr>
      </w:pPr>
      <w:r>
        <w:rPr>
          <w:rFonts w:hint="eastAsia" w:ascii="楷体" w:hAnsi="楷体" w:eastAsia="楷体" w:cs="楷体"/>
          <w:bCs/>
          <w:color w:val="auto"/>
          <w:sz w:val="32"/>
          <w:szCs w:val="32"/>
          <w:highlight w:val="none"/>
          <w:lang w:val="en-US" w:eastAsia="zh-CN"/>
        </w:rPr>
        <w:t>1.经济效益情况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该项目涉不及经济效益。</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color w:val="auto"/>
          <w:sz w:val="32"/>
          <w:szCs w:val="32"/>
          <w:highlight w:val="none"/>
          <w:lang w:val="en-US" w:eastAsia="zh-CN"/>
        </w:rPr>
      </w:pPr>
      <w:r>
        <w:rPr>
          <w:rFonts w:hint="eastAsia" w:ascii="楷体" w:hAnsi="楷体" w:eastAsia="楷体" w:cs="楷体"/>
          <w:bCs/>
          <w:color w:val="auto"/>
          <w:sz w:val="32"/>
          <w:szCs w:val="32"/>
          <w:highlight w:val="none"/>
          <w:lang w:val="en-US" w:eastAsia="zh-CN"/>
        </w:rPr>
        <w:t>2.社会效益情况</w:t>
      </w:r>
    </w:p>
    <w:p>
      <w:pPr>
        <w:ind w:firstLine="640" w:firstLineChars="20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通过实施低效农田整治项目显著提高了农业生产能力，解决了部分农田低效低产。</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楷体" w:hAnsi="楷体" w:eastAsia="楷体" w:cs="楷体"/>
          <w:bCs/>
          <w:color w:val="auto"/>
          <w:sz w:val="32"/>
          <w:szCs w:val="32"/>
          <w:highlight w:val="none"/>
          <w:lang w:val="en-US" w:eastAsia="zh-CN"/>
        </w:rPr>
      </w:pPr>
      <w:r>
        <w:rPr>
          <w:rFonts w:hint="eastAsia" w:ascii="楷体" w:hAnsi="楷体" w:eastAsia="楷体" w:cs="楷体"/>
          <w:bCs/>
          <w:color w:val="auto"/>
          <w:sz w:val="32"/>
          <w:szCs w:val="32"/>
          <w:highlight w:val="none"/>
          <w:lang w:val="en-US" w:eastAsia="zh-CN"/>
        </w:rPr>
        <w:t>3.生态效益情况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kern w:val="2"/>
          <w:sz w:val="32"/>
          <w:szCs w:val="32"/>
          <w:highlight w:val="none"/>
          <w:lang w:val="en-US" w:eastAsia="zh-CN" w:bidi="ar-SA"/>
        </w:rPr>
        <w:t>该项目不涉及生态效益</w:t>
      </w:r>
      <w:r>
        <w:rPr>
          <w:rFonts w:hint="eastAsia" w:ascii="仿宋_GB2312" w:hAnsi="仿宋_GB2312" w:eastAsia="仿宋_GB2312" w:cs="仿宋_GB2312"/>
          <w:color w:val="auto"/>
          <w:sz w:val="32"/>
          <w:szCs w:val="32"/>
          <w:highlight w:val="none"/>
        </w:rPr>
        <w:t>。</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color w:val="auto"/>
          <w:sz w:val="32"/>
          <w:szCs w:val="32"/>
          <w:highlight w:val="none"/>
          <w:lang w:val="en-US" w:eastAsia="zh-CN"/>
        </w:rPr>
      </w:pPr>
      <w:r>
        <w:rPr>
          <w:rFonts w:hint="eastAsia" w:ascii="楷体" w:hAnsi="楷体" w:eastAsia="楷体" w:cs="楷体"/>
          <w:bCs/>
          <w:color w:val="auto"/>
          <w:sz w:val="32"/>
          <w:szCs w:val="32"/>
          <w:highlight w:val="none"/>
          <w:lang w:val="en-US" w:eastAsia="zh-CN"/>
        </w:rPr>
        <w:t>4.可持续影响情况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低效农田整治之后，农田使用年限预计能达到15年，为洛浦县农民带来经济方面效益。</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color w:val="auto"/>
          <w:sz w:val="32"/>
          <w:szCs w:val="32"/>
          <w:highlight w:val="none"/>
          <w:lang w:val="en-US" w:eastAsia="zh-CN"/>
        </w:rPr>
      </w:pPr>
      <w:r>
        <w:rPr>
          <w:rFonts w:hint="eastAsia" w:ascii="楷体" w:hAnsi="楷体" w:eastAsia="楷体" w:cs="楷体"/>
          <w:bCs/>
          <w:color w:val="auto"/>
          <w:sz w:val="32"/>
          <w:szCs w:val="32"/>
          <w:highlight w:val="none"/>
          <w:lang w:val="en-US" w:eastAsia="zh-CN"/>
        </w:rPr>
        <w:t>5.服务对象满意度情况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color w:val="auto"/>
          <w:kern w:val="2"/>
          <w:sz w:val="32"/>
          <w:szCs w:val="32"/>
          <w:highlight w:val="none"/>
          <w:lang w:val="en-US" w:eastAsia="zh-CN" w:bidi="ar-SA"/>
        </w:rPr>
      </w:pPr>
      <w:bookmarkStart w:id="72" w:name="_Toc6584"/>
      <w:r>
        <w:rPr>
          <w:rFonts w:hint="eastAsia" w:ascii="仿宋_GB2312" w:hAnsi="仿宋_GB2312" w:eastAsia="仿宋_GB2312" w:cs="仿宋_GB2312"/>
          <w:color w:val="auto"/>
          <w:kern w:val="2"/>
          <w:sz w:val="32"/>
          <w:szCs w:val="32"/>
          <w:highlight w:val="none"/>
          <w:lang w:val="en-US" w:eastAsia="zh-CN" w:bidi="ar-SA"/>
        </w:rPr>
        <w:t>受益人满意度大于等于95%，通过走访受益对象，发放调查问卷40分，根据调查问卷可知，服务对象对项目实施效果的满意程度达100%。</w:t>
      </w:r>
    </w:p>
    <w:p>
      <w:pPr>
        <w:numPr>
          <w:ilvl w:val="0"/>
          <w:numId w:val="0"/>
        </w:numPr>
        <w:adjustRightInd w:val="0"/>
        <w:snapToGrid w:val="0"/>
        <w:spacing w:line="560" w:lineRule="exact"/>
        <w:ind w:firstLine="640" w:firstLineChars="200"/>
        <w:jc w:val="left"/>
        <w:outlineLvl w:val="0"/>
        <w:rPr>
          <w:rFonts w:ascii="黑体" w:hAnsi="黑体" w:eastAsia="黑体" w:cs="宋体"/>
          <w:color w:val="auto"/>
          <w:sz w:val="32"/>
          <w:szCs w:val="32"/>
          <w:highlight w:val="none"/>
        </w:rPr>
      </w:pPr>
      <w:r>
        <w:rPr>
          <w:rFonts w:hint="eastAsia" w:ascii="黑体" w:hAnsi="黑体" w:eastAsia="黑体" w:cs="宋体"/>
          <w:color w:val="auto"/>
          <w:sz w:val="32"/>
          <w:szCs w:val="32"/>
          <w:highlight w:val="none"/>
          <w:lang w:val="en-US" w:eastAsia="zh-CN"/>
        </w:rPr>
        <w:t>四、</w:t>
      </w:r>
      <w:r>
        <w:rPr>
          <w:rFonts w:hint="eastAsia" w:ascii="黑体" w:hAnsi="黑体" w:eastAsia="黑体" w:cs="宋体"/>
          <w:color w:val="auto"/>
          <w:sz w:val="32"/>
          <w:szCs w:val="32"/>
          <w:highlight w:val="none"/>
        </w:rPr>
        <w:t>评价结论</w:t>
      </w:r>
      <w:bookmarkEnd w:id="72"/>
    </w:p>
    <w:p>
      <w:pPr>
        <w:pStyle w:val="33"/>
        <w:adjustRightInd w:val="0"/>
        <w:snapToGrid w:val="0"/>
        <w:spacing w:line="560" w:lineRule="exact"/>
        <w:ind w:firstLine="643"/>
        <w:outlineLvl w:val="1"/>
        <w:rPr>
          <w:rFonts w:ascii="仿宋_GB2312" w:hAnsi="仿宋" w:eastAsia="仿宋_GB2312" w:cs="宋体"/>
          <w:b/>
          <w:bCs/>
          <w:color w:val="auto"/>
          <w:sz w:val="32"/>
          <w:szCs w:val="32"/>
          <w:highlight w:val="none"/>
        </w:rPr>
      </w:pPr>
      <w:bookmarkStart w:id="73" w:name="_Toc13481"/>
      <w:r>
        <w:rPr>
          <w:rFonts w:hint="eastAsia" w:ascii="仿宋_GB2312" w:hAnsi="仿宋" w:eastAsia="仿宋_GB2312" w:cs="宋体"/>
          <w:b/>
          <w:bCs/>
          <w:color w:val="auto"/>
          <w:sz w:val="32"/>
          <w:szCs w:val="32"/>
          <w:highlight w:val="none"/>
        </w:rPr>
        <w:t>（一）评分结果</w:t>
      </w:r>
      <w:bookmarkEnd w:id="73"/>
    </w:p>
    <w:p>
      <w:pPr>
        <w:spacing w:line="560" w:lineRule="exact"/>
        <w:ind w:firstLine="640" w:firstLineChars="200"/>
        <w:rPr>
          <w:rFonts w:ascii="仿宋" w:hAnsi="仿宋" w:eastAsia="仿宋" w:cs="仿宋_GB2312"/>
          <w:color w:val="auto"/>
          <w:sz w:val="32"/>
          <w:szCs w:val="32"/>
          <w:highlight w:val="none"/>
        </w:rPr>
      </w:pPr>
      <w:r>
        <w:rPr>
          <w:rFonts w:hint="eastAsia" w:ascii="仿宋_GB2312" w:hAnsi="仿宋_GB2312" w:eastAsia="仿宋_GB2312" w:cs="仿宋_GB2312"/>
          <w:color w:val="auto"/>
          <w:kern w:val="2"/>
          <w:sz w:val="32"/>
          <w:szCs w:val="32"/>
          <w:highlight w:val="none"/>
          <w:lang w:val="en-US" w:eastAsia="zh-CN" w:bidi="ar-SA"/>
        </w:rPr>
        <w:t>经综合评价，项目得分为94.60分，评价等级为优，一级指标各项得分情况见下表：</w:t>
      </w:r>
    </w:p>
    <w:p>
      <w:pPr>
        <w:pStyle w:val="40"/>
        <w:rPr>
          <w:color w:val="auto"/>
          <w:highlight w:val="none"/>
        </w:rPr>
      </w:pPr>
      <w:r>
        <w:rPr>
          <w:rFonts w:hint="eastAsia"/>
          <w:color w:val="auto"/>
          <w:highlight w:val="none"/>
          <w:lang w:eastAsia="zh-CN"/>
        </w:rPr>
        <w:t>202</w:t>
      </w:r>
      <w:r>
        <w:rPr>
          <w:rFonts w:hint="eastAsia"/>
          <w:color w:val="auto"/>
          <w:highlight w:val="none"/>
          <w:lang w:val="en-US" w:eastAsia="zh-CN"/>
        </w:rPr>
        <w:t>1</w:t>
      </w:r>
      <w:r>
        <w:rPr>
          <w:rFonts w:hint="eastAsia"/>
          <w:color w:val="auto"/>
          <w:highlight w:val="none"/>
        </w:rPr>
        <w:t>年度该项目绩效评价</w:t>
      </w:r>
      <w:r>
        <w:rPr>
          <w:color w:val="auto"/>
          <w:highlight w:val="none"/>
        </w:rPr>
        <w:t>得分情况表</w:t>
      </w:r>
    </w:p>
    <w:tbl>
      <w:tblPr>
        <w:tblStyle w:val="19"/>
        <w:tblW w:w="83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7"/>
        <w:gridCol w:w="1543"/>
        <w:gridCol w:w="1413"/>
        <w:gridCol w:w="1152"/>
        <w:gridCol w:w="1290"/>
        <w:gridCol w:w="13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1517" w:type="dxa"/>
            <w:tcBorders>
              <w:bottom w:val="single" w:color="auto" w:sz="4" w:space="0"/>
            </w:tcBorders>
            <w:shd w:val="clear" w:color="auto" w:fill="A6A6A6"/>
            <w:vAlign w:val="center"/>
          </w:tcPr>
          <w:p>
            <w:pPr>
              <w:pStyle w:val="40"/>
              <w:rPr>
                <w:rFonts w:ascii="仿宋" w:hAnsi="仿宋" w:eastAsia="仿宋" w:cs="仿宋"/>
                <w:color w:val="auto"/>
                <w:sz w:val="21"/>
                <w:szCs w:val="21"/>
                <w:highlight w:val="none"/>
              </w:rPr>
            </w:pPr>
            <w:r>
              <w:rPr>
                <w:rFonts w:hint="eastAsia" w:ascii="仿宋" w:hAnsi="仿宋" w:eastAsia="仿宋" w:cs="仿宋"/>
                <w:color w:val="auto"/>
                <w:sz w:val="21"/>
                <w:szCs w:val="21"/>
                <w:highlight w:val="none"/>
              </w:rPr>
              <w:t>指标</w:t>
            </w:r>
          </w:p>
        </w:tc>
        <w:tc>
          <w:tcPr>
            <w:tcW w:w="1543" w:type="dxa"/>
            <w:tcBorders>
              <w:bottom w:val="single" w:color="auto" w:sz="4" w:space="0"/>
            </w:tcBorders>
            <w:shd w:val="clear" w:color="auto" w:fill="A6A6A6"/>
            <w:vAlign w:val="center"/>
          </w:tcPr>
          <w:p>
            <w:pPr>
              <w:pStyle w:val="40"/>
              <w:rPr>
                <w:rFonts w:ascii="仿宋" w:hAnsi="仿宋" w:eastAsia="仿宋" w:cs="仿宋"/>
                <w:color w:val="auto"/>
                <w:sz w:val="21"/>
                <w:szCs w:val="21"/>
                <w:highlight w:val="none"/>
              </w:rPr>
            </w:pPr>
            <w:r>
              <w:rPr>
                <w:rFonts w:hint="eastAsia" w:ascii="仿宋" w:hAnsi="仿宋" w:eastAsia="仿宋" w:cs="仿宋"/>
                <w:color w:val="auto"/>
                <w:sz w:val="21"/>
                <w:szCs w:val="21"/>
                <w:highlight w:val="none"/>
              </w:rPr>
              <w:t>项目决策</w:t>
            </w:r>
          </w:p>
        </w:tc>
        <w:tc>
          <w:tcPr>
            <w:tcW w:w="1413" w:type="dxa"/>
            <w:tcBorders>
              <w:bottom w:val="single" w:color="auto" w:sz="4" w:space="0"/>
            </w:tcBorders>
            <w:shd w:val="clear" w:color="auto" w:fill="A6A6A6"/>
            <w:vAlign w:val="center"/>
          </w:tcPr>
          <w:p>
            <w:pPr>
              <w:pStyle w:val="40"/>
              <w:rPr>
                <w:rFonts w:hint="eastAsia" w:ascii="仿宋" w:hAnsi="仿宋" w:eastAsia="仿宋" w:cs="仿宋"/>
                <w:color w:val="auto"/>
                <w:sz w:val="21"/>
                <w:szCs w:val="21"/>
                <w:highlight w:val="none"/>
                <w:lang w:eastAsia="zh-CN"/>
              </w:rPr>
            </w:pPr>
            <w:r>
              <w:rPr>
                <w:rFonts w:hint="eastAsia" w:ascii="仿宋" w:hAnsi="仿宋" w:eastAsia="仿宋" w:cs="仿宋"/>
                <w:color w:val="auto"/>
                <w:sz w:val="21"/>
                <w:szCs w:val="21"/>
                <w:highlight w:val="none"/>
              </w:rPr>
              <w:t>项目</w:t>
            </w:r>
            <w:r>
              <w:rPr>
                <w:rFonts w:hint="eastAsia" w:ascii="仿宋" w:hAnsi="仿宋" w:eastAsia="仿宋" w:cs="仿宋"/>
                <w:color w:val="auto"/>
                <w:sz w:val="21"/>
                <w:szCs w:val="21"/>
                <w:highlight w:val="none"/>
                <w:lang w:val="en-US" w:eastAsia="zh-CN"/>
              </w:rPr>
              <w:t>过程</w:t>
            </w:r>
          </w:p>
        </w:tc>
        <w:tc>
          <w:tcPr>
            <w:tcW w:w="1152" w:type="dxa"/>
            <w:tcBorders>
              <w:bottom w:val="single" w:color="auto" w:sz="4" w:space="0"/>
            </w:tcBorders>
            <w:shd w:val="clear" w:color="auto" w:fill="A6A6A6"/>
            <w:vAlign w:val="center"/>
          </w:tcPr>
          <w:p>
            <w:pPr>
              <w:pStyle w:val="40"/>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项目产出</w:t>
            </w:r>
          </w:p>
        </w:tc>
        <w:tc>
          <w:tcPr>
            <w:tcW w:w="1290" w:type="dxa"/>
            <w:tcBorders>
              <w:bottom w:val="single" w:color="auto" w:sz="4" w:space="0"/>
            </w:tcBorders>
            <w:shd w:val="clear" w:color="auto" w:fill="A6A6A6"/>
            <w:vAlign w:val="center"/>
          </w:tcPr>
          <w:p>
            <w:pPr>
              <w:pStyle w:val="40"/>
              <w:rPr>
                <w:rFonts w:hint="eastAsia" w:ascii="仿宋" w:hAnsi="仿宋" w:eastAsia="仿宋" w:cs="仿宋"/>
                <w:color w:val="auto"/>
                <w:sz w:val="21"/>
                <w:szCs w:val="21"/>
                <w:highlight w:val="none"/>
                <w:lang w:eastAsia="zh-CN"/>
              </w:rPr>
            </w:pPr>
            <w:r>
              <w:rPr>
                <w:rFonts w:hint="eastAsia" w:ascii="仿宋" w:hAnsi="仿宋" w:eastAsia="仿宋" w:cs="仿宋"/>
                <w:color w:val="auto"/>
                <w:sz w:val="21"/>
                <w:szCs w:val="21"/>
                <w:highlight w:val="none"/>
              </w:rPr>
              <w:t>项目</w:t>
            </w:r>
            <w:r>
              <w:rPr>
                <w:rFonts w:hint="eastAsia" w:ascii="仿宋" w:hAnsi="仿宋" w:eastAsia="仿宋" w:cs="仿宋"/>
                <w:color w:val="auto"/>
                <w:sz w:val="21"/>
                <w:szCs w:val="21"/>
                <w:highlight w:val="none"/>
                <w:lang w:val="en-US" w:eastAsia="zh-CN"/>
              </w:rPr>
              <w:t>效益</w:t>
            </w:r>
          </w:p>
        </w:tc>
        <w:tc>
          <w:tcPr>
            <w:tcW w:w="1388" w:type="dxa"/>
            <w:tcBorders>
              <w:bottom w:val="single" w:color="auto" w:sz="4" w:space="0"/>
            </w:tcBorders>
            <w:shd w:val="clear" w:color="auto" w:fill="A6A6A6"/>
            <w:vAlign w:val="center"/>
          </w:tcPr>
          <w:p>
            <w:pPr>
              <w:pStyle w:val="40"/>
              <w:rPr>
                <w:rFonts w:ascii="仿宋" w:hAnsi="仿宋" w:eastAsia="仿宋" w:cs="仿宋"/>
                <w:color w:val="auto"/>
                <w:sz w:val="21"/>
                <w:szCs w:val="21"/>
                <w:highlight w:val="none"/>
              </w:rPr>
            </w:pPr>
            <w:r>
              <w:rPr>
                <w:rFonts w:hint="eastAsia" w:ascii="仿宋" w:hAnsi="仿宋" w:eastAsia="仿宋" w:cs="仿宋"/>
                <w:color w:val="auto"/>
                <w:sz w:val="21"/>
                <w:szCs w:val="21"/>
                <w:highlight w:val="none"/>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pPr>
              <w:pStyle w:val="40"/>
              <w:rPr>
                <w:rFonts w:ascii="仿宋" w:hAnsi="仿宋" w:eastAsia="仿宋" w:cs="仿宋"/>
                <w:color w:val="auto"/>
                <w:sz w:val="21"/>
                <w:szCs w:val="21"/>
                <w:highlight w:val="none"/>
              </w:rPr>
            </w:pPr>
            <w:r>
              <w:rPr>
                <w:rFonts w:hint="eastAsia" w:ascii="仿宋" w:hAnsi="仿宋" w:eastAsia="仿宋" w:cs="仿宋"/>
                <w:color w:val="auto"/>
                <w:sz w:val="21"/>
                <w:szCs w:val="21"/>
                <w:highlight w:val="none"/>
              </w:rPr>
              <w:t>权重</w:t>
            </w:r>
          </w:p>
        </w:tc>
        <w:tc>
          <w:tcPr>
            <w:tcW w:w="1543" w:type="dxa"/>
            <w:vAlign w:val="center"/>
          </w:tcPr>
          <w:p>
            <w:pPr>
              <w:pStyle w:val="40"/>
              <w:rPr>
                <w:rFonts w:hint="eastAsia" w:ascii="仿宋" w:hAnsi="仿宋" w:eastAsia="仿宋" w:cs="仿宋"/>
                <w:b w:val="0"/>
                <w:color w:val="auto"/>
                <w:sz w:val="21"/>
                <w:szCs w:val="21"/>
                <w:highlight w:val="none"/>
                <w:lang w:eastAsia="zh-CN"/>
              </w:rPr>
            </w:pPr>
            <w:r>
              <w:rPr>
                <w:rFonts w:hint="eastAsia" w:ascii="仿宋" w:hAnsi="仿宋" w:eastAsia="仿宋" w:cs="仿宋"/>
                <w:b w:val="0"/>
                <w:color w:val="auto"/>
                <w:sz w:val="21"/>
                <w:szCs w:val="21"/>
                <w:highlight w:val="none"/>
              </w:rPr>
              <w:t>2</w:t>
            </w:r>
            <w:r>
              <w:rPr>
                <w:rFonts w:hint="eastAsia" w:ascii="仿宋" w:hAnsi="仿宋" w:eastAsia="仿宋" w:cs="仿宋"/>
                <w:b w:val="0"/>
                <w:color w:val="auto"/>
                <w:sz w:val="21"/>
                <w:szCs w:val="21"/>
                <w:highlight w:val="none"/>
                <w:lang w:val="en-US" w:eastAsia="zh-CN"/>
              </w:rPr>
              <w:t>0</w:t>
            </w:r>
          </w:p>
        </w:tc>
        <w:tc>
          <w:tcPr>
            <w:tcW w:w="1413" w:type="dxa"/>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20</w:t>
            </w:r>
          </w:p>
        </w:tc>
        <w:tc>
          <w:tcPr>
            <w:tcW w:w="1152" w:type="dxa"/>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30</w:t>
            </w:r>
          </w:p>
        </w:tc>
        <w:tc>
          <w:tcPr>
            <w:tcW w:w="1290" w:type="dxa"/>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20</w:t>
            </w:r>
          </w:p>
        </w:tc>
        <w:tc>
          <w:tcPr>
            <w:tcW w:w="1388" w:type="dxa"/>
            <w:vAlign w:val="center"/>
          </w:tcPr>
          <w:p>
            <w:pPr>
              <w:pStyle w:val="40"/>
              <w:rPr>
                <w:rFonts w:ascii="仿宋" w:hAnsi="仿宋" w:eastAsia="仿宋" w:cs="仿宋"/>
                <w:b w:val="0"/>
                <w:color w:val="auto"/>
                <w:sz w:val="21"/>
                <w:szCs w:val="21"/>
                <w:highlight w:val="none"/>
              </w:rPr>
            </w:pPr>
            <w:r>
              <w:rPr>
                <w:rFonts w:hint="eastAsia" w:ascii="仿宋" w:hAnsi="仿宋" w:eastAsia="仿宋" w:cs="仿宋"/>
                <w:b w:val="0"/>
                <w:color w:val="auto"/>
                <w:sz w:val="21"/>
                <w:szCs w:val="21"/>
                <w:highlight w:val="none"/>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pPr>
              <w:pStyle w:val="40"/>
              <w:rPr>
                <w:rFonts w:ascii="仿宋" w:hAnsi="仿宋" w:eastAsia="仿宋" w:cs="仿宋"/>
                <w:color w:val="auto"/>
                <w:sz w:val="21"/>
                <w:szCs w:val="21"/>
                <w:highlight w:val="none"/>
              </w:rPr>
            </w:pPr>
            <w:r>
              <w:rPr>
                <w:rFonts w:hint="eastAsia" w:ascii="仿宋" w:hAnsi="仿宋" w:eastAsia="仿宋" w:cs="仿宋"/>
                <w:color w:val="auto"/>
                <w:sz w:val="21"/>
                <w:szCs w:val="21"/>
                <w:highlight w:val="none"/>
              </w:rPr>
              <w:t>分值</w:t>
            </w:r>
          </w:p>
        </w:tc>
        <w:tc>
          <w:tcPr>
            <w:tcW w:w="1543" w:type="dxa"/>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20</w:t>
            </w:r>
          </w:p>
        </w:tc>
        <w:tc>
          <w:tcPr>
            <w:tcW w:w="1413" w:type="dxa"/>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19</w:t>
            </w:r>
          </w:p>
        </w:tc>
        <w:tc>
          <w:tcPr>
            <w:tcW w:w="1152" w:type="dxa"/>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25.62</w:t>
            </w:r>
          </w:p>
        </w:tc>
        <w:tc>
          <w:tcPr>
            <w:tcW w:w="1290" w:type="dxa"/>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20</w:t>
            </w:r>
          </w:p>
        </w:tc>
        <w:tc>
          <w:tcPr>
            <w:tcW w:w="1388" w:type="dxa"/>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94.60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pPr>
              <w:pStyle w:val="40"/>
              <w:rPr>
                <w:rFonts w:ascii="仿宋" w:hAnsi="仿宋" w:eastAsia="仿宋" w:cs="仿宋"/>
                <w:color w:val="auto"/>
                <w:sz w:val="21"/>
                <w:szCs w:val="21"/>
                <w:highlight w:val="none"/>
              </w:rPr>
            </w:pPr>
            <w:r>
              <w:rPr>
                <w:rFonts w:hint="eastAsia" w:ascii="仿宋" w:hAnsi="仿宋" w:eastAsia="仿宋" w:cs="仿宋"/>
                <w:color w:val="auto"/>
                <w:sz w:val="21"/>
                <w:szCs w:val="21"/>
                <w:highlight w:val="none"/>
              </w:rPr>
              <w:t>得分率</w:t>
            </w:r>
          </w:p>
        </w:tc>
        <w:tc>
          <w:tcPr>
            <w:tcW w:w="1543" w:type="dxa"/>
            <w:vAlign w:val="center"/>
          </w:tcPr>
          <w:p>
            <w:pPr>
              <w:pStyle w:val="40"/>
              <w:rPr>
                <w:rFonts w:ascii="仿宋" w:hAnsi="仿宋" w:eastAsia="仿宋" w:cs="仿宋"/>
                <w:b w:val="0"/>
                <w:color w:val="auto"/>
                <w:sz w:val="21"/>
                <w:szCs w:val="21"/>
                <w:highlight w:val="none"/>
              </w:rPr>
            </w:pPr>
            <w:r>
              <w:rPr>
                <w:rFonts w:hint="eastAsia" w:ascii="仿宋" w:hAnsi="仿宋" w:eastAsia="仿宋" w:cs="仿宋"/>
                <w:b w:val="0"/>
                <w:color w:val="auto"/>
                <w:sz w:val="21"/>
                <w:szCs w:val="21"/>
                <w:highlight w:val="none"/>
                <w:lang w:val="en-US" w:eastAsia="zh-CN"/>
              </w:rPr>
              <w:t>100</w:t>
            </w:r>
            <w:r>
              <w:rPr>
                <w:rFonts w:hint="eastAsia" w:ascii="仿宋" w:hAnsi="仿宋" w:eastAsia="仿宋" w:cs="仿宋"/>
                <w:b w:val="0"/>
                <w:color w:val="auto"/>
                <w:sz w:val="21"/>
                <w:szCs w:val="21"/>
                <w:highlight w:val="none"/>
              </w:rPr>
              <w:t>%</w:t>
            </w:r>
          </w:p>
        </w:tc>
        <w:tc>
          <w:tcPr>
            <w:tcW w:w="1413" w:type="dxa"/>
            <w:vAlign w:val="center"/>
          </w:tcPr>
          <w:p>
            <w:pPr>
              <w:pStyle w:val="40"/>
              <w:rPr>
                <w:rFonts w:ascii="仿宋" w:hAnsi="仿宋" w:eastAsia="仿宋" w:cs="仿宋"/>
                <w:b w:val="0"/>
                <w:color w:val="auto"/>
                <w:sz w:val="21"/>
                <w:szCs w:val="21"/>
                <w:highlight w:val="none"/>
              </w:rPr>
            </w:pPr>
            <w:r>
              <w:rPr>
                <w:rFonts w:hint="eastAsia" w:ascii="仿宋" w:hAnsi="仿宋" w:eastAsia="仿宋" w:cs="仿宋"/>
                <w:b w:val="0"/>
                <w:color w:val="auto"/>
                <w:sz w:val="21"/>
                <w:szCs w:val="21"/>
                <w:highlight w:val="none"/>
                <w:lang w:val="en-US" w:eastAsia="zh-CN"/>
              </w:rPr>
              <w:t>95</w:t>
            </w:r>
            <w:r>
              <w:rPr>
                <w:rFonts w:hint="eastAsia" w:ascii="仿宋" w:hAnsi="仿宋" w:eastAsia="仿宋" w:cs="仿宋"/>
                <w:b w:val="0"/>
                <w:color w:val="auto"/>
                <w:sz w:val="21"/>
                <w:szCs w:val="21"/>
                <w:highlight w:val="none"/>
              </w:rPr>
              <w:t>%</w:t>
            </w:r>
          </w:p>
        </w:tc>
        <w:tc>
          <w:tcPr>
            <w:tcW w:w="1152" w:type="dxa"/>
            <w:vAlign w:val="center"/>
          </w:tcPr>
          <w:p>
            <w:pPr>
              <w:pStyle w:val="40"/>
              <w:rPr>
                <w:rFonts w:hint="eastAsia" w:ascii="仿宋" w:hAnsi="仿宋" w:eastAsia="仿宋" w:cs="仿宋"/>
                <w:b w:val="0"/>
                <w:color w:val="auto"/>
                <w:sz w:val="21"/>
                <w:szCs w:val="21"/>
                <w:highlight w:val="none"/>
              </w:rPr>
            </w:pPr>
            <w:r>
              <w:rPr>
                <w:rFonts w:hint="eastAsia" w:ascii="仿宋" w:hAnsi="仿宋" w:eastAsia="仿宋" w:cs="仿宋"/>
                <w:b w:val="0"/>
                <w:color w:val="auto"/>
                <w:sz w:val="21"/>
                <w:szCs w:val="21"/>
                <w:highlight w:val="none"/>
                <w:lang w:val="en-US" w:eastAsia="zh-CN"/>
              </w:rPr>
              <w:t>85.4</w:t>
            </w:r>
            <w:r>
              <w:rPr>
                <w:rFonts w:hint="eastAsia" w:ascii="仿宋" w:hAnsi="仿宋" w:eastAsia="仿宋" w:cs="仿宋"/>
                <w:b w:val="0"/>
                <w:color w:val="auto"/>
                <w:sz w:val="21"/>
                <w:szCs w:val="21"/>
                <w:highlight w:val="none"/>
              </w:rPr>
              <w:t>%</w:t>
            </w:r>
          </w:p>
        </w:tc>
        <w:tc>
          <w:tcPr>
            <w:tcW w:w="1290" w:type="dxa"/>
            <w:vAlign w:val="center"/>
          </w:tcPr>
          <w:p>
            <w:pPr>
              <w:pStyle w:val="40"/>
              <w:rPr>
                <w:rFonts w:ascii="仿宋" w:hAnsi="仿宋" w:eastAsia="仿宋" w:cs="仿宋"/>
                <w:b w:val="0"/>
                <w:color w:val="auto"/>
                <w:sz w:val="21"/>
                <w:szCs w:val="21"/>
                <w:highlight w:val="none"/>
              </w:rPr>
            </w:pPr>
            <w:r>
              <w:rPr>
                <w:rFonts w:hint="eastAsia" w:ascii="仿宋" w:hAnsi="仿宋" w:eastAsia="仿宋" w:cs="仿宋"/>
                <w:b w:val="0"/>
                <w:color w:val="auto"/>
                <w:sz w:val="21"/>
                <w:szCs w:val="21"/>
                <w:highlight w:val="none"/>
                <w:lang w:val="en-US" w:eastAsia="zh-CN"/>
              </w:rPr>
              <w:t>100</w:t>
            </w:r>
            <w:r>
              <w:rPr>
                <w:rFonts w:hint="eastAsia" w:ascii="仿宋" w:hAnsi="仿宋" w:eastAsia="仿宋" w:cs="仿宋"/>
                <w:b w:val="0"/>
                <w:color w:val="auto"/>
                <w:sz w:val="21"/>
                <w:szCs w:val="21"/>
                <w:highlight w:val="none"/>
              </w:rPr>
              <w:t>%</w:t>
            </w:r>
          </w:p>
        </w:tc>
        <w:tc>
          <w:tcPr>
            <w:tcW w:w="1388" w:type="dxa"/>
            <w:vAlign w:val="center"/>
          </w:tcPr>
          <w:p>
            <w:pPr>
              <w:pStyle w:val="40"/>
              <w:rPr>
                <w:rFonts w:ascii="仿宋" w:hAnsi="仿宋" w:eastAsia="仿宋" w:cs="仿宋"/>
                <w:b w:val="0"/>
                <w:color w:val="auto"/>
                <w:sz w:val="21"/>
                <w:szCs w:val="21"/>
                <w:highlight w:val="none"/>
              </w:rPr>
            </w:pPr>
            <w:r>
              <w:rPr>
                <w:rFonts w:hint="eastAsia" w:ascii="仿宋" w:hAnsi="仿宋" w:eastAsia="仿宋" w:cs="仿宋"/>
                <w:b w:val="0"/>
                <w:color w:val="auto"/>
                <w:sz w:val="21"/>
                <w:szCs w:val="21"/>
                <w:highlight w:val="none"/>
                <w:lang w:val="en-US" w:eastAsia="zh-CN"/>
              </w:rPr>
              <w:t>94.60</w:t>
            </w:r>
            <w:r>
              <w:rPr>
                <w:rFonts w:hint="eastAsia" w:ascii="仿宋" w:hAnsi="仿宋" w:eastAsia="仿宋" w:cs="仿宋"/>
                <w:b w:val="0"/>
                <w:color w:val="auto"/>
                <w:sz w:val="21"/>
                <w:szCs w:val="21"/>
                <w:highlight w:val="none"/>
              </w:rPr>
              <w:t>%</w:t>
            </w:r>
          </w:p>
        </w:tc>
      </w:tr>
    </w:tbl>
    <w:p>
      <w:pPr>
        <w:pStyle w:val="33"/>
        <w:numPr>
          <w:ilvl w:val="0"/>
          <w:numId w:val="4"/>
        </w:numPr>
        <w:adjustRightInd w:val="0"/>
        <w:snapToGrid w:val="0"/>
        <w:spacing w:line="560" w:lineRule="exact"/>
        <w:ind w:left="0" w:firstLine="643"/>
        <w:rPr>
          <w:rFonts w:ascii="仿宋_GB2312" w:hAnsi="仿宋" w:eastAsia="仿宋_GB2312" w:cs="宋体"/>
          <w:b/>
          <w:bCs/>
          <w:vanish/>
          <w:color w:val="auto"/>
          <w:sz w:val="32"/>
          <w:szCs w:val="32"/>
          <w:highlight w:val="none"/>
        </w:rPr>
      </w:pPr>
      <w:r>
        <w:rPr>
          <w:rFonts w:hint="eastAsia" w:ascii="仿宋_GB2312" w:hAnsi="仿宋" w:eastAsia="仿宋_GB2312" w:cs="宋体"/>
          <w:b/>
          <w:bCs/>
          <w:vanish/>
          <w:color w:val="auto"/>
          <w:sz w:val="32"/>
          <w:szCs w:val="32"/>
          <w:highlight w:val="none"/>
        </w:rPr>
        <w:t>评价结论</w:t>
      </w:r>
    </w:p>
    <w:p>
      <w:pPr>
        <w:pStyle w:val="33"/>
        <w:adjustRightInd w:val="0"/>
        <w:snapToGrid w:val="0"/>
        <w:spacing w:line="560" w:lineRule="exact"/>
        <w:ind w:left="420" w:leftChars="200" w:firstLine="321" w:firstLineChars="100"/>
        <w:outlineLvl w:val="1"/>
        <w:rPr>
          <w:rFonts w:ascii="仿宋_GB2312" w:hAnsi="仿宋" w:eastAsia="仿宋_GB2312" w:cs="宋体"/>
          <w:b/>
          <w:bCs/>
          <w:color w:val="auto"/>
          <w:sz w:val="32"/>
          <w:szCs w:val="32"/>
          <w:highlight w:val="none"/>
        </w:rPr>
      </w:pPr>
      <w:bookmarkStart w:id="74" w:name="_Toc3803"/>
      <w:r>
        <w:rPr>
          <w:rFonts w:hint="eastAsia" w:ascii="仿宋_GB2312" w:hAnsi="仿宋" w:eastAsia="仿宋_GB2312" w:cs="宋体"/>
          <w:b/>
          <w:bCs/>
          <w:color w:val="auto"/>
          <w:sz w:val="32"/>
          <w:szCs w:val="32"/>
          <w:highlight w:val="none"/>
        </w:rPr>
        <w:t>（二）项目总体评价结论</w:t>
      </w:r>
      <w:bookmarkEnd w:id="74"/>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highlight w:val="yellow"/>
          <w:lang w:val="en-US" w:eastAsia="zh-CN" w:bidi="ar-SA"/>
        </w:rPr>
      </w:pPr>
      <w:r>
        <w:rPr>
          <w:rFonts w:hint="eastAsia" w:ascii="仿宋_GB2312" w:hAnsi="仿宋_GB2312" w:eastAsia="仿宋_GB2312" w:cs="仿宋_GB2312"/>
          <w:color w:val="auto"/>
          <w:kern w:val="2"/>
          <w:sz w:val="32"/>
          <w:szCs w:val="32"/>
          <w:highlight w:val="none"/>
          <w:lang w:val="en-US" w:eastAsia="zh-CN" w:bidi="ar-SA"/>
        </w:rPr>
        <w:t>项目立项较规范，绩效目标合理，绩效指标明确，项目管理制度较健全，制度建设基本有效执行。项目总投资195.30万元，财政资金到位率100%，实际支出195.30万元，预算资金执行率100%。资金使用程序较规范，能够做到专项资金专款专用，未发现截留、挤占、挪用、虚列支出等情况。项目实施后解决了部分农田低效低产问题，为农业生产发展打下了基础。</w:t>
      </w:r>
    </w:p>
    <w:p>
      <w:pPr>
        <w:adjustRightInd w:val="0"/>
        <w:snapToGrid w:val="0"/>
        <w:spacing w:line="560" w:lineRule="exact"/>
        <w:ind w:firstLine="640" w:firstLineChars="200"/>
        <w:jc w:val="left"/>
        <w:outlineLvl w:val="0"/>
        <w:rPr>
          <w:rFonts w:hint="default" w:ascii="黑体" w:hAnsi="黑体" w:eastAsia="黑体" w:cs="宋体"/>
          <w:color w:val="auto"/>
          <w:sz w:val="32"/>
          <w:szCs w:val="32"/>
          <w:highlight w:val="none"/>
          <w:lang w:val="en-US" w:eastAsia="zh-CN"/>
        </w:rPr>
      </w:pPr>
      <w:bookmarkStart w:id="75" w:name="_Toc7267"/>
      <w:r>
        <w:rPr>
          <w:rFonts w:hint="eastAsia" w:ascii="黑体" w:hAnsi="黑体" w:eastAsia="黑体" w:cs="宋体"/>
          <w:color w:val="auto"/>
          <w:sz w:val="32"/>
          <w:szCs w:val="32"/>
          <w:highlight w:val="none"/>
        </w:rPr>
        <w:t>五、问题</w:t>
      </w:r>
      <w:bookmarkEnd w:id="75"/>
      <w:r>
        <w:rPr>
          <w:rFonts w:hint="eastAsia" w:ascii="黑体" w:hAnsi="黑体" w:eastAsia="黑体" w:cs="宋体"/>
          <w:color w:val="auto"/>
          <w:sz w:val="32"/>
          <w:szCs w:val="32"/>
          <w:highlight w:val="none"/>
          <w:lang w:val="en-US" w:eastAsia="zh-CN"/>
        </w:rPr>
        <w:t>及建议</w:t>
      </w:r>
    </w:p>
    <w:p>
      <w:pPr>
        <w:pStyle w:val="33"/>
        <w:adjustRightInd w:val="0"/>
        <w:snapToGrid w:val="0"/>
        <w:spacing w:line="560" w:lineRule="exact"/>
        <w:ind w:left="420" w:leftChars="200" w:firstLine="321" w:firstLineChars="100"/>
        <w:outlineLvl w:val="1"/>
        <w:rPr>
          <w:rFonts w:ascii="仿宋_GB2312" w:hAnsi="仿宋" w:eastAsia="仿宋_GB2312" w:cs="宋体"/>
          <w:b/>
          <w:bCs/>
          <w:color w:val="auto"/>
          <w:sz w:val="32"/>
          <w:szCs w:val="32"/>
        </w:rPr>
      </w:pPr>
      <w:bookmarkStart w:id="76" w:name="_Toc2013"/>
      <w:bookmarkStart w:id="77" w:name="_Toc14039"/>
      <w:r>
        <w:rPr>
          <w:rFonts w:hint="eastAsia" w:ascii="仿宋_GB2312" w:hAnsi="仿宋" w:eastAsia="仿宋_GB2312" w:cs="宋体"/>
          <w:b/>
          <w:bCs/>
          <w:color w:val="auto"/>
          <w:sz w:val="32"/>
          <w:szCs w:val="32"/>
        </w:rPr>
        <w:t>（一）问题</w:t>
      </w:r>
      <w:bookmarkEnd w:id="76"/>
    </w:p>
    <w:p>
      <w:pPr>
        <w:pStyle w:val="33"/>
        <w:adjustRightInd w:val="0"/>
        <w:snapToGrid w:val="0"/>
        <w:spacing w:line="560" w:lineRule="exact"/>
        <w:outlineLvl w:val="1"/>
        <w:rPr>
          <w:rFonts w:hint="eastAsia" w:ascii="仿宋_GB2312" w:hAnsi="仿宋_GB2312" w:eastAsia="仿宋_GB2312" w:cs="仿宋_GB2312"/>
          <w:color w:val="auto"/>
          <w:kern w:val="2"/>
          <w:sz w:val="32"/>
          <w:szCs w:val="32"/>
          <w:highlight w:val="none"/>
          <w:lang w:val="en-US" w:eastAsia="zh-CN" w:bidi="ar-SA"/>
        </w:rPr>
      </w:pPr>
      <w:bookmarkStart w:id="78" w:name="_Toc4075"/>
      <w:r>
        <w:rPr>
          <w:rFonts w:hint="eastAsia" w:ascii="仿宋_GB2312" w:hAnsi="仿宋_GB2312" w:eastAsia="仿宋_GB2312" w:cs="仿宋_GB2312"/>
          <w:color w:val="auto"/>
          <w:kern w:val="2"/>
          <w:sz w:val="32"/>
          <w:szCs w:val="32"/>
          <w:highlight w:val="none"/>
          <w:lang w:val="en-US" w:eastAsia="zh-CN" w:bidi="ar-SA"/>
        </w:rPr>
        <w:t>1.项目相关资料不完整不规范，如：项目验收报告基本信息不完整，乡政府相关人员无签字盖章，竣工日期未填写，无最终验收资料。</w:t>
      </w:r>
    </w:p>
    <w:p>
      <w:pPr>
        <w:pStyle w:val="33"/>
        <w:adjustRightInd w:val="0"/>
        <w:snapToGrid w:val="0"/>
        <w:spacing w:line="560" w:lineRule="exact"/>
        <w:outlineLvl w:val="1"/>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2.项目管理工作存在欠缺，如：塔吾尕孜村等部分村项目完工时间已超出合同约定时间。</w:t>
      </w:r>
    </w:p>
    <w:p>
      <w:pPr>
        <w:pStyle w:val="33"/>
        <w:adjustRightInd w:val="0"/>
        <w:snapToGrid w:val="0"/>
        <w:spacing w:line="560" w:lineRule="exact"/>
        <w:ind w:left="420" w:leftChars="200" w:firstLine="321" w:firstLineChars="100"/>
        <w:outlineLvl w:val="1"/>
        <w:rPr>
          <w:rFonts w:ascii="仿宋_GB2312" w:hAnsi="仿宋" w:eastAsia="仿宋_GB2312" w:cs="宋体"/>
          <w:b/>
          <w:bCs/>
          <w:color w:val="auto"/>
          <w:sz w:val="32"/>
          <w:szCs w:val="32"/>
        </w:rPr>
      </w:pPr>
      <w:r>
        <w:rPr>
          <w:rFonts w:hint="eastAsia" w:ascii="仿宋_GB2312" w:hAnsi="仿宋" w:eastAsia="仿宋_GB2312" w:cs="宋体"/>
          <w:b/>
          <w:bCs/>
          <w:color w:val="auto"/>
          <w:sz w:val="32"/>
          <w:szCs w:val="32"/>
        </w:rPr>
        <w:t>（</w:t>
      </w:r>
      <w:r>
        <w:rPr>
          <w:rFonts w:hint="eastAsia" w:ascii="仿宋_GB2312" w:hAnsi="仿宋" w:eastAsia="仿宋_GB2312" w:cs="宋体"/>
          <w:b/>
          <w:bCs/>
          <w:color w:val="auto"/>
          <w:sz w:val="32"/>
          <w:szCs w:val="32"/>
          <w:lang w:val="en-US" w:eastAsia="zh-CN"/>
        </w:rPr>
        <w:t>二</w:t>
      </w:r>
      <w:r>
        <w:rPr>
          <w:rFonts w:hint="eastAsia" w:ascii="仿宋_GB2312" w:hAnsi="仿宋" w:eastAsia="仿宋_GB2312" w:cs="宋体"/>
          <w:b/>
          <w:bCs/>
          <w:color w:val="auto"/>
          <w:sz w:val="32"/>
          <w:szCs w:val="32"/>
        </w:rPr>
        <w:t>）意见和建议</w:t>
      </w:r>
      <w:bookmarkEnd w:id="78"/>
    </w:p>
    <w:p>
      <w:pPr>
        <w:adjustRightInd w:val="0"/>
        <w:snapToGrid w:val="0"/>
        <w:spacing w:line="560" w:lineRule="exact"/>
        <w:ind w:firstLine="624" w:firstLineChars="200"/>
        <w:jc w:val="left"/>
        <w:outlineLvl w:val="0"/>
        <w:rPr>
          <w:rFonts w:hint="eastAsia" w:ascii="仿宋_GB2312" w:eastAsia="仿宋_GB2312" w:hAnsiTheme="minorHAnsi" w:cstheme="minorBidi"/>
          <w:color w:val="auto"/>
          <w:spacing w:val="-4"/>
          <w:kern w:val="2"/>
          <w:sz w:val="32"/>
          <w:szCs w:val="32"/>
          <w:lang w:val="en-US" w:eastAsia="zh-CN" w:bidi="ar-SA"/>
        </w:rPr>
      </w:pPr>
      <w:bookmarkStart w:id="79" w:name="_Toc17475"/>
      <w:r>
        <w:rPr>
          <w:rFonts w:hint="eastAsia" w:ascii="仿宋_GB2312" w:eastAsia="仿宋_GB2312" w:hAnsiTheme="minorHAnsi" w:cstheme="minorBidi"/>
          <w:color w:val="auto"/>
          <w:spacing w:val="-4"/>
          <w:kern w:val="2"/>
          <w:sz w:val="32"/>
          <w:szCs w:val="32"/>
          <w:lang w:val="en-US" w:eastAsia="zh-CN" w:bidi="ar-SA"/>
        </w:rPr>
        <w:t>1.对缺失的相关资料进行补充完善，确保单位项目资料保存完整，齐全，加强后年度项目资料档案管理工作。</w:t>
      </w:r>
    </w:p>
    <w:p>
      <w:pPr>
        <w:adjustRightInd w:val="0"/>
        <w:snapToGrid w:val="0"/>
        <w:spacing w:line="560" w:lineRule="exact"/>
        <w:ind w:firstLine="624" w:firstLineChars="200"/>
        <w:jc w:val="left"/>
        <w:outlineLvl w:val="0"/>
        <w:rPr>
          <w:rFonts w:hint="eastAsia" w:ascii="仿宋_GB2312" w:eastAsia="仿宋_GB2312" w:hAnsiTheme="minorHAnsi" w:cstheme="minorBidi"/>
          <w:color w:val="auto"/>
          <w:spacing w:val="-4"/>
          <w:kern w:val="2"/>
          <w:sz w:val="32"/>
          <w:szCs w:val="32"/>
          <w:lang w:val="en-US" w:eastAsia="zh-CN" w:bidi="ar-SA"/>
        </w:rPr>
      </w:pPr>
      <w:r>
        <w:rPr>
          <w:rFonts w:hint="eastAsia" w:ascii="仿宋_GB2312" w:eastAsia="仿宋_GB2312" w:hAnsiTheme="minorHAnsi" w:cstheme="minorBidi"/>
          <w:color w:val="auto"/>
          <w:spacing w:val="-4"/>
          <w:kern w:val="2"/>
          <w:sz w:val="32"/>
          <w:szCs w:val="32"/>
          <w:lang w:val="en-US" w:eastAsia="zh-CN" w:bidi="ar-SA"/>
        </w:rPr>
        <w:t>2.以此问题作为教训，在后年度项目实施过程中严格遵循相关项目管理办法，确保项目保质保期完成，确保财政资金使用效益。</w:t>
      </w:r>
    </w:p>
    <w:p>
      <w:pPr>
        <w:adjustRightInd w:val="0"/>
        <w:snapToGrid w:val="0"/>
        <w:spacing w:line="560" w:lineRule="exact"/>
        <w:ind w:firstLine="640" w:firstLineChars="200"/>
        <w:jc w:val="left"/>
        <w:outlineLvl w:val="0"/>
        <w:rPr>
          <w:rFonts w:ascii="黑体" w:hAnsi="黑体" w:eastAsia="黑体" w:cs="宋体"/>
          <w:color w:val="auto"/>
          <w:sz w:val="32"/>
          <w:szCs w:val="32"/>
          <w:highlight w:val="none"/>
        </w:rPr>
      </w:pPr>
      <w:r>
        <w:rPr>
          <w:rFonts w:hint="eastAsia" w:ascii="黑体" w:hAnsi="黑体" w:eastAsia="黑体" w:cs="宋体"/>
          <w:color w:val="auto"/>
          <w:sz w:val="32"/>
          <w:szCs w:val="32"/>
          <w:highlight w:val="none"/>
        </w:rPr>
        <w:t>六、主要经验及做法</w:t>
      </w:r>
      <w:bookmarkEnd w:id="77"/>
      <w:bookmarkEnd w:id="79"/>
    </w:p>
    <w:p>
      <w:pPr>
        <w:pStyle w:val="33"/>
        <w:adjustRightInd w:val="0"/>
        <w:snapToGrid w:val="0"/>
        <w:spacing w:line="560" w:lineRule="exact"/>
        <w:ind w:left="0" w:leftChars="0" w:firstLine="643" w:firstLineChars="200"/>
        <w:outlineLvl w:val="1"/>
        <w:rPr>
          <w:rFonts w:ascii="仿宋_GB2312" w:hAnsi="仿宋" w:eastAsia="仿宋_GB2312" w:cs="宋体"/>
          <w:b/>
          <w:bCs/>
          <w:color w:val="auto"/>
          <w:sz w:val="32"/>
          <w:szCs w:val="32"/>
        </w:rPr>
      </w:pPr>
      <w:bookmarkStart w:id="80" w:name="_Toc32230"/>
      <w:bookmarkStart w:id="81" w:name="_Toc25465"/>
      <w:bookmarkStart w:id="82" w:name="_Toc16919"/>
      <w:r>
        <w:rPr>
          <w:rFonts w:hint="eastAsia" w:ascii="仿宋_GB2312" w:hAnsi="仿宋" w:eastAsia="仿宋_GB2312" w:cs="宋体"/>
          <w:b/>
          <w:bCs/>
          <w:color w:val="auto"/>
          <w:sz w:val="32"/>
          <w:szCs w:val="32"/>
        </w:rPr>
        <w:t>（一）项目实施过程有效监控</w:t>
      </w:r>
      <w:bookmarkEnd w:id="80"/>
      <w:bookmarkEnd w:id="81"/>
    </w:p>
    <w:p>
      <w:pPr>
        <w:adjustRightInd w:val="0"/>
        <w:snapToGrid w:val="0"/>
        <w:spacing w:line="560" w:lineRule="exact"/>
        <w:ind w:firstLine="640" w:firstLineChars="200"/>
        <w:rPr>
          <w:rFonts w:hint="eastAsia" w:ascii="仿宋_GB2312" w:hAnsi="仿宋_GB2312" w:eastAsia="仿宋_GB2312" w:cs="仿宋_GB2312"/>
          <w:color w:val="auto"/>
          <w:sz w:val="32"/>
          <w:szCs w:val="32"/>
          <w:highlight w:val="none"/>
        </w:rPr>
      </w:pPr>
      <w:bookmarkStart w:id="83" w:name="_Toc22631"/>
      <w:bookmarkStart w:id="84" w:name="_Toc191"/>
      <w:r>
        <w:rPr>
          <w:rFonts w:hint="eastAsia" w:ascii="仿宋_GB2312" w:hAnsi="仿宋_GB2312" w:eastAsia="仿宋_GB2312" w:cs="仿宋_GB2312"/>
          <w:color w:val="auto"/>
          <w:sz w:val="32"/>
          <w:szCs w:val="32"/>
          <w:highlight w:val="none"/>
          <w:lang w:val="en-US" w:eastAsia="zh-CN"/>
        </w:rPr>
        <w:t>洛浦县</w:t>
      </w:r>
      <w:r>
        <w:rPr>
          <w:rFonts w:hint="eastAsia" w:ascii="仿宋_GB2312" w:hAnsi="仿宋_GB2312" w:eastAsia="仿宋_GB2312" w:cs="仿宋_GB2312"/>
          <w:color w:val="auto"/>
          <w:sz w:val="32"/>
          <w:szCs w:val="32"/>
          <w:highlight w:val="none"/>
        </w:rPr>
        <w:t>财政局</w:t>
      </w:r>
      <w:r>
        <w:rPr>
          <w:rFonts w:hint="eastAsia" w:ascii="仿宋_GB2312" w:hAnsi="仿宋_GB2312" w:eastAsia="仿宋_GB2312" w:cs="仿宋_GB2312"/>
          <w:color w:val="auto"/>
          <w:sz w:val="32"/>
          <w:szCs w:val="32"/>
          <w:highlight w:val="none"/>
          <w:lang w:val="en-US" w:eastAsia="zh-CN"/>
        </w:rPr>
        <w:t>针对项目</w:t>
      </w:r>
      <w:r>
        <w:rPr>
          <w:rFonts w:hint="eastAsia" w:ascii="仿宋_GB2312" w:hAnsi="仿宋_GB2312" w:eastAsia="仿宋_GB2312" w:cs="仿宋_GB2312"/>
          <w:color w:val="auto"/>
          <w:sz w:val="32"/>
          <w:szCs w:val="32"/>
          <w:highlight w:val="none"/>
        </w:rPr>
        <w:t>实施全过程</w:t>
      </w:r>
      <w:r>
        <w:rPr>
          <w:rFonts w:hint="eastAsia" w:ascii="仿宋_GB2312" w:hAnsi="仿宋_GB2312" w:eastAsia="仿宋_GB2312" w:cs="仿宋_GB2312"/>
          <w:color w:val="auto"/>
          <w:sz w:val="32"/>
          <w:szCs w:val="32"/>
          <w:highlight w:val="none"/>
          <w:lang w:val="en-US" w:eastAsia="zh-CN"/>
        </w:rPr>
        <w:t>进行</w:t>
      </w:r>
      <w:r>
        <w:rPr>
          <w:rFonts w:hint="eastAsia" w:ascii="仿宋_GB2312" w:hAnsi="仿宋_GB2312" w:eastAsia="仿宋_GB2312" w:cs="仿宋_GB2312"/>
          <w:color w:val="auto"/>
          <w:sz w:val="32"/>
          <w:szCs w:val="32"/>
          <w:highlight w:val="none"/>
        </w:rPr>
        <w:t>绩效管理</w:t>
      </w:r>
      <w:r>
        <w:rPr>
          <w:rFonts w:hint="eastAsia" w:ascii="仿宋_GB2312" w:hAnsi="仿宋_GB2312" w:eastAsia="仿宋_GB2312" w:cs="仿宋_GB2312"/>
          <w:color w:val="auto"/>
          <w:sz w:val="32"/>
          <w:szCs w:val="32"/>
          <w:highlight w:val="none"/>
          <w:lang w:eastAsia="zh-CN"/>
        </w:rPr>
        <w:t>；根据</w:t>
      </w:r>
      <w:r>
        <w:rPr>
          <w:rFonts w:hint="eastAsia" w:ascii="仿宋_GB2312" w:hAnsi="仿宋_GB2312" w:eastAsia="仿宋_GB2312" w:cs="仿宋_GB2312"/>
          <w:color w:val="auto"/>
          <w:sz w:val="32"/>
          <w:szCs w:val="32"/>
          <w:highlight w:val="none"/>
          <w:lang w:val="en-US" w:eastAsia="zh-CN"/>
        </w:rPr>
        <w:t>专项</w:t>
      </w:r>
      <w:r>
        <w:rPr>
          <w:rFonts w:hint="eastAsia" w:ascii="仿宋_GB2312" w:hAnsi="仿宋_GB2312" w:eastAsia="仿宋_GB2312" w:cs="仿宋_GB2312"/>
          <w:color w:val="auto"/>
          <w:sz w:val="32"/>
          <w:szCs w:val="32"/>
          <w:highlight w:val="none"/>
          <w:lang w:eastAsia="zh-CN"/>
        </w:rPr>
        <w:t>资金管理工作，于</w:t>
      </w:r>
      <w:r>
        <w:rPr>
          <w:rFonts w:hint="eastAsia" w:ascii="仿宋_GB2312" w:hAnsi="仿宋_GB2312" w:eastAsia="仿宋_GB2312" w:cs="仿宋_GB2312"/>
          <w:color w:val="auto"/>
          <w:sz w:val="32"/>
          <w:szCs w:val="32"/>
          <w:highlight w:val="none"/>
          <w:lang w:val="en-US" w:eastAsia="zh-CN"/>
        </w:rPr>
        <w:t>8月</w:t>
      </w:r>
      <w:r>
        <w:rPr>
          <w:rFonts w:hint="eastAsia" w:ascii="仿宋_GB2312" w:hAnsi="仿宋_GB2312" w:eastAsia="仿宋_GB2312" w:cs="仿宋_GB2312"/>
          <w:color w:val="auto"/>
          <w:sz w:val="32"/>
          <w:szCs w:val="32"/>
          <w:highlight w:val="none"/>
        </w:rPr>
        <w:t>对</w:t>
      </w:r>
      <w:r>
        <w:rPr>
          <w:rFonts w:hint="eastAsia" w:ascii="仿宋_GB2312" w:hAnsi="仿宋_GB2312" w:eastAsia="仿宋_GB2312" w:cs="仿宋_GB2312"/>
          <w:color w:val="auto"/>
          <w:sz w:val="32"/>
          <w:szCs w:val="32"/>
          <w:highlight w:val="none"/>
          <w:lang w:eastAsia="zh-CN"/>
        </w:rPr>
        <w:t>该</w:t>
      </w:r>
      <w:r>
        <w:rPr>
          <w:rFonts w:hint="eastAsia" w:ascii="仿宋_GB2312" w:hAnsi="仿宋_GB2312" w:eastAsia="仿宋_GB2312" w:cs="仿宋_GB2312"/>
          <w:color w:val="auto"/>
          <w:sz w:val="32"/>
          <w:szCs w:val="32"/>
          <w:highlight w:val="none"/>
        </w:rPr>
        <w:t>项目开展绩效监控，实行项目</w:t>
      </w:r>
      <w:r>
        <w:rPr>
          <w:rFonts w:hint="eastAsia" w:ascii="仿宋_GB2312" w:hAnsi="仿宋_GB2312" w:eastAsia="仿宋_GB2312" w:cs="仿宋_GB2312"/>
          <w:color w:val="auto"/>
          <w:sz w:val="32"/>
          <w:szCs w:val="32"/>
          <w:highlight w:val="none"/>
          <w:lang w:eastAsia="zh-CN"/>
        </w:rPr>
        <w:t>预算执行率与</w:t>
      </w:r>
      <w:r>
        <w:rPr>
          <w:rFonts w:hint="eastAsia" w:ascii="仿宋_GB2312" w:hAnsi="仿宋_GB2312" w:eastAsia="仿宋_GB2312" w:cs="仿宋_GB2312"/>
          <w:color w:val="auto"/>
          <w:sz w:val="32"/>
          <w:szCs w:val="32"/>
          <w:highlight w:val="none"/>
        </w:rPr>
        <w:t>工作完成进度双监控</w:t>
      </w:r>
      <w:r>
        <w:rPr>
          <w:rFonts w:hint="eastAsia" w:ascii="仿宋_GB2312" w:hAnsi="仿宋_GB2312" w:eastAsia="仿宋_GB2312" w:cs="仿宋_GB2312"/>
          <w:color w:val="auto"/>
          <w:sz w:val="32"/>
          <w:szCs w:val="32"/>
          <w:highlight w:val="none"/>
          <w:lang w:eastAsia="zh-CN"/>
        </w:rPr>
        <w:t>，并</w:t>
      </w:r>
      <w:r>
        <w:rPr>
          <w:rFonts w:hint="eastAsia" w:ascii="仿宋_GB2312" w:hAnsi="仿宋_GB2312" w:eastAsia="仿宋_GB2312" w:cs="仿宋_GB2312"/>
          <w:color w:val="auto"/>
          <w:sz w:val="32"/>
          <w:szCs w:val="32"/>
          <w:highlight w:val="none"/>
        </w:rPr>
        <w:t>全面把握资金使用效率和项目实施开展进度，督促相关责任人按期保质完成工作。</w:t>
      </w:r>
    </w:p>
    <w:p>
      <w:pPr>
        <w:adjustRightInd w:val="0"/>
        <w:snapToGrid w:val="0"/>
        <w:spacing w:line="560" w:lineRule="exact"/>
        <w:ind w:firstLine="640"/>
        <w:outlineLvl w:val="1"/>
        <w:rPr>
          <w:rFonts w:ascii="仿宋_GB2312" w:hAnsi="仿宋" w:eastAsia="仿宋_GB2312" w:cs="宋体"/>
          <w:b/>
          <w:bCs/>
          <w:color w:val="auto"/>
          <w:sz w:val="32"/>
          <w:szCs w:val="32"/>
        </w:rPr>
      </w:pPr>
      <w:r>
        <w:rPr>
          <w:rFonts w:hint="eastAsia" w:ascii="仿宋_GB2312" w:hAnsi="仿宋" w:eastAsia="仿宋_GB2312" w:cs="宋体"/>
          <w:b/>
          <w:bCs/>
          <w:color w:val="auto"/>
          <w:sz w:val="32"/>
          <w:szCs w:val="32"/>
        </w:rPr>
        <w:t>（二）强化领导，明确职责，合理安排使用资金</w:t>
      </w:r>
      <w:bookmarkEnd w:id="83"/>
      <w:bookmarkEnd w:id="84"/>
    </w:p>
    <w:bookmarkEnd w:id="82"/>
    <w:p>
      <w:pPr>
        <w:adjustRightInd w:val="0"/>
        <w:snapToGrid w:val="0"/>
        <w:spacing w:line="560" w:lineRule="exact"/>
        <w:ind w:firstLine="640" w:firstLineChars="200"/>
        <w:rPr>
          <w:rFonts w:hint="eastAsia" w:ascii="仿宋_GB2312" w:hAnsi="仿宋_GB2312" w:eastAsia="仿宋_GB2312" w:cs="仿宋_GB2312"/>
          <w:color w:val="auto"/>
          <w:sz w:val="32"/>
          <w:szCs w:val="32"/>
          <w:highlight w:val="none"/>
          <w:lang w:val="en-US" w:eastAsia="zh-CN"/>
        </w:rPr>
      </w:pPr>
      <w:bookmarkStart w:id="85" w:name="_Toc13108"/>
      <w:bookmarkStart w:id="86" w:name="_Toc31915"/>
      <w:bookmarkStart w:id="87" w:name="_Toc20562"/>
      <w:bookmarkStart w:id="88" w:name="_Toc14650"/>
      <w:bookmarkStart w:id="89" w:name="_Toc30107"/>
      <w:bookmarkStart w:id="90" w:name="_Toc24288"/>
      <w:bookmarkStart w:id="91" w:name="_Toc7837"/>
      <w:bookmarkStart w:id="92" w:name="_Toc22725"/>
      <w:bookmarkStart w:id="93" w:name="_Toc14723"/>
      <w:r>
        <w:rPr>
          <w:rFonts w:hint="eastAsia" w:ascii="仿宋_GB2312" w:hAnsi="仿宋_GB2312" w:eastAsia="仿宋_GB2312" w:cs="仿宋_GB2312"/>
          <w:color w:val="auto"/>
          <w:sz w:val="32"/>
          <w:szCs w:val="32"/>
          <w:highlight w:val="none"/>
          <w:lang w:val="en-US" w:eastAsia="zh-CN"/>
        </w:rPr>
        <w:t>项目管理单位按照财务管理制度，认真落实项目工作任务，资金安排、资金配套数额、项目监管制度等方面做出了相应的规定，并高度重视，提高政治站位，牢固树立“花钱必问效、无效必问责”的绩效理念，切实增强绩效管理工作的主动性、积极性，对项目资金进行监管，从而提高资金的效益。</w:t>
      </w:r>
      <w:bookmarkEnd w:id="85"/>
      <w:bookmarkEnd w:id="86"/>
      <w:bookmarkEnd w:id="87"/>
    </w:p>
    <w:p>
      <w:pPr>
        <w:tabs>
          <w:tab w:val="left" w:pos="938"/>
        </w:tabs>
        <w:spacing w:line="560" w:lineRule="exact"/>
        <w:ind w:firstLine="640" w:firstLineChars="200"/>
        <w:outlineLvl w:val="0"/>
        <w:rPr>
          <w:rFonts w:ascii="黑体" w:hAnsi="黑体" w:eastAsia="黑体" w:cs="宋体"/>
          <w:color w:val="auto"/>
          <w:sz w:val="32"/>
          <w:szCs w:val="32"/>
        </w:rPr>
      </w:pPr>
      <w:r>
        <w:rPr>
          <w:rFonts w:hint="eastAsia" w:ascii="黑体" w:hAnsi="黑体" w:eastAsia="黑体" w:cs="宋体"/>
          <w:color w:val="auto"/>
          <w:sz w:val="32"/>
          <w:szCs w:val="32"/>
        </w:rPr>
        <w:t>七、评价结果应用建议</w:t>
      </w:r>
      <w:bookmarkEnd w:id="88"/>
      <w:bookmarkEnd w:id="89"/>
    </w:p>
    <w:p>
      <w:pPr>
        <w:spacing w:line="560" w:lineRule="exact"/>
        <w:ind w:firstLine="643" w:firstLineChars="200"/>
        <w:outlineLvl w:val="1"/>
        <w:rPr>
          <w:rFonts w:ascii="仿宋_GB2312" w:hAnsi="黑体" w:eastAsia="仿宋_GB2312" w:cs="Times New Roman"/>
          <w:b/>
          <w:bCs/>
          <w:color w:val="auto"/>
          <w:sz w:val="32"/>
          <w:szCs w:val="32"/>
        </w:rPr>
      </w:pPr>
      <w:bookmarkStart w:id="94" w:name="_Toc6072"/>
      <w:r>
        <w:rPr>
          <w:rFonts w:hint="eastAsia" w:ascii="仿宋_GB2312" w:hAnsi="黑体" w:eastAsia="仿宋_GB2312" w:cs="Times New Roman"/>
          <w:b/>
          <w:bCs/>
          <w:color w:val="auto"/>
          <w:sz w:val="32"/>
          <w:szCs w:val="32"/>
        </w:rPr>
        <w:t>（一）及时对发现的问题进行整改</w:t>
      </w:r>
      <w:bookmarkEnd w:id="90"/>
      <w:bookmarkEnd w:id="94"/>
    </w:p>
    <w:p>
      <w:pPr>
        <w:adjustRightInd w:val="0"/>
        <w:snapToGrid w:val="0"/>
        <w:spacing w:line="560" w:lineRule="exact"/>
        <w:ind w:firstLine="640" w:firstLineChars="200"/>
        <w:rPr>
          <w:rFonts w:hint="eastAsia" w:ascii="仿宋_GB2312" w:hAnsi="仿宋_GB2312" w:eastAsia="仿宋_GB2312" w:cs="仿宋_GB2312"/>
          <w:color w:val="auto"/>
          <w:sz w:val="32"/>
          <w:szCs w:val="32"/>
          <w:highlight w:val="none"/>
          <w:lang w:val="en-US" w:eastAsia="zh-CN"/>
        </w:rPr>
      </w:pPr>
      <w:bookmarkStart w:id="95" w:name="_Toc20240"/>
      <w:bookmarkStart w:id="96" w:name="_Toc31513"/>
      <w:r>
        <w:rPr>
          <w:rFonts w:hint="eastAsia" w:ascii="仿宋_GB2312" w:hAnsi="仿宋_GB2312" w:eastAsia="仿宋_GB2312" w:cs="仿宋_GB2312"/>
          <w:color w:val="auto"/>
          <w:sz w:val="32"/>
          <w:szCs w:val="32"/>
          <w:highlight w:val="none"/>
          <w:lang w:val="en-US" w:eastAsia="zh-CN"/>
        </w:rPr>
        <w:t>在绩效管理工作中，针对绩效评价中发现的问题，建议项目管理单位进行梳理，对能够整改的问题及时进行整改，并将整改过程及佐证资料形成档案，提交财政局进行备案，不能整改的问题以后加强管理，切实提高财政资源配置效率和使用效益。</w:t>
      </w:r>
    </w:p>
    <w:p>
      <w:pPr>
        <w:numPr>
          <w:ilvl w:val="0"/>
          <w:numId w:val="9"/>
        </w:numPr>
        <w:spacing w:line="560" w:lineRule="exact"/>
        <w:ind w:firstLine="643" w:firstLineChars="200"/>
        <w:outlineLvl w:val="1"/>
        <w:rPr>
          <w:rFonts w:hint="eastAsia" w:ascii="仿宋_GB2312" w:hAnsi="黑体" w:eastAsia="仿宋_GB2312" w:cs="Times New Roman"/>
          <w:b/>
          <w:bCs/>
          <w:color w:val="auto"/>
          <w:sz w:val="32"/>
          <w:szCs w:val="32"/>
        </w:rPr>
      </w:pPr>
      <w:r>
        <w:rPr>
          <w:rFonts w:hint="eastAsia" w:ascii="仿宋_GB2312" w:hAnsi="黑体" w:eastAsia="仿宋_GB2312" w:cs="Times New Roman"/>
          <w:b/>
          <w:bCs/>
          <w:color w:val="auto"/>
          <w:sz w:val="32"/>
          <w:szCs w:val="32"/>
        </w:rPr>
        <w:t>建立绩效评价结果应用制度</w:t>
      </w:r>
      <w:bookmarkEnd w:id="95"/>
      <w:bookmarkEnd w:id="96"/>
    </w:p>
    <w:p>
      <w:pPr>
        <w:pStyle w:val="17"/>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绩效评价结果应用，既是开展绩效评价工作的基本前提，又是加强财政支出管理、增强资金绩效理念、合理配置公共资源、优化财政支出结构、强化资金管理水平、提高资金使用效益的重要手段。为使绩效评价结果得到合理应用，应将此次绩效评价结果作为以后年度建设资金分配的重要依据。应将此次绩效评价结果作为以后年度建设资金分配的重要依据。</w:t>
      </w:r>
    </w:p>
    <w:p>
      <w:pPr>
        <w:tabs>
          <w:tab w:val="left" w:pos="938"/>
        </w:tabs>
        <w:spacing w:line="560" w:lineRule="exact"/>
        <w:ind w:firstLine="640" w:firstLineChars="200"/>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1.建议建立实施绩效评价结果公开制度（结果反馈制度、结果共享制度、结果报告制度、结果公示制度）；</w:t>
      </w:r>
    </w:p>
    <w:p>
      <w:pPr>
        <w:tabs>
          <w:tab w:val="left" w:pos="938"/>
        </w:tabs>
        <w:spacing w:line="560" w:lineRule="exact"/>
        <w:ind w:firstLine="640" w:firstLineChars="200"/>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2.建议建立绩效评价结果通报、约谈和问责机制；</w:t>
      </w:r>
    </w:p>
    <w:p>
      <w:pPr>
        <w:tabs>
          <w:tab w:val="left" w:pos="938"/>
        </w:tabs>
        <w:spacing w:line="560" w:lineRule="exact"/>
        <w:ind w:firstLine="640" w:firstLineChars="200"/>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3.建议建立绩效评价结果在部门预算中激励与约束挂钩机制；</w:t>
      </w:r>
    </w:p>
    <w:p>
      <w:pPr>
        <w:tabs>
          <w:tab w:val="left" w:pos="938"/>
        </w:tabs>
        <w:spacing w:line="560" w:lineRule="exact"/>
        <w:ind w:firstLine="640" w:firstLineChars="200"/>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kern w:val="2"/>
          <w:sz w:val="32"/>
          <w:szCs w:val="32"/>
          <w:highlight w:val="none"/>
          <w:lang w:val="en-US" w:eastAsia="zh-CN" w:bidi="ar-SA"/>
        </w:rPr>
        <w:t>4.建议建立评价结果惩处机制。</w:t>
      </w:r>
    </w:p>
    <w:p>
      <w:pPr>
        <w:spacing w:line="560" w:lineRule="exact"/>
        <w:ind w:firstLine="643" w:firstLineChars="200"/>
        <w:outlineLvl w:val="1"/>
        <w:rPr>
          <w:rFonts w:ascii="仿宋_GB2312" w:hAnsi="黑体" w:eastAsia="仿宋_GB2312" w:cs="Times New Roman"/>
          <w:b/>
          <w:bCs/>
          <w:color w:val="auto"/>
          <w:sz w:val="32"/>
          <w:szCs w:val="32"/>
        </w:rPr>
      </w:pPr>
      <w:bookmarkStart w:id="97" w:name="_Toc10628"/>
      <w:bookmarkStart w:id="98" w:name="_Toc5443"/>
      <w:r>
        <w:rPr>
          <w:rFonts w:hint="eastAsia" w:ascii="仿宋_GB2312" w:hAnsi="黑体" w:eastAsia="仿宋_GB2312" w:cs="Times New Roman"/>
          <w:b/>
          <w:bCs/>
          <w:color w:val="auto"/>
          <w:sz w:val="32"/>
          <w:szCs w:val="32"/>
        </w:rPr>
        <w:t>（三）</w:t>
      </w:r>
      <w:r>
        <w:rPr>
          <w:rFonts w:hint="eastAsia" w:ascii="仿宋_GB2312" w:hAnsi="黑体" w:eastAsia="仿宋_GB2312" w:cs="Times New Roman"/>
          <w:b/>
          <w:bCs/>
          <w:color w:val="auto"/>
          <w:sz w:val="32"/>
          <w:szCs w:val="32"/>
          <w:lang w:val="en-US" w:eastAsia="zh-CN"/>
        </w:rPr>
        <w:t>强化</w:t>
      </w:r>
      <w:r>
        <w:rPr>
          <w:rFonts w:hint="eastAsia" w:ascii="仿宋_GB2312" w:hAnsi="黑体" w:eastAsia="仿宋_GB2312" w:cs="Times New Roman"/>
          <w:b/>
          <w:bCs/>
          <w:color w:val="auto"/>
          <w:sz w:val="32"/>
          <w:szCs w:val="32"/>
        </w:rPr>
        <w:t>绩效评价结果应用</w:t>
      </w:r>
      <w:bookmarkEnd w:id="97"/>
      <w:bookmarkEnd w:id="98"/>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一是严格落实评价结果与预算安排挂钩制度。要严格执行《洛浦县财政支出绩效评价结果应用暂行办法》文件规定，充分应用评价结果，对低效无效资金一律削减或取消。</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二是将此次评价工作开展情况及评价结果纳入洛浦县全面实施预算绩效管理年度综合评价考核范畴，年终形成总结报告，上报县政府、发改委和县人大。</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三是进一步加大对评价结果的应用，洛浦县2021年度项目绩效评价情况，可作为以后年度部门单位项目预算编制和安排财政资金的重要依据。</w:t>
      </w:r>
    </w:p>
    <w:p>
      <w:pPr>
        <w:spacing w:line="560" w:lineRule="exact"/>
        <w:ind w:firstLine="643" w:firstLineChars="200"/>
        <w:outlineLvl w:val="1"/>
        <w:rPr>
          <w:rFonts w:ascii="仿宋_GB2312" w:hAnsi="黑体" w:eastAsia="仿宋_GB2312" w:cs="Times New Roman"/>
          <w:b/>
          <w:bCs/>
          <w:color w:val="auto"/>
          <w:sz w:val="32"/>
          <w:szCs w:val="32"/>
        </w:rPr>
      </w:pPr>
      <w:bookmarkStart w:id="99" w:name="_Toc4069"/>
      <w:bookmarkStart w:id="100" w:name="_Toc13172"/>
      <w:r>
        <w:rPr>
          <w:rFonts w:hint="eastAsia" w:ascii="仿宋_GB2312" w:hAnsi="黑体" w:eastAsia="仿宋_GB2312" w:cs="Times New Roman"/>
          <w:b/>
          <w:bCs/>
          <w:color w:val="auto"/>
          <w:sz w:val="32"/>
          <w:szCs w:val="32"/>
        </w:rPr>
        <w:t>（四）评价结果公开</w:t>
      </w:r>
      <w:bookmarkEnd w:id="99"/>
      <w:bookmarkEnd w:id="100"/>
    </w:p>
    <w:p>
      <w:pPr>
        <w:tabs>
          <w:tab w:val="left" w:pos="938"/>
        </w:tabs>
        <w:spacing w:line="560" w:lineRule="exact"/>
        <w:ind w:firstLine="640" w:firstLineChars="200"/>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建议按照政府信息公开管理的相关规定将绩效评价结果（涉密信息除外）向社会公开评价结果，提高工作透明度，接受社会公众的监督。</w:t>
      </w:r>
      <w:bookmarkEnd w:id="91"/>
    </w:p>
    <w:p>
      <w:pPr>
        <w:tabs>
          <w:tab w:val="left" w:pos="938"/>
        </w:tabs>
        <w:spacing w:line="560" w:lineRule="exact"/>
        <w:ind w:firstLine="640" w:firstLineChars="200"/>
        <w:outlineLvl w:val="0"/>
        <w:rPr>
          <w:rFonts w:hint="eastAsia" w:ascii="黑体" w:hAnsi="黑体" w:eastAsia="黑体" w:cs="宋体"/>
          <w:color w:val="auto"/>
          <w:sz w:val="32"/>
          <w:szCs w:val="32"/>
          <w:lang w:val="en-US" w:eastAsia="zh-CN"/>
        </w:rPr>
      </w:pPr>
      <w:bookmarkStart w:id="101" w:name="_Toc17018"/>
      <w:r>
        <w:rPr>
          <w:rFonts w:hint="eastAsia" w:ascii="黑体" w:hAnsi="黑体" w:eastAsia="黑体" w:cs="宋体"/>
          <w:color w:val="auto"/>
          <w:sz w:val="32"/>
          <w:szCs w:val="32"/>
          <w:lang w:val="en-US" w:eastAsia="zh-CN"/>
        </w:rPr>
        <w:t>八、其他需说明的问题</w:t>
      </w:r>
      <w:bookmarkEnd w:id="92"/>
      <w:bookmarkEnd w:id="93"/>
      <w:bookmarkEnd w:id="101"/>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第一，该项目部分间接产生的效果无法准确在短期内衡量，因此很难认定项目产生的全部效果。通过指标来反映绩效，指标的科学性和全面性需要不断地完善和研究。</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第二，评价结果作为安排政府预算、完善政策和改进管理的重要依据。原则上，对评价等级为优、良的，根据情况予以支持；对评价等级为中、差的，要完善政策、改进管理，根据情况核减预算。</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第三，评价结果分别编入政府决算和部门预算，报送本级人民代表大会常务委员会，并依法予以公开。</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第四，对使用财政资金严重低效无效并造成重大损失的责任人，要按照相关规定追责问责。对绩效评价过程中发现的资金使用单位和个人的财政违法行为，依照《中华人民共和国预算法》、《财政违法行为处罚处分条例》等有关规定追究责任；发现违纪违法问题线索的，应当及时移送纪检监察机关。</w:t>
      </w:r>
    </w:p>
    <w:p>
      <w:pPr>
        <w:pStyle w:val="17"/>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第五，各级财政部门、预算部门和单位及其工作人员在绩效评价管理工作中存在违反《项目支出绩效评价管理办法》（财预〔2020〕10号）文件行为，以及其他滥用职权、玩忽职守、徇私舞弊等违法违纪行为的，依照《中华人民共和国预算法》、《中华人民共和国公务员法》、《中华人民共和国监察法》、《财政违法行为处罚处分条例》等国家有关规定追究相应责任；涉嫌犯罪的，依法移送司法机关处理。</w:t>
      </w:r>
    </w:p>
    <w:p>
      <w:pPr>
        <w:adjustRightInd w:val="0"/>
        <w:snapToGrid w:val="0"/>
        <w:spacing w:line="560" w:lineRule="exact"/>
        <w:ind w:firstLine="640" w:firstLineChars="200"/>
        <w:jc w:val="left"/>
        <w:outlineLvl w:val="0"/>
        <w:rPr>
          <w:rFonts w:hint="eastAsia" w:ascii="黑体" w:hAnsi="黑体" w:eastAsia="黑体" w:cs="宋体"/>
          <w:color w:val="auto"/>
          <w:sz w:val="32"/>
          <w:szCs w:val="32"/>
        </w:rPr>
      </w:pPr>
      <w:bookmarkStart w:id="102" w:name="_Toc25791"/>
    </w:p>
    <w:p>
      <w:pPr>
        <w:adjustRightInd w:val="0"/>
        <w:snapToGrid w:val="0"/>
        <w:spacing w:line="560" w:lineRule="exact"/>
        <w:ind w:firstLine="640" w:firstLineChars="200"/>
        <w:jc w:val="left"/>
        <w:outlineLvl w:val="0"/>
        <w:rPr>
          <w:rFonts w:ascii="黑体" w:hAnsi="黑体" w:eastAsia="黑体" w:cs="宋体"/>
          <w:color w:val="auto"/>
          <w:sz w:val="32"/>
          <w:szCs w:val="32"/>
        </w:rPr>
      </w:pPr>
      <w:r>
        <w:rPr>
          <w:rFonts w:hint="eastAsia" w:ascii="黑体" w:hAnsi="黑体" w:eastAsia="黑体" w:cs="宋体"/>
          <w:color w:val="auto"/>
          <w:sz w:val="32"/>
          <w:szCs w:val="32"/>
        </w:rPr>
        <w:t>九、附件</w:t>
      </w:r>
      <w:bookmarkEnd w:id="102"/>
    </w:p>
    <w:bookmarkEnd w:id="30"/>
    <w:p>
      <w:pPr>
        <w:pStyle w:val="33"/>
        <w:numPr>
          <w:ilvl w:val="0"/>
          <w:numId w:val="4"/>
        </w:numPr>
        <w:adjustRightInd w:val="0"/>
        <w:snapToGrid w:val="0"/>
        <w:spacing w:line="560" w:lineRule="exact"/>
        <w:ind w:left="0" w:firstLine="643"/>
        <w:rPr>
          <w:rFonts w:ascii="仿宋_GB2312" w:hAnsi="仿宋" w:eastAsia="仿宋_GB2312" w:cs="宋体"/>
          <w:b/>
          <w:bCs/>
          <w:vanish/>
          <w:color w:val="auto"/>
          <w:sz w:val="32"/>
          <w:szCs w:val="32"/>
        </w:rPr>
      </w:pPr>
      <w:r>
        <w:rPr>
          <w:rFonts w:hint="eastAsia" w:ascii="仿宋_GB2312" w:hAnsi="仿宋" w:eastAsia="仿宋_GB2312" w:cs="宋体"/>
          <w:b/>
          <w:bCs/>
          <w:vanish/>
          <w:color w:val="auto"/>
          <w:sz w:val="32"/>
          <w:szCs w:val="32"/>
        </w:rPr>
        <w:t>附件</w:t>
      </w:r>
    </w:p>
    <w:p>
      <w:pPr>
        <w:pStyle w:val="33"/>
        <w:spacing w:line="560" w:lineRule="exact"/>
        <w:ind w:firstLine="640"/>
        <w:outlineLvl w:val="0"/>
        <w:rPr>
          <w:rFonts w:hint="default" w:ascii="仿宋_GB2312" w:hAnsi="仿宋_GB2312" w:eastAsia="仿宋_GB2312" w:cs="仿宋_GB2312"/>
          <w:color w:val="auto"/>
          <w:kern w:val="2"/>
          <w:sz w:val="32"/>
          <w:szCs w:val="32"/>
          <w:highlight w:val="none"/>
          <w:lang w:val="en-US" w:eastAsia="zh-CN" w:bidi="ar-SA"/>
        </w:rPr>
      </w:pPr>
      <w:bookmarkStart w:id="103" w:name="_Toc13969"/>
      <w:bookmarkStart w:id="104" w:name="_Toc3379"/>
      <w:bookmarkStart w:id="105" w:name="_Toc9070"/>
      <w:bookmarkStart w:id="106" w:name="_Toc11156"/>
      <w:bookmarkStart w:id="107" w:name="_Toc5066"/>
      <w:r>
        <w:rPr>
          <w:rFonts w:hint="eastAsia" w:ascii="仿宋_GB2312" w:hAnsi="仿宋_GB2312" w:eastAsia="仿宋_GB2312" w:cs="仿宋_GB2312"/>
          <w:color w:val="auto"/>
          <w:kern w:val="2"/>
          <w:sz w:val="32"/>
          <w:szCs w:val="32"/>
          <w:highlight w:val="none"/>
          <w:lang w:val="en-US" w:eastAsia="zh-CN" w:bidi="ar-SA"/>
        </w:rPr>
        <w:t>附件一、低效农田整治项目支出绩效评价指标体系</w:t>
      </w:r>
      <w:bookmarkEnd w:id="103"/>
      <w:bookmarkEnd w:id="104"/>
      <w:bookmarkEnd w:id="105"/>
      <w:bookmarkEnd w:id="106"/>
      <w:bookmarkEnd w:id="107"/>
    </w:p>
    <w:p>
      <w:pPr>
        <w:pStyle w:val="33"/>
        <w:spacing w:line="560" w:lineRule="exact"/>
        <w:ind w:firstLine="640"/>
        <w:outlineLvl w:val="0"/>
        <w:rPr>
          <w:rFonts w:hint="default" w:ascii="仿宋_GB2312" w:hAnsi="仿宋_GB2312" w:eastAsia="仿宋_GB2312" w:cs="仿宋_GB2312"/>
          <w:color w:val="auto"/>
          <w:kern w:val="2"/>
          <w:sz w:val="32"/>
          <w:szCs w:val="32"/>
          <w:highlight w:val="none"/>
          <w:lang w:val="en-US" w:eastAsia="zh-CN" w:bidi="ar-SA"/>
        </w:rPr>
      </w:pPr>
      <w:bookmarkStart w:id="108" w:name="_Toc31506"/>
      <w:bookmarkStart w:id="109" w:name="_Toc19426"/>
      <w:bookmarkStart w:id="110" w:name="_Toc32762"/>
      <w:bookmarkStart w:id="111" w:name="_Toc5753"/>
      <w:bookmarkStart w:id="112" w:name="_Toc17647"/>
      <w:r>
        <w:rPr>
          <w:rFonts w:hint="eastAsia" w:ascii="仿宋_GB2312" w:hAnsi="仿宋_GB2312" w:eastAsia="仿宋_GB2312" w:cs="仿宋_GB2312"/>
          <w:color w:val="auto"/>
          <w:kern w:val="2"/>
          <w:sz w:val="32"/>
          <w:szCs w:val="32"/>
          <w:highlight w:val="none"/>
          <w:lang w:val="en-US" w:eastAsia="zh-CN" w:bidi="ar-SA"/>
        </w:rPr>
        <w:t>附件二、低效农田整治项目资金使用明细表</w:t>
      </w:r>
      <w:bookmarkEnd w:id="108"/>
      <w:bookmarkEnd w:id="109"/>
      <w:bookmarkEnd w:id="110"/>
      <w:bookmarkEnd w:id="111"/>
      <w:bookmarkEnd w:id="112"/>
    </w:p>
    <w:p>
      <w:pPr>
        <w:pStyle w:val="33"/>
        <w:spacing w:line="560" w:lineRule="exact"/>
        <w:ind w:firstLine="640"/>
        <w:outlineLvl w:val="0"/>
        <w:rPr>
          <w:rFonts w:hint="eastAsia" w:ascii="仿宋_GB2312" w:hAnsi="仿宋_GB2312" w:eastAsia="仿宋_GB2312" w:cs="仿宋_GB2312"/>
          <w:color w:val="auto"/>
          <w:kern w:val="2"/>
          <w:sz w:val="32"/>
          <w:szCs w:val="32"/>
          <w:highlight w:val="none"/>
          <w:lang w:val="en-US" w:eastAsia="zh-CN" w:bidi="ar-SA"/>
        </w:rPr>
      </w:pPr>
      <w:bookmarkStart w:id="113" w:name="_Toc22995"/>
      <w:bookmarkStart w:id="114" w:name="_Toc27746"/>
      <w:bookmarkStart w:id="115" w:name="_Toc21161"/>
      <w:bookmarkStart w:id="116" w:name="_Toc27332"/>
      <w:bookmarkStart w:id="117" w:name="_Toc16544"/>
      <w:r>
        <w:rPr>
          <w:rFonts w:hint="eastAsia" w:ascii="仿宋_GB2312" w:hAnsi="仿宋_GB2312" w:eastAsia="仿宋_GB2312" w:cs="仿宋_GB2312"/>
          <w:color w:val="auto"/>
          <w:kern w:val="2"/>
          <w:sz w:val="32"/>
          <w:szCs w:val="32"/>
          <w:highlight w:val="none"/>
          <w:lang w:val="en-US" w:eastAsia="zh-CN" w:bidi="ar-SA"/>
        </w:rPr>
        <w:t>附件三、低效农田整治项目绩效评价工作记录单</w:t>
      </w:r>
      <w:bookmarkEnd w:id="113"/>
      <w:bookmarkEnd w:id="114"/>
      <w:bookmarkEnd w:id="115"/>
      <w:bookmarkEnd w:id="116"/>
      <w:bookmarkEnd w:id="117"/>
      <w:bookmarkStart w:id="118" w:name="_Toc20564"/>
      <w:bookmarkStart w:id="119" w:name="_Toc18769"/>
      <w:bookmarkStart w:id="120" w:name="_Toc16822"/>
    </w:p>
    <w:p>
      <w:pPr>
        <w:pStyle w:val="33"/>
        <w:spacing w:line="560" w:lineRule="exact"/>
        <w:ind w:firstLine="640"/>
        <w:outlineLvl w:val="0"/>
        <w:rPr>
          <w:rFonts w:hint="default" w:ascii="仿宋_GB2312" w:hAnsi="仿宋_GB2312" w:eastAsia="仿宋_GB2312" w:cs="仿宋_GB2312"/>
          <w:color w:val="auto"/>
          <w:kern w:val="2"/>
          <w:sz w:val="32"/>
          <w:szCs w:val="32"/>
          <w:highlight w:val="none"/>
          <w:lang w:val="en-US" w:eastAsia="zh-CN" w:bidi="ar-SA"/>
        </w:rPr>
      </w:pPr>
      <w:bookmarkStart w:id="121" w:name="_Toc27218"/>
      <w:r>
        <w:rPr>
          <w:rFonts w:hint="eastAsia" w:ascii="仿宋_GB2312" w:hAnsi="仿宋_GB2312" w:eastAsia="仿宋_GB2312" w:cs="仿宋_GB2312"/>
          <w:color w:val="auto"/>
          <w:kern w:val="2"/>
          <w:sz w:val="32"/>
          <w:szCs w:val="32"/>
          <w:highlight w:val="none"/>
          <w:lang w:val="en-US" w:eastAsia="zh-CN" w:bidi="ar-SA"/>
        </w:rPr>
        <w:t>附件四、低效农田整治项目调查问卷统计表</w:t>
      </w:r>
      <w:bookmarkEnd w:id="118"/>
      <w:bookmarkEnd w:id="119"/>
      <w:bookmarkEnd w:id="120"/>
      <w:bookmarkEnd w:id="121"/>
    </w:p>
    <w:p>
      <w:pPr>
        <w:widowControl/>
        <w:adjustRightInd w:val="0"/>
        <w:snapToGrid w:val="0"/>
        <w:spacing w:line="560" w:lineRule="exact"/>
        <w:jc w:val="left"/>
        <w:rPr>
          <w:rFonts w:hint="default" w:ascii="仿宋_GB2312" w:hAnsi="仿宋_GB2312" w:eastAsia="仿宋_GB2312" w:cs="仿宋_GB2312"/>
          <w:color w:val="auto"/>
          <w:kern w:val="2"/>
          <w:sz w:val="32"/>
          <w:szCs w:val="32"/>
          <w:highlight w:val="none"/>
          <w:lang w:val="en-US" w:eastAsia="zh-CN" w:bidi="ar-SA"/>
        </w:rPr>
      </w:pPr>
    </w:p>
    <w:p>
      <w:pPr>
        <w:pStyle w:val="2"/>
        <w:rPr>
          <w:rFonts w:hint="default"/>
          <w:color w:val="auto"/>
          <w:lang w:val="en-US" w:eastAsia="zh-CN"/>
        </w:rPr>
      </w:pPr>
    </w:p>
    <w:p>
      <w:pPr>
        <w:spacing w:line="560" w:lineRule="exact"/>
        <w:ind w:firstLine="640" w:firstLineChars="200"/>
        <w:jc w:val="right"/>
        <w:rPr>
          <w:rFonts w:ascii="仿宋_GB2312" w:hAnsi="仿宋" w:eastAsia="仿宋_GB2312" w:cs="宋体"/>
          <w:color w:val="auto"/>
          <w:sz w:val="32"/>
          <w:szCs w:val="32"/>
          <w:lang w:bidi="ar"/>
        </w:rPr>
      </w:pPr>
      <w:r>
        <w:rPr>
          <w:rFonts w:hint="eastAsia" w:ascii="仿宋_GB2312" w:hAnsi="仿宋" w:eastAsia="仿宋_GB2312" w:cs="宋体"/>
          <w:color w:val="auto"/>
          <w:sz w:val="32"/>
          <w:szCs w:val="32"/>
          <w:lang w:bidi="ar"/>
        </w:rPr>
        <w:t>中瑞诚会计师事务所</w:t>
      </w:r>
      <w:r>
        <w:rPr>
          <w:rFonts w:hint="eastAsia" w:ascii="仿宋_GB2312" w:hAnsi="仿宋" w:eastAsia="仿宋_GB2312" w:cs="宋体"/>
          <w:color w:val="auto"/>
          <w:sz w:val="32"/>
          <w:szCs w:val="32"/>
          <w:lang w:eastAsia="zh-CN" w:bidi="ar"/>
        </w:rPr>
        <w:t>（特殊普通合伙）</w:t>
      </w:r>
      <w:r>
        <w:rPr>
          <w:rFonts w:hint="eastAsia" w:ascii="仿宋_GB2312" w:hAnsi="仿宋" w:eastAsia="仿宋_GB2312" w:cs="宋体"/>
          <w:color w:val="auto"/>
          <w:sz w:val="32"/>
          <w:szCs w:val="32"/>
          <w:lang w:bidi="ar"/>
        </w:rPr>
        <w:t>喀什分所</w:t>
      </w:r>
    </w:p>
    <w:p>
      <w:pPr>
        <w:spacing w:line="560" w:lineRule="exact"/>
        <w:ind w:firstLine="3827" w:firstLineChars="1196"/>
        <w:jc w:val="right"/>
        <w:rPr>
          <w:rFonts w:ascii="仿宋_GB2312" w:hAnsi="仿宋" w:eastAsia="仿宋_GB2312" w:cs="宋体"/>
          <w:color w:val="auto"/>
          <w:sz w:val="32"/>
          <w:szCs w:val="32"/>
          <w:lang w:bidi="ar"/>
        </w:rPr>
      </w:pPr>
      <w:r>
        <w:rPr>
          <w:rFonts w:hint="eastAsia" w:ascii="仿宋_GB2312" w:hAnsi="仿宋" w:eastAsia="仿宋_GB2312" w:cs="宋体"/>
          <w:color w:val="auto"/>
          <w:sz w:val="32"/>
          <w:szCs w:val="32"/>
          <w:lang w:bidi="ar"/>
        </w:rPr>
        <w:t xml:space="preserve">  </w:t>
      </w:r>
      <w:r>
        <w:rPr>
          <w:rFonts w:hint="eastAsia" w:ascii="仿宋_GB2312" w:hAnsi="仿宋" w:eastAsia="仿宋_GB2312" w:cs="宋体"/>
          <w:color w:val="auto"/>
          <w:sz w:val="32"/>
          <w:szCs w:val="32"/>
          <w:lang w:eastAsia="zh-CN" w:bidi="ar"/>
        </w:rPr>
        <w:t>202</w:t>
      </w:r>
      <w:r>
        <w:rPr>
          <w:rFonts w:hint="eastAsia" w:ascii="仿宋_GB2312" w:hAnsi="仿宋" w:eastAsia="仿宋_GB2312" w:cs="宋体"/>
          <w:color w:val="auto"/>
          <w:sz w:val="32"/>
          <w:szCs w:val="32"/>
          <w:lang w:val="en-US" w:eastAsia="zh-CN" w:bidi="ar"/>
        </w:rPr>
        <w:t>2</w:t>
      </w:r>
      <w:r>
        <w:rPr>
          <w:rFonts w:hint="eastAsia" w:ascii="仿宋_GB2312" w:hAnsi="仿宋" w:eastAsia="仿宋_GB2312" w:cs="宋体"/>
          <w:color w:val="auto"/>
          <w:sz w:val="32"/>
          <w:szCs w:val="32"/>
          <w:highlight w:val="none"/>
          <w:lang w:bidi="ar"/>
        </w:rPr>
        <w:t>年</w:t>
      </w:r>
      <w:r>
        <w:rPr>
          <w:rFonts w:hint="eastAsia" w:ascii="仿宋_GB2312" w:hAnsi="仿宋" w:eastAsia="仿宋_GB2312" w:cs="宋体"/>
          <w:color w:val="auto"/>
          <w:sz w:val="32"/>
          <w:szCs w:val="32"/>
          <w:highlight w:val="none"/>
          <w:lang w:val="en-US" w:eastAsia="zh-CN" w:bidi="ar"/>
        </w:rPr>
        <w:t>06</w:t>
      </w:r>
      <w:r>
        <w:rPr>
          <w:rFonts w:hint="eastAsia" w:ascii="仿宋_GB2312" w:hAnsi="仿宋" w:eastAsia="仿宋_GB2312" w:cs="宋体"/>
          <w:color w:val="auto"/>
          <w:sz w:val="32"/>
          <w:szCs w:val="32"/>
          <w:lang w:bidi="ar"/>
        </w:rPr>
        <w:t>月</w:t>
      </w:r>
      <w:r>
        <w:rPr>
          <w:rFonts w:hint="eastAsia" w:ascii="仿宋_GB2312" w:hAnsi="仿宋" w:eastAsia="仿宋_GB2312" w:cs="宋体"/>
          <w:color w:val="auto"/>
          <w:sz w:val="32"/>
          <w:szCs w:val="32"/>
          <w:lang w:val="en-US" w:eastAsia="zh-CN" w:bidi="ar"/>
        </w:rPr>
        <w:t>30</w:t>
      </w:r>
      <w:r>
        <w:rPr>
          <w:rFonts w:hint="eastAsia" w:ascii="仿宋_GB2312" w:hAnsi="仿宋" w:eastAsia="仿宋_GB2312" w:cs="宋体"/>
          <w:color w:val="auto"/>
          <w:sz w:val="32"/>
          <w:szCs w:val="32"/>
          <w:lang w:bidi="ar"/>
        </w:rPr>
        <w:t>日</w:t>
      </w:r>
    </w:p>
    <w:sectPr>
      <w:footerReference r:id="rId3" w:type="default"/>
      <w:pgSz w:w="11906" w:h="16838"/>
      <w:pgMar w:top="1440" w:right="17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1624715E-9144-4A39-9C0F-4940CF8F69E9}"/>
  </w:font>
  <w:font w:name="Arial">
    <w:panose1 w:val="020B0604020202020204"/>
    <w:charset w:val="01"/>
    <w:family w:val="swiss"/>
    <w:pitch w:val="default"/>
    <w:sig w:usb0="E0002EFF" w:usb1="C000785B" w:usb2="00000009" w:usb3="00000000" w:csb0="400001FF" w:csb1="FFFF0000"/>
    <w:embedRegular r:id="rId2" w:fontKey="{F3787250-A0BB-41B3-922D-3730AA64A3EE}"/>
  </w:font>
  <w:font w:name="黑体">
    <w:panose1 w:val="02010609060101010101"/>
    <w:charset w:val="86"/>
    <w:family w:val="auto"/>
    <w:pitch w:val="default"/>
    <w:sig w:usb0="800002BF" w:usb1="38CF7CFA" w:usb2="00000016" w:usb3="00000000" w:csb0="00040001" w:csb1="00000000"/>
    <w:embedRegular r:id="rId3" w:fontKey="{9C024841-44C4-48F7-A19D-1ECDD3006878}"/>
  </w:font>
  <w:font w:name="Courier New">
    <w:panose1 w:val="02070309020205020404"/>
    <w:charset w:val="01"/>
    <w:family w:val="modern"/>
    <w:pitch w:val="default"/>
    <w:sig w:usb0="E0002EFF" w:usb1="C0007843" w:usb2="00000009" w:usb3="00000000" w:csb0="400001FF" w:csb1="FFFF0000"/>
    <w:embedRegular r:id="rId4" w:fontKey="{14533CB7-D803-4F83-812E-80154E8AFB91}"/>
  </w:font>
  <w:font w:name="Symbol">
    <w:panose1 w:val="05050102010706020507"/>
    <w:charset w:val="02"/>
    <w:family w:val="roman"/>
    <w:pitch w:val="default"/>
    <w:sig w:usb0="00000000" w:usb1="00000000" w:usb2="00000000" w:usb3="00000000" w:csb0="80000000" w:csb1="00000000"/>
    <w:embedRegular r:id="rId5" w:fontKey="{A7FD2FDE-EA01-4425-B2A3-5D7E7A785D60}"/>
  </w:font>
  <w:font w:name="Calibri">
    <w:panose1 w:val="020F0502020204030204"/>
    <w:charset w:val="00"/>
    <w:family w:val="swiss"/>
    <w:pitch w:val="default"/>
    <w:sig w:usb0="E4002EFF" w:usb1="C000247B" w:usb2="00000009" w:usb3="00000000" w:csb0="200001FF" w:csb1="00000000"/>
    <w:embedRegular r:id="rId6" w:fontKey="{AA320854-5CA8-4F35-B28E-45A56FF4FF49}"/>
  </w:font>
  <w:font w:name="仿宋">
    <w:panose1 w:val="02010609060101010101"/>
    <w:charset w:val="86"/>
    <w:family w:val="auto"/>
    <w:pitch w:val="default"/>
    <w:sig w:usb0="800002BF" w:usb1="38CF7CFA" w:usb2="00000016" w:usb3="00000000" w:csb0="00040001" w:csb1="00000000"/>
    <w:embedRegular r:id="rId7" w:fontKey="{1FC3C359-0859-4B1E-B0F7-D8855651EC9F}"/>
  </w:font>
  <w:font w:name="Cambria">
    <w:panose1 w:val="02040503050406030204"/>
    <w:charset w:val="00"/>
    <w:family w:val="roman"/>
    <w:pitch w:val="default"/>
    <w:sig w:usb0="E00006FF" w:usb1="420024FF" w:usb2="02000000" w:usb3="00000000" w:csb0="2000019F" w:csb1="00000000"/>
    <w:embedRegular r:id="rId8" w:fontKey="{9F1F2757-13E6-41FD-BD60-6300B7FFEB32}"/>
  </w:font>
  <w:font w:name="HYb2gj">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9" w:fontKey="{5632267C-7AFB-42D9-B7ED-54236F4C0C6C}"/>
  </w:font>
  <w:font w:name="方正小标宋简体">
    <w:panose1 w:val="02010601030101010101"/>
    <w:charset w:val="86"/>
    <w:family w:val="auto"/>
    <w:pitch w:val="default"/>
    <w:sig w:usb0="00000001" w:usb1="080E0000" w:usb2="00000000" w:usb3="00000000" w:csb0="00040000" w:csb1="00000000"/>
  </w:font>
  <w:font w:name="方正小标宋_GBK">
    <w:panose1 w:val="03000509000000000000"/>
    <w:charset w:val="86"/>
    <w:family w:val="script"/>
    <w:pitch w:val="default"/>
    <w:sig w:usb0="00000001" w:usb1="080E0000" w:usb2="00000000" w:usb3="00000000" w:csb0="00040000" w:csb1="00000000"/>
    <w:embedRegular r:id="rId10" w:fontKey="{208B2EFA-A684-4413-8F23-44EA255648C0}"/>
  </w:font>
  <w:font w:name="楷体">
    <w:panose1 w:val="02010609060101010101"/>
    <w:charset w:val="86"/>
    <w:family w:val="modern"/>
    <w:pitch w:val="default"/>
    <w:sig w:usb0="800002BF" w:usb1="38CF7CFA" w:usb2="00000016" w:usb3="00000000" w:csb0="00040001" w:csb1="00000000"/>
    <w:embedRegular r:id="rId11" w:fontKey="{0FE4AC4E-975A-4D3B-8113-916CF8B6949F}"/>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11"/>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2Zxg5DICAABjBAAADgAAAAAAAAABACAAAAAfAQAAZHJzL2Uyb0RvYy54bWxQSwUG&#10;AAAAAAYABgBZAQAAwwUAAAAA&#10;">
              <v:fill on="f" focussize="0,0"/>
              <v:stroke on="f" weight="0.5pt"/>
              <v:imagedata o:title=""/>
              <o:lock v:ext="edit" aspectratio="f"/>
              <v:textbox inset="0mm,0mm,0mm,0mm" style="mso-fit-shape-to-text:t;">
                <w:txbxContent>
                  <w:p>
                    <w:pPr>
                      <w:pStyle w:val="11"/>
                    </w:pPr>
                    <w:r>
                      <w:fldChar w:fldCharType="begin"/>
                    </w:r>
                    <w:r>
                      <w:instrText xml:space="preserve"> PAGE  \* MERGEFORMAT </w:instrText>
                    </w:r>
                    <w:r>
                      <w:fldChar w:fldCharType="separate"/>
                    </w:r>
                    <w:r>
                      <w:t>13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809717B"/>
    <w:multiLevelType w:val="singleLevel"/>
    <w:tmpl w:val="A809717B"/>
    <w:lvl w:ilvl="0" w:tentative="0">
      <w:start w:val="2"/>
      <w:numFmt w:val="chineseCounting"/>
      <w:suff w:val="nothing"/>
      <w:lvlText w:val="（%1）"/>
      <w:lvlJc w:val="left"/>
      <w:rPr>
        <w:rFonts w:hint="eastAsia"/>
      </w:rPr>
    </w:lvl>
  </w:abstractNum>
  <w:abstractNum w:abstractNumId="1">
    <w:nsid w:val="C17F5884"/>
    <w:multiLevelType w:val="singleLevel"/>
    <w:tmpl w:val="C17F5884"/>
    <w:lvl w:ilvl="0" w:tentative="0">
      <w:start w:val="1"/>
      <w:numFmt w:val="chineseCounting"/>
      <w:suff w:val="nothing"/>
      <w:lvlText w:val="%1、"/>
      <w:lvlJc w:val="left"/>
      <w:rPr>
        <w:rFonts w:hint="eastAsia"/>
      </w:rPr>
    </w:lvl>
  </w:abstractNum>
  <w:abstractNum w:abstractNumId="2">
    <w:nsid w:val="C3C38CFD"/>
    <w:multiLevelType w:val="singleLevel"/>
    <w:tmpl w:val="C3C38CFD"/>
    <w:lvl w:ilvl="0" w:tentative="0">
      <w:start w:val="3"/>
      <w:numFmt w:val="decimal"/>
      <w:suff w:val="nothing"/>
      <w:lvlText w:val="（%1）"/>
      <w:lvlJc w:val="left"/>
    </w:lvl>
  </w:abstractNum>
  <w:abstractNum w:abstractNumId="3">
    <w:nsid w:val="E8DA9C4C"/>
    <w:multiLevelType w:val="singleLevel"/>
    <w:tmpl w:val="E8DA9C4C"/>
    <w:lvl w:ilvl="0" w:tentative="0">
      <w:start w:val="5"/>
      <w:numFmt w:val="chineseCounting"/>
      <w:suff w:val="nothing"/>
      <w:lvlText w:val="（%1）"/>
      <w:lvlJc w:val="left"/>
      <w:rPr>
        <w:rFonts w:hint="eastAsia"/>
      </w:rPr>
    </w:lvl>
  </w:abstractNum>
  <w:abstractNum w:abstractNumId="4">
    <w:nsid w:val="ED537D19"/>
    <w:multiLevelType w:val="singleLevel"/>
    <w:tmpl w:val="ED537D19"/>
    <w:lvl w:ilvl="0" w:tentative="0">
      <w:start w:val="2"/>
      <w:numFmt w:val="decimal"/>
      <w:lvlText w:val="(%1)"/>
      <w:lvlJc w:val="left"/>
      <w:pPr>
        <w:tabs>
          <w:tab w:val="left" w:pos="312"/>
        </w:tabs>
      </w:pPr>
    </w:lvl>
  </w:abstractNum>
  <w:abstractNum w:abstractNumId="5">
    <w:nsid w:val="06830D9A"/>
    <w:multiLevelType w:val="multilevel"/>
    <w:tmpl w:val="06830D9A"/>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702"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6">
    <w:nsid w:val="4BBB029A"/>
    <w:multiLevelType w:val="multilevel"/>
    <w:tmpl w:val="4BBB029A"/>
    <w:lvl w:ilvl="0" w:tentative="0">
      <w:start w:val="1"/>
      <w:numFmt w:val="decimal"/>
      <w:pStyle w:val="3"/>
      <w:lvlText w:val="%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586DE0EC"/>
    <w:multiLevelType w:val="singleLevel"/>
    <w:tmpl w:val="586DE0EC"/>
    <w:lvl w:ilvl="0" w:tentative="0">
      <w:start w:val="1"/>
      <w:numFmt w:val="decimal"/>
      <w:suff w:val="nothing"/>
      <w:lvlText w:val="（%1）"/>
      <w:lvlJc w:val="left"/>
    </w:lvl>
  </w:abstractNum>
  <w:abstractNum w:abstractNumId="8">
    <w:nsid w:val="6EA16E0C"/>
    <w:multiLevelType w:val="multilevel"/>
    <w:tmpl w:val="6EA16E0C"/>
    <w:lvl w:ilvl="0" w:tentative="0">
      <w:start w:val="1"/>
      <w:numFmt w:val="decimal"/>
      <w:pStyle w:val="4"/>
      <w:lvlText w:val="%1.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6"/>
  </w:num>
  <w:num w:numId="2">
    <w:abstractNumId w:val="8"/>
  </w:num>
  <w:num w:numId="3">
    <w:abstractNumId w:val="1"/>
  </w:num>
  <w:num w:numId="4">
    <w:abstractNumId w:val="5"/>
  </w:num>
  <w:num w:numId="5">
    <w:abstractNumId w:val="7"/>
  </w:num>
  <w:num w:numId="6">
    <w:abstractNumId w:val="4"/>
  </w:num>
  <w:num w:numId="7">
    <w:abstractNumId w:val="3"/>
  </w:num>
  <w:num w:numId="8">
    <w:abstractNumId w:val="2"/>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QxYWQ0OWQxNDM3Y2IxYWFiMWMxZjMzN2QxNjEzZDUifQ=="/>
  </w:docVars>
  <w:rsids>
    <w:rsidRoot w:val="00414B7D"/>
    <w:rsid w:val="00016E08"/>
    <w:rsid w:val="00021851"/>
    <w:rsid w:val="00024B57"/>
    <w:rsid w:val="00036D0D"/>
    <w:rsid w:val="00036D41"/>
    <w:rsid w:val="00046D50"/>
    <w:rsid w:val="000475FC"/>
    <w:rsid w:val="00082C50"/>
    <w:rsid w:val="0008358D"/>
    <w:rsid w:val="00083F67"/>
    <w:rsid w:val="00087E49"/>
    <w:rsid w:val="000B0B81"/>
    <w:rsid w:val="000B1623"/>
    <w:rsid w:val="000B1CCE"/>
    <w:rsid w:val="000C3557"/>
    <w:rsid w:val="000C5082"/>
    <w:rsid w:val="000D57B9"/>
    <w:rsid w:val="000E1377"/>
    <w:rsid w:val="000F719E"/>
    <w:rsid w:val="00103F61"/>
    <w:rsid w:val="001040BC"/>
    <w:rsid w:val="00107A8F"/>
    <w:rsid w:val="00130F27"/>
    <w:rsid w:val="00136B2F"/>
    <w:rsid w:val="00160CDB"/>
    <w:rsid w:val="00161F5F"/>
    <w:rsid w:val="00162F2E"/>
    <w:rsid w:val="001764F0"/>
    <w:rsid w:val="00176DFF"/>
    <w:rsid w:val="001825A2"/>
    <w:rsid w:val="00186F45"/>
    <w:rsid w:val="00187575"/>
    <w:rsid w:val="001C1801"/>
    <w:rsid w:val="001C64B5"/>
    <w:rsid w:val="0020463E"/>
    <w:rsid w:val="0021140C"/>
    <w:rsid w:val="00230276"/>
    <w:rsid w:val="00230A7C"/>
    <w:rsid w:val="002358FA"/>
    <w:rsid w:val="0023779B"/>
    <w:rsid w:val="002443C4"/>
    <w:rsid w:val="0025623B"/>
    <w:rsid w:val="00257940"/>
    <w:rsid w:val="0027097D"/>
    <w:rsid w:val="00271E15"/>
    <w:rsid w:val="0027684A"/>
    <w:rsid w:val="00276A45"/>
    <w:rsid w:val="00282C28"/>
    <w:rsid w:val="0029663F"/>
    <w:rsid w:val="00297D3C"/>
    <w:rsid w:val="002A49E8"/>
    <w:rsid w:val="002A64D8"/>
    <w:rsid w:val="002A6ECE"/>
    <w:rsid w:val="002B2807"/>
    <w:rsid w:val="002C092D"/>
    <w:rsid w:val="002C1471"/>
    <w:rsid w:val="002C7301"/>
    <w:rsid w:val="002D239F"/>
    <w:rsid w:val="002D49A2"/>
    <w:rsid w:val="002E3475"/>
    <w:rsid w:val="002F2ABF"/>
    <w:rsid w:val="002F5C69"/>
    <w:rsid w:val="00300C5C"/>
    <w:rsid w:val="00334AA6"/>
    <w:rsid w:val="00335ABC"/>
    <w:rsid w:val="0035174C"/>
    <w:rsid w:val="00353891"/>
    <w:rsid w:val="00357062"/>
    <w:rsid w:val="003762B7"/>
    <w:rsid w:val="00377AB2"/>
    <w:rsid w:val="003963D0"/>
    <w:rsid w:val="003A243D"/>
    <w:rsid w:val="003A3F8A"/>
    <w:rsid w:val="003D3349"/>
    <w:rsid w:val="003F5B9B"/>
    <w:rsid w:val="003F5E87"/>
    <w:rsid w:val="003F7B44"/>
    <w:rsid w:val="00403605"/>
    <w:rsid w:val="00414B7D"/>
    <w:rsid w:val="00425B0B"/>
    <w:rsid w:val="00427588"/>
    <w:rsid w:val="0044086E"/>
    <w:rsid w:val="0044115C"/>
    <w:rsid w:val="004419BF"/>
    <w:rsid w:val="004446AF"/>
    <w:rsid w:val="00456D64"/>
    <w:rsid w:val="00461A03"/>
    <w:rsid w:val="00461C13"/>
    <w:rsid w:val="00466D62"/>
    <w:rsid w:val="00480EBB"/>
    <w:rsid w:val="004837BC"/>
    <w:rsid w:val="00491DC0"/>
    <w:rsid w:val="0049279D"/>
    <w:rsid w:val="004929DD"/>
    <w:rsid w:val="004A17A9"/>
    <w:rsid w:val="004A3BA3"/>
    <w:rsid w:val="004C27AA"/>
    <w:rsid w:val="004C4305"/>
    <w:rsid w:val="004C48B5"/>
    <w:rsid w:val="004D64A9"/>
    <w:rsid w:val="004F5174"/>
    <w:rsid w:val="004F7E0C"/>
    <w:rsid w:val="00505ACA"/>
    <w:rsid w:val="00520F1C"/>
    <w:rsid w:val="0052602D"/>
    <w:rsid w:val="00535343"/>
    <w:rsid w:val="0054358D"/>
    <w:rsid w:val="005510BE"/>
    <w:rsid w:val="0055540B"/>
    <w:rsid w:val="005674C1"/>
    <w:rsid w:val="005A11A3"/>
    <w:rsid w:val="005A299C"/>
    <w:rsid w:val="005B40F5"/>
    <w:rsid w:val="005B5C85"/>
    <w:rsid w:val="005D2E62"/>
    <w:rsid w:val="005D3B9D"/>
    <w:rsid w:val="00621D18"/>
    <w:rsid w:val="006264C5"/>
    <w:rsid w:val="006276D2"/>
    <w:rsid w:val="00633F43"/>
    <w:rsid w:val="00635FD4"/>
    <w:rsid w:val="006451C9"/>
    <w:rsid w:val="00682CC7"/>
    <w:rsid w:val="006838D1"/>
    <w:rsid w:val="00683B82"/>
    <w:rsid w:val="006A0C6F"/>
    <w:rsid w:val="006A530D"/>
    <w:rsid w:val="006B5D89"/>
    <w:rsid w:val="006E0F22"/>
    <w:rsid w:val="006F03CF"/>
    <w:rsid w:val="006F614A"/>
    <w:rsid w:val="00706A4E"/>
    <w:rsid w:val="007115C8"/>
    <w:rsid w:val="00722E10"/>
    <w:rsid w:val="00752CB5"/>
    <w:rsid w:val="00760C80"/>
    <w:rsid w:val="00765FA0"/>
    <w:rsid w:val="00770E0C"/>
    <w:rsid w:val="00776C05"/>
    <w:rsid w:val="00783B17"/>
    <w:rsid w:val="00796661"/>
    <w:rsid w:val="007A3C4B"/>
    <w:rsid w:val="007B38F5"/>
    <w:rsid w:val="007C462B"/>
    <w:rsid w:val="007C6866"/>
    <w:rsid w:val="007D1B86"/>
    <w:rsid w:val="007D58AE"/>
    <w:rsid w:val="007E49F4"/>
    <w:rsid w:val="007F5B60"/>
    <w:rsid w:val="00804413"/>
    <w:rsid w:val="0080484E"/>
    <w:rsid w:val="00807F37"/>
    <w:rsid w:val="00813205"/>
    <w:rsid w:val="00853D02"/>
    <w:rsid w:val="008726A9"/>
    <w:rsid w:val="00873B68"/>
    <w:rsid w:val="008741FC"/>
    <w:rsid w:val="008764E8"/>
    <w:rsid w:val="008B08D1"/>
    <w:rsid w:val="008C646A"/>
    <w:rsid w:val="008C6AA7"/>
    <w:rsid w:val="008D2C5C"/>
    <w:rsid w:val="008E0491"/>
    <w:rsid w:val="008E496C"/>
    <w:rsid w:val="009167F1"/>
    <w:rsid w:val="00932232"/>
    <w:rsid w:val="00942A28"/>
    <w:rsid w:val="00952F6D"/>
    <w:rsid w:val="00957616"/>
    <w:rsid w:val="00960A8B"/>
    <w:rsid w:val="00974DAE"/>
    <w:rsid w:val="00975A3A"/>
    <w:rsid w:val="00987C5A"/>
    <w:rsid w:val="0099597E"/>
    <w:rsid w:val="0099715E"/>
    <w:rsid w:val="009A4DCB"/>
    <w:rsid w:val="009A507D"/>
    <w:rsid w:val="009B213F"/>
    <w:rsid w:val="009B47A3"/>
    <w:rsid w:val="009B5649"/>
    <w:rsid w:val="009B56E1"/>
    <w:rsid w:val="009C110C"/>
    <w:rsid w:val="009C79C7"/>
    <w:rsid w:val="009D79E4"/>
    <w:rsid w:val="009E5C35"/>
    <w:rsid w:val="009F3991"/>
    <w:rsid w:val="009F3EFC"/>
    <w:rsid w:val="009F6B69"/>
    <w:rsid w:val="00A10B96"/>
    <w:rsid w:val="00A177CD"/>
    <w:rsid w:val="00A202D7"/>
    <w:rsid w:val="00A21618"/>
    <w:rsid w:val="00A21665"/>
    <w:rsid w:val="00A225EB"/>
    <w:rsid w:val="00A262B3"/>
    <w:rsid w:val="00A35141"/>
    <w:rsid w:val="00A35A5E"/>
    <w:rsid w:val="00A415E3"/>
    <w:rsid w:val="00A426D9"/>
    <w:rsid w:val="00A45F48"/>
    <w:rsid w:val="00A621B0"/>
    <w:rsid w:val="00A72180"/>
    <w:rsid w:val="00A74E49"/>
    <w:rsid w:val="00A773A3"/>
    <w:rsid w:val="00AA252A"/>
    <w:rsid w:val="00AA2C44"/>
    <w:rsid w:val="00AC2A90"/>
    <w:rsid w:val="00AD43E3"/>
    <w:rsid w:val="00AE34E7"/>
    <w:rsid w:val="00AF0AFB"/>
    <w:rsid w:val="00AF7214"/>
    <w:rsid w:val="00B03232"/>
    <w:rsid w:val="00B053C8"/>
    <w:rsid w:val="00B05937"/>
    <w:rsid w:val="00B10C7D"/>
    <w:rsid w:val="00B12A63"/>
    <w:rsid w:val="00B143E3"/>
    <w:rsid w:val="00B20D12"/>
    <w:rsid w:val="00B219EF"/>
    <w:rsid w:val="00B4360F"/>
    <w:rsid w:val="00B46B99"/>
    <w:rsid w:val="00B4775C"/>
    <w:rsid w:val="00B54402"/>
    <w:rsid w:val="00B6760A"/>
    <w:rsid w:val="00B83DC4"/>
    <w:rsid w:val="00BB7563"/>
    <w:rsid w:val="00BC0899"/>
    <w:rsid w:val="00BE28B4"/>
    <w:rsid w:val="00C0298E"/>
    <w:rsid w:val="00C13121"/>
    <w:rsid w:val="00C17077"/>
    <w:rsid w:val="00C1762E"/>
    <w:rsid w:val="00C20D59"/>
    <w:rsid w:val="00C37C3C"/>
    <w:rsid w:val="00C47601"/>
    <w:rsid w:val="00C53CE0"/>
    <w:rsid w:val="00C553E8"/>
    <w:rsid w:val="00C64B66"/>
    <w:rsid w:val="00C669C6"/>
    <w:rsid w:val="00C735FC"/>
    <w:rsid w:val="00C7792A"/>
    <w:rsid w:val="00C87D33"/>
    <w:rsid w:val="00C900CB"/>
    <w:rsid w:val="00C90434"/>
    <w:rsid w:val="00CA6ECC"/>
    <w:rsid w:val="00CB23FF"/>
    <w:rsid w:val="00CD5385"/>
    <w:rsid w:val="00CF007C"/>
    <w:rsid w:val="00CF08F6"/>
    <w:rsid w:val="00D02D71"/>
    <w:rsid w:val="00D21A15"/>
    <w:rsid w:val="00D51B3C"/>
    <w:rsid w:val="00D70DBE"/>
    <w:rsid w:val="00D85954"/>
    <w:rsid w:val="00D868FA"/>
    <w:rsid w:val="00D942D8"/>
    <w:rsid w:val="00DA1E6E"/>
    <w:rsid w:val="00DF6D58"/>
    <w:rsid w:val="00DF79A0"/>
    <w:rsid w:val="00E01285"/>
    <w:rsid w:val="00E06E72"/>
    <w:rsid w:val="00E101C5"/>
    <w:rsid w:val="00E14352"/>
    <w:rsid w:val="00E25CE9"/>
    <w:rsid w:val="00E25E58"/>
    <w:rsid w:val="00E274D7"/>
    <w:rsid w:val="00E35680"/>
    <w:rsid w:val="00E52AFF"/>
    <w:rsid w:val="00E54E41"/>
    <w:rsid w:val="00E77BFD"/>
    <w:rsid w:val="00EA4F02"/>
    <w:rsid w:val="00EA52D5"/>
    <w:rsid w:val="00EA62F4"/>
    <w:rsid w:val="00EE64AF"/>
    <w:rsid w:val="00EF0362"/>
    <w:rsid w:val="00EF7923"/>
    <w:rsid w:val="00F0169E"/>
    <w:rsid w:val="00F02ECD"/>
    <w:rsid w:val="00F03FEA"/>
    <w:rsid w:val="00F32F3A"/>
    <w:rsid w:val="00F3638E"/>
    <w:rsid w:val="00F37675"/>
    <w:rsid w:val="00F52189"/>
    <w:rsid w:val="00F843F0"/>
    <w:rsid w:val="00F845E1"/>
    <w:rsid w:val="00F87D7A"/>
    <w:rsid w:val="00F90E9A"/>
    <w:rsid w:val="00F9178B"/>
    <w:rsid w:val="00FA2D92"/>
    <w:rsid w:val="00FA79ED"/>
    <w:rsid w:val="00FB055D"/>
    <w:rsid w:val="00FB13FC"/>
    <w:rsid w:val="00FB20DA"/>
    <w:rsid w:val="00FB212B"/>
    <w:rsid w:val="00FC0C10"/>
    <w:rsid w:val="00FC1F1B"/>
    <w:rsid w:val="00FC312F"/>
    <w:rsid w:val="00FD336C"/>
    <w:rsid w:val="01134D8F"/>
    <w:rsid w:val="011C5968"/>
    <w:rsid w:val="017A1376"/>
    <w:rsid w:val="019C1042"/>
    <w:rsid w:val="01D976F9"/>
    <w:rsid w:val="01DB05CA"/>
    <w:rsid w:val="02127BFD"/>
    <w:rsid w:val="02C624B1"/>
    <w:rsid w:val="02E24B65"/>
    <w:rsid w:val="031B4FD7"/>
    <w:rsid w:val="03384BB1"/>
    <w:rsid w:val="033B3541"/>
    <w:rsid w:val="03685B95"/>
    <w:rsid w:val="03A17C2D"/>
    <w:rsid w:val="03C9420E"/>
    <w:rsid w:val="03EC6EBA"/>
    <w:rsid w:val="03EE2230"/>
    <w:rsid w:val="043F0DA3"/>
    <w:rsid w:val="045545F7"/>
    <w:rsid w:val="04A406D7"/>
    <w:rsid w:val="04BC5076"/>
    <w:rsid w:val="04DD3CEE"/>
    <w:rsid w:val="05403880"/>
    <w:rsid w:val="05466AD0"/>
    <w:rsid w:val="057D1D75"/>
    <w:rsid w:val="05AE6F6A"/>
    <w:rsid w:val="063F521C"/>
    <w:rsid w:val="06766A33"/>
    <w:rsid w:val="068D2C76"/>
    <w:rsid w:val="06D21523"/>
    <w:rsid w:val="072D56D3"/>
    <w:rsid w:val="073076D9"/>
    <w:rsid w:val="07722B91"/>
    <w:rsid w:val="07867BF0"/>
    <w:rsid w:val="07E36243"/>
    <w:rsid w:val="0822779D"/>
    <w:rsid w:val="086039B5"/>
    <w:rsid w:val="089C44B6"/>
    <w:rsid w:val="08E806AC"/>
    <w:rsid w:val="09035DC8"/>
    <w:rsid w:val="092B1014"/>
    <w:rsid w:val="093A1BBD"/>
    <w:rsid w:val="09415222"/>
    <w:rsid w:val="09A37E69"/>
    <w:rsid w:val="09CA6A7A"/>
    <w:rsid w:val="09CB150A"/>
    <w:rsid w:val="09DC263D"/>
    <w:rsid w:val="09EC6DE6"/>
    <w:rsid w:val="0A037E2F"/>
    <w:rsid w:val="0A0402F4"/>
    <w:rsid w:val="0A5343BB"/>
    <w:rsid w:val="0A844F3D"/>
    <w:rsid w:val="0A870EFF"/>
    <w:rsid w:val="0A9224F0"/>
    <w:rsid w:val="0AA243BD"/>
    <w:rsid w:val="0AB358AB"/>
    <w:rsid w:val="0AC26F81"/>
    <w:rsid w:val="0AE64A4E"/>
    <w:rsid w:val="0B4777AE"/>
    <w:rsid w:val="0BC43BCA"/>
    <w:rsid w:val="0C1E6CF7"/>
    <w:rsid w:val="0C4C516B"/>
    <w:rsid w:val="0C5149F8"/>
    <w:rsid w:val="0C6100E9"/>
    <w:rsid w:val="0C9408B1"/>
    <w:rsid w:val="0CD12227"/>
    <w:rsid w:val="0D4A7C88"/>
    <w:rsid w:val="0D681993"/>
    <w:rsid w:val="0D9E1D21"/>
    <w:rsid w:val="0D9F2933"/>
    <w:rsid w:val="0DA94513"/>
    <w:rsid w:val="0DBD4354"/>
    <w:rsid w:val="0DC93204"/>
    <w:rsid w:val="0E020B6B"/>
    <w:rsid w:val="0E1D36E7"/>
    <w:rsid w:val="0E5C62A4"/>
    <w:rsid w:val="0EC72756"/>
    <w:rsid w:val="0EFF4355"/>
    <w:rsid w:val="0F397B92"/>
    <w:rsid w:val="0F4C711B"/>
    <w:rsid w:val="0F6B1F68"/>
    <w:rsid w:val="0F704B97"/>
    <w:rsid w:val="0FCC46EF"/>
    <w:rsid w:val="104D2185"/>
    <w:rsid w:val="107E409D"/>
    <w:rsid w:val="10F351D8"/>
    <w:rsid w:val="10F54453"/>
    <w:rsid w:val="10FE360A"/>
    <w:rsid w:val="110A197C"/>
    <w:rsid w:val="11542761"/>
    <w:rsid w:val="1188035B"/>
    <w:rsid w:val="11C16297"/>
    <w:rsid w:val="11C87659"/>
    <w:rsid w:val="11F87298"/>
    <w:rsid w:val="128D210B"/>
    <w:rsid w:val="12940E0B"/>
    <w:rsid w:val="12BC68F7"/>
    <w:rsid w:val="12EB67CB"/>
    <w:rsid w:val="131D1FC0"/>
    <w:rsid w:val="13200321"/>
    <w:rsid w:val="133E3F47"/>
    <w:rsid w:val="14530434"/>
    <w:rsid w:val="145D32C7"/>
    <w:rsid w:val="14FD2BB2"/>
    <w:rsid w:val="151547B8"/>
    <w:rsid w:val="15294C1C"/>
    <w:rsid w:val="154510DF"/>
    <w:rsid w:val="16181B81"/>
    <w:rsid w:val="163E45AA"/>
    <w:rsid w:val="16453E27"/>
    <w:rsid w:val="16465A40"/>
    <w:rsid w:val="16AD702C"/>
    <w:rsid w:val="16DD6B31"/>
    <w:rsid w:val="17461C62"/>
    <w:rsid w:val="177A5C5F"/>
    <w:rsid w:val="17AA48DE"/>
    <w:rsid w:val="17E62AA7"/>
    <w:rsid w:val="17EF2C21"/>
    <w:rsid w:val="17F4424E"/>
    <w:rsid w:val="189A61CB"/>
    <w:rsid w:val="18EF46F1"/>
    <w:rsid w:val="190F698A"/>
    <w:rsid w:val="19165ED3"/>
    <w:rsid w:val="196116C8"/>
    <w:rsid w:val="19837757"/>
    <w:rsid w:val="19AC46BD"/>
    <w:rsid w:val="1A2447D6"/>
    <w:rsid w:val="1A4F2ED7"/>
    <w:rsid w:val="1A6B70D6"/>
    <w:rsid w:val="1BDB434B"/>
    <w:rsid w:val="1BFF75B4"/>
    <w:rsid w:val="1CCD3ED3"/>
    <w:rsid w:val="1D0826D3"/>
    <w:rsid w:val="1D3C33F2"/>
    <w:rsid w:val="1D74030A"/>
    <w:rsid w:val="1E1910DF"/>
    <w:rsid w:val="1E765D9E"/>
    <w:rsid w:val="1E852558"/>
    <w:rsid w:val="1EA43555"/>
    <w:rsid w:val="1EC62B79"/>
    <w:rsid w:val="1F270062"/>
    <w:rsid w:val="1F3D026E"/>
    <w:rsid w:val="1F4024E6"/>
    <w:rsid w:val="1F8054F8"/>
    <w:rsid w:val="1FC90F95"/>
    <w:rsid w:val="201A26D0"/>
    <w:rsid w:val="20413C5F"/>
    <w:rsid w:val="209E1CA7"/>
    <w:rsid w:val="20B31AFE"/>
    <w:rsid w:val="20D47D98"/>
    <w:rsid w:val="21164FA2"/>
    <w:rsid w:val="21311EA5"/>
    <w:rsid w:val="213F555E"/>
    <w:rsid w:val="21832154"/>
    <w:rsid w:val="2183368C"/>
    <w:rsid w:val="21C25F7F"/>
    <w:rsid w:val="21C86D7A"/>
    <w:rsid w:val="21F148E9"/>
    <w:rsid w:val="21F9422C"/>
    <w:rsid w:val="21FA4D09"/>
    <w:rsid w:val="22A23A20"/>
    <w:rsid w:val="22F35566"/>
    <w:rsid w:val="23DE067B"/>
    <w:rsid w:val="2449672E"/>
    <w:rsid w:val="25177E64"/>
    <w:rsid w:val="25522A05"/>
    <w:rsid w:val="25BC2B1C"/>
    <w:rsid w:val="26311933"/>
    <w:rsid w:val="263521FC"/>
    <w:rsid w:val="269F4474"/>
    <w:rsid w:val="26A02230"/>
    <w:rsid w:val="26A946F1"/>
    <w:rsid w:val="270F717E"/>
    <w:rsid w:val="27430DFA"/>
    <w:rsid w:val="27D23000"/>
    <w:rsid w:val="287F0225"/>
    <w:rsid w:val="2888633C"/>
    <w:rsid w:val="28967876"/>
    <w:rsid w:val="28DC6D8D"/>
    <w:rsid w:val="28E658A2"/>
    <w:rsid w:val="2934369F"/>
    <w:rsid w:val="293539E2"/>
    <w:rsid w:val="294806D3"/>
    <w:rsid w:val="29584F90"/>
    <w:rsid w:val="29601992"/>
    <w:rsid w:val="29700F10"/>
    <w:rsid w:val="29C75BF1"/>
    <w:rsid w:val="2A3537E9"/>
    <w:rsid w:val="2ACE41CF"/>
    <w:rsid w:val="2B116393"/>
    <w:rsid w:val="2B280230"/>
    <w:rsid w:val="2B2B6B34"/>
    <w:rsid w:val="2B3C1752"/>
    <w:rsid w:val="2B6407D7"/>
    <w:rsid w:val="2B68020E"/>
    <w:rsid w:val="2BC96FB4"/>
    <w:rsid w:val="2BCB1CCD"/>
    <w:rsid w:val="2BED42B0"/>
    <w:rsid w:val="2BF72439"/>
    <w:rsid w:val="2C120FBA"/>
    <w:rsid w:val="2C2926C2"/>
    <w:rsid w:val="2C2D516F"/>
    <w:rsid w:val="2CF23076"/>
    <w:rsid w:val="2D1550EE"/>
    <w:rsid w:val="2D270E95"/>
    <w:rsid w:val="2D3B7778"/>
    <w:rsid w:val="2DA43847"/>
    <w:rsid w:val="2DBF0548"/>
    <w:rsid w:val="2DDB109D"/>
    <w:rsid w:val="2DE67EA2"/>
    <w:rsid w:val="2E28596F"/>
    <w:rsid w:val="2E503645"/>
    <w:rsid w:val="2E8F6D9B"/>
    <w:rsid w:val="2E943024"/>
    <w:rsid w:val="2F545A81"/>
    <w:rsid w:val="2F5A0B88"/>
    <w:rsid w:val="2F676C11"/>
    <w:rsid w:val="2F6D2B41"/>
    <w:rsid w:val="301532EA"/>
    <w:rsid w:val="30377C0B"/>
    <w:rsid w:val="303C7515"/>
    <w:rsid w:val="30450F97"/>
    <w:rsid w:val="30592DBB"/>
    <w:rsid w:val="309B5AA8"/>
    <w:rsid w:val="30D74F49"/>
    <w:rsid w:val="31032936"/>
    <w:rsid w:val="310E7A63"/>
    <w:rsid w:val="315F2B6B"/>
    <w:rsid w:val="31C75A19"/>
    <w:rsid w:val="31F65444"/>
    <w:rsid w:val="31FD2DFF"/>
    <w:rsid w:val="31FE1724"/>
    <w:rsid w:val="32393EA5"/>
    <w:rsid w:val="32505F18"/>
    <w:rsid w:val="325B5CA8"/>
    <w:rsid w:val="32844C58"/>
    <w:rsid w:val="32E57142"/>
    <w:rsid w:val="330149B7"/>
    <w:rsid w:val="33062B8C"/>
    <w:rsid w:val="3314415B"/>
    <w:rsid w:val="3373322C"/>
    <w:rsid w:val="343E2D93"/>
    <w:rsid w:val="345D70F2"/>
    <w:rsid w:val="348A0827"/>
    <w:rsid w:val="34DF4479"/>
    <w:rsid w:val="353C2939"/>
    <w:rsid w:val="35956D0A"/>
    <w:rsid w:val="35AC7563"/>
    <w:rsid w:val="35C325F8"/>
    <w:rsid w:val="35E36877"/>
    <w:rsid w:val="35E55CD1"/>
    <w:rsid w:val="35EC1630"/>
    <w:rsid w:val="35EF4932"/>
    <w:rsid w:val="361653D4"/>
    <w:rsid w:val="36723A2B"/>
    <w:rsid w:val="3678556E"/>
    <w:rsid w:val="36C40E55"/>
    <w:rsid w:val="36EF37C9"/>
    <w:rsid w:val="37685E7A"/>
    <w:rsid w:val="37800460"/>
    <w:rsid w:val="37920AEE"/>
    <w:rsid w:val="37D556C3"/>
    <w:rsid w:val="384A7A41"/>
    <w:rsid w:val="385B2EF8"/>
    <w:rsid w:val="38905D39"/>
    <w:rsid w:val="38A774A1"/>
    <w:rsid w:val="38B2148E"/>
    <w:rsid w:val="38C068C5"/>
    <w:rsid w:val="38D94CED"/>
    <w:rsid w:val="391E1F52"/>
    <w:rsid w:val="39465DF3"/>
    <w:rsid w:val="394A5FF0"/>
    <w:rsid w:val="396B5391"/>
    <w:rsid w:val="3A593B03"/>
    <w:rsid w:val="3A7845C1"/>
    <w:rsid w:val="3A914A27"/>
    <w:rsid w:val="3B352BD2"/>
    <w:rsid w:val="3B43014D"/>
    <w:rsid w:val="3BB719E6"/>
    <w:rsid w:val="3BCC0025"/>
    <w:rsid w:val="3BCF17A7"/>
    <w:rsid w:val="3C052A44"/>
    <w:rsid w:val="3C3505F9"/>
    <w:rsid w:val="3C356645"/>
    <w:rsid w:val="3CAC15D2"/>
    <w:rsid w:val="3CB20F70"/>
    <w:rsid w:val="3D061283"/>
    <w:rsid w:val="3DD72468"/>
    <w:rsid w:val="3DDA79A5"/>
    <w:rsid w:val="3E054764"/>
    <w:rsid w:val="3E107CA2"/>
    <w:rsid w:val="3E4B02B0"/>
    <w:rsid w:val="3E504A51"/>
    <w:rsid w:val="3E5D7F6D"/>
    <w:rsid w:val="3E720BBD"/>
    <w:rsid w:val="3E7F0FD3"/>
    <w:rsid w:val="3F3A7B06"/>
    <w:rsid w:val="3F4E727B"/>
    <w:rsid w:val="3F4E7974"/>
    <w:rsid w:val="3F8F4793"/>
    <w:rsid w:val="3F9600B4"/>
    <w:rsid w:val="3F9E131B"/>
    <w:rsid w:val="40214590"/>
    <w:rsid w:val="402B7E3F"/>
    <w:rsid w:val="40575044"/>
    <w:rsid w:val="40A1781F"/>
    <w:rsid w:val="40A801E1"/>
    <w:rsid w:val="40AB238A"/>
    <w:rsid w:val="411F71B7"/>
    <w:rsid w:val="41322588"/>
    <w:rsid w:val="41B32333"/>
    <w:rsid w:val="41DD6993"/>
    <w:rsid w:val="421D2353"/>
    <w:rsid w:val="427A506E"/>
    <w:rsid w:val="4284303B"/>
    <w:rsid w:val="42847D13"/>
    <w:rsid w:val="42AA07D4"/>
    <w:rsid w:val="42AD7A50"/>
    <w:rsid w:val="42CE1FCF"/>
    <w:rsid w:val="431E58B7"/>
    <w:rsid w:val="432B278D"/>
    <w:rsid w:val="43825D54"/>
    <w:rsid w:val="4388488F"/>
    <w:rsid w:val="43A8521B"/>
    <w:rsid w:val="443326F0"/>
    <w:rsid w:val="444D3426"/>
    <w:rsid w:val="446737BF"/>
    <w:rsid w:val="447A6FA6"/>
    <w:rsid w:val="449E3F2F"/>
    <w:rsid w:val="4553243B"/>
    <w:rsid w:val="45834774"/>
    <w:rsid w:val="459C3C24"/>
    <w:rsid w:val="45A80E97"/>
    <w:rsid w:val="467C1E8C"/>
    <w:rsid w:val="46897314"/>
    <w:rsid w:val="46E84D4F"/>
    <w:rsid w:val="470343A1"/>
    <w:rsid w:val="4713714A"/>
    <w:rsid w:val="472B474E"/>
    <w:rsid w:val="47802038"/>
    <w:rsid w:val="478B6735"/>
    <w:rsid w:val="47B324DC"/>
    <w:rsid w:val="47EB03B5"/>
    <w:rsid w:val="47FB099F"/>
    <w:rsid w:val="483504F4"/>
    <w:rsid w:val="48394494"/>
    <w:rsid w:val="48A7564B"/>
    <w:rsid w:val="48BD099B"/>
    <w:rsid w:val="48F74ABF"/>
    <w:rsid w:val="4940640D"/>
    <w:rsid w:val="49497549"/>
    <w:rsid w:val="496C182D"/>
    <w:rsid w:val="497E123A"/>
    <w:rsid w:val="4993326C"/>
    <w:rsid w:val="49BF66B8"/>
    <w:rsid w:val="4A432BA3"/>
    <w:rsid w:val="4A57079E"/>
    <w:rsid w:val="4A72756B"/>
    <w:rsid w:val="4A797541"/>
    <w:rsid w:val="4A7F5FCD"/>
    <w:rsid w:val="4AB06299"/>
    <w:rsid w:val="4B010B09"/>
    <w:rsid w:val="4BC149DF"/>
    <w:rsid w:val="4BE30283"/>
    <w:rsid w:val="4BF37B2C"/>
    <w:rsid w:val="4CF31CB8"/>
    <w:rsid w:val="4D1E0B50"/>
    <w:rsid w:val="4D917D31"/>
    <w:rsid w:val="4E002236"/>
    <w:rsid w:val="4E4179EE"/>
    <w:rsid w:val="4E470433"/>
    <w:rsid w:val="4E767DC2"/>
    <w:rsid w:val="4E8F6F3C"/>
    <w:rsid w:val="4ED57ECB"/>
    <w:rsid w:val="4F9F7B0F"/>
    <w:rsid w:val="4FCE03C2"/>
    <w:rsid w:val="50372AC6"/>
    <w:rsid w:val="50F66874"/>
    <w:rsid w:val="510711CE"/>
    <w:rsid w:val="512438F2"/>
    <w:rsid w:val="512B0AEB"/>
    <w:rsid w:val="51B24506"/>
    <w:rsid w:val="51C90B72"/>
    <w:rsid w:val="52414FCD"/>
    <w:rsid w:val="52603064"/>
    <w:rsid w:val="52677290"/>
    <w:rsid w:val="52803B80"/>
    <w:rsid w:val="52B27FA0"/>
    <w:rsid w:val="53434A68"/>
    <w:rsid w:val="534838B6"/>
    <w:rsid w:val="53D725CB"/>
    <w:rsid w:val="542B42CD"/>
    <w:rsid w:val="547140A9"/>
    <w:rsid w:val="54B21C9B"/>
    <w:rsid w:val="54C25001"/>
    <w:rsid w:val="54CB1C1C"/>
    <w:rsid w:val="55083AF1"/>
    <w:rsid w:val="55360C50"/>
    <w:rsid w:val="55AE5125"/>
    <w:rsid w:val="56443477"/>
    <w:rsid w:val="56686407"/>
    <w:rsid w:val="5670694D"/>
    <w:rsid w:val="568203C1"/>
    <w:rsid w:val="5692044B"/>
    <w:rsid w:val="570C6A4D"/>
    <w:rsid w:val="57200AAC"/>
    <w:rsid w:val="57400FAC"/>
    <w:rsid w:val="57FA77E0"/>
    <w:rsid w:val="588472F7"/>
    <w:rsid w:val="58E443C8"/>
    <w:rsid w:val="58F12371"/>
    <w:rsid w:val="590B4AF5"/>
    <w:rsid w:val="59255366"/>
    <w:rsid w:val="592E3D42"/>
    <w:rsid w:val="5957077D"/>
    <w:rsid w:val="5A0679B5"/>
    <w:rsid w:val="5A5F5703"/>
    <w:rsid w:val="5B10408B"/>
    <w:rsid w:val="5B614E05"/>
    <w:rsid w:val="5B9F729D"/>
    <w:rsid w:val="5BBB54FB"/>
    <w:rsid w:val="5C304108"/>
    <w:rsid w:val="5CD22B72"/>
    <w:rsid w:val="5CD37180"/>
    <w:rsid w:val="5D0D0413"/>
    <w:rsid w:val="5D226ACA"/>
    <w:rsid w:val="5D3778A4"/>
    <w:rsid w:val="5D684E59"/>
    <w:rsid w:val="5D6A02A3"/>
    <w:rsid w:val="5D76641B"/>
    <w:rsid w:val="5D873867"/>
    <w:rsid w:val="5D9D4B3C"/>
    <w:rsid w:val="5DAC0B5B"/>
    <w:rsid w:val="5DEC3733"/>
    <w:rsid w:val="5E324CFB"/>
    <w:rsid w:val="5EAE580E"/>
    <w:rsid w:val="5F3351B1"/>
    <w:rsid w:val="5F373A61"/>
    <w:rsid w:val="5F6A0D11"/>
    <w:rsid w:val="5F6D6775"/>
    <w:rsid w:val="60091B2F"/>
    <w:rsid w:val="601B7887"/>
    <w:rsid w:val="60666BAE"/>
    <w:rsid w:val="608A022E"/>
    <w:rsid w:val="60CB6295"/>
    <w:rsid w:val="60EF3577"/>
    <w:rsid w:val="612F2FC5"/>
    <w:rsid w:val="61810DAC"/>
    <w:rsid w:val="61BA34EB"/>
    <w:rsid w:val="61F64342"/>
    <w:rsid w:val="62361D20"/>
    <w:rsid w:val="624F1FFB"/>
    <w:rsid w:val="626838A5"/>
    <w:rsid w:val="62743A36"/>
    <w:rsid w:val="62B214F1"/>
    <w:rsid w:val="62BD4A25"/>
    <w:rsid w:val="63146D7E"/>
    <w:rsid w:val="63230500"/>
    <w:rsid w:val="63513D97"/>
    <w:rsid w:val="63920A42"/>
    <w:rsid w:val="641D2EF1"/>
    <w:rsid w:val="64760EA5"/>
    <w:rsid w:val="64963F53"/>
    <w:rsid w:val="64C32216"/>
    <w:rsid w:val="64CC30EB"/>
    <w:rsid w:val="64D85CAF"/>
    <w:rsid w:val="64E67343"/>
    <w:rsid w:val="65240CFF"/>
    <w:rsid w:val="65611872"/>
    <w:rsid w:val="656C6C0C"/>
    <w:rsid w:val="663B0545"/>
    <w:rsid w:val="663C6FD7"/>
    <w:rsid w:val="664A1A6A"/>
    <w:rsid w:val="66690A9C"/>
    <w:rsid w:val="66846F63"/>
    <w:rsid w:val="66AE6963"/>
    <w:rsid w:val="66B5704E"/>
    <w:rsid w:val="66EF19E5"/>
    <w:rsid w:val="67F3262C"/>
    <w:rsid w:val="67F72DF6"/>
    <w:rsid w:val="6801064C"/>
    <w:rsid w:val="68083B50"/>
    <w:rsid w:val="680B3A79"/>
    <w:rsid w:val="686F0A84"/>
    <w:rsid w:val="688E629F"/>
    <w:rsid w:val="68917166"/>
    <w:rsid w:val="68CE2566"/>
    <w:rsid w:val="68DF4C87"/>
    <w:rsid w:val="69006B8C"/>
    <w:rsid w:val="69603B4A"/>
    <w:rsid w:val="696320E7"/>
    <w:rsid w:val="698A6289"/>
    <w:rsid w:val="69930F00"/>
    <w:rsid w:val="69AB5865"/>
    <w:rsid w:val="6A295EBD"/>
    <w:rsid w:val="6A6352C7"/>
    <w:rsid w:val="6ACD7664"/>
    <w:rsid w:val="6B224577"/>
    <w:rsid w:val="6B3063AB"/>
    <w:rsid w:val="6B785364"/>
    <w:rsid w:val="6B902259"/>
    <w:rsid w:val="6BC87F76"/>
    <w:rsid w:val="6C0A4E0D"/>
    <w:rsid w:val="6C2B0249"/>
    <w:rsid w:val="6D011978"/>
    <w:rsid w:val="6D4C7577"/>
    <w:rsid w:val="6D614BA0"/>
    <w:rsid w:val="6DF40034"/>
    <w:rsid w:val="6DFB3AAB"/>
    <w:rsid w:val="6E296577"/>
    <w:rsid w:val="6E2E7467"/>
    <w:rsid w:val="6E8B3828"/>
    <w:rsid w:val="6EE82A97"/>
    <w:rsid w:val="6F2548C9"/>
    <w:rsid w:val="6F65704C"/>
    <w:rsid w:val="6F670D3C"/>
    <w:rsid w:val="6F806D7A"/>
    <w:rsid w:val="6FB00B6F"/>
    <w:rsid w:val="705742C5"/>
    <w:rsid w:val="708519A6"/>
    <w:rsid w:val="70953AEF"/>
    <w:rsid w:val="70D84686"/>
    <w:rsid w:val="71103916"/>
    <w:rsid w:val="711B49BC"/>
    <w:rsid w:val="714C6B86"/>
    <w:rsid w:val="71697858"/>
    <w:rsid w:val="717C4FF8"/>
    <w:rsid w:val="718F2948"/>
    <w:rsid w:val="71C10EE3"/>
    <w:rsid w:val="71DA1C11"/>
    <w:rsid w:val="71EB3C5B"/>
    <w:rsid w:val="71F32CE0"/>
    <w:rsid w:val="721754DD"/>
    <w:rsid w:val="72D47A43"/>
    <w:rsid w:val="738144AE"/>
    <w:rsid w:val="73A94202"/>
    <w:rsid w:val="73D5303E"/>
    <w:rsid w:val="73F0565F"/>
    <w:rsid w:val="740E54B7"/>
    <w:rsid w:val="74557BA0"/>
    <w:rsid w:val="74667C0C"/>
    <w:rsid w:val="74750532"/>
    <w:rsid w:val="74A2489D"/>
    <w:rsid w:val="74DA6C11"/>
    <w:rsid w:val="750931DA"/>
    <w:rsid w:val="754427F8"/>
    <w:rsid w:val="75642364"/>
    <w:rsid w:val="756A176D"/>
    <w:rsid w:val="757B2EFF"/>
    <w:rsid w:val="757C60BA"/>
    <w:rsid w:val="75AC36CE"/>
    <w:rsid w:val="75B93025"/>
    <w:rsid w:val="75C31316"/>
    <w:rsid w:val="75CC3D65"/>
    <w:rsid w:val="75D14FF0"/>
    <w:rsid w:val="75FE6729"/>
    <w:rsid w:val="760E4EC1"/>
    <w:rsid w:val="76207A89"/>
    <w:rsid w:val="762F3558"/>
    <w:rsid w:val="763B1F21"/>
    <w:rsid w:val="76826103"/>
    <w:rsid w:val="770316D3"/>
    <w:rsid w:val="773548BB"/>
    <w:rsid w:val="77B67B5F"/>
    <w:rsid w:val="781D20DD"/>
    <w:rsid w:val="78306109"/>
    <w:rsid w:val="783B31FD"/>
    <w:rsid w:val="78497278"/>
    <w:rsid w:val="78AE2748"/>
    <w:rsid w:val="7925747B"/>
    <w:rsid w:val="792A33BB"/>
    <w:rsid w:val="7988615C"/>
    <w:rsid w:val="798F0E1C"/>
    <w:rsid w:val="79BB2739"/>
    <w:rsid w:val="79E43492"/>
    <w:rsid w:val="7A03359A"/>
    <w:rsid w:val="7A467F03"/>
    <w:rsid w:val="7A4915EA"/>
    <w:rsid w:val="7AA367B5"/>
    <w:rsid w:val="7AC55644"/>
    <w:rsid w:val="7AD02C89"/>
    <w:rsid w:val="7B0E2083"/>
    <w:rsid w:val="7B885DA6"/>
    <w:rsid w:val="7B8B1DF6"/>
    <w:rsid w:val="7B9A69BB"/>
    <w:rsid w:val="7BAC4808"/>
    <w:rsid w:val="7BE76D09"/>
    <w:rsid w:val="7C1169AE"/>
    <w:rsid w:val="7C616904"/>
    <w:rsid w:val="7C646F65"/>
    <w:rsid w:val="7C8A7419"/>
    <w:rsid w:val="7C9F4A04"/>
    <w:rsid w:val="7D5C5C78"/>
    <w:rsid w:val="7E0000DB"/>
    <w:rsid w:val="7E0D7ED1"/>
    <w:rsid w:val="7E5129C6"/>
    <w:rsid w:val="7E8B57D8"/>
    <w:rsid w:val="7F0510C2"/>
    <w:rsid w:val="7F0C4881"/>
    <w:rsid w:val="7F305838"/>
    <w:rsid w:val="7F3B73BA"/>
    <w:rsid w:val="7FCC0955"/>
    <w:rsid w:val="7FD5136B"/>
    <w:rsid w:val="7FFA4B2B"/>
    <w:rsid w:val="7FFD0EB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link w:val="31"/>
    <w:qFormat/>
    <w:uiPriority w:val="9"/>
    <w:pPr>
      <w:keepNext/>
      <w:keepLines/>
      <w:numPr>
        <w:ilvl w:val="0"/>
        <w:numId w:val="1"/>
      </w:numPr>
      <w:spacing w:before="340" w:after="330" w:line="578" w:lineRule="auto"/>
      <w:ind w:left="0" w:firstLine="0"/>
      <w:outlineLvl w:val="0"/>
    </w:pPr>
    <w:rPr>
      <w:rFonts w:eastAsia="仿宋"/>
      <w:b/>
      <w:bCs/>
      <w:kern w:val="44"/>
      <w:sz w:val="32"/>
      <w:szCs w:val="44"/>
    </w:rPr>
  </w:style>
  <w:style w:type="paragraph" w:styleId="4">
    <w:name w:val="heading 2"/>
    <w:basedOn w:val="1"/>
    <w:next w:val="1"/>
    <w:link w:val="32"/>
    <w:unhideWhenUsed/>
    <w:qFormat/>
    <w:uiPriority w:val="9"/>
    <w:pPr>
      <w:keepNext/>
      <w:keepLines/>
      <w:numPr>
        <w:ilvl w:val="0"/>
        <w:numId w:val="2"/>
      </w:numPr>
      <w:spacing w:before="260" w:after="260" w:line="416" w:lineRule="auto"/>
      <w:outlineLvl w:val="1"/>
    </w:pPr>
    <w:rPr>
      <w:rFonts w:eastAsia="仿宋" w:asciiTheme="majorHAnsi" w:hAnsiTheme="majorHAnsi" w:cstheme="majorBidi"/>
      <w:bCs/>
      <w:sz w:val="32"/>
      <w:szCs w:val="32"/>
    </w:rPr>
  </w:style>
  <w:style w:type="paragraph" w:styleId="2">
    <w:name w:val="heading 3"/>
    <w:basedOn w:val="1"/>
    <w:next w:val="1"/>
    <w:unhideWhenUsed/>
    <w:qFormat/>
    <w:uiPriority w:val="9"/>
    <w:pPr>
      <w:keepNext/>
      <w:widowControl/>
      <w:spacing w:before="240" w:after="60"/>
      <w:jc w:val="left"/>
      <w:outlineLvl w:val="2"/>
    </w:pPr>
    <w:rPr>
      <w:rFonts w:ascii="Cambria" w:hAnsi="Cambria" w:eastAsia="宋体"/>
      <w:b/>
      <w:bCs/>
      <w:kern w:val="0"/>
      <w:sz w:val="26"/>
      <w:szCs w:val="26"/>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annotation text"/>
    <w:basedOn w:val="1"/>
    <w:link w:val="38"/>
    <w:semiHidden/>
    <w:unhideWhenUsed/>
    <w:qFormat/>
    <w:uiPriority w:val="99"/>
    <w:pPr>
      <w:jc w:val="left"/>
    </w:pPr>
  </w:style>
  <w:style w:type="paragraph" w:styleId="7">
    <w:name w:val="Body Text"/>
    <w:basedOn w:val="1"/>
    <w:qFormat/>
    <w:uiPriority w:val="0"/>
  </w:style>
  <w:style w:type="paragraph" w:styleId="8">
    <w:name w:val="Body Text Indent"/>
    <w:basedOn w:val="1"/>
    <w:qFormat/>
    <w:uiPriority w:val="0"/>
    <w:pPr>
      <w:ind w:firstLine="660"/>
    </w:pPr>
    <w:rPr>
      <w:sz w:val="30"/>
    </w:rPr>
  </w:style>
  <w:style w:type="paragraph" w:styleId="9">
    <w:name w:val="toc 3"/>
    <w:basedOn w:val="1"/>
    <w:next w:val="1"/>
    <w:semiHidden/>
    <w:unhideWhenUsed/>
    <w:qFormat/>
    <w:uiPriority w:val="39"/>
    <w:pPr>
      <w:ind w:left="840" w:leftChars="400"/>
    </w:pPr>
  </w:style>
  <w:style w:type="paragraph" w:styleId="10">
    <w:name w:val="Balloon Text"/>
    <w:basedOn w:val="1"/>
    <w:link w:val="37"/>
    <w:semiHidden/>
    <w:unhideWhenUsed/>
    <w:qFormat/>
    <w:uiPriority w:val="99"/>
    <w:rPr>
      <w:sz w:val="18"/>
      <w:szCs w:val="18"/>
    </w:rPr>
  </w:style>
  <w:style w:type="paragraph" w:styleId="11">
    <w:name w:val="footer"/>
    <w:basedOn w:val="1"/>
    <w:link w:val="29"/>
    <w:unhideWhenUsed/>
    <w:qFormat/>
    <w:uiPriority w:val="99"/>
    <w:pPr>
      <w:tabs>
        <w:tab w:val="center" w:pos="4153"/>
        <w:tab w:val="right" w:pos="8306"/>
      </w:tabs>
      <w:snapToGrid w:val="0"/>
      <w:jc w:val="left"/>
    </w:pPr>
    <w:rPr>
      <w:sz w:val="18"/>
      <w:szCs w:val="18"/>
    </w:rPr>
  </w:style>
  <w:style w:type="paragraph" w:styleId="12">
    <w:name w:val="header"/>
    <w:basedOn w:val="1"/>
    <w:link w:val="28"/>
    <w:unhideWhenUsed/>
    <w:qFormat/>
    <w:uiPriority w:val="99"/>
    <w:pPr>
      <w:pBdr>
        <w:bottom w:val="single" w:color="auto" w:sz="6" w:space="1"/>
      </w:pBdr>
      <w:tabs>
        <w:tab w:val="center" w:pos="4153"/>
        <w:tab w:val="right" w:pos="8306"/>
      </w:tabs>
      <w:snapToGrid w:val="0"/>
      <w:jc w:val="center"/>
    </w:pPr>
    <w:rPr>
      <w:sz w:val="18"/>
      <w:szCs w:val="18"/>
    </w:rPr>
  </w:style>
  <w:style w:type="paragraph" w:styleId="13">
    <w:name w:val="toc 1"/>
    <w:basedOn w:val="1"/>
    <w:next w:val="1"/>
    <w:qFormat/>
    <w:uiPriority w:val="39"/>
    <w:rPr>
      <w:rFonts w:ascii="Times New Roman" w:hAnsi="Times New Roman" w:eastAsia="宋体" w:cs="Times New Roman"/>
    </w:rPr>
  </w:style>
  <w:style w:type="paragraph" w:styleId="14">
    <w:name w:val="toc 2"/>
    <w:basedOn w:val="1"/>
    <w:next w:val="1"/>
    <w:semiHidden/>
    <w:unhideWhenUsed/>
    <w:qFormat/>
    <w:uiPriority w:val="39"/>
    <w:pPr>
      <w:ind w:left="420" w:leftChars="200"/>
    </w:pPr>
  </w:style>
  <w:style w:type="paragraph" w:styleId="15">
    <w:name w:val="Normal (Web)"/>
    <w:basedOn w:val="1"/>
    <w:semiHidden/>
    <w:unhideWhenUsed/>
    <w:qFormat/>
    <w:uiPriority w:val="99"/>
    <w:pPr>
      <w:spacing w:before="0" w:beforeAutospacing="1" w:after="0" w:afterAutospacing="1"/>
      <w:ind w:left="0" w:right="0"/>
      <w:jc w:val="left"/>
    </w:pPr>
    <w:rPr>
      <w:kern w:val="0"/>
      <w:sz w:val="14"/>
      <w:szCs w:val="14"/>
      <w:lang w:val="en-US" w:eastAsia="zh-CN" w:bidi="ar"/>
    </w:rPr>
  </w:style>
  <w:style w:type="paragraph" w:styleId="16">
    <w:name w:val="annotation subject"/>
    <w:basedOn w:val="6"/>
    <w:next w:val="6"/>
    <w:link w:val="39"/>
    <w:semiHidden/>
    <w:unhideWhenUsed/>
    <w:qFormat/>
    <w:uiPriority w:val="99"/>
    <w:rPr>
      <w:b/>
      <w:bCs/>
    </w:rPr>
  </w:style>
  <w:style w:type="paragraph" w:styleId="17">
    <w:name w:val="Body Text First Indent"/>
    <w:basedOn w:val="7"/>
    <w:semiHidden/>
    <w:unhideWhenUsed/>
    <w:qFormat/>
    <w:uiPriority w:val="99"/>
    <w:pPr>
      <w:ind w:firstLine="420" w:firstLineChars="100"/>
    </w:pPr>
  </w:style>
  <w:style w:type="paragraph" w:styleId="18">
    <w:name w:val="Body Text First Indent 2"/>
    <w:basedOn w:val="8"/>
    <w:qFormat/>
    <w:uiPriority w:val="0"/>
    <w:pPr>
      <w:tabs>
        <w:tab w:val="left" w:pos="180"/>
        <w:tab w:val="left" w:pos="540"/>
      </w:tabs>
      <w:ind w:firstLine="420" w:firstLineChars="200"/>
    </w:pPr>
  </w:style>
  <w:style w:type="table" w:styleId="20">
    <w:name w:val="Table Grid"/>
    <w:basedOn w:val="19"/>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Strong"/>
    <w:basedOn w:val="21"/>
    <w:qFormat/>
    <w:uiPriority w:val="0"/>
    <w:rPr>
      <w:b/>
      <w:bCs/>
    </w:rPr>
  </w:style>
  <w:style w:type="character" w:styleId="23">
    <w:name w:val="FollowedHyperlink"/>
    <w:basedOn w:val="21"/>
    <w:semiHidden/>
    <w:unhideWhenUsed/>
    <w:qFormat/>
    <w:uiPriority w:val="99"/>
    <w:rPr>
      <w:color w:val="000000"/>
      <w:u w:val="none"/>
    </w:rPr>
  </w:style>
  <w:style w:type="character" w:styleId="24">
    <w:name w:val="Emphasis"/>
    <w:basedOn w:val="21"/>
    <w:qFormat/>
    <w:uiPriority w:val="20"/>
  </w:style>
  <w:style w:type="character" w:styleId="25">
    <w:name w:val="Hyperlink"/>
    <w:basedOn w:val="21"/>
    <w:semiHidden/>
    <w:unhideWhenUsed/>
    <w:qFormat/>
    <w:uiPriority w:val="99"/>
    <w:rPr>
      <w:color w:val="000000"/>
      <w:u w:val="none"/>
    </w:rPr>
  </w:style>
  <w:style w:type="character" w:styleId="26">
    <w:name w:val="annotation reference"/>
    <w:basedOn w:val="21"/>
    <w:semiHidden/>
    <w:unhideWhenUsed/>
    <w:qFormat/>
    <w:uiPriority w:val="99"/>
    <w:rPr>
      <w:sz w:val="21"/>
      <w:szCs w:val="21"/>
    </w:rPr>
  </w:style>
  <w:style w:type="paragraph" w:customStyle="1" w:styleId="27">
    <w:name w:val="Default"/>
    <w:qFormat/>
    <w:uiPriority w:val="0"/>
    <w:pPr>
      <w:widowControl w:val="0"/>
      <w:autoSpaceDE w:val="0"/>
      <w:autoSpaceDN w:val="0"/>
      <w:adjustRightInd w:val="0"/>
    </w:pPr>
    <w:rPr>
      <w:rFonts w:ascii="HYb2gj" w:hAnsi="Times New Roman" w:eastAsia="HYb2gj" w:cs="HYb2gj"/>
      <w:color w:val="000000"/>
      <w:sz w:val="24"/>
      <w:szCs w:val="24"/>
      <w:lang w:val="en-US" w:eastAsia="zh-CN" w:bidi="ar-SA"/>
    </w:rPr>
  </w:style>
  <w:style w:type="character" w:customStyle="1" w:styleId="28">
    <w:name w:val="页眉 Char"/>
    <w:basedOn w:val="21"/>
    <w:link w:val="12"/>
    <w:qFormat/>
    <w:uiPriority w:val="99"/>
    <w:rPr>
      <w:sz w:val="18"/>
      <w:szCs w:val="18"/>
    </w:rPr>
  </w:style>
  <w:style w:type="character" w:customStyle="1" w:styleId="29">
    <w:name w:val="页脚 Char"/>
    <w:basedOn w:val="21"/>
    <w:link w:val="11"/>
    <w:qFormat/>
    <w:uiPriority w:val="99"/>
    <w:rPr>
      <w:sz w:val="18"/>
      <w:szCs w:val="18"/>
    </w:rPr>
  </w:style>
  <w:style w:type="character" w:customStyle="1" w:styleId="30">
    <w:name w:val="font41"/>
    <w:basedOn w:val="21"/>
    <w:qFormat/>
    <w:uiPriority w:val="0"/>
    <w:rPr>
      <w:rFonts w:ascii="仿宋_GB2312" w:eastAsia="仿宋_GB2312" w:cs="仿宋_GB2312"/>
      <w:color w:val="000000"/>
      <w:sz w:val="24"/>
      <w:szCs w:val="24"/>
      <w:u w:val="none"/>
    </w:rPr>
  </w:style>
  <w:style w:type="character" w:customStyle="1" w:styleId="31">
    <w:name w:val="标题 1 Char"/>
    <w:basedOn w:val="21"/>
    <w:link w:val="3"/>
    <w:qFormat/>
    <w:uiPriority w:val="9"/>
    <w:rPr>
      <w:rFonts w:eastAsia="仿宋"/>
      <w:b/>
      <w:bCs/>
      <w:kern w:val="44"/>
      <w:sz w:val="32"/>
      <w:szCs w:val="44"/>
    </w:rPr>
  </w:style>
  <w:style w:type="character" w:customStyle="1" w:styleId="32">
    <w:name w:val="标题 2 Char"/>
    <w:basedOn w:val="21"/>
    <w:link w:val="4"/>
    <w:qFormat/>
    <w:uiPriority w:val="9"/>
    <w:rPr>
      <w:rFonts w:eastAsia="仿宋" w:asciiTheme="majorHAnsi" w:hAnsiTheme="majorHAnsi" w:cstheme="majorBidi"/>
      <w:bCs/>
      <w:sz w:val="32"/>
      <w:szCs w:val="32"/>
    </w:rPr>
  </w:style>
  <w:style w:type="paragraph" w:styleId="33">
    <w:name w:val="List Paragraph"/>
    <w:basedOn w:val="1"/>
    <w:qFormat/>
    <w:uiPriority w:val="34"/>
    <w:pPr>
      <w:ind w:firstLine="420" w:firstLineChars="200"/>
    </w:pPr>
  </w:style>
  <w:style w:type="paragraph" w:customStyle="1" w:styleId="34">
    <w:name w:val="WPSOffice手动目录 1"/>
    <w:qFormat/>
    <w:uiPriority w:val="0"/>
    <w:rPr>
      <w:rFonts w:asciiTheme="minorHAnsi" w:hAnsiTheme="minorHAnsi" w:eastAsiaTheme="minorEastAsia" w:cstheme="minorBidi"/>
      <w:lang w:val="en-US" w:eastAsia="zh-CN" w:bidi="ar-SA"/>
    </w:rPr>
  </w:style>
  <w:style w:type="paragraph" w:customStyle="1" w:styleId="3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3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37">
    <w:name w:val="批注框文本 Char"/>
    <w:basedOn w:val="21"/>
    <w:link w:val="10"/>
    <w:semiHidden/>
    <w:qFormat/>
    <w:uiPriority w:val="99"/>
    <w:rPr>
      <w:kern w:val="2"/>
      <w:sz w:val="18"/>
      <w:szCs w:val="18"/>
    </w:rPr>
  </w:style>
  <w:style w:type="character" w:customStyle="1" w:styleId="38">
    <w:name w:val="批注文字 Char"/>
    <w:basedOn w:val="21"/>
    <w:link w:val="6"/>
    <w:semiHidden/>
    <w:qFormat/>
    <w:uiPriority w:val="99"/>
    <w:rPr>
      <w:kern w:val="2"/>
      <w:sz w:val="21"/>
      <w:szCs w:val="24"/>
    </w:rPr>
  </w:style>
  <w:style w:type="character" w:customStyle="1" w:styleId="39">
    <w:name w:val="批注主题 Char"/>
    <w:basedOn w:val="38"/>
    <w:link w:val="16"/>
    <w:semiHidden/>
    <w:qFormat/>
    <w:uiPriority w:val="99"/>
    <w:rPr>
      <w:b/>
      <w:bCs/>
      <w:kern w:val="2"/>
      <w:sz w:val="21"/>
      <w:szCs w:val="24"/>
    </w:rPr>
  </w:style>
  <w:style w:type="paragraph" w:customStyle="1" w:styleId="40">
    <w:name w:val="闻政表"/>
    <w:basedOn w:val="1"/>
    <w:qFormat/>
    <w:uiPriority w:val="99"/>
    <w:pPr>
      <w:spacing w:before="60" w:after="60"/>
      <w:jc w:val="center"/>
    </w:pPr>
    <w:rPr>
      <w:rFonts w:ascii="Times New Roman" w:hAnsi="Times New Roman" w:eastAsia="仿宋_GB2312"/>
      <w:b/>
      <w:kern w:val="0"/>
      <w:sz w:val="24"/>
      <w:szCs w:val="28"/>
    </w:rPr>
  </w:style>
  <w:style w:type="paragraph" w:customStyle="1" w:styleId="41">
    <w:name w:val="列表段落1"/>
    <w:basedOn w:val="1"/>
    <w:qFormat/>
    <w:uiPriority w:val="34"/>
    <w:pPr>
      <w:ind w:firstLine="420" w:firstLineChars="200"/>
    </w:pPr>
  </w:style>
  <w:style w:type="paragraph" w:customStyle="1" w:styleId="42">
    <w:name w:val="无间隔1"/>
    <w:basedOn w:val="1"/>
    <w:qFormat/>
    <w:uiPriority w:val="1"/>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3F39DA-BB28-4752-A7CB-656F2CF4CE59}">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25</Pages>
  <Words>11283</Words>
  <Characters>11872</Characters>
  <Lines>79</Lines>
  <Paragraphs>22</Paragraphs>
  <TotalTime>46</TotalTime>
  <ScaleCrop>false</ScaleCrop>
  <LinksUpToDate>false</LinksUpToDate>
  <CharactersWithSpaces>11936</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2019-11-07T05:25:00Z</dcterms:created>
  <dc:creator>jc</dc:creator>
  <cp:lastModifiedBy>@</cp:lastModifiedBy>
  <cp:lastPrinted>2021-07-28T10:34:00Z</cp:lastPrinted>
  <dcterms:modified xsi:type="dcterms:W3CDTF">2022-09-23T04:25:13Z</dcterms:modified>
  <cp:revision>182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A8312BA226C94F5A884B33DB13DDFAF3</vt:lpwstr>
  </property>
  <property fmtid="{D5CDD505-2E9C-101B-9397-08002B2CF9AE}" pid="4" name="KSOSaveFontToCloudKey">
    <vt:lpwstr>999270995_embed</vt:lpwstr>
  </property>
</Properties>
</file>