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Theme="majorEastAsia" w:hAnsiTheme="majorEastAsia" w:eastAsiaTheme="majorEastAsia" w:cstheme="majorEastAsia"/>
          <w:kern w:val="0"/>
          <w:sz w:val="44"/>
          <w:szCs w:val="44"/>
          <w:lang w:eastAsia="zh-CN"/>
        </w:rPr>
      </w:pPr>
    </w:p>
    <w:p>
      <w:pPr>
        <w:jc w:val="center"/>
        <w:rPr>
          <w:rFonts w:hint="eastAsia" w:ascii="方正小标宋简体" w:hAnsi="方正小标宋简体" w:eastAsia="方正小标宋简体" w:cs="方正小标宋简体"/>
          <w:b w:val="0"/>
          <w:bCs w:val="0"/>
          <w:kern w:val="0"/>
          <w:sz w:val="44"/>
          <w:szCs w:val="44"/>
          <w:lang w:eastAsia="zh-CN"/>
        </w:rPr>
      </w:pPr>
      <w:r>
        <w:rPr>
          <w:rFonts w:hint="eastAsia" w:ascii="方正小标宋简体" w:hAnsi="方正小标宋简体" w:eastAsia="方正小标宋简体" w:cs="方正小标宋简体"/>
          <w:b w:val="0"/>
          <w:bCs w:val="0"/>
          <w:kern w:val="0"/>
          <w:sz w:val="44"/>
          <w:szCs w:val="44"/>
          <w:lang w:val="en-US" w:eastAsia="zh-CN"/>
        </w:rPr>
        <w:t>洛浦</w:t>
      </w:r>
      <w:r>
        <w:rPr>
          <w:rFonts w:hint="eastAsia" w:ascii="方正小标宋简体" w:hAnsi="方正小标宋简体" w:eastAsia="方正小标宋简体" w:cs="方正小标宋简体"/>
          <w:b w:val="0"/>
          <w:bCs w:val="0"/>
          <w:kern w:val="0"/>
          <w:sz w:val="44"/>
          <w:szCs w:val="44"/>
          <w:lang w:eastAsia="zh-CN"/>
        </w:rPr>
        <w:t>县林业和草原局</w:t>
      </w:r>
    </w:p>
    <w:p>
      <w:pPr>
        <w:jc w:val="center"/>
        <w:rPr>
          <w:rFonts w:hint="eastAsia" w:ascii="方正小标宋简体" w:hAnsi="方正小标宋简体" w:eastAsia="方正小标宋简体" w:cs="方正小标宋简体"/>
          <w:b w:val="0"/>
          <w:bCs w:val="0"/>
          <w:kern w:val="0"/>
          <w:sz w:val="44"/>
          <w:szCs w:val="44"/>
          <w:highlight w:val="none"/>
          <w:lang w:val="en-US" w:eastAsia="zh-CN"/>
        </w:rPr>
      </w:pPr>
      <w:r>
        <w:rPr>
          <w:rFonts w:hint="eastAsia" w:ascii="方正小标宋简体" w:hAnsi="方正小标宋简体" w:eastAsia="方正小标宋简体" w:cs="方正小标宋简体"/>
          <w:b w:val="0"/>
          <w:bCs w:val="0"/>
          <w:kern w:val="0"/>
          <w:sz w:val="44"/>
          <w:szCs w:val="44"/>
          <w:lang w:eastAsia="zh-CN"/>
        </w:rPr>
        <w:t>2021年中央林业草原生态保护恢复-生态护林员补助项目</w:t>
      </w:r>
    </w:p>
    <w:p>
      <w:pPr>
        <w:rPr>
          <w:rFonts w:ascii="Times New Roman" w:hAnsi="黑体" w:eastAsia="黑体" w:cs="宋体"/>
          <w:kern w:val="0"/>
          <w:sz w:val="24"/>
        </w:rPr>
      </w:pPr>
    </w:p>
    <w:p>
      <w:pPr>
        <w:rPr>
          <w:rFonts w:ascii="Times New Roman" w:hAnsi="黑体" w:eastAsia="黑体" w:cs="宋体"/>
          <w:kern w:val="0"/>
          <w:sz w:val="24"/>
        </w:rPr>
      </w:pPr>
    </w:p>
    <w:p>
      <w:pPr>
        <w:rPr>
          <w:rFonts w:ascii="Times New Roman" w:hAnsi="黑体" w:eastAsia="黑体" w:cs="宋体"/>
          <w:kern w:val="0"/>
          <w:sz w:val="24"/>
        </w:rPr>
      </w:pPr>
    </w:p>
    <w:p>
      <w:pPr>
        <w:rPr>
          <w:rFonts w:ascii="Times New Roman" w:hAnsi="黑体" w:eastAsia="黑体" w:cs="宋体"/>
          <w:kern w:val="0"/>
          <w:sz w:val="24"/>
        </w:rPr>
      </w:pPr>
    </w:p>
    <w:p>
      <w:pPr>
        <w:rPr>
          <w:rFonts w:ascii="Times New Roman" w:hAnsi="黑体" w:eastAsia="黑体" w:cs="宋体"/>
          <w:kern w:val="0"/>
          <w:sz w:val="24"/>
        </w:rPr>
      </w:pPr>
    </w:p>
    <w:p>
      <w:pPr>
        <w:rPr>
          <w:rFonts w:ascii="Times New Roman" w:hAnsi="黑体" w:eastAsia="黑体" w:cs="宋体"/>
          <w:kern w:val="0"/>
          <w:sz w:val="24"/>
        </w:rPr>
      </w:pPr>
    </w:p>
    <w:p>
      <w:pPr>
        <w:rPr>
          <w:rFonts w:ascii="Times New Roman" w:hAnsi="黑体" w:eastAsia="黑体" w:cs="宋体"/>
          <w:kern w:val="0"/>
          <w:sz w:val="24"/>
        </w:rPr>
      </w:pPr>
    </w:p>
    <w:p>
      <w:pPr>
        <w:jc w:val="center"/>
        <w:rPr>
          <w:rFonts w:hint="eastAsia" w:ascii="华文楷体" w:hAnsi="华文楷体" w:eastAsia="华文楷体" w:cs="华文楷体"/>
          <w:kern w:val="0"/>
          <w:sz w:val="72"/>
          <w:szCs w:val="72"/>
        </w:rPr>
      </w:pPr>
      <w:r>
        <w:rPr>
          <w:rFonts w:hint="eastAsia" w:ascii="华文楷体" w:hAnsi="华文楷体" w:eastAsia="华文楷体" w:cs="华文楷体"/>
          <w:kern w:val="0"/>
          <w:sz w:val="72"/>
          <w:szCs w:val="72"/>
        </w:rPr>
        <w:t>绩效评价报告</w:t>
      </w:r>
    </w:p>
    <w:p>
      <w:pPr>
        <w:rPr>
          <w:rFonts w:ascii="Times New Roman" w:hAnsi="黑体" w:eastAsia="黑体" w:cs="宋体"/>
          <w:kern w:val="0"/>
          <w:sz w:val="24"/>
        </w:rPr>
      </w:pPr>
    </w:p>
    <w:p>
      <w:pPr>
        <w:rPr>
          <w:rFonts w:ascii="Times New Roman" w:hAnsi="黑体" w:eastAsia="黑体" w:cs="宋体"/>
          <w:kern w:val="0"/>
          <w:sz w:val="24"/>
        </w:rPr>
      </w:pPr>
    </w:p>
    <w:p>
      <w:pPr>
        <w:rPr>
          <w:rFonts w:ascii="Times New Roman" w:hAnsi="黑体" w:eastAsia="黑体" w:cs="宋体"/>
          <w:kern w:val="0"/>
          <w:sz w:val="24"/>
        </w:rPr>
      </w:pPr>
    </w:p>
    <w:p>
      <w:pPr>
        <w:rPr>
          <w:rFonts w:ascii="Times New Roman" w:hAnsi="黑体" w:eastAsia="黑体" w:cs="宋体"/>
          <w:kern w:val="0"/>
          <w:sz w:val="24"/>
        </w:rPr>
      </w:pPr>
    </w:p>
    <w:p>
      <w:pPr>
        <w:rPr>
          <w:rFonts w:ascii="Times New Roman" w:hAnsi="黑体" w:eastAsia="黑体" w:cs="宋体"/>
          <w:kern w:val="0"/>
          <w:sz w:val="24"/>
        </w:rPr>
      </w:pPr>
    </w:p>
    <w:p>
      <w:pPr>
        <w:rPr>
          <w:rFonts w:ascii="Times New Roman" w:hAnsi="黑体" w:eastAsia="黑体" w:cs="宋体"/>
          <w:kern w:val="0"/>
          <w:sz w:val="24"/>
        </w:rPr>
      </w:pPr>
    </w:p>
    <w:p>
      <w:pPr>
        <w:pStyle w:val="4"/>
        <w:numPr>
          <w:ilvl w:val="0"/>
          <w:numId w:val="0"/>
        </w:numPr>
        <w:ind w:leftChars="0"/>
        <w:rPr>
          <w:rFonts w:ascii="Times New Roman" w:hAnsi="黑体" w:eastAsia="黑体" w:cs="宋体"/>
          <w:kern w:val="0"/>
          <w:sz w:val="24"/>
        </w:rPr>
      </w:pPr>
    </w:p>
    <w:p/>
    <w:p/>
    <w:p>
      <w:pPr>
        <w:spacing w:line="400" w:lineRule="exact"/>
        <w:ind w:firstLine="2040" w:firstLineChars="850"/>
        <w:jc w:val="left"/>
        <w:rPr>
          <w:rFonts w:ascii="黑体" w:hAnsi="黑体" w:eastAsia="黑体" w:cs="宋体"/>
          <w:kern w:val="0"/>
          <w:sz w:val="24"/>
        </w:rPr>
      </w:pPr>
      <w:r>
        <w:rPr>
          <w:rFonts w:hint="eastAsia" w:ascii="黑体" w:hAnsi="黑体" w:eastAsia="黑体" w:cs="宋体"/>
          <w:kern w:val="0"/>
          <w:sz w:val="24"/>
        </w:rPr>
        <w:t>报告编号：</w:t>
      </w:r>
      <w:r>
        <w:rPr>
          <w:rFonts w:hint="eastAsia" w:ascii="黑体" w:hAnsi="黑体" w:eastAsia="黑体" w:cs="宋体"/>
          <w:kern w:val="0"/>
          <w:sz w:val="24"/>
          <w:highlight w:val="none"/>
        </w:rPr>
        <w:t>中瑞诚喀绩评字[202</w:t>
      </w:r>
      <w:r>
        <w:rPr>
          <w:rFonts w:hint="eastAsia" w:ascii="黑体" w:hAnsi="黑体" w:eastAsia="黑体" w:cs="宋体"/>
          <w:kern w:val="0"/>
          <w:sz w:val="24"/>
          <w:highlight w:val="none"/>
          <w:lang w:val="en-US" w:eastAsia="zh-CN"/>
        </w:rPr>
        <w:t>2</w:t>
      </w:r>
      <w:r>
        <w:rPr>
          <w:rFonts w:hint="eastAsia" w:ascii="黑体" w:hAnsi="黑体" w:eastAsia="黑体" w:cs="宋体"/>
          <w:kern w:val="0"/>
          <w:sz w:val="24"/>
          <w:highlight w:val="none"/>
        </w:rPr>
        <w:t>]</w:t>
      </w:r>
      <w:r>
        <w:rPr>
          <w:rFonts w:hint="eastAsia" w:ascii="黑体" w:hAnsi="黑体" w:eastAsia="黑体" w:cs="宋体"/>
          <w:kern w:val="0"/>
          <w:sz w:val="24"/>
          <w:highlight w:val="none"/>
          <w:lang w:val="en-US" w:eastAsia="zh-CN"/>
        </w:rPr>
        <w:t>144</w:t>
      </w:r>
      <w:r>
        <w:rPr>
          <w:rFonts w:hint="eastAsia" w:ascii="黑体" w:hAnsi="黑体" w:eastAsia="黑体" w:cs="宋体"/>
          <w:kern w:val="0"/>
          <w:sz w:val="24"/>
          <w:highlight w:val="none"/>
        </w:rPr>
        <w:t>号</w:t>
      </w:r>
    </w:p>
    <w:p>
      <w:pPr>
        <w:spacing w:line="400" w:lineRule="exact"/>
        <w:ind w:firstLine="2040" w:firstLineChars="850"/>
        <w:jc w:val="left"/>
        <w:rPr>
          <w:rFonts w:hint="eastAsia" w:ascii="黑体" w:hAnsi="黑体" w:eastAsia="黑体" w:cs="宋体"/>
          <w:kern w:val="0"/>
          <w:sz w:val="24"/>
        </w:rPr>
      </w:pPr>
      <w:r>
        <w:rPr>
          <w:rFonts w:hint="eastAsia" w:ascii="黑体" w:hAnsi="黑体" w:eastAsia="黑体" w:cs="宋体"/>
          <w:kern w:val="0"/>
          <w:sz w:val="24"/>
        </w:rPr>
        <w:t>委托单位：</w:t>
      </w:r>
      <w:r>
        <w:rPr>
          <w:rFonts w:hint="eastAsia" w:ascii="黑体" w:hAnsi="黑体" w:eastAsia="黑体" w:cs="宋体"/>
          <w:kern w:val="0"/>
          <w:sz w:val="24"/>
          <w:lang w:eastAsia="zh-CN"/>
        </w:rPr>
        <w:t>洛浦</w:t>
      </w:r>
      <w:r>
        <w:rPr>
          <w:rFonts w:hint="eastAsia" w:ascii="黑体" w:hAnsi="黑体" w:eastAsia="黑体" w:cs="宋体"/>
          <w:kern w:val="0"/>
          <w:sz w:val="24"/>
        </w:rPr>
        <w:t>县财政局</w:t>
      </w:r>
    </w:p>
    <w:p>
      <w:pPr>
        <w:spacing w:line="400" w:lineRule="exact"/>
        <w:ind w:firstLine="2040" w:firstLineChars="850"/>
        <w:jc w:val="left"/>
      </w:pPr>
      <w:r>
        <w:rPr>
          <w:rFonts w:hint="eastAsia" w:ascii="黑体" w:hAnsi="黑体" w:eastAsia="黑体" w:cs="宋体"/>
          <w:kern w:val="0"/>
          <w:sz w:val="24"/>
        </w:rPr>
        <w:t>评价机构：中瑞诚会计师事务所</w:t>
      </w:r>
      <w:r>
        <w:rPr>
          <w:rFonts w:hint="eastAsia" w:ascii="黑体" w:hAnsi="黑体" w:eastAsia="黑体" w:cs="宋体"/>
          <w:kern w:val="0"/>
          <w:sz w:val="24"/>
          <w:lang w:eastAsia="zh-CN"/>
        </w:rPr>
        <w:t>（特殊普通合伙）</w:t>
      </w:r>
      <w:r>
        <w:rPr>
          <w:rFonts w:hint="eastAsia" w:ascii="黑体" w:hAnsi="黑体" w:eastAsia="黑体" w:cs="宋体"/>
          <w:kern w:val="0"/>
          <w:sz w:val="24"/>
        </w:rPr>
        <w:t>喀什分所</w:t>
      </w:r>
    </w:p>
    <w:p>
      <w:pPr>
        <w:spacing w:line="400" w:lineRule="exact"/>
        <w:ind w:firstLine="2040" w:firstLineChars="850"/>
        <w:jc w:val="left"/>
        <w:rPr>
          <w:rFonts w:hint="eastAsia" w:ascii="黑体" w:hAnsi="黑体" w:eastAsia="黑体" w:cs="宋体"/>
          <w:kern w:val="0"/>
          <w:sz w:val="24"/>
        </w:rPr>
      </w:pPr>
      <w:r>
        <w:rPr>
          <w:rFonts w:hint="eastAsia" w:ascii="黑体" w:hAnsi="黑体" w:eastAsia="黑体" w:cs="宋体"/>
          <w:kern w:val="0"/>
          <w:sz w:val="24"/>
        </w:rPr>
        <w:t>报告时间：</w:t>
      </w:r>
      <w:r>
        <w:rPr>
          <w:rFonts w:hint="eastAsia" w:ascii="黑体" w:hAnsi="黑体" w:eastAsia="黑体" w:cs="宋体"/>
          <w:kern w:val="0"/>
          <w:sz w:val="24"/>
          <w:lang w:eastAsia="zh-CN"/>
        </w:rPr>
        <w:t>202</w:t>
      </w:r>
      <w:r>
        <w:rPr>
          <w:rFonts w:hint="eastAsia" w:ascii="黑体" w:hAnsi="黑体" w:eastAsia="黑体" w:cs="宋体"/>
          <w:kern w:val="0"/>
          <w:sz w:val="24"/>
          <w:lang w:val="en-US" w:eastAsia="zh-CN"/>
        </w:rPr>
        <w:t>2</w:t>
      </w:r>
      <w:r>
        <w:rPr>
          <w:rFonts w:hint="eastAsia" w:ascii="黑体" w:hAnsi="黑体" w:eastAsia="黑体" w:cs="宋体"/>
          <w:kern w:val="0"/>
          <w:sz w:val="24"/>
        </w:rPr>
        <w:t>年</w:t>
      </w:r>
      <w:r>
        <w:rPr>
          <w:rFonts w:hint="eastAsia" w:ascii="黑体" w:hAnsi="黑体" w:eastAsia="黑体" w:cs="宋体"/>
          <w:kern w:val="0"/>
          <w:sz w:val="24"/>
          <w:lang w:val="en-US" w:eastAsia="zh-CN"/>
        </w:rPr>
        <w:t>06</w:t>
      </w:r>
      <w:r>
        <w:rPr>
          <w:rFonts w:hint="eastAsia" w:ascii="黑体" w:hAnsi="黑体" w:eastAsia="黑体" w:cs="宋体"/>
          <w:kern w:val="0"/>
          <w:sz w:val="24"/>
        </w:rPr>
        <w:t>月</w:t>
      </w:r>
      <w:r>
        <w:rPr>
          <w:rFonts w:hint="eastAsia" w:ascii="黑体" w:hAnsi="黑体" w:eastAsia="黑体" w:cs="宋体"/>
          <w:kern w:val="0"/>
          <w:sz w:val="24"/>
          <w:lang w:val="en-US" w:eastAsia="zh-CN"/>
        </w:rPr>
        <w:t>30</w:t>
      </w:r>
      <w:r>
        <w:rPr>
          <w:rFonts w:hint="eastAsia" w:ascii="黑体" w:hAnsi="黑体" w:eastAsia="黑体" w:cs="宋体"/>
          <w:kern w:val="0"/>
          <w:sz w:val="24"/>
        </w:rPr>
        <w:t>日</w:t>
      </w:r>
    </w:p>
    <w:tbl>
      <w:tblPr>
        <w:tblStyle w:val="20"/>
        <w:tblpPr w:leftFromText="180" w:rightFromText="180" w:vertAnchor="text" w:horzAnchor="margin" w:tblpX="1" w:tblpY="-77"/>
        <w:tblOverlap w:val="never"/>
        <w:tblW w:w="8983" w:type="dxa"/>
        <w:tblInd w:w="0" w:type="dxa"/>
        <w:tblLayout w:type="fixed"/>
        <w:tblCellMar>
          <w:top w:w="15" w:type="dxa"/>
          <w:left w:w="15" w:type="dxa"/>
          <w:bottom w:w="15" w:type="dxa"/>
          <w:right w:w="15" w:type="dxa"/>
        </w:tblCellMar>
      </w:tblPr>
      <w:tblGrid>
        <w:gridCol w:w="1291"/>
        <w:gridCol w:w="954"/>
        <w:gridCol w:w="180"/>
        <w:gridCol w:w="284"/>
        <w:gridCol w:w="850"/>
        <w:gridCol w:w="851"/>
        <w:gridCol w:w="81"/>
        <w:gridCol w:w="202"/>
        <w:gridCol w:w="992"/>
        <w:gridCol w:w="709"/>
        <w:gridCol w:w="343"/>
        <w:gridCol w:w="994"/>
        <w:gridCol w:w="1252"/>
      </w:tblGrid>
      <w:tr>
        <w:tblPrEx>
          <w:tblCellMar>
            <w:top w:w="15" w:type="dxa"/>
            <w:left w:w="15" w:type="dxa"/>
            <w:bottom w:w="15" w:type="dxa"/>
            <w:right w:w="15" w:type="dxa"/>
          </w:tblCellMar>
        </w:tblPrEx>
        <w:trPr>
          <w:trHeight w:val="462" w:hRule="atLeast"/>
        </w:trPr>
        <w:tc>
          <w:tcPr>
            <w:tcW w:w="8983" w:type="dxa"/>
            <w:gridSpan w:val="13"/>
            <w:shd w:val="clear" w:color="auto" w:fill="auto"/>
            <w:vAlign w:val="center"/>
          </w:tcPr>
          <w:p>
            <w:pPr>
              <w:widowControl/>
              <w:jc w:val="left"/>
              <w:textAlignment w:val="center"/>
              <w:rPr>
                <w:rFonts w:hint="eastAsia" w:ascii="黑体" w:hAnsi="宋体" w:eastAsia="黑体" w:cs="黑体"/>
                <w:color w:val="000000"/>
                <w:sz w:val="24"/>
                <w:lang w:eastAsia="zh-CN"/>
              </w:rPr>
            </w:pPr>
            <w:r>
              <w:rPr>
                <w:rFonts w:hint="eastAsia" w:ascii="黑体" w:hAnsi="宋体" w:eastAsia="黑体" w:cs="黑体"/>
                <w:color w:val="000000"/>
                <w:kern w:val="0"/>
                <w:sz w:val="24"/>
              </w:rPr>
              <w:t>评价分值：</w:t>
            </w:r>
            <w:r>
              <w:rPr>
                <w:rFonts w:hint="eastAsia" w:ascii="黑体" w:hAnsi="宋体" w:eastAsia="黑体" w:cs="黑体"/>
                <w:color w:val="000000"/>
                <w:kern w:val="0"/>
                <w:sz w:val="24"/>
                <w:lang w:val="en-US" w:eastAsia="zh-CN"/>
              </w:rPr>
              <w:t>99.96</w:t>
            </w:r>
            <w:r>
              <w:rPr>
                <w:rStyle w:val="31"/>
                <w:rFonts w:hint="eastAsia" w:hAnsi="宋体"/>
              </w:rPr>
              <w:t xml:space="preserve"> </w:t>
            </w:r>
            <w:r>
              <w:rPr>
                <w:rFonts w:hint="eastAsia" w:ascii="黑体" w:hAnsi="宋体" w:eastAsia="黑体" w:cs="黑体"/>
                <w:color w:val="000000"/>
                <w:kern w:val="0"/>
                <w:sz w:val="24"/>
              </w:rPr>
              <w:t>评价等级：</w:t>
            </w:r>
            <w:r>
              <w:rPr>
                <w:rFonts w:hint="eastAsia" w:ascii="黑体" w:hAnsi="宋体" w:eastAsia="黑体" w:cs="黑体"/>
                <w:color w:val="000000"/>
                <w:kern w:val="0"/>
                <w:sz w:val="24"/>
                <w:lang w:val="en-US" w:eastAsia="zh-CN"/>
              </w:rPr>
              <w:t>优</w:t>
            </w:r>
          </w:p>
        </w:tc>
      </w:tr>
      <w:tr>
        <w:tblPrEx>
          <w:tblCellMar>
            <w:top w:w="15" w:type="dxa"/>
            <w:left w:w="15" w:type="dxa"/>
            <w:bottom w:w="15" w:type="dxa"/>
            <w:right w:w="15" w:type="dxa"/>
          </w:tblCellMar>
        </w:tblPrEx>
        <w:trPr>
          <w:trHeight w:val="510" w:hRule="atLeast"/>
        </w:trPr>
        <w:tc>
          <w:tcPr>
            <w:tcW w:w="8983" w:type="dxa"/>
            <w:gridSpan w:val="13"/>
            <w:shd w:val="clear" w:color="auto" w:fill="auto"/>
            <w:vAlign w:val="center"/>
          </w:tcPr>
          <w:p>
            <w:pPr>
              <w:widowControl/>
              <w:jc w:val="center"/>
              <w:textAlignment w:val="center"/>
              <w:rPr>
                <w:rFonts w:ascii="黑体" w:hAnsi="宋体" w:eastAsia="黑体" w:cs="黑体"/>
                <w:b/>
                <w:color w:val="000000"/>
                <w:sz w:val="36"/>
                <w:szCs w:val="36"/>
              </w:rPr>
            </w:pPr>
            <w:r>
              <w:rPr>
                <w:rFonts w:hint="eastAsia" w:ascii="黑体" w:hAnsi="宋体" w:eastAsia="黑体" w:cs="黑体"/>
                <w:b/>
                <w:color w:val="000000"/>
                <w:kern w:val="0"/>
                <w:sz w:val="36"/>
                <w:szCs w:val="36"/>
              </w:rPr>
              <w:t>概   要</w:t>
            </w:r>
          </w:p>
        </w:tc>
      </w:tr>
      <w:tr>
        <w:tblPrEx>
          <w:tblCellMar>
            <w:top w:w="15" w:type="dxa"/>
            <w:left w:w="15" w:type="dxa"/>
            <w:bottom w:w="15" w:type="dxa"/>
            <w:right w:w="15" w:type="dxa"/>
          </w:tblCellMar>
        </w:tblPrEx>
        <w:trPr>
          <w:trHeight w:val="330" w:hRule="atLeast"/>
        </w:trPr>
        <w:tc>
          <w:tcPr>
            <w:tcW w:w="8983" w:type="dxa"/>
            <w:gridSpan w:val="13"/>
            <w:shd w:val="clear" w:color="auto" w:fill="auto"/>
            <w:vAlign w:val="center"/>
          </w:tcPr>
          <w:p>
            <w:pPr>
              <w:widowControl/>
              <w:jc w:val="left"/>
              <w:textAlignment w:val="center"/>
              <w:rPr>
                <w:rFonts w:ascii="黑体" w:hAnsi="黑体" w:eastAsia="黑体" w:cs="仿宋_GB2312"/>
                <w:color w:val="000000"/>
                <w:sz w:val="22"/>
              </w:rPr>
            </w:pPr>
            <w:r>
              <w:rPr>
                <w:rFonts w:hint="eastAsia" w:ascii="黑体" w:hAnsi="黑体" w:eastAsia="黑体" w:cs="仿宋_GB2312"/>
                <w:color w:val="000000"/>
                <w:kern w:val="0"/>
                <w:sz w:val="22"/>
              </w:rPr>
              <w:t>评价机构全称（盖章）：中瑞诚会计师事务所</w:t>
            </w:r>
            <w:r>
              <w:rPr>
                <w:rFonts w:hint="eastAsia" w:ascii="黑体" w:hAnsi="黑体" w:eastAsia="黑体" w:cs="仿宋_GB2312"/>
                <w:color w:val="000000"/>
                <w:kern w:val="0"/>
                <w:sz w:val="22"/>
                <w:lang w:eastAsia="zh-CN"/>
              </w:rPr>
              <w:t>（特殊普通合伙）</w:t>
            </w:r>
            <w:r>
              <w:rPr>
                <w:rFonts w:hint="eastAsia" w:ascii="黑体" w:hAnsi="黑体" w:eastAsia="黑体" w:cs="仿宋_GB2312"/>
                <w:color w:val="000000"/>
                <w:kern w:val="0"/>
                <w:sz w:val="22"/>
              </w:rPr>
              <w:t xml:space="preserve">喀什分所 </w:t>
            </w:r>
            <w:r>
              <w:rPr>
                <w:rFonts w:hint="eastAsia" w:ascii="黑体" w:hAnsi="黑体" w:eastAsia="黑体" w:cs="仿宋_GB2312"/>
                <w:color w:val="000000"/>
                <w:kern w:val="0"/>
                <w:sz w:val="22"/>
                <w:lang w:val="en-US" w:eastAsia="zh-CN"/>
              </w:rPr>
              <w:t xml:space="preserve">   </w:t>
            </w:r>
            <w:r>
              <w:rPr>
                <w:rFonts w:hint="eastAsia" w:ascii="黑体" w:hAnsi="黑体" w:eastAsia="黑体" w:cs="仿宋_GB2312"/>
                <w:color w:val="000000"/>
                <w:kern w:val="0"/>
                <w:sz w:val="22"/>
              </w:rPr>
              <w:t>单位：万元、类、个</w:t>
            </w:r>
          </w:p>
        </w:tc>
      </w:tr>
      <w:tr>
        <w:tblPrEx>
          <w:tblCellMar>
            <w:top w:w="15" w:type="dxa"/>
            <w:left w:w="15" w:type="dxa"/>
            <w:bottom w:w="15" w:type="dxa"/>
            <w:right w:w="15" w:type="dxa"/>
          </w:tblCellMar>
        </w:tblPrEx>
        <w:trPr>
          <w:trHeight w:val="51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项目名称</w:t>
            </w:r>
          </w:p>
        </w:tc>
        <w:tc>
          <w:tcPr>
            <w:tcW w:w="5103" w:type="dxa"/>
            <w:gridSpan w:val="9"/>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eastAsia" w:ascii="仿宋_GB2312" w:hAnsi="宋体" w:eastAsia="仿宋_GB2312" w:cs="仿宋_GB2312"/>
                <w:color w:val="000000"/>
                <w:sz w:val="20"/>
                <w:szCs w:val="20"/>
                <w:lang w:eastAsia="zh-CN"/>
              </w:rPr>
            </w:pPr>
            <w:r>
              <w:rPr>
                <w:rFonts w:hint="eastAsia" w:ascii="仿宋_GB2312" w:hAnsi="宋体" w:eastAsia="仿宋_GB2312" w:cs="仿宋_GB2312"/>
                <w:color w:val="000000"/>
                <w:sz w:val="20"/>
                <w:szCs w:val="20"/>
                <w:lang w:eastAsia="zh-CN"/>
              </w:rPr>
              <w:t>2021年中央林业草原生态保护恢复-生态护林员补助项目</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评价年度</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eastAsia="zh-CN"/>
              </w:rPr>
              <w:t>202</w:t>
            </w:r>
            <w:r>
              <w:rPr>
                <w:rFonts w:hint="eastAsia" w:ascii="仿宋_GB2312" w:hAnsi="宋体" w:eastAsia="仿宋_GB2312" w:cs="仿宋_GB2312"/>
                <w:color w:val="000000"/>
                <w:sz w:val="20"/>
                <w:szCs w:val="20"/>
                <w:lang w:val="en-US" w:eastAsia="zh-CN"/>
              </w:rPr>
              <w:t>1</w:t>
            </w:r>
          </w:p>
        </w:tc>
      </w:tr>
      <w:tr>
        <w:tblPrEx>
          <w:tblCellMar>
            <w:top w:w="15" w:type="dxa"/>
            <w:left w:w="15" w:type="dxa"/>
            <w:bottom w:w="15" w:type="dxa"/>
            <w:right w:w="15" w:type="dxa"/>
          </w:tblCellMar>
        </w:tblPrEx>
        <w:trPr>
          <w:trHeight w:val="51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财政主管处室</w:t>
            </w:r>
          </w:p>
        </w:tc>
        <w:tc>
          <w:tcPr>
            <w:tcW w:w="3119"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rPr>
              <w:t>绩效股</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联系人及联系方式</w:t>
            </w:r>
          </w:p>
        </w:tc>
        <w:tc>
          <w:tcPr>
            <w:tcW w:w="258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高月仙15713865046</w:t>
            </w:r>
          </w:p>
        </w:tc>
      </w:tr>
      <w:tr>
        <w:tblPrEx>
          <w:tblCellMar>
            <w:top w:w="15" w:type="dxa"/>
            <w:left w:w="15" w:type="dxa"/>
            <w:bottom w:w="15" w:type="dxa"/>
            <w:right w:w="15" w:type="dxa"/>
          </w:tblCellMar>
        </w:tblPrEx>
        <w:trPr>
          <w:trHeight w:val="51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主管部门</w:t>
            </w:r>
          </w:p>
        </w:tc>
        <w:tc>
          <w:tcPr>
            <w:tcW w:w="3119"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eastAsia" w:ascii="仿宋_GB2312" w:hAnsi="宋体" w:eastAsia="仿宋_GB2312" w:cs="仿宋_GB2312"/>
                <w:color w:val="000000"/>
                <w:sz w:val="20"/>
                <w:szCs w:val="20"/>
                <w:lang w:eastAsia="zh-CN"/>
              </w:rPr>
            </w:pPr>
            <w:r>
              <w:rPr>
                <w:rFonts w:hint="eastAsia" w:ascii="仿宋_GB2312" w:hAnsi="宋体" w:eastAsia="仿宋_GB2312" w:cs="仿宋_GB2312"/>
                <w:color w:val="000000"/>
                <w:sz w:val="20"/>
                <w:szCs w:val="20"/>
                <w:lang w:val="en-US" w:eastAsia="zh-CN"/>
              </w:rPr>
              <w:t>洛浦县</w:t>
            </w:r>
            <w:r>
              <w:rPr>
                <w:rFonts w:hint="eastAsia" w:ascii="仿宋_GB2312" w:hAnsi="宋体" w:eastAsia="仿宋_GB2312" w:cs="仿宋_GB2312"/>
                <w:color w:val="000000"/>
                <w:sz w:val="20"/>
                <w:szCs w:val="20"/>
                <w:lang w:eastAsia="zh-CN"/>
              </w:rPr>
              <w:t>林业和草原局</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联系人及联系方式</w:t>
            </w:r>
          </w:p>
        </w:tc>
        <w:tc>
          <w:tcPr>
            <w:tcW w:w="258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rPr>
              <w:t>严秀琴15559401116</w:t>
            </w:r>
          </w:p>
        </w:tc>
      </w:tr>
      <w:tr>
        <w:tblPrEx>
          <w:tblCellMar>
            <w:top w:w="15" w:type="dxa"/>
            <w:left w:w="15" w:type="dxa"/>
            <w:bottom w:w="15" w:type="dxa"/>
            <w:right w:w="15" w:type="dxa"/>
          </w:tblCellMar>
        </w:tblPrEx>
        <w:trPr>
          <w:trHeight w:val="376"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自评方式</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rPr>
              <w:t xml:space="preserve"> 实地调研、文件研读等方式</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自评分值</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99.80</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自评等级</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优</w:t>
            </w:r>
          </w:p>
        </w:tc>
      </w:tr>
      <w:tr>
        <w:tblPrEx>
          <w:tblCellMar>
            <w:top w:w="15" w:type="dxa"/>
            <w:left w:w="15" w:type="dxa"/>
            <w:bottom w:w="15" w:type="dxa"/>
            <w:right w:w="15" w:type="dxa"/>
          </w:tblCellMar>
        </w:tblPrEx>
        <w:trPr>
          <w:trHeight w:val="615"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各级资金</w:t>
            </w:r>
          </w:p>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投入总数</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default" w:ascii="仿宋_GB2312" w:hAnsi="宋体" w:eastAsia="仿宋_GB2312" w:cs="仿宋_GB2312"/>
                <w:color w:val="000000"/>
                <w:sz w:val="20"/>
                <w:szCs w:val="20"/>
                <w:lang w:val="en-US" w:eastAsia="zh-CN"/>
              </w:rPr>
              <w:t>1635</w:t>
            </w:r>
            <w:r>
              <w:rPr>
                <w:rFonts w:hint="eastAsia" w:ascii="仿宋_GB2312" w:hAnsi="宋体" w:eastAsia="仿宋_GB2312" w:cs="仿宋_GB2312"/>
                <w:color w:val="000000"/>
                <w:sz w:val="20"/>
                <w:szCs w:val="20"/>
                <w:lang w:val="en-US" w:eastAsia="zh-CN"/>
              </w:rPr>
              <w:t>.00</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sz w:val="20"/>
                <w:szCs w:val="20"/>
              </w:rPr>
              <w:t>抽查资金总数</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lang w:val="en-US"/>
              </w:rPr>
            </w:pPr>
            <w:r>
              <w:rPr>
                <w:rFonts w:hint="default" w:ascii="仿宋_GB2312" w:hAnsi="宋体" w:eastAsia="仿宋_GB2312" w:cs="仿宋_GB2312"/>
                <w:color w:val="000000"/>
                <w:sz w:val="20"/>
                <w:szCs w:val="20"/>
                <w:lang w:val="en-US" w:eastAsia="zh-CN"/>
              </w:rPr>
              <w:t>1613.48</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sz w:val="20"/>
                <w:szCs w:val="20"/>
              </w:rPr>
              <w:t>资金抽查占比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98.68%</w:t>
            </w:r>
          </w:p>
        </w:tc>
      </w:tr>
      <w:tr>
        <w:tblPrEx>
          <w:tblCellMar>
            <w:top w:w="15" w:type="dxa"/>
            <w:left w:w="15" w:type="dxa"/>
            <w:bottom w:w="15" w:type="dxa"/>
            <w:right w:w="15" w:type="dxa"/>
          </w:tblCellMar>
        </w:tblPrEx>
        <w:trPr>
          <w:trHeight w:val="54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lang w:val="en-US" w:eastAsia="zh-CN"/>
              </w:rPr>
              <w:t>本级</w:t>
            </w:r>
            <w:r>
              <w:rPr>
                <w:rFonts w:hint="eastAsia" w:ascii="黑体" w:hAnsi="宋体" w:eastAsia="黑体" w:cs="黑体"/>
                <w:color w:val="000000"/>
                <w:kern w:val="0"/>
                <w:sz w:val="20"/>
                <w:szCs w:val="20"/>
              </w:rPr>
              <w:t>财政资金</w:t>
            </w:r>
          </w:p>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拨付数</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0.00</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lang w:val="en-US" w:eastAsia="zh-CN"/>
              </w:rPr>
              <w:t>本级</w:t>
            </w:r>
            <w:r>
              <w:rPr>
                <w:rFonts w:hint="eastAsia" w:ascii="黑体" w:hAnsi="宋体" w:eastAsia="黑体" w:cs="黑体"/>
                <w:color w:val="000000"/>
                <w:kern w:val="0"/>
                <w:sz w:val="20"/>
                <w:szCs w:val="20"/>
              </w:rPr>
              <w:t>财政资金</w:t>
            </w:r>
          </w:p>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抽查数</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lang w:val="en-US"/>
              </w:rPr>
            </w:pPr>
            <w:r>
              <w:rPr>
                <w:rFonts w:hint="eastAsia" w:ascii="仿宋_GB2312" w:hAnsi="宋体" w:eastAsia="仿宋_GB2312" w:cs="仿宋_GB2312"/>
                <w:color w:val="000000"/>
                <w:sz w:val="20"/>
                <w:szCs w:val="20"/>
                <w:lang w:val="en-US" w:eastAsia="zh-CN"/>
              </w:rPr>
              <w:t>0.00</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中央财政资金</w:t>
            </w:r>
          </w:p>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98.68%</w:t>
            </w:r>
          </w:p>
        </w:tc>
      </w:tr>
      <w:tr>
        <w:tblPrEx>
          <w:tblCellMar>
            <w:top w:w="15" w:type="dxa"/>
            <w:left w:w="15" w:type="dxa"/>
            <w:bottom w:w="15" w:type="dxa"/>
            <w:right w:w="15" w:type="dxa"/>
          </w:tblCellMar>
        </w:tblPrEx>
        <w:trPr>
          <w:trHeight w:val="577"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项目类别</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补助类</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抽查类别</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eastAsia"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补助类</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类别抽查占比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lang w:val="en-US" w:eastAsia="zh-CN"/>
              </w:rPr>
              <w:t>100%</w:t>
            </w:r>
          </w:p>
        </w:tc>
      </w:tr>
      <w:tr>
        <w:tblPrEx>
          <w:tblCellMar>
            <w:top w:w="15" w:type="dxa"/>
            <w:left w:w="15" w:type="dxa"/>
            <w:bottom w:w="15" w:type="dxa"/>
            <w:right w:w="15" w:type="dxa"/>
          </w:tblCellMar>
        </w:tblPrEx>
        <w:trPr>
          <w:trHeight w:val="48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项目数量</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eastAsia"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1</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抽查项目数</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eastAsia"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1</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项目抽查占比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lang w:val="en-US" w:eastAsia="zh-CN"/>
              </w:rPr>
              <w:t>100%</w:t>
            </w:r>
          </w:p>
        </w:tc>
      </w:tr>
      <w:tr>
        <w:tblPrEx>
          <w:tblCellMar>
            <w:top w:w="15" w:type="dxa"/>
            <w:left w:w="15" w:type="dxa"/>
            <w:bottom w:w="15" w:type="dxa"/>
            <w:right w:w="15" w:type="dxa"/>
          </w:tblCellMar>
        </w:tblPrEx>
        <w:trPr>
          <w:trHeight w:val="399" w:hRule="atLeast"/>
        </w:trPr>
        <w:tc>
          <w:tcPr>
            <w:tcW w:w="1291"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涉及市县数</w:t>
            </w:r>
          </w:p>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或项目点</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1</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抽查市县数</w:t>
            </w:r>
          </w:p>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或项目点</w:t>
            </w:r>
          </w:p>
        </w:tc>
        <w:tc>
          <w:tcPr>
            <w:tcW w:w="1134" w:type="dxa"/>
            <w:gridSpan w:val="3"/>
            <w:tcBorders>
              <w:top w:val="single" w:color="000000" w:sz="4" w:space="0"/>
              <w:left w:val="single" w:color="000000" w:sz="4" w:space="0"/>
              <w:bottom w:val="single" w:color="auto" w:sz="4" w:space="0"/>
              <w:right w:val="single" w:color="auto" w:sz="4" w:space="0"/>
            </w:tcBorders>
            <w:shd w:val="clear" w:color="auto" w:fill="auto"/>
            <w:vAlign w:val="center"/>
          </w:tcPr>
          <w:p>
            <w:pPr>
              <w:widowControl/>
              <w:spacing w:line="240" w:lineRule="exact"/>
              <w:jc w:val="center"/>
              <w:textAlignment w:val="center"/>
              <w:rPr>
                <w:rFonts w:hint="default" w:ascii="黑体" w:hAnsi="宋体" w:eastAsia="仿宋_GB2312" w:cs="黑体"/>
                <w:color w:val="000000"/>
                <w:kern w:val="0"/>
                <w:sz w:val="20"/>
                <w:szCs w:val="20"/>
                <w:lang w:val="en-US" w:eastAsia="zh-CN"/>
              </w:rPr>
            </w:pPr>
            <w:r>
              <w:rPr>
                <w:rFonts w:hint="eastAsia" w:ascii="黑体" w:hAnsi="宋体" w:eastAsia="仿宋_GB2312" w:cs="黑体"/>
                <w:color w:val="000000"/>
                <w:kern w:val="0"/>
                <w:sz w:val="20"/>
                <w:szCs w:val="20"/>
                <w:lang w:val="en-US" w:eastAsia="zh-CN"/>
              </w:rPr>
              <w:t>1</w:t>
            </w:r>
          </w:p>
        </w:tc>
        <w:tc>
          <w:tcPr>
            <w:tcW w:w="992" w:type="dxa"/>
            <w:tcBorders>
              <w:top w:val="single" w:color="000000" w:sz="4" w:space="0"/>
              <w:left w:val="single" w:color="auto"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抽查</w:t>
            </w:r>
          </w:p>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区域</w:t>
            </w:r>
          </w:p>
        </w:tc>
        <w:tc>
          <w:tcPr>
            <w:tcW w:w="3298" w:type="dxa"/>
            <w:gridSpan w:val="4"/>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洛浦县</w:t>
            </w:r>
          </w:p>
        </w:tc>
      </w:tr>
      <w:tr>
        <w:tblPrEx>
          <w:tblCellMar>
            <w:top w:w="15" w:type="dxa"/>
            <w:left w:w="15" w:type="dxa"/>
            <w:bottom w:w="15" w:type="dxa"/>
            <w:right w:w="15" w:type="dxa"/>
          </w:tblCellMar>
        </w:tblPrEx>
        <w:trPr>
          <w:trHeight w:val="399" w:hRule="atLeast"/>
        </w:trPr>
        <w:tc>
          <w:tcPr>
            <w:tcW w:w="1291"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发放调查</w:t>
            </w:r>
          </w:p>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问卷</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both"/>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 xml:space="preserve">      115</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有效调查</w:t>
            </w:r>
          </w:p>
          <w:p>
            <w:pPr>
              <w:widowControl/>
              <w:spacing w:line="240" w:lineRule="exact"/>
              <w:jc w:val="center"/>
              <w:textAlignment w:val="center"/>
              <w:rPr>
                <w:rFonts w:ascii="黑体" w:hAnsi="黑体" w:eastAsia="黑体" w:cs="仿宋_GB2312"/>
                <w:color w:val="000000"/>
                <w:kern w:val="0"/>
                <w:sz w:val="20"/>
                <w:szCs w:val="20"/>
              </w:rPr>
            </w:pPr>
            <w:r>
              <w:rPr>
                <w:rFonts w:hint="eastAsia" w:ascii="黑体" w:hAnsi="宋体" w:eastAsia="黑体" w:cs="黑体"/>
                <w:color w:val="000000"/>
                <w:kern w:val="0"/>
                <w:sz w:val="20"/>
                <w:szCs w:val="20"/>
              </w:rPr>
              <w:t>问卷</w:t>
            </w:r>
          </w:p>
        </w:tc>
        <w:tc>
          <w:tcPr>
            <w:tcW w:w="1134" w:type="dxa"/>
            <w:gridSpan w:val="3"/>
            <w:tcBorders>
              <w:top w:val="single" w:color="000000" w:sz="4" w:space="0"/>
              <w:left w:val="single" w:color="000000" w:sz="4" w:space="0"/>
              <w:bottom w:val="single" w:color="auto" w:sz="4" w:space="0"/>
              <w:right w:val="single" w:color="auto"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115</w:t>
            </w:r>
          </w:p>
        </w:tc>
        <w:tc>
          <w:tcPr>
            <w:tcW w:w="992" w:type="dxa"/>
            <w:tcBorders>
              <w:top w:val="single" w:color="000000" w:sz="4" w:space="0"/>
              <w:left w:val="single" w:color="auto"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满意度</w:t>
            </w:r>
          </w:p>
          <w:p>
            <w:pPr>
              <w:widowControl/>
              <w:spacing w:line="240" w:lineRule="exact"/>
              <w:jc w:val="center"/>
              <w:textAlignment w:val="center"/>
              <w:rPr>
                <w:rFonts w:ascii="仿宋_GB2312" w:hAnsi="宋体" w:eastAsia="仿宋_GB2312" w:cs="仿宋_GB2312"/>
                <w:color w:val="000000"/>
                <w:kern w:val="0"/>
                <w:sz w:val="20"/>
                <w:szCs w:val="20"/>
              </w:rPr>
            </w:pPr>
            <w:r>
              <w:rPr>
                <w:rFonts w:hint="eastAsia" w:ascii="黑体" w:hAnsi="宋体" w:eastAsia="黑体" w:cs="黑体"/>
                <w:color w:val="000000"/>
                <w:kern w:val="0"/>
                <w:sz w:val="20"/>
                <w:szCs w:val="20"/>
              </w:rPr>
              <w:t>情况</w:t>
            </w:r>
          </w:p>
        </w:tc>
        <w:tc>
          <w:tcPr>
            <w:tcW w:w="3298" w:type="dxa"/>
            <w:gridSpan w:val="4"/>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100%</w:t>
            </w:r>
          </w:p>
        </w:tc>
      </w:tr>
      <w:tr>
        <w:tblPrEx>
          <w:tblCellMar>
            <w:top w:w="15" w:type="dxa"/>
            <w:left w:w="15" w:type="dxa"/>
            <w:bottom w:w="15" w:type="dxa"/>
            <w:right w:w="15" w:type="dxa"/>
          </w:tblCellMar>
        </w:tblPrEx>
        <w:trPr>
          <w:trHeight w:val="399" w:hRule="atLeast"/>
        </w:trPr>
        <w:tc>
          <w:tcPr>
            <w:tcW w:w="1291"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highlight w:val="none"/>
              </w:rPr>
            </w:pPr>
            <w:r>
              <w:rPr>
                <w:rFonts w:hint="eastAsia" w:ascii="黑体" w:hAnsi="宋体" w:eastAsia="黑体" w:cs="黑体"/>
                <w:color w:val="000000"/>
                <w:kern w:val="0"/>
                <w:sz w:val="20"/>
                <w:szCs w:val="20"/>
                <w:highlight w:val="none"/>
              </w:rPr>
              <w:t>绩效目标</w:t>
            </w:r>
          </w:p>
          <w:p>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实现情况</w:t>
            </w:r>
          </w:p>
        </w:tc>
        <w:tc>
          <w:tcPr>
            <w:tcW w:w="7692" w:type="dxa"/>
            <w:gridSpan w:val="12"/>
            <w:tcBorders>
              <w:top w:val="single" w:color="000000" w:sz="4" w:space="0"/>
              <w:left w:val="single" w:color="000000" w:sz="4" w:space="0"/>
              <w:bottom w:val="single" w:color="auto" w:sz="4" w:space="0"/>
              <w:right w:val="single" w:color="000000" w:sz="4" w:space="0"/>
            </w:tcBorders>
            <w:shd w:val="clear" w:color="auto" w:fill="auto"/>
            <w:vAlign w:val="center"/>
          </w:tcPr>
          <w:p>
            <w:pPr>
              <w:pStyle w:val="5"/>
              <w:keepNext/>
              <w:keepLines/>
              <w:pageBreakBefore w:val="0"/>
              <w:widowControl w:val="0"/>
              <w:numPr>
                <w:ilvl w:val="0"/>
                <w:numId w:val="0"/>
              </w:numPr>
              <w:kinsoku/>
              <w:wordWrap/>
              <w:overflowPunct/>
              <w:topLinePunct w:val="0"/>
              <w:autoSpaceDE/>
              <w:autoSpaceDN/>
              <w:bidi w:val="0"/>
              <w:adjustRightInd/>
              <w:snapToGrid/>
              <w:spacing w:line="240" w:lineRule="exact"/>
              <w:textAlignment w:val="auto"/>
              <w:rPr>
                <w:rFonts w:ascii="仿宋_GB2312" w:hAnsi="宋体" w:eastAsia="仿宋_GB2312" w:cs="仿宋_GB2312"/>
                <w:color w:val="000000"/>
                <w:sz w:val="20"/>
                <w:szCs w:val="20"/>
                <w:highlight w:val="none"/>
              </w:rPr>
            </w:pPr>
            <w:r>
              <w:rPr>
                <w:rFonts w:hint="eastAsia" w:ascii="仿宋_GB2312" w:hAnsi="宋体" w:eastAsia="仿宋_GB2312" w:cs="仿宋_GB2312"/>
                <w:b w:val="0"/>
                <w:bCs w:val="0"/>
                <w:color w:val="000000"/>
                <w:kern w:val="2"/>
                <w:sz w:val="18"/>
                <w:szCs w:val="18"/>
                <w:highlight w:val="none"/>
                <w:lang w:val="en-US" w:eastAsia="zh-CN" w:bidi="ar-SA"/>
              </w:rPr>
              <w:t>完成了为1635名生态护林员发放12个月的补助，剩余21.5209万元，因护林员动态调整，未支付。管护面积不低于500亩，通过该项目的实施，解决了1635名贫困户的就业问题，按照每人每年10000元的补助标准兑现补助资金，增加了贫困户的经济收入，对壮大我县护林队伍，保护森林资源，维护生态环境，增加社会投入，促进经济发展起了基础性作用，改善了绿洲人居环境、实现了生态建设与林果业产业协调发展。</w:t>
            </w:r>
          </w:p>
        </w:tc>
      </w:tr>
      <w:tr>
        <w:tblPrEx>
          <w:tblCellMar>
            <w:top w:w="15" w:type="dxa"/>
            <w:left w:w="15" w:type="dxa"/>
            <w:bottom w:w="15" w:type="dxa"/>
            <w:right w:w="15" w:type="dxa"/>
          </w:tblCellMar>
        </w:tblPrEx>
        <w:trPr>
          <w:trHeight w:val="540" w:hRule="atLeast"/>
        </w:trPr>
        <w:tc>
          <w:tcPr>
            <w:tcW w:w="1291"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highlight w:val="none"/>
              </w:rPr>
            </w:pPr>
            <w:r>
              <w:rPr>
                <w:rFonts w:hint="eastAsia" w:ascii="黑体" w:hAnsi="宋体" w:eastAsia="黑体" w:cs="黑体"/>
                <w:color w:val="000000"/>
                <w:kern w:val="0"/>
                <w:sz w:val="20"/>
                <w:szCs w:val="20"/>
                <w:highlight w:val="none"/>
              </w:rPr>
              <w:t>评价问题</w:t>
            </w:r>
          </w:p>
          <w:p>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简要情况</w:t>
            </w:r>
          </w:p>
        </w:tc>
        <w:tc>
          <w:tcPr>
            <w:tcW w:w="7692" w:type="dxa"/>
            <w:gridSpan w:val="12"/>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exact"/>
              <w:jc w:val="left"/>
              <w:textAlignment w:val="center"/>
              <w:rPr>
                <w:rFonts w:hint="default" w:ascii="仿宋_GB2312" w:hAnsi="宋体" w:eastAsia="仿宋_GB2312" w:cs="仿宋_GB2312"/>
                <w:color w:val="000000"/>
                <w:sz w:val="20"/>
                <w:szCs w:val="20"/>
                <w:highlight w:val="yellow"/>
                <w:lang w:val="en-US" w:eastAsia="zh-CN"/>
              </w:rPr>
            </w:pPr>
            <w:r>
              <w:rPr>
                <w:rFonts w:hint="eastAsia" w:ascii="仿宋_GB2312" w:hAnsi="仿宋_GB2312" w:eastAsia="仿宋_GB2312" w:cs="仿宋_GB2312"/>
                <w:sz w:val="18"/>
                <w:szCs w:val="18"/>
                <w:highlight w:val="none"/>
                <w:lang w:val="en-US" w:eastAsia="zh-CN"/>
              </w:rPr>
              <w:t>无。</w:t>
            </w:r>
          </w:p>
        </w:tc>
      </w:tr>
      <w:tr>
        <w:tblPrEx>
          <w:tblCellMar>
            <w:top w:w="15" w:type="dxa"/>
            <w:left w:w="15" w:type="dxa"/>
            <w:bottom w:w="15" w:type="dxa"/>
            <w:right w:w="15" w:type="dxa"/>
          </w:tblCellMar>
        </w:tblPrEx>
        <w:trPr>
          <w:trHeight w:val="512" w:hRule="atLeast"/>
        </w:trPr>
        <w:tc>
          <w:tcPr>
            <w:tcW w:w="1291" w:type="dxa"/>
            <w:tcBorders>
              <w:top w:val="single" w:color="auto"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评价问题</w:t>
            </w:r>
          </w:p>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简要建议</w:t>
            </w:r>
          </w:p>
        </w:tc>
        <w:tc>
          <w:tcPr>
            <w:tcW w:w="7692" w:type="dxa"/>
            <w:gridSpan w:val="12"/>
            <w:tcBorders>
              <w:top w:val="single" w:color="auto"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240" w:lineRule="exact"/>
              <w:jc w:val="left"/>
              <w:textAlignment w:val="center"/>
              <w:rPr>
                <w:rFonts w:hint="eastAsia" w:ascii="仿宋_GB2312" w:hAnsi="宋体" w:eastAsia="仿宋_GB2312" w:cs="仿宋_GB2312"/>
                <w:color w:val="000000"/>
                <w:sz w:val="18"/>
                <w:szCs w:val="18"/>
                <w:lang w:eastAsia="zh-CN"/>
              </w:rPr>
            </w:pPr>
            <w:r>
              <w:rPr>
                <w:rFonts w:hint="eastAsia" w:ascii="仿宋_GB2312" w:hAnsi="仿宋_GB2312" w:eastAsia="仿宋_GB2312" w:cs="仿宋_GB2312"/>
                <w:sz w:val="18"/>
                <w:szCs w:val="18"/>
                <w:highlight w:val="none"/>
                <w:lang w:val="en-US" w:eastAsia="zh-CN"/>
              </w:rPr>
              <w:t>无。</w:t>
            </w:r>
          </w:p>
        </w:tc>
      </w:tr>
      <w:tr>
        <w:tblPrEx>
          <w:tblCellMar>
            <w:top w:w="15" w:type="dxa"/>
            <w:left w:w="15" w:type="dxa"/>
            <w:bottom w:w="15" w:type="dxa"/>
            <w:right w:w="15" w:type="dxa"/>
          </w:tblCellMar>
        </w:tblPrEx>
        <w:trPr>
          <w:trHeight w:val="962" w:hRule="atLeast"/>
        </w:trPr>
        <w:tc>
          <w:tcPr>
            <w:tcW w:w="1291" w:type="dxa"/>
            <w:tcBorders>
              <w:top w:val="single" w:color="auto"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sz w:val="20"/>
                <w:szCs w:val="20"/>
              </w:rPr>
              <w:t>评价结果</w:t>
            </w:r>
          </w:p>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sz w:val="20"/>
                <w:szCs w:val="20"/>
              </w:rPr>
              <w:t>应用建议</w:t>
            </w:r>
          </w:p>
        </w:tc>
        <w:tc>
          <w:tcPr>
            <w:tcW w:w="7692" w:type="dxa"/>
            <w:gridSpan w:val="12"/>
            <w:tcBorders>
              <w:top w:val="single" w:color="auto" w:sz="4" w:space="0"/>
              <w:left w:val="single" w:color="000000" w:sz="4" w:space="0"/>
              <w:bottom w:val="single" w:color="auto" w:sz="4" w:space="0"/>
              <w:right w:val="single" w:color="000000" w:sz="4" w:space="0"/>
            </w:tcBorders>
            <w:shd w:val="clear" w:color="auto" w:fill="auto"/>
            <w:vAlign w:val="center"/>
          </w:tcPr>
          <w:p>
            <w:pPr>
              <w:widowControl/>
              <w:spacing w:line="240" w:lineRule="exact"/>
              <w:jc w:val="left"/>
              <w:textAlignment w:val="center"/>
              <w:rPr>
                <w:rFonts w:ascii="仿宋_GB2312" w:hAnsi="宋体" w:eastAsia="仿宋_GB2312" w:cs="仿宋_GB2312"/>
                <w:color w:val="000000"/>
                <w:sz w:val="18"/>
                <w:szCs w:val="18"/>
                <w:highlight w:val="none"/>
              </w:rPr>
            </w:pPr>
            <w:r>
              <w:rPr>
                <w:rFonts w:hint="eastAsia" w:ascii="仿宋_GB2312" w:hAnsi="宋体" w:eastAsia="仿宋_GB2312" w:cs="仿宋_GB2312"/>
                <w:color w:val="000000"/>
                <w:sz w:val="18"/>
                <w:szCs w:val="18"/>
                <w:highlight w:val="none"/>
              </w:rPr>
              <w:t>1.建议将此次绩效评价过程中发现的问题进行及时整改；</w:t>
            </w:r>
          </w:p>
          <w:p>
            <w:pPr>
              <w:widowControl/>
              <w:spacing w:line="240" w:lineRule="exact"/>
              <w:jc w:val="left"/>
              <w:textAlignment w:val="center"/>
              <w:rPr>
                <w:rFonts w:ascii="仿宋_GB2312" w:hAnsi="宋体" w:eastAsia="仿宋_GB2312" w:cs="仿宋_GB2312"/>
                <w:color w:val="000000"/>
                <w:sz w:val="18"/>
                <w:szCs w:val="18"/>
                <w:highlight w:val="none"/>
              </w:rPr>
            </w:pPr>
            <w:r>
              <w:rPr>
                <w:rFonts w:hint="eastAsia" w:ascii="仿宋_GB2312" w:hAnsi="宋体" w:eastAsia="仿宋_GB2312" w:cs="仿宋_GB2312"/>
                <w:color w:val="000000"/>
                <w:sz w:val="18"/>
                <w:szCs w:val="18"/>
                <w:highlight w:val="none"/>
              </w:rPr>
              <w:t>2.建议加大对绩效评价结果的应用，此次绩效评价结果，可作为202</w:t>
            </w:r>
            <w:r>
              <w:rPr>
                <w:rFonts w:hint="eastAsia" w:ascii="仿宋_GB2312" w:hAnsi="宋体" w:eastAsia="仿宋_GB2312" w:cs="仿宋_GB2312"/>
                <w:color w:val="000000"/>
                <w:sz w:val="18"/>
                <w:szCs w:val="18"/>
                <w:highlight w:val="none"/>
                <w:lang w:val="en-US" w:eastAsia="zh-CN"/>
              </w:rPr>
              <w:t>2</w:t>
            </w:r>
            <w:r>
              <w:rPr>
                <w:rFonts w:hint="eastAsia" w:ascii="仿宋_GB2312" w:hAnsi="宋体" w:eastAsia="仿宋_GB2312" w:cs="仿宋_GB2312"/>
                <w:color w:val="000000"/>
                <w:sz w:val="18"/>
                <w:szCs w:val="18"/>
                <w:highlight w:val="none"/>
              </w:rPr>
              <w:t>年各部门（单位）改进管理、调整财政支出方向、预算编制和安排财政资金的重要依据；</w:t>
            </w:r>
          </w:p>
          <w:p>
            <w:pPr>
              <w:widowControl/>
              <w:spacing w:line="240" w:lineRule="exact"/>
              <w:jc w:val="left"/>
              <w:textAlignment w:val="center"/>
              <w:rPr>
                <w:rFonts w:ascii="仿宋_GB2312" w:hAnsi="宋体" w:eastAsia="仿宋_GB2312" w:cs="仿宋_GB2312"/>
                <w:color w:val="000000"/>
                <w:sz w:val="18"/>
                <w:szCs w:val="18"/>
              </w:rPr>
            </w:pPr>
            <w:r>
              <w:rPr>
                <w:rFonts w:hint="eastAsia" w:ascii="仿宋_GB2312" w:hAnsi="宋体" w:eastAsia="仿宋_GB2312" w:cs="仿宋_GB2312"/>
                <w:color w:val="000000"/>
                <w:sz w:val="18"/>
                <w:szCs w:val="18"/>
                <w:highlight w:val="none"/>
              </w:rPr>
              <w:t>3.建议建立绩效评价结果应用制度，将</w:t>
            </w:r>
            <w:r>
              <w:rPr>
                <w:rFonts w:hint="eastAsia" w:ascii="仿宋_GB2312" w:hAnsi="宋体" w:eastAsia="仿宋_GB2312" w:cs="仿宋_GB2312"/>
                <w:color w:val="000000"/>
                <w:sz w:val="18"/>
                <w:szCs w:val="18"/>
                <w:highlight w:val="none"/>
                <w:lang w:eastAsia="zh-CN"/>
              </w:rPr>
              <w:t>202</w:t>
            </w:r>
            <w:r>
              <w:rPr>
                <w:rFonts w:hint="eastAsia" w:ascii="仿宋_GB2312" w:hAnsi="宋体" w:eastAsia="仿宋_GB2312" w:cs="仿宋_GB2312"/>
                <w:color w:val="000000"/>
                <w:sz w:val="18"/>
                <w:szCs w:val="18"/>
                <w:highlight w:val="none"/>
                <w:lang w:val="en-US" w:eastAsia="zh-CN"/>
              </w:rPr>
              <w:t>1</w:t>
            </w:r>
            <w:r>
              <w:rPr>
                <w:rFonts w:hint="eastAsia" w:ascii="仿宋_GB2312" w:hAnsi="宋体" w:eastAsia="仿宋_GB2312" w:cs="仿宋_GB2312"/>
                <w:color w:val="000000"/>
                <w:sz w:val="18"/>
                <w:szCs w:val="18"/>
                <w:highlight w:val="none"/>
              </w:rPr>
              <w:t>年绩效评价结果进行公示、公开。</w:t>
            </w:r>
          </w:p>
        </w:tc>
      </w:tr>
      <w:tr>
        <w:tblPrEx>
          <w:tblCellMar>
            <w:top w:w="15" w:type="dxa"/>
            <w:left w:w="15" w:type="dxa"/>
            <w:bottom w:w="15" w:type="dxa"/>
            <w:right w:w="15" w:type="dxa"/>
          </w:tblCellMar>
        </w:tblPrEx>
        <w:trPr>
          <w:trHeight w:val="424" w:hRule="atLeast"/>
        </w:trPr>
        <w:tc>
          <w:tcPr>
            <w:tcW w:w="2245" w:type="dxa"/>
            <w:gridSpan w:val="2"/>
            <w:tcBorders>
              <w:top w:val="single" w:color="auto"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黑体" w:eastAsia="黑体" w:cs="仿宋_GB2312"/>
                <w:color w:val="000000"/>
                <w:sz w:val="20"/>
                <w:szCs w:val="20"/>
                <w:highlight w:val="none"/>
              </w:rPr>
            </w:pPr>
            <w:r>
              <w:rPr>
                <w:rFonts w:hint="eastAsia" w:ascii="黑体" w:hAnsi="黑体" w:eastAsia="黑体" w:cs="仿宋_GB2312"/>
                <w:color w:val="000000"/>
                <w:sz w:val="20"/>
                <w:szCs w:val="20"/>
                <w:highlight w:val="none"/>
              </w:rPr>
              <w:t>评价时间</w:t>
            </w:r>
          </w:p>
        </w:tc>
        <w:tc>
          <w:tcPr>
            <w:tcW w:w="2246" w:type="dxa"/>
            <w:gridSpan w:val="5"/>
            <w:tcBorders>
              <w:top w:val="single" w:color="auto" w:sz="4" w:space="0"/>
              <w:left w:val="single" w:color="000000" w:sz="4" w:space="0"/>
              <w:bottom w:val="single" w:color="auto" w:sz="4" w:space="0"/>
              <w:right w:val="single" w:color="000000" w:sz="4" w:space="0"/>
            </w:tcBorders>
            <w:shd w:val="clear" w:color="auto" w:fill="auto"/>
            <w:vAlign w:val="center"/>
          </w:tcPr>
          <w:p>
            <w:pPr>
              <w:widowControl/>
              <w:spacing w:line="240" w:lineRule="exact"/>
              <w:jc w:val="left"/>
              <w:textAlignment w:val="center"/>
              <w:rPr>
                <w:rFonts w:ascii="仿宋_GB2312" w:hAnsi="宋体" w:eastAsia="仿宋_GB2312" w:cs="仿宋_GB2312"/>
                <w:color w:val="000000"/>
                <w:sz w:val="20"/>
                <w:szCs w:val="20"/>
                <w:highlight w:val="none"/>
              </w:rPr>
            </w:pPr>
            <w:r>
              <w:rPr>
                <w:rFonts w:hint="eastAsia" w:ascii="仿宋_GB2312" w:hAnsi="宋体" w:eastAsia="仿宋_GB2312" w:cs="仿宋_GB2312"/>
                <w:color w:val="000000"/>
                <w:sz w:val="20"/>
                <w:szCs w:val="20"/>
                <w:highlight w:val="none"/>
                <w:lang w:eastAsia="zh-CN"/>
              </w:rPr>
              <w:t>202</w:t>
            </w:r>
            <w:r>
              <w:rPr>
                <w:rFonts w:hint="eastAsia" w:ascii="仿宋_GB2312" w:hAnsi="宋体" w:eastAsia="仿宋_GB2312" w:cs="仿宋_GB2312"/>
                <w:color w:val="000000"/>
                <w:sz w:val="20"/>
                <w:szCs w:val="20"/>
                <w:highlight w:val="none"/>
                <w:lang w:val="en-US" w:eastAsia="zh-CN"/>
              </w:rPr>
              <w:t>1</w:t>
            </w:r>
            <w:r>
              <w:rPr>
                <w:rFonts w:hint="eastAsia" w:ascii="仿宋_GB2312" w:hAnsi="宋体" w:eastAsia="仿宋_GB2312" w:cs="仿宋_GB2312"/>
                <w:color w:val="000000"/>
                <w:sz w:val="20"/>
                <w:szCs w:val="20"/>
                <w:highlight w:val="none"/>
              </w:rPr>
              <w:t>年</w:t>
            </w:r>
            <w:r>
              <w:rPr>
                <w:rFonts w:hint="eastAsia" w:ascii="仿宋_GB2312" w:hAnsi="宋体" w:eastAsia="仿宋_GB2312" w:cs="仿宋_GB2312"/>
                <w:color w:val="000000"/>
                <w:sz w:val="20"/>
                <w:szCs w:val="20"/>
                <w:highlight w:val="none"/>
                <w:lang w:val="en-US" w:eastAsia="zh-CN"/>
              </w:rPr>
              <w:t>1</w:t>
            </w:r>
            <w:r>
              <w:rPr>
                <w:rFonts w:hint="eastAsia" w:ascii="仿宋_GB2312" w:hAnsi="宋体" w:eastAsia="仿宋_GB2312" w:cs="仿宋_GB2312"/>
                <w:color w:val="000000"/>
                <w:sz w:val="20"/>
                <w:szCs w:val="20"/>
                <w:highlight w:val="none"/>
              </w:rPr>
              <w:t>月</w:t>
            </w:r>
            <w:r>
              <w:rPr>
                <w:rFonts w:hint="eastAsia" w:ascii="仿宋_GB2312" w:hAnsi="宋体" w:eastAsia="仿宋_GB2312" w:cs="仿宋_GB2312"/>
                <w:color w:val="000000"/>
                <w:sz w:val="20"/>
                <w:szCs w:val="20"/>
                <w:highlight w:val="none"/>
                <w:lang w:val="en-US" w:eastAsia="zh-CN"/>
              </w:rPr>
              <w:t>1</w:t>
            </w:r>
            <w:r>
              <w:rPr>
                <w:rFonts w:hint="eastAsia" w:ascii="仿宋_GB2312" w:hAnsi="宋体" w:eastAsia="仿宋_GB2312" w:cs="仿宋_GB2312"/>
                <w:color w:val="000000"/>
                <w:sz w:val="20"/>
                <w:szCs w:val="20"/>
                <w:highlight w:val="none"/>
              </w:rPr>
              <w:t>日至</w:t>
            </w:r>
            <w:r>
              <w:rPr>
                <w:rFonts w:hint="eastAsia" w:ascii="仿宋_GB2312" w:hAnsi="宋体" w:eastAsia="仿宋_GB2312" w:cs="仿宋_GB2312"/>
                <w:color w:val="000000"/>
                <w:sz w:val="20"/>
                <w:szCs w:val="20"/>
                <w:highlight w:val="none"/>
                <w:lang w:eastAsia="zh-CN"/>
              </w:rPr>
              <w:t>202</w:t>
            </w:r>
            <w:r>
              <w:rPr>
                <w:rFonts w:hint="eastAsia" w:ascii="仿宋_GB2312" w:hAnsi="宋体" w:eastAsia="仿宋_GB2312" w:cs="仿宋_GB2312"/>
                <w:color w:val="000000"/>
                <w:sz w:val="20"/>
                <w:szCs w:val="20"/>
                <w:highlight w:val="none"/>
                <w:lang w:val="en-US" w:eastAsia="zh-CN"/>
              </w:rPr>
              <w:t>2</w:t>
            </w:r>
            <w:r>
              <w:rPr>
                <w:rFonts w:hint="eastAsia" w:ascii="仿宋_GB2312" w:hAnsi="宋体" w:eastAsia="仿宋_GB2312" w:cs="仿宋_GB2312"/>
                <w:color w:val="000000"/>
                <w:sz w:val="20"/>
                <w:szCs w:val="20"/>
                <w:highlight w:val="none"/>
              </w:rPr>
              <w:t>年</w:t>
            </w:r>
            <w:r>
              <w:rPr>
                <w:rFonts w:hint="eastAsia" w:ascii="仿宋_GB2312" w:hAnsi="宋体" w:eastAsia="仿宋_GB2312" w:cs="仿宋_GB2312"/>
                <w:color w:val="000000"/>
                <w:sz w:val="20"/>
                <w:szCs w:val="20"/>
                <w:highlight w:val="none"/>
                <w:lang w:val="en-US" w:eastAsia="zh-CN"/>
              </w:rPr>
              <w:t>06</w:t>
            </w:r>
            <w:r>
              <w:rPr>
                <w:rFonts w:hint="eastAsia" w:ascii="仿宋_GB2312" w:hAnsi="宋体" w:eastAsia="仿宋_GB2312" w:cs="仿宋_GB2312"/>
                <w:color w:val="000000"/>
                <w:sz w:val="20"/>
                <w:szCs w:val="20"/>
                <w:highlight w:val="none"/>
              </w:rPr>
              <w:t>月</w:t>
            </w:r>
            <w:r>
              <w:rPr>
                <w:rFonts w:hint="eastAsia" w:ascii="仿宋_GB2312" w:hAnsi="宋体" w:eastAsia="仿宋_GB2312" w:cs="仿宋_GB2312"/>
                <w:color w:val="000000"/>
                <w:sz w:val="20"/>
                <w:szCs w:val="20"/>
                <w:highlight w:val="none"/>
                <w:lang w:val="en-US" w:eastAsia="zh-CN"/>
              </w:rPr>
              <w:t>30</w:t>
            </w:r>
            <w:r>
              <w:rPr>
                <w:rFonts w:hint="eastAsia" w:ascii="仿宋_GB2312" w:hAnsi="宋体" w:eastAsia="仿宋_GB2312" w:cs="仿宋_GB2312"/>
                <w:color w:val="000000"/>
                <w:sz w:val="20"/>
                <w:szCs w:val="20"/>
                <w:highlight w:val="none"/>
              </w:rPr>
              <w:t>日</w:t>
            </w:r>
          </w:p>
        </w:tc>
        <w:tc>
          <w:tcPr>
            <w:tcW w:w="2246" w:type="dxa"/>
            <w:gridSpan w:val="4"/>
            <w:tcBorders>
              <w:top w:val="single" w:color="auto"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黑体" w:eastAsia="黑体" w:cs="仿宋_GB2312"/>
                <w:color w:val="000000"/>
                <w:sz w:val="20"/>
                <w:szCs w:val="20"/>
              </w:rPr>
            </w:pPr>
            <w:r>
              <w:rPr>
                <w:rFonts w:hint="eastAsia" w:ascii="黑体" w:hAnsi="黑体" w:eastAsia="黑体" w:cs="仿宋_GB2312"/>
                <w:color w:val="000000"/>
                <w:sz w:val="20"/>
                <w:szCs w:val="20"/>
              </w:rPr>
              <w:t>评价机构报告编号</w:t>
            </w:r>
          </w:p>
        </w:tc>
        <w:tc>
          <w:tcPr>
            <w:tcW w:w="2246" w:type="dxa"/>
            <w:gridSpan w:val="2"/>
            <w:tcBorders>
              <w:top w:val="single" w:color="auto"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hint="eastAsia" w:ascii="黑体" w:hAnsi="黑体" w:eastAsia="黑体" w:cs="仿宋_GB2312"/>
                <w:color w:val="000000"/>
                <w:sz w:val="20"/>
                <w:szCs w:val="20"/>
              </w:rPr>
            </w:pPr>
            <w:r>
              <w:rPr>
                <w:rFonts w:hint="eastAsia" w:ascii="黑体" w:hAnsi="黑体" w:eastAsia="黑体" w:cs="仿宋_GB2312"/>
                <w:color w:val="000000"/>
                <w:sz w:val="20"/>
                <w:szCs w:val="20"/>
              </w:rPr>
              <w:t>中瑞诚喀绩评字[202</w:t>
            </w:r>
            <w:r>
              <w:rPr>
                <w:rFonts w:hint="eastAsia" w:ascii="黑体" w:hAnsi="黑体" w:eastAsia="黑体" w:cs="仿宋_GB2312"/>
                <w:color w:val="000000"/>
                <w:sz w:val="20"/>
                <w:szCs w:val="20"/>
                <w:lang w:val="en-US" w:eastAsia="zh-CN"/>
              </w:rPr>
              <w:t>2</w:t>
            </w:r>
            <w:r>
              <w:rPr>
                <w:rFonts w:hint="eastAsia" w:ascii="黑体" w:hAnsi="黑体" w:eastAsia="黑体" w:cs="仿宋_GB2312"/>
                <w:color w:val="000000"/>
                <w:sz w:val="20"/>
                <w:szCs w:val="20"/>
              </w:rPr>
              <w:t>]</w:t>
            </w:r>
            <w:r>
              <w:rPr>
                <w:rFonts w:hint="eastAsia" w:ascii="黑体" w:hAnsi="黑体" w:eastAsia="黑体" w:cs="仿宋_GB2312"/>
                <w:color w:val="000000"/>
                <w:sz w:val="20"/>
                <w:szCs w:val="20"/>
                <w:lang w:val="en-US" w:eastAsia="zh-CN"/>
              </w:rPr>
              <w:t>144</w:t>
            </w:r>
            <w:r>
              <w:rPr>
                <w:rFonts w:hint="eastAsia" w:ascii="黑体" w:hAnsi="黑体" w:eastAsia="黑体" w:cs="仿宋_GB2312"/>
                <w:color w:val="000000"/>
                <w:sz w:val="20"/>
                <w:szCs w:val="20"/>
              </w:rPr>
              <w:t>号</w:t>
            </w:r>
          </w:p>
        </w:tc>
      </w:tr>
      <w:tr>
        <w:tblPrEx>
          <w:tblCellMar>
            <w:top w:w="15" w:type="dxa"/>
            <w:left w:w="15" w:type="dxa"/>
            <w:bottom w:w="15" w:type="dxa"/>
            <w:right w:w="15" w:type="dxa"/>
          </w:tblCellMar>
        </w:tblPrEx>
        <w:trPr>
          <w:trHeight w:val="955" w:hRule="atLeast"/>
        </w:trPr>
        <w:tc>
          <w:tcPr>
            <w:tcW w:w="2245" w:type="dxa"/>
            <w:gridSpan w:val="2"/>
            <w:tcBorders>
              <w:top w:val="single" w:color="auto"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黑体" w:eastAsia="黑体" w:cs="仿宋_GB2312"/>
                <w:color w:val="000000"/>
                <w:sz w:val="20"/>
                <w:szCs w:val="20"/>
              </w:rPr>
            </w:pPr>
            <w:r>
              <w:rPr>
                <w:rFonts w:hint="eastAsia" w:ascii="黑体" w:hAnsi="黑体" w:eastAsia="黑体" w:cs="仿宋_GB2312"/>
                <w:color w:val="000000"/>
                <w:sz w:val="20"/>
                <w:szCs w:val="20"/>
              </w:rPr>
              <w:t>项目负责人（签字）</w:t>
            </w:r>
          </w:p>
          <w:p>
            <w:pPr>
              <w:widowControl/>
              <w:spacing w:line="240" w:lineRule="exact"/>
              <w:jc w:val="center"/>
              <w:textAlignment w:val="center"/>
              <w:rPr>
                <w:rFonts w:ascii="黑体" w:hAnsi="黑体" w:eastAsia="黑体" w:cs="仿宋_GB2312"/>
                <w:color w:val="000000"/>
                <w:sz w:val="20"/>
                <w:szCs w:val="20"/>
              </w:rPr>
            </w:pPr>
            <w:r>
              <w:rPr>
                <w:rFonts w:hint="eastAsia" w:ascii="黑体" w:hAnsi="黑体" w:eastAsia="黑体" w:cs="仿宋_GB2312"/>
                <w:color w:val="000000"/>
                <w:sz w:val="20"/>
                <w:szCs w:val="20"/>
              </w:rPr>
              <w:t>及联系方式</w:t>
            </w:r>
          </w:p>
        </w:tc>
        <w:tc>
          <w:tcPr>
            <w:tcW w:w="2246" w:type="dxa"/>
            <w:gridSpan w:val="5"/>
            <w:tcBorders>
              <w:top w:val="single" w:color="auto"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lang w:val="en-US"/>
              </w:rPr>
            </w:pPr>
            <w:r>
              <w:rPr>
                <w:rFonts w:hint="eastAsia" w:ascii="仿宋_GB2312" w:hAnsi="宋体" w:eastAsia="仿宋_GB2312" w:cs="仿宋_GB2312"/>
                <w:color w:val="000000"/>
                <w:sz w:val="20"/>
                <w:szCs w:val="20"/>
                <w:highlight w:val="none"/>
                <w:lang w:val="en-US" w:eastAsia="zh-CN"/>
              </w:rPr>
              <w:t>古丽热依汉 13079918673</w:t>
            </w:r>
          </w:p>
        </w:tc>
        <w:tc>
          <w:tcPr>
            <w:tcW w:w="2246" w:type="dxa"/>
            <w:gridSpan w:val="4"/>
            <w:tcBorders>
              <w:top w:val="single" w:color="auto"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黑体" w:eastAsia="黑体" w:cs="仿宋_GB2312"/>
                <w:color w:val="000000"/>
                <w:sz w:val="20"/>
                <w:szCs w:val="20"/>
              </w:rPr>
            </w:pPr>
            <w:r>
              <w:rPr>
                <w:rFonts w:hint="eastAsia" w:ascii="黑体" w:hAnsi="黑体" w:eastAsia="黑体" w:cs="仿宋_GB2312"/>
                <w:color w:val="000000"/>
                <w:sz w:val="20"/>
                <w:szCs w:val="20"/>
              </w:rPr>
              <w:t>法定代表人（签字）</w:t>
            </w:r>
          </w:p>
          <w:p>
            <w:pPr>
              <w:widowControl/>
              <w:spacing w:line="240" w:lineRule="exact"/>
              <w:jc w:val="center"/>
              <w:textAlignment w:val="center"/>
              <w:rPr>
                <w:rFonts w:ascii="黑体" w:hAnsi="黑体" w:eastAsia="黑体" w:cs="仿宋_GB2312"/>
                <w:color w:val="000000"/>
                <w:sz w:val="20"/>
                <w:szCs w:val="20"/>
              </w:rPr>
            </w:pPr>
            <w:r>
              <w:rPr>
                <w:rFonts w:hint="eastAsia" w:ascii="黑体" w:hAnsi="黑体" w:eastAsia="黑体" w:cs="仿宋_GB2312"/>
                <w:color w:val="000000"/>
                <w:sz w:val="20"/>
                <w:szCs w:val="20"/>
              </w:rPr>
              <w:t>及联系方式</w:t>
            </w:r>
          </w:p>
        </w:tc>
        <w:tc>
          <w:tcPr>
            <w:tcW w:w="2246" w:type="dxa"/>
            <w:gridSpan w:val="2"/>
            <w:tcBorders>
              <w:top w:val="single" w:color="auto"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lang w:val="en-US" w:eastAsia="zh-CN"/>
              </w:rPr>
              <w:t>叶金玲 13899129971</w:t>
            </w:r>
          </w:p>
        </w:tc>
      </w:tr>
    </w:tbl>
    <w:p>
      <w:pPr>
        <w:pStyle w:val="14"/>
        <w:tabs>
          <w:tab w:val="right" w:leader="dot" w:pos="8302"/>
        </w:tabs>
        <w:jc w:val="center"/>
        <w:rPr>
          <w:rFonts w:hint="eastAsia" w:ascii="仿宋" w:hAnsi="仿宋" w:eastAsia="仿宋" w:cs="仿宋"/>
          <w:b/>
          <w:bCs/>
          <w:sz w:val="44"/>
          <w:szCs w:val="44"/>
        </w:rPr>
      </w:pPr>
      <w:r>
        <w:rPr>
          <w:rFonts w:hint="eastAsia" w:ascii="方正小标宋简体" w:hAnsi="方正小标宋简体" w:eastAsia="方正小标宋简体" w:cs="方正小标宋简体"/>
          <w:b w:val="0"/>
          <w:bCs w:val="0"/>
          <w:sz w:val="44"/>
          <w:szCs w:val="44"/>
        </w:rPr>
        <w:t>摘   要</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ascii="仿宋" w:hAnsi="仿宋" w:eastAsia="仿宋" w:cs="仿宋"/>
          <w:sz w:val="32"/>
          <w:szCs w:val="32"/>
        </w:rPr>
      </w:pPr>
      <w:r>
        <w:rPr>
          <w:rFonts w:hint="eastAsia" w:ascii="仿宋_GB2312" w:hAnsi="仿宋_GB2312" w:eastAsia="仿宋_GB2312" w:cs="仿宋_GB2312"/>
          <w:sz w:val="32"/>
          <w:szCs w:val="32"/>
          <w:highlight w:val="none"/>
        </w:rPr>
        <w:t>为规范和加强财政资金的管理，</w:t>
      </w:r>
      <w:r>
        <w:rPr>
          <w:rFonts w:hint="eastAsia" w:ascii="仿宋_GB2312" w:hAnsi="仿宋_GB2312" w:eastAsia="仿宋_GB2312" w:cs="仿宋_GB2312"/>
          <w:sz w:val="32"/>
          <w:szCs w:val="32"/>
          <w:highlight w:val="none"/>
          <w:lang w:eastAsia="zh-CN"/>
        </w:rPr>
        <w:t>优化财政支出结构、</w:t>
      </w:r>
      <w:r>
        <w:rPr>
          <w:rFonts w:hint="eastAsia" w:ascii="仿宋_GB2312" w:hAnsi="仿宋_GB2312" w:eastAsia="仿宋_GB2312" w:cs="仿宋_GB2312"/>
          <w:sz w:val="32"/>
          <w:szCs w:val="32"/>
          <w:highlight w:val="none"/>
        </w:rPr>
        <w:t>进一步发挥绩效管理工作对财政资金使用管理的导向和激励作用，提高资金使用效益</w:t>
      </w:r>
      <w:r>
        <w:rPr>
          <w:rFonts w:hint="eastAsia" w:ascii="仿宋_GB2312" w:hAnsi="仿宋_GB2312" w:eastAsia="仿宋_GB2312" w:cs="仿宋_GB2312"/>
          <w:sz w:val="32"/>
          <w:szCs w:val="32"/>
          <w:highlight w:val="none"/>
          <w:lang w:eastAsia="zh-CN"/>
        </w:rPr>
        <w:t>，根据财政部《项目支出绩效评价管理办法》（财预〔2020〕10 号）</w:t>
      </w:r>
      <w:r>
        <w:rPr>
          <w:rFonts w:hint="eastAsia" w:ascii="仿宋_GB2312" w:hAnsi="仿宋_GB2312" w:eastAsia="仿宋_GB2312" w:cs="仿宋_GB2312"/>
          <w:sz w:val="32"/>
          <w:szCs w:val="32"/>
          <w:highlight w:val="none"/>
          <w:lang w:val="en-US" w:eastAsia="zh-CN"/>
        </w:rPr>
        <w:t>及</w:t>
      </w:r>
      <w:r>
        <w:rPr>
          <w:rFonts w:hint="eastAsia" w:ascii="仿宋_GB2312" w:hAnsi="仿宋_GB2312" w:eastAsia="仿宋_GB2312" w:cs="仿宋_GB2312"/>
          <w:sz w:val="32"/>
          <w:szCs w:val="32"/>
          <w:highlight w:val="none"/>
          <w:lang w:eastAsia="zh-CN"/>
        </w:rPr>
        <w:t>《自治区财政支出绩效评价管理暂行办法》（新财预〔2018〕189号）</w:t>
      </w:r>
      <w:r>
        <w:rPr>
          <w:rFonts w:hint="eastAsia" w:ascii="仿宋_GB2312" w:hAnsi="仿宋_GB2312" w:eastAsia="仿宋_GB2312" w:cs="仿宋_GB2312"/>
          <w:spacing w:val="-5"/>
          <w:sz w:val="32"/>
          <w:szCs w:val="32"/>
          <w:highlight w:val="none"/>
        </w:rPr>
        <w:t>相关规定，</w:t>
      </w:r>
      <w:r>
        <w:rPr>
          <w:rFonts w:hint="eastAsia" w:ascii="仿宋_GB2312" w:hAnsi="宋体" w:eastAsia="仿宋_GB2312" w:cs="仿宋_GB2312"/>
          <w:color w:val="000000"/>
          <w:sz w:val="32"/>
          <w:szCs w:val="32"/>
          <w:highlight w:val="none"/>
          <w:lang w:val="en-US" w:eastAsia="zh-CN"/>
        </w:rPr>
        <w:t>受洛浦县财政局委托，中瑞诚会计师事务所（特殊普通合伙）喀什分所作为第三方评价机构于2021年01月01日至2022年06月30日对洛浦县林业和草原局管理的2021年中央林业草原生态保护恢复-生态护林员补助项目开展了绩效评价，评价情况如下：</w:t>
      </w:r>
    </w:p>
    <w:p>
      <w:pPr>
        <w:numPr>
          <w:ilvl w:val="0"/>
          <w:numId w:val="3"/>
        </w:numPr>
        <w:adjustRightInd w:val="0"/>
        <w:snapToGrid w:val="0"/>
        <w:spacing w:line="560" w:lineRule="exact"/>
        <w:ind w:firstLine="640" w:firstLineChars="200"/>
        <w:jc w:val="left"/>
        <w:outlineLvl w:val="0"/>
        <w:rPr>
          <w:rFonts w:hint="eastAsia" w:ascii="黑体" w:hAnsi="黑体" w:eastAsia="黑体" w:cs="宋体"/>
          <w:sz w:val="32"/>
          <w:szCs w:val="32"/>
        </w:rPr>
      </w:pPr>
      <w:bookmarkStart w:id="0" w:name="_Toc1784"/>
      <w:r>
        <w:rPr>
          <w:rFonts w:hint="eastAsia" w:ascii="黑体" w:hAnsi="黑体" w:eastAsia="黑体" w:cs="宋体"/>
          <w:sz w:val="32"/>
          <w:szCs w:val="32"/>
        </w:rPr>
        <w:t>项目概述</w:t>
      </w:r>
      <w:bookmarkEnd w:id="0"/>
    </w:p>
    <w:p>
      <w:pPr>
        <w:adjustRightInd w:val="0"/>
        <w:snapToGrid w:val="0"/>
        <w:spacing w:line="560" w:lineRule="exact"/>
        <w:ind w:firstLine="640" w:firstLineChars="200"/>
        <w:jc w:val="left"/>
        <w:outlineLvl w:val="0"/>
        <w:rPr>
          <w:rFonts w:hint="eastAsia" w:ascii="仿宋_GB2312" w:hAnsi="仿宋_GB2312" w:eastAsia="仿宋_GB2312" w:cs="仿宋_GB2312"/>
          <w:color w:val="000000"/>
          <w:kern w:val="0"/>
          <w:sz w:val="32"/>
          <w:szCs w:val="32"/>
          <w:highlight w:val="none"/>
          <w:lang w:val="en-US" w:eastAsia="zh-CN"/>
        </w:rPr>
      </w:pPr>
      <w:bookmarkStart w:id="1" w:name="_Toc4382"/>
      <w:r>
        <w:rPr>
          <w:rFonts w:hint="eastAsia" w:ascii="仿宋_GB2312" w:hAnsi="仿宋_GB2312" w:eastAsia="仿宋_GB2312" w:cs="仿宋_GB2312"/>
          <w:color w:val="000000"/>
          <w:kern w:val="0"/>
          <w:sz w:val="32"/>
          <w:szCs w:val="32"/>
          <w:highlight w:val="none"/>
          <w:lang w:val="en-US" w:eastAsia="zh-CN"/>
        </w:rPr>
        <w:t>为了落实专项扶贫攻坚行动，实施富民产业，发展特色林果业，实施生态保护，产业发展一批，生态保护一批，依托全县优势产业、特色产业和新兴产业，坚持市场导向，大力发展特色林果、庭院经济、拓宽生态补偿脱贫渠道。2021年续聘建档立卡贫困人口生态护林员1635名，原则上人均管护面积不少于500亩经济林和防护林得到保护和管理。坚持把生态建设与产业发展、农民增收紧密结合，持续抓好三北防护林、重点公益林管护、森林抚育、湿地、沙化土地等林业重点工程项目建设，有效改善绿洲人居环境、实现生态建设与林果业产业协调发展。积极争取更多的特色林果产业发展项目投资和惠民生项目落地，扶持壮大和做大做强特色林果产业，使林果产业在脱贫攻坚中发挥更加突出的作用。</w:t>
      </w:r>
    </w:p>
    <w:p>
      <w:pPr>
        <w:adjustRightInd w:val="0"/>
        <w:snapToGrid w:val="0"/>
        <w:spacing w:line="560" w:lineRule="exact"/>
        <w:ind w:firstLine="640" w:firstLineChars="200"/>
        <w:jc w:val="left"/>
        <w:outlineLvl w:val="0"/>
        <w:rPr>
          <w:rFonts w:hint="eastAsia" w:ascii="仿宋_GB2312" w:hAnsi="仿宋_GB2312" w:eastAsia="仿宋_GB2312" w:cs="仿宋_GB2312"/>
          <w:color w:val="000000"/>
          <w:kern w:val="0"/>
          <w:sz w:val="32"/>
          <w:szCs w:val="32"/>
          <w:highlight w:val="none"/>
          <w:lang w:val="en-US" w:eastAsia="zh-CN"/>
        </w:rPr>
      </w:pPr>
      <w:r>
        <w:rPr>
          <w:rFonts w:hint="eastAsia" w:ascii="仿宋_GB2312" w:hAnsi="仿宋_GB2312" w:eastAsia="仿宋_GB2312" w:cs="仿宋_GB2312"/>
          <w:color w:val="000000"/>
          <w:kern w:val="0"/>
          <w:sz w:val="32"/>
          <w:szCs w:val="32"/>
          <w:highlight w:val="none"/>
          <w:lang w:val="en-US" w:eastAsia="zh-CN"/>
        </w:rPr>
        <w:t>根据《关于提前下达2021年中央林业草原生态保护恢复资金预预算的通知》（洛财字〔2020〕115号）文件要求，洛浦县林业和草原局2021年选聘1635名生态护林员，按照1万元/年的标准发放补助，人均管护面积不低于500亩。</w:t>
      </w:r>
    </w:p>
    <w:p>
      <w:pPr>
        <w:adjustRightInd w:val="0"/>
        <w:snapToGrid w:val="0"/>
        <w:spacing w:line="560" w:lineRule="exact"/>
        <w:ind w:firstLine="640" w:firstLineChars="200"/>
        <w:jc w:val="left"/>
        <w:outlineLvl w:val="0"/>
        <w:rPr>
          <w:rFonts w:hint="eastAsia" w:ascii="黑体" w:hAnsi="黑体" w:eastAsia="黑体" w:cs="宋体"/>
          <w:sz w:val="32"/>
          <w:szCs w:val="32"/>
          <w:highlight w:val="yellow"/>
          <w:lang w:eastAsia="zh-CN"/>
        </w:rPr>
      </w:pPr>
      <w:r>
        <w:rPr>
          <w:rFonts w:hint="eastAsia" w:ascii="黑体" w:hAnsi="黑体" w:eastAsia="黑体" w:cs="宋体"/>
          <w:sz w:val="32"/>
          <w:szCs w:val="32"/>
        </w:rPr>
        <w:t>二、评价工作简述</w:t>
      </w:r>
      <w:bookmarkEnd w:id="1"/>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highlight w:val="none"/>
          <w:lang w:eastAsia="zh-CN"/>
        </w:rPr>
      </w:pPr>
      <w:bookmarkStart w:id="2" w:name="_Toc13087"/>
      <w:r>
        <w:rPr>
          <w:rFonts w:hint="eastAsia" w:ascii="仿宋_GB2312" w:hAnsi="仿宋_GB2312" w:eastAsia="仿宋_GB2312" w:cs="仿宋_GB2312"/>
          <w:sz w:val="32"/>
          <w:szCs w:val="32"/>
          <w:highlight w:val="none"/>
        </w:rPr>
        <w:t>评价组自承接本项目后，立足于</w:t>
      </w:r>
      <w:r>
        <w:rPr>
          <w:rFonts w:hint="eastAsia" w:ascii="仿宋_GB2312" w:hAnsi="仿宋_GB2312" w:eastAsia="仿宋_GB2312" w:cs="仿宋_GB2312"/>
          <w:sz w:val="32"/>
          <w:szCs w:val="32"/>
          <w:highlight w:val="none"/>
          <w:lang w:eastAsia="zh-CN"/>
        </w:rPr>
        <w:t>该</w:t>
      </w:r>
      <w:r>
        <w:rPr>
          <w:rFonts w:hint="eastAsia" w:ascii="仿宋_GB2312" w:hAnsi="仿宋_GB2312" w:eastAsia="仿宋_GB2312" w:cs="仿宋_GB2312"/>
          <w:sz w:val="32"/>
          <w:szCs w:val="32"/>
          <w:highlight w:val="none"/>
        </w:rPr>
        <w:t>项目特点，本次评价关注重点：一是针对预算编制、资金执行的相关情况评价项目预算编制、财务核算是否到位</w:t>
      </w:r>
      <w:r>
        <w:rPr>
          <w:rFonts w:hint="eastAsia" w:ascii="仿宋_GB2312" w:hAnsi="仿宋_GB2312" w:eastAsia="仿宋_GB2312" w:cs="仿宋_GB2312"/>
          <w:sz w:val="32"/>
          <w:szCs w:val="32"/>
          <w:highlight w:val="none"/>
          <w:lang w:eastAsia="zh-CN"/>
        </w:rPr>
        <w:t>；</w:t>
      </w:r>
      <w:r>
        <w:rPr>
          <w:rFonts w:hint="eastAsia" w:ascii="仿宋_GB2312" w:hAnsi="仿宋_GB2312" w:eastAsia="仿宋_GB2312" w:cs="仿宋_GB2312"/>
          <w:sz w:val="32"/>
          <w:szCs w:val="32"/>
          <w:highlight w:val="none"/>
        </w:rPr>
        <w:t>二是评价</w:t>
      </w:r>
      <w:r>
        <w:rPr>
          <w:rFonts w:hint="eastAsia" w:ascii="仿宋_GB2312" w:hAnsi="仿宋_GB2312" w:eastAsia="仿宋_GB2312" w:cs="仿宋_GB2312"/>
          <w:sz w:val="32"/>
          <w:szCs w:val="32"/>
          <w:highlight w:val="none"/>
          <w:lang w:eastAsia="zh-CN"/>
        </w:rPr>
        <w:t>项目实施</w:t>
      </w:r>
      <w:r>
        <w:rPr>
          <w:rFonts w:hint="eastAsia" w:ascii="仿宋_GB2312" w:hAnsi="仿宋_GB2312" w:eastAsia="仿宋_GB2312" w:cs="仿宋_GB2312"/>
          <w:sz w:val="32"/>
          <w:szCs w:val="32"/>
          <w:highlight w:val="none"/>
        </w:rPr>
        <w:t>单位的管理制度、监管考核机制是否健全；三是评价项目是否按照目标执行，项目实施效果是否达到预期目标</w:t>
      </w:r>
      <w:r>
        <w:rPr>
          <w:rFonts w:hint="eastAsia" w:ascii="仿宋_GB2312" w:hAnsi="仿宋_GB2312" w:eastAsia="仿宋_GB2312" w:cs="仿宋_GB2312"/>
          <w:sz w:val="32"/>
          <w:szCs w:val="32"/>
          <w:highlight w:val="none"/>
          <w:lang w:eastAsia="zh-CN"/>
        </w:rPr>
        <w:t>。</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jc w:val="left"/>
        <w:textAlignment w:val="auto"/>
        <w:outlineLvl w:val="0"/>
        <w:rPr>
          <w:rFonts w:hint="default"/>
          <w:highlight w:val="yellow"/>
          <w:lang w:val="en-US" w:eastAsia="zh-CN"/>
        </w:rPr>
      </w:pPr>
      <w:r>
        <w:rPr>
          <w:rFonts w:hint="eastAsia" w:ascii="仿宋_GB2312" w:hAnsi="仿宋_GB2312" w:eastAsia="仿宋_GB2312" w:cs="仿宋_GB2312"/>
          <w:sz w:val="32"/>
          <w:szCs w:val="32"/>
          <w:highlight w:val="none"/>
          <w:lang w:val="en-US" w:eastAsia="zh-CN"/>
        </w:rPr>
        <w:t>评价工作组通过前期调研，</w:t>
      </w:r>
      <w:r>
        <w:rPr>
          <w:rFonts w:hint="eastAsia" w:ascii="仿宋_GB2312" w:hAnsi="仿宋_GB2312" w:eastAsia="仿宋_GB2312" w:cs="仿宋_GB2312"/>
          <w:sz w:val="32"/>
          <w:szCs w:val="32"/>
          <w:highlight w:val="none"/>
        </w:rPr>
        <w:t>了解项目管理流程及效果</w:t>
      </w:r>
      <w:r>
        <w:rPr>
          <w:rFonts w:hint="eastAsia" w:ascii="仿宋_GB2312" w:hAnsi="仿宋_GB2312" w:eastAsia="仿宋_GB2312" w:cs="仿宋_GB2312"/>
          <w:sz w:val="32"/>
          <w:szCs w:val="32"/>
          <w:highlight w:val="none"/>
          <w:lang w:eastAsia="zh-CN"/>
        </w:rPr>
        <w:t>，</w:t>
      </w:r>
      <w:r>
        <w:rPr>
          <w:rFonts w:hint="eastAsia" w:ascii="仿宋_GB2312" w:hAnsi="仿宋_GB2312" w:eastAsia="仿宋_GB2312" w:cs="仿宋_GB2312"/>
          <w:sz w:val="32"/>
          <w:szCs w:val="32"/>
          <w:highlight w:val="none"/>
          <w:lang w:val="en-US" w:eastAsia="zh-CN"/>
        </w:rPr>
        <w:t>从项目决策、项目过程、项目产出和项目效益四个维度制定了工作方案，明确了评价的目的、方法、原则、指标、标准、社会调查方案等，重点对该项目的实施情况及效益进行了核实；评价工作组本着科学规范的绩效评价原则，运用成本效益分析法、比较分析法等方法，严格按照工作方案，经过数据采集、问卷调查、实地调研、数据分析和报告撰写等环节，完成了绩效评价工作。</w:t>
      </w:r>
    </w:p>
    <w:p>
      <w:pPr>
        <w:adjustRightInd w:val="0"/>
        <w:snapToGrid w:val="0"/>
        <w:spacing w:line="560" w:lineRule="exact"/>
        <w:ind w:firstLine="640" w:firstLineChars="200"/>
        <w:jc w:val="left"/>
        <w:outlineLvl w:val="0"/>
        <w:rPr>
          <w:rFonts w:hint="eastAsia" w:ascii="黑体" w:hAnsi="黑体" w:eastAsia="黑体" w:cs="宋体"/>
          <w:sz w:val="32"/>
          <w:szCs w:val="32"/>
        </w:rPr>
      </w:pPr>
      <w:r>
        <w:rPr>
          <w:rFonts w:hint="eastAsia" w:ascii="黑体" w:hAnsi="黑体" w:eastAsia="黑体" w:cs="宋体"/>
          <w:sz w:val="32"/>
          <w:szCs w:val="32"/>
        </w:rPr>
        <w:t>三、绩效评价分析</w:t>
      </w:r>
      <w:bookmarkEnd w:id="2"/>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bookmarkStart w:id="3" w:name="_Toc24046"/>
      <w:bookmarkStart w:id="4" w:name="_Toc4082"/>
      <w:r>
        <w:rPr>
          <w:rFonts w:hint="eastAsia" w:ascii="仿宋_GB2312" w:hAnsi="仿宋_GB2312" w:eastAsia="仿宋_GB2312" w:cs="仿宋_GB2312"/>
          <w:sz w:val="32"/>
          <w:szCs w:val="32"/>
          <w:highlight w:val="none"/>
          <w:lang w:val="en-US" w:eastAsia="zh-CN"/>
        </w:rPr>
        <w:t>依据《自治区财政支出绩效评价管理暂行办法》（新财预〔2018〕189号）文件精神，评价工作组从绩效目标、绩效控制、产出及效果进行评价分析。绩效目标主要针对目标明确性、目标合理性和目标细化程度进行分析；绩效控制主要针对资金使用及管理情况、项目组织情况、项目管理情况进行分析；项目产出及效果主要针对项目的经济性、效率性和效益性进行分析。</w:t>
      </w:r>
    </w:p>
    <w:bookmarkEnd w:id="3"/>
    <w:p>
      <w:pPr>
        <w:adjustRightInd w:val="0"/>
        <w:snapToGrid w:val="0"/>
        <w:spacing w:line="560" w:lineRule="exact"/>
        <w:ind w:firstLine="640" w:firstLineChars="200"/>
        <w:jc w:val="left"/>
        <w:outlineLvl w:val="0"/>
        <w:rPr>
          <w:rFonts w:hint="eastAsia" w:ascii="黑体" w:hAnsi="黑体" w:eastAsia="黑体" w:cs="宋体"/>
          <w:sz w:val="32"/>
          <w:szCs w:val="32"/>
        </w:rPr>
      </w:pPr>
      <w:r>
        <w:rPr>
          <w:rFonts w:hint="eastAsia" w:ascii="黑体" w:hAnsi="黑体" w:eastAsia="黑体" w:cs="宋体"/>
          <w:sz w:val="32"/>
          <w:szCs w:val="32"/>
        </w:rPr>
        <w:t>四、评价结论</w:t>
      </w:r>
      <w:bookmarkEnd w:id="4"/>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default"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经综合评价，项目得分为99.96分，其中：项目决策得分20分、项目过程得分19.96分；项目产出得分30分、项目效益得分30分，评价等级为优。</w:t>
      </w:r>
    </w:p>
    <w:p>
      <w:pPr>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项目立项较规范，绩效目标合理绩效指标明确，项目管理制度较健全。该项目预算资金1635.00万元，实际支出1613.48万元，预算资金执行率98.68%。通过文件研读、实地调研、数据分析等方式，全面了解该项目的使用效果，项目管理过程较规范；总的来看，该项目的实施解决了1635名贫困户的就业问题，按照每人每年10000元的补助标准兑现补助资金，增加了贫困户的经济收入，对壮大我县护林队伍，保护森林资源，维护生态环境，增加社会投入，促进经济发展起了基础性作用，改善了绿洲人居环境、实现了生态建设与林果业产业协调发展。</w:t>
      </w:r>
    </w:p>
    <w:p>
      <w:pPr>
        <w:adjustRightInd w:val="0"/>
        <w:snapToGrid w:val="0"/>
        <w:spacing w:line="560" w:lineRule="exact"/>
        <w:ind w:firstLine="960" w:firstLineChars="300"/>
        <w:jc w:val="left"/>
        <w:outlineLvl w:val="0"/>
        <w:rPr>
          <w:rFonts w:hint="eastAsia" w:ascii="黑体" w:hAnsi="黑体" w:eastAsia="黑体" w:cs="宋体"/>
          <w:sz w:val="32"/>
          <w:szCs w:val="32"/>
          <w:highlight w:val="none"/>
        </w:rPr>
      </w:pPr>
      <w:bookmarkStart w:id="5" w:name="_Toc25703"/>
      <w:r>
        <w:rPr>
          <w:rFonts w:hint="eastAsia" w:ascii="黑体" w:hAnsi="黑体" w:eastAsia="黑体" w:cs="宋体"/>
          <w:sz w:val="32"/>
          <w:szCs w:val="32"/>
          <w:highlight w:val="none"/>
          <w:lang w:val="en-US" w:eastAsia="zh-CN"/>
        </w:rPr>
        <w:t>五、</w:t>
      </w:r>
      <w:r>
        <w:rPr>
          <w:rFonts w:hint="eastAsia" w:ascii="黑体" w:hAnsi="黑体" w:eastAsia="黑体" w:cs="宋体"/>
          <w:sz w:val="32"/>
          <w:szCs w:val="32"/>
          <w:highlight w:val="none"/>
        </w:rPr>
        <w:t>问题</w:t>
      </w:r>
      <w:r>
        <w:rPr>
          <w:rFonts w:hint="eastAsia" w:ascii="黑体" w:hAnsi="黑体" w:eastAsia="黑体" w:cs="宋体"/>
          <w:sz w:val="32"/>
          <w:szCs w:val="32"/>
          <w:highlight w:val="none"/>
          <w:lang w:val="en-US" w:eastAsia="zh-CN"/>
        </w:rPr>
        <w:t>及</w:t>
      </w:r>
      <w:r>
        <w:rPr>
          <w:rFonts w:hint="eastAsia" w:ascii="黑体" w:hAnsi="黑体" w:eastAsia="黑体" w:cs="宋体"/>
          <w:sz w:val="32"/>
          <w:szCs w:val="32"/>
          <w:highlight w:val="none"/>
        </w:rPr>
        <w:t>建议</w:t>
      </w:r>
      <w:bookmarkEnd w:id="5"/>
    </w:p>
    <w:p>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6" w:name="_Toc24350"/>
      <w:bookmarkStart w:id="7" w:name="_Toc22139"/>
      <w:bookmarkStart w:id="8" w:name="_Toc5400"/>
      <w:bookmarkStart w:id="9" w:name="_Toc6009"/>
      <w:bookmarkStart w:id="10" w:name="_Toc11063"/>
      <w:bookmarkStart w:id="11" w:name="_Toc19437"/>
      <w:r>
        <w:rPr>
          <w:rFonts w:hint="eastAsia" w:ascii="仿宋_GB2312" w:hAnsi="仿宋" w:eastAsia="仿宋_GB2312" w:cs="宋体"/>
          <w:b/>
          <w:bCs/>
          <w:sz w:val="32"/>
          <w:szCs w:val="32"/>
        </w:rPr>
        <w:t>（一）问题</w:t>
      </w:r>
      <w:bookmarkEnd w:id="6"/>
      <w:bookmarkEnd w:id="7"/>
      <w:bookmarkEnd w:id="8"/>
      <w:bookmarkEnd w:id="9"/>
      <w:bookmarkEnd w:id="10"/>
      <w:bookmarkEnd w:id="11"/>
    </w:p>
    <w:p>
      <w:pPr>
        <w:pStyle w:val="34"/>
        <w:adjustRightInd w:val="0"/>
        <w:snapToGrid w:val="0"/>
        <w:spacing w:line="560" w:lineRule="exact"/>
        <w:ind w:left="420" w:leftChars="200" w:firstLine="320" w:firstLineChars="100"/>
        <w:outlineLvl w:val="1"/>
        <w:rPr>
          <w:rFonts w:hint="eastAsia" w:ascii="仿宋_GB2312" w:hAnsi="仿宋_GB2312" w:eastAsia="仿宋_GB2312" w:cs="仿宋_GB2312"/>
          <w:sz w:val="32"/>
          <w:szCs w:val="32"/>
          <w:highlight w:val="none"/>
          <w:lang w:val="en-US" w:eastAsia="zh-CN"/>
        </w:rPr>
      </w:pPr>
      <w:bookmarkStart w:id="12" w:name="_Toc3933"/>
      <w:bookmarkStart w:id="13" w:name="_Toc13719"/>
      <w:bookmarkStart w:id="14" w:name="_Toc25341"/>
      <w:bookmarkStart w:id="15" w:name="_Toc21456"/>
      <w:bookmarkStart w:id="16" w:name="_Toc23428"/>
      <w:bookmarkStart w:id="17" w:name="_Toc32170"/>
      <w:r>
        <w:rPr>
          <w:rFonts w:hint="eastAsia" w:ascii="仿宋_GB2312" w:hAnsi="仿宋_GB2312" w:eastAsia="仿宋_GB2312" w:cs="仿宋_GB2312"/>
          <w:sz w:val="32"/>
          <w:szCs w:val="32"/>
          <w:highlight w:val="none"/>
          <w:lang w:val="en-US" w:eastAsia="zh-CN"/>
        </w:rPr>
        <w:t>无。</w:t>
      </w:r>
    </w:p>
    <w:p>
      <w:pPr>
        <w:pStyle w:val="34"/>
        <w:numPr>
          <w:ilvl w:val="0"/>
          <w:numId w:val="4"/>
        </w:numPr>
        <w:adjustRightInd w:val="0"/>
        <w:snapToGrid w:val="0"/>
        <w:spacing w:line="560" w:lineRule="exact"/>
        <w:ind w:left="420" w:leftChars="200" w:firstLine="321" w:firstLineChars="100"/>
        <w:outlineLvl w:val="1"/>
        <w:rPr>
          <w:rFonts w:hint="eastAsia" w:ascii="仿宋_GB2312" w:hAnsi="仿宋" w:eastAsia="仿宋_GB2312" w:cs="宋体"/>
          <w:b/>
          <w:bCs/>
          <w:sz w:val="32"/>
          <w:szCs w:val="32"/>
        </w:rPr>
      </w:pPr>
      <w:r>
        <w:rPr>
          <w:rFonts w:hint="eastAsia" w:ascii="仿宋_GB2312" w:hAnsi="仿宋" w:eastAsia="仿宋_GB2312" w:cs="宋体"/>
          <w:b/>
          <w:bCs/>
          <w:sz w:val="32"/>
          <w:szCs w:val="32"/>
        </w:rPr>
        <w:t>意见和建议</w:t>
      </w:r>
      <w:bookmarkEnd w:id="12"/>
      <w:bookmarkEnd w:id="13"/>
      <w:bookmarkEnd w:id="14"/>
      <w:bookmarkEnd w:id="15"/>
      <w:bookmarkEnd w:id="16"/>
      <w:bookmarkEnd w:id="17"/>
    </w:p>
    <w:p>
      <w:pPr>
        <w:pStyle w:val="34"/>
        <w:numPr>
          <w:ilvl w:val="0"/>
          <w:numId w:val="0"/>
        </w:numPr>
        <w:adjustRightInd w:val="0"/>
        <w:snapToGrid w:val="0"/>
        <w:spacing w:line="560" w:lineRule="exact"/>
        <w:ind w:firstLine="640" w:firstLineChars="200"/>
        <w:outlineLvl w:val="1"/>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无。</w:t>
      </w:r>
    </w:p>
    <w:p>
      <w:pPr>
        <w:ind w:firstLine="2200" w:firstLineChars="500"/>
        <w:jc w:val="both"/>
        <w:rPr>
          <w:rFonts w:hint="eastAsia" w:ascii="黑体" w:hAnsi="黑体" w:eastAsia="黑体" w:cs="黑体"/>
          <w:b w:val="0"/>
          <w:bCs w:val="0"/>
          <w:sz w:val="44"/>
          <w:szCs w:val="44"/>
        </w:rPr>
      </w:pPr>
      <w:r>
        <w:rPr>
          <w:rFonts w:hint="eastAsia" w:ascii="黑体" w:hAnsi="黑体" w:eastAsia="黑体" w:cs="黑体"/>
          <w:b w:val="0"/>
          <w:bCs w:val="0"/>
          <w:sz w:val="44"/>
          <w:szCs w:val="44"/>
        </w:rPr>
        <w:t>绩效评价工作组成员</w:t>
      </w:r>
    </w:p>
    <w:p>
      <w:pPr>
        <w:jc w:val="center"/>
      </w:pPr>
    </w:p>
    <w:tbl>
      <w:tblPr>
        <w:tblStyle w:val="21"/>
        <w:tblW w:w="8722"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27"/>
        <w:gridCol w:w="1605"/>
        <w:gridCol w:w="1960"/>
        <w:gridCol w:w="1640"/>
        <w:gridCol w:w="1510"/>
        <w:gridCol w:w="14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5" w:hRule="atLeast"/>
        </w:trPr>
        <w:tc>
          <w:tcPr>
            <w:tcW w:w="527" w:type="dxa"/>
            <w:vAlign w:val="center"/>
          </w:tcPr>
          <w:p>
            <w:pPr>
              <w:pStyle w:val="14"/>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序号</w:t>
            </w:r>
          </w:p>
        </w:tc>
        <w:tc>
          <w:tcPr>
            <w:tcW w:w="1605" w:type="dxa"/>
            <w:vAlign w:val="center"/>
          </w:tcPr>
          <w:p>
            <w:pPr>
              <w:pStyle w:val="14"/>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项目职务</w:t>
            </w:r>
          </w:p>
        </w:tc>
        <w:tc>
          <w:tcPr>
            <w:tcW w:w="1960" w:type="dxa"/>
            <w:vAlign w:val="center"/>
          </w:tcPr>
          <w:p>
            <w:pPr>
              <w:pStyle w:val="14"/>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姓名</w:t>
            </w:r>
          </w:p>
        </w:tc>
        <w:tc>
          <w:tcPr>
            <w:tcW w:w="1640" w:type="dxa"/>
            <w:vAlign w:val="center"/>
          </w:tcPr>
          <w:p>
            <w:pPr>
              <w:pStyle w:val="14"/>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执业（从业）</w:t>
            </w:r>
          </w:p>
          <w:p>
            <w:pPr>
              <w:pStyle w:val="14"/>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资格</w:t>
            </w:r>
          </w:p>
        </w:tc>
        <w:tc>
          <w:tcPr>
            <w:tcW w:w="1510" w:type="dxa"/>
            <w:vAlign w:val="center"/>
          </w:tcPr>
          <w:p>
            <w:pPr>
              <w:pStyle w:val="14"/>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职称</w:t>
            </w:r>
          </w:p>
        </w:tc>
        <w:tc>
          <w:tcPr>
            <w:tcW w:w="1480" w:type="dxa"/>
            <w:vAlign w:val="center"/>
          </w:tcPr>
          <w:p>
            <w:pPr>
              <w:pStyle w:val="14"/>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0" w:hRule="atLeast"/>
        </w:trPr>
        <w:tc>
          <w:tcPr>
            <w:tcW w:w="527" w:type="dxa"/>
            <w:vAlign w:val="center"/>
          </w:tcPr>
          <w:p>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1</w:t>
            </w:r>
          </w:p>
        </w:tc>
        <w:tc>
          <w:tcPr>
            <w:tcW w:w="1605" w:type="dxa"/>
            <w:vAlign w:val="center"/>
          </w:tcPr>
          <w:p>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项目负责人</w:t>
            </w:r>
          </w:p>
        </w:tc>
        <w:tc>
          <w:tcPr>
            <w:tcW w:w="1960" w:type="dxa"/>
            <w:vAlign w:val="center"/>
          </w:tcPr>
          <w:p>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叶金玲</w:t>
            </w:r>
          </w:p>
        </w:tc>
        <w:tc>
          <w:tcPr>
            <w:tcW w:w="1640" w:type="dxa"/>
            <w:vAlign w:val="center"/>
          </w:tcPr>
          <w:p>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注册会计师</w:t>
            </w:r>
          </w:p>
        </w:tc>
        <w:tc>
          <w:tcPr>
            <w:tcW w:w="1510" w:type="dxa"/>
            <w:vAlign w:val="center"/>
          </w:tcPr>
          <w:p>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中级会计师</w:t>
            </w:r>
          </w:p>
        </w:tc>
        <w:tc>
          <w:tcPr>
            <w:tcW w:w="1480" w:type="dxa"/>
            <w:vAlign w:val="center"/>
          </w:tcPr>
          <w:p>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项目总负责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7" w:type="dxa"/>
            <w:vAlign w:val="center"/>
          </w:tcPr>
          <w:p>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2</w:t>
            </w:r>
          </w:p>
        </w:tc>
        <w:tc>
          <w:tcPr>
            <w:tcW w:w="1605" w:type="dxa"/>
            <w:vAlign w:val="center"/>
          </w:tcPr>
          <w:p>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项目财务专家</w:t>
            </w:r>
          </w:p>
        </w:tc>
        <w:tc>
          <w:tcPr>
            <w:tcW w:w="1960" w:type="dxa"/>
            <w:vAlign w:val="center"/>
          </w:tcPr>
          <w:p>
            <w:pPr>
              <w:pStyle w:val="14"/>
              <w:tabs>
                <w:tab w:val="right" w:leader="dot" w:pos="8302"/>
              </w:tabs>
              <w:spacing w:line="340" w:lineRule="exact"/>
              <w:jc w:val="center"/>
              <w:rPr>
                <w:rFonts w:hint="eastAsia" w:ascii="仿宋_GB2312" w:hAnsi="黑体" w:eastAsia="仿宋_GB2312" w:cs="宋体"/>
                <w:kern w:val="0"/>
                <w:sz w:val="24"/>
                <w:lang w:eastAsia="zh-CN"/>
              </w:rPr>
            </w:pPr>
            <w:r>
              <w:rPr>
                <w:rFonts w:hint="eastAsia" w:ascii="仿宋_GB2312" w:hAnsi="黑体" w:eastAsia="仿宋_GB2312" w:cs="宋体"/>
                <w:kern w:val="0"/>
                <w:sz w:val="24"/>
                <w:lang w:val="en-US" w:eastAsia="zh-CN"/>
              </w:rPr>
              <w:t>冯琼</w:t>
            </w:r>
          </w:p>
        </w:tc>
        <w:tc>
          <w:tcPr>
            <w:tcW w:w="1640" w:type="dxa"/>
            <w:vAlign w:val="center"/>
          </w:tcPr>
          <w:p>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注册会计师</w:t>
            </w:r>
          </w:p>
        </w:tc>
        <w:tc>
          <w:tcPr>
            <w:tcW w:w="1510" w:type="dxa"/>
            <w:vAlign w:val="center"/>
          </w:tcPr>
          <w:p>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中级会计师</w:t>
            </w:r>
          </w:p>
        </w:tc>
        <w:tc>
          <w:tcPr>
            <w:tcW w:w="1480" w:type="dxa"/>
            <w:vAlign w:val="center"/>
          </w:tcPr>
          <w:p>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资金审查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7" w:type="dxa"/>
            <w:vAlign w:val="center"/>
          </w:tcPr>
          <w:p>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3</w:t>
            </w:r>
          </w:p>
        </w:tc>
        <w:tc>
          <w:tcPr>
            <w:tcW w:w="1605" w:type="dxa"/>
            <w:vAlign w:val="center"/>
          </w:tcPr>
          <w:p>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项目行业专家</w:t>
            </w:r>
          </w:p>
        </w:tc>
        <w:tc>
          <w:tcPr>
            <w:tcW w:w="1960" w:type="dxa"/>
            <w:vAlign w:val="center"/>
          </w:tcPr>
          <w:p>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lang w:val="en-US" w:eastAsia="zh-CN"/>
              </w:rPr>
              <w:t>曹堂哲</w:t>
            </w:r>
          </w:p>
        </w:tc>
        <w:tc>
          <w:tcPr>
            <w:tcW w:w="1640" w:type="dxa"/>
            <w:vAlign w:val="center"/>
          </w:tcPr>
          <w:p>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风险稳定评估师、高级投资管理师、计算机辅助设计师、信息管理师、物流工程师</w:t>
            </w:r>
          </w:p>
        </w:tc>
        <w:tc>
          <w:tcPr>
            <w:tcW w:w="1510" w:type="dxa"/>
            <w:vAlign w:val="center"/>
          </w:tcPr>
          <w:p>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中级经济师</w:t>
            </w:r>
          </w:p>
        </w:tc>
        <w:tc>
          <w:tcPr>
            <w:tcW w:w="1480" w:type="dxa"/>
            <w:vAlign w:val="center"/>
          </w:tcPr>
          <w:p>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审核指导   质量审核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0" w:hRule="atLeast"/>
        </w:trPr>
        <w:tc>
          <w:tcPr>
            <w:tcW w:w="527" w:type="dxa"/>
            <w:vAlign w:val="center"/>
          </w:tcPr>
          <w:p>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4</w:t>
            </w:r>
          </w:p>
        </w:tc>
        <w:tc>
          <w:tcPr>
            <w:tcW w:w="1605" w:type="dxa"/>
            <w:vAlign w:val="center"/>
          </w:tcPr>
          <w:p>
            <w:pPr>
              <w:pStyle w:val="14"/>
              <w:tabs>
                <w:tab w:val="right" w:leader="dot" w:pos="8302"/>
              </w:tabs>
              <w:spacing w:line="340" w:lineRule="exact"/>
              <w:jc w:val="center"/>
              <w:rPr>
                <w:rFonts w:hint="default" w:ascii="仿宋_GB2312" w:hAnsi="黑体" w:eastAsia="仿宋_GB2312" w:cs="宋体"/>
                <w:kern w:val="0"/>
                <w:sz w:val="24"/>
                <w:lang w:val="en-US" w:eastAsia="zh-CN"/>
              </w:rPr>
            </w:pPr>
            <w:r>
              <w:rPr>
                <w:rFonts w:hint="eastAsia" w:ascii="仿宋_GB2312" w:hAnsi="黑体" w:eastAsia="仿宋_GB2312" w:cs="宋体"/>
                <w:kern w:val="0"/>
                <w:sz w:val="24"/>
              </w:rPr>
              <w:t>项目</w:t>
            </w:r>
            <w:r>
              <w:rPr>
                <w:rFonts w:hint="eastAsia" w:ascii="仿宋_GB2312" w:hAnsi="黑体" w:eastAsia="仿宋_GB2312" w:cs="宋体"/>
                <w:kern w:val="0"/>
                <w:sz w:val="24"/>
                <w:lang w:val="en-US" w:eastAsia="zh-CN"/>
              </w:rPr>
              <w:t>组成员</w:t>
            </w:r>
          </w:p>
        </w:tc>
        <w:tc>
          <w:tcPr>
            <w:tcW w:w="1960" w:type="dxa"/>
            <w:vAlign w:val="center"/>
          </w:tcPr>
          <w:p>
            <w:pPr>
              <w:pStyle w:val="14"/>
              <w:tabs>
                <w:tab w:val="right" w:leader="dot" w:pos="8302"/>
              </w:tabs>
              <w:spacing w:line="340" w:lineRule="exact"/>
              <w:jc w:val="center"/>
              <w:rPr>
                <w:rFonts w:hint="eastAsia" w:ascii="仿宋_GB2312" w:hAnsi="黑体" w:eastAsia="仿宋_GB2312" w:cs="宋体"/>
                <w:kern w:val="0"/>
                <w:sz w:val="24"/>
                <w:lang w:val="en-US" w:eastAsia="zh-CN"/>
              </w:rPr>
            </w:pPr>
            <w:r>
              <w:rPr>
                <w:rFonts w:hint="eastAsia" w:ascii="仿宋_GB2312" w:hAnsi="黑体" w:eastAsia="仿宋_GB2312" w:cs="宋体"/>
                <w:kern w:val="0"/>
                <w:sz w:val="24"/>
                <w:lang w:val="en-US" w:eastAsia="zh-CN"/>
              </w:rPr>
              <w:t>古丽热依汉</w:t>
            </w:r>
          </w:p>
        </w:tc>
        <w:tc>
          <w:tcPr>
            <w:tcW w:w="1640" w:type="dxa"/>
            <w:vAlign w:val="center"/>
          </w:tcPr>
          <w:p>
            <w:pPr>
              <w:pStyle w:val="14"/>
              <w:tabs>
                <w:tab w:val="right" w:leader="dot" w:pos="8302"/>
              </w:tabs>
              <w:spacing w:line="340" w:lineRule="exact"/>
              <w:jc w:val="center"/>
              <w:rPr>
                <w:rFonts w:hint="eastAsia" w:ascii="仿宋_GB2312" w:hAnsi="黑体" w:eastAsia="仿宋_GB2312" w:cs="宋体"/>
                <w:kern w:val="0"/>
                <w:sz w:val="24"/>
                <w:lang w:val="en-US" w:eastAsia="zh-CN"/>
              </w:rPr>
            </w:pPr>
          </w:p>
        </w:tc>
        <w:tc>
          <w:tcPr>
            <w:tcW w:w="1510" w:type="dxa"/>
            <w:vAlign w:val="center"/>
          </w:tcPr>
          <w:p>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lang w:val="en-US" w:eastAsia="zh-CN"/>
              </w:rPr>
              <w:t>助理</w:t>
            </w:r>
            <w:r>
              <w:rPr>
                <w:rFonts w:hint="eastAsia" w:ascii="仿宋_GB2312" w:hAnsi="黑体" w:eastAsia="仿宋_GB2312" w:cs="宋体"/>
                <w:kern w:val="0"/>
                <w:sz w:val="24"/>
              </w:rPr>
              <w:t>会计师</w:t>
            </w:r>
          </w:p>
        </w:tc>
        <w:tc>
          <w:tcPr>
            <w:tcW w:w="1480" w:type="dxa"/>
            <w:vAlign w:val="center"/>
          </w:tcPr>
          <w:p>
            <w:pPr>
              <w:pStyle w:val="14"/>
              <w:tabs>
                <w:tab w:val="right" w:leader="dot" w:pos="8302"/>
              </w:tabs>
              <w:spacing w:line="340" w:lineRule="exact"/>
              <w:jc w:val="center"/>
              <w:rPr>
                <w:rFonts w:ascii="仿宋_GB2312" w:hAnsi="黑体" w:eastAsia="仿宋_GB2312" w:cs="宋体"/>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527" w:type="dxa"/>
            <w:vAlign w:val="center"/>
          </w:tcPr>
          <w:p>
            <w:pPr>
              <w:pStyle w:val="14"/>
              <w:tabs>
                <w:tab w:val="right" w:leader="dot" w:pos="8302"/>
              </w:tabs>
              <w:spacing w:line="340" w:lineRule="exact"/>
              <w:jc w:val="center"/>
              <w:rPr>
                <w:rFonts w:hint="default" w:ascii="仿宋_GB2312" w:hAnsi="黑体" w:eastAsia="仿宋_GB2312" w:cs="宋体"/>
                <w:kern w:val="0"/>
                <w:sz w:val="24"/>
                <w:lang w:val="en-US" w:eastAsia="zh-CN"/>
              </w:rPr>
            </w:pPr>
            <w:r>
              <w:rPr>
                <w:rFonts w:hint="eastAsia" w:ascii="仿宋_GB2312" w:hAnsi="黑体" w:eastAsia="仿宋_GB2312" w:cs="宋体"/>
                <w:kern w:val="0"/>
                <w:sz w:val="24"/>
                <w:lang w:val="en-US" w:eastAsia="zh-CN"/>
              </w:rPr>
              <w:t>5</w:t>
            </w:r>
          </w:p>
        </w:tc>
        <w:tc>
          <w:tcPr>
            <w:tcW w:w="1605" w:type="dxa"/>
            <w:vAlign w:val="center"/>
          </w:tcPr>
          <w:p>
            <w:pPr>
              <w:pStyle w:val="14"/>
              <w:tabs>
                <w:tab w:val="right" w:leader="dot" w:pos="8302"/>
              </w:tabs>
              <w:spacing w:line="340" w:lineRule="exact"/>
              <w:jc w:val="center"/>
              <w:rPr>
                <w:rFonts w:hint="default" w:ascii="仿宋_GB2312" w:hAnsi="黑体" w:eastAsia="仿宋_GB2312" w:cs="宋体"/>
                <w:kern w:val="0"/>
                <w:sz w:val="24"/>
                <w:lang w:val="en-US" w:eastAsia="zh-CN"/>
              </w:rPr>
            </w:pPr>
            <w:r>
              <w:rPr>
                <w:rFonts w:hint="eastAsia" w:ascii="仿宋_GB2312" w:hAnsi="黑体" w:eastAsia="仿宋_GB2312" w:cs="宋体"/>
                <w:kern w:val="0"/>
                <w:sz w:val="24"/>
                <w:lang w:val="en-US" w:eastAsia="zh-CN"/>
              </w:rPr>
              <w:t>项目组成员</w:t>
            </w:r>
          </w:p>
        </w:tc>
        <w:tc>
          <w:tcPr>
            <w:tcW w:w="1960" w:type="dxa"/>
            <w:vAlign w:val="center"/>
          </w:tcPr>
          <w:p>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lang w:val="en-US" w:eastAsia="zh-CN"/>
              </w:rPr>
              <w:t>阿曼古丽</w:t>
            </w:r>
          </w:p>
        </w:tc>
        <w:tc>
          <w:tcPr>
            <w:tcW w:w="1640" w:type="dxa"/>
            <w:vAlign w:val="center"/>
          </w:tcPr>
          <w:p>
            <w:pPr>
              <w:pStyle w:val="14"/>
              <w:tabs>
                <w:tab w:val="right" w:leader="dot" w:pos="8302"/>
              </w:tabs>
              <w:spacing w:line="340" w:lineRule="exact"/>
              <w:jc w:val="center"/>
              <w:rPr>
                <w:rFonts w:ascii="仿宋_GB2312" w:hAnsi="黑体" w:eastAsia="仿宋_GB2312" w:cs="宋体"/>
                <w:kern w:val="0"/>
                <w:sz w:val="24"/>
              </w:rPr>
            </w:pPr>
          </w:p>
        </w:tc>
        <w:tc>
          <w:tcPr>
            <w:tcW w:w="1510" w:type="dxa"/>
            <w:vAlign w:val="center"/>
          </w:tcPr>
          <w:p>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lang w:eastAsia="zh-CN"/>
              </w:rPr>
              <w:t>会计员</w:t>
            </w:r>
          </w:p>
        </w:tc>
        <w:tc>
          <w:tcPr>
            <w:tcW w:w="1480" w:type="dxa"/>
            <w:vAlign w:val="center"/>
          </w:tcPr>
          <w:p>
            <w:pPr>
              <w:pStyle w:val="14"/>
              <w:tabs>
                <w:tab w:val="right" w:leader="dot" w:pos="8302"/>
              </w:tabs>
              <w:spacing w:line="340" w:lineRule="exact"/>
              <w:jc w:val="center"/>
              <w:rPr>
                <w:rFonts w:ascii="仿宋_GB2312" w:hAnsi="黑体" w:eastAsia="仿宋_GB2312" w:cs="宋体"/>
                <w:kern w:val="0"/>
                <w:sz w:val="24"/>
              </w:rPr>
            </w:pPr>
          </w:p>
        </w:tc>
      </w:tr>
    </w:tbl>
    <w:p>
      <w:pPr>
        <w:ind w:firstLine="640" w:firstLineChars="200"/>
        <w:rPr>
          <w:rFonts w:ascii="仿宋_GB2312" w:eastAsia="仿宋_GB2312"/>
          <w:sz w:val="32"/>
          <w:szCs w:val="32"/>
        </w:rPr>
      </w:pPr>
    </w:p>
    <w:p>
      <w:pPr>
        <w:pStyle w:val="14"/>
        <w:tabs>
          <w:tab w:val="right" w:leader="dot" w:pos="8302"/>
        </w:tabs>
        <w:spacing w:line="340" w:lineRule="exact"/>
        <w:jc w:val="both"/>
        <w:rPr>
          <w:rFonts w:ascii="宋体" w:hAnsi="宋体" w:cs="宋体"/>
          <w:b/>
          <w:sz w:val="28"/>
          <w:szCs w:val="28"/>
        </w:rPr>
        <w:sectPr>
          <w:pgSz w:w="11906" w:h="16838"/>
          <w:pgMar w:top="2098" w:right="1531" w:bottom="1984" w:left="1531" w:header="851" w:footer="992" w:gutter="0"/>
          <w:pgBorders>
            <w:top w:val="none" w:sz="0" w:space="0"/>
            <w:left w:val="none" w:sz="0" w:space="0"/>
            <w:bottom w:val="none" w:sz="0" w:space="0"/>
            <w:right w:val="none" w:sz="0" w:space="0"/>
          </w:pgBorders>
          <w:cols w:space="425" w:num="1"/>
          <w:docGrid w:type="lines" w:linePitch="312" w:charSpace="0"/>
        </w:sectPr>
      </w:pPr>
    </w:p>
    <w:p>
      <w:pPr>
        <w:pStyle w:val="14"/>
        <w:tabs>
          <w:tab w:val="right" w:leader="dot" w:pos="8302"/>
        </w:tabs>
        <w:spacing w:line="340" w:lineRule="exact"/>
        <w:jc w:val="center"/>
        <w:rPr>
          <w:rFonts w:hint="eastAsia" w:ascii="黑体" w:hAnsi="黑体" w:eastAsia="黑体" w:cs="黑体"/>
          <w:b/>
          <w:sz w:val="36"/>
          <w:szCs w:val="36"/>
        </w:rPr>
      </w:pPr>
      <w:r>
        <w:rPr>
          <w:rFonts w:hint="eastAsia" w:ascii="黑体" w:hAnsi="黑体" w:eastAsia="黑体" w:cs="黑体"/>
          <w:b/>
          <w:sz w:val="36"/>
          <w:szCs w:val="36"/>
        </w:rPr>
        <w:t>目 录</w:t>
      </w:r>
    </w:p>
    <w:sdt>
      <w:sdtPr>
        <w:rPr>
          <w:rFonts w:ascii="宋体" w:hAnsi="宋体" w:eastAsia="宋体" w:cstheme="minorBidi"/>
          <w:kern w:val="2"/>
          <w:sz w:val="24"/>
          <w:szCs w:val="24"/>
          <w:lang w:val="en-US" w:eastAsia="zh-CN" w:bidi="ar-SA"/>
        </w:rPr>
        <w:id w:val="147475025"/>
        <w15:color w:val="DBDBDB"/>
        <w:docPartObj>
          <w:docPartGallery w:val="Table of Contents"/>
          <w:docPartUnique/>
        </w:docPartObj>
      </w:sdtPr>
      <w:sdtEndPr>
        <w:rPr>
          <w:rFonts w:asciiTheme="minorHAnsi" w:hAnsiTheme="minorHAnsi" w:eastAsiaTheme="minorEastAsia" w:cstheme="minorBidi"/>
          <w:b w:val="0"/>
          <w:bCs w:val="0"/>
          <w:kern w:val="2"/>
          <w:sz w:val="21"/>
          <w:szCs w:val="24"/>
          <w:highlight w:val="none"/>
          <w:lang w:val="en-US" w:eastAsia="zh-CN" w:bidi="ar-SA"/>
        </w:rPr>
      </w:sdtEndPr>
      <w:sdtContent>
        <w:p>
          <w:pPr>
            <w:spacing w:before="0" w:beforeLines="0" w:after="0" w:afterLines="0" w:line="240" w:lineRule="auto"/>
            <w:ind w:left="0" w:leftChars="0" w:right="0" w:rightChars="0" w:firstLine="0" w:firstLineChars="0"/>
            <w:jc w:val="center"/>
            <w:rPr>
              <w:rFonts w:asciiTheme="minorHAnsi" w:hAnsiTheme="minorHAnsi" w:eastAsiaTheme="minorEastAsia" w:cstheme="minorBidi"/>
              <w:b w:val="0"/>
              <w:bCs w:val="0"/>
              <w:kern w:val="2"/>
              <w:sz w:val="24"/>
              <w:szCs w:val="24"/>
              <w:highlight w:val="none"/>
              <w:lang w:val="en-US" w:eastAsia="zh-CN" w:bidi="ar-SA"/>
            </w:rPr>
          </w:pPr>
          <w:r>
            <w:rPr>
              <w:b w:val="0"/>
              <w:bCs w:val="0"/>
              <w:sz w:val="24"/>
              <w:szCs w:val="24"/>
              <w:highlight w:val="none"/>
            </w:rPr>
            <w:fldChar w:fldCharType="begin"/>
          </w:r>
          <w:r>
            <w:rPr>
              <w:b w:val="0"/>
              <w:bCs w:val="0"/>
              <w:sz w:val="24"/>
              <w:szCs w:val="24"/>
              <w:highlight w:val="none"/>
            </w:rPr>
            <w:instrText xml:space="preserve">TOC \o "1-2" \h \u </w:instrText>
          </w:r>
          <w:r>
            <w:rPr>
              <w:b w:val="0"/>
              <w:bCs w:val="0"/>
              <w:sz w:val="24"/>
              <w:szCs w:val="24"/>
              <w:highlight w:val="none"/>
            </w:rPr>
            <w:fldChar w:fldCharType="separate"/>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_Toc28183 </w:instrText>
          </w:r>
          <w:r>
            <w:rPr>
              <w:bCs w:val="0"/>
              <w:szCs w:val="24"/>
              <w:highlight w:val="none"/>
            </w:rPr>
            <w:fldChar w:fldCharType="separate"/>
          </w:r>
          <w:r>
            <w:rPr>
              <w:rFonts w:hint="eastAsia" w:ascii="黑体" w:hAnsi="黑体" w:eastAsia="黑体" w:cs="宋体"/>
              <w:szCs w:val="32"/>
              <w:highlight w:val="none"/>
            </w:rPr>
            <w:t>一、项目概述</w:t>
          </w:r>
          <w:r>
            <w:rPr>
              <w:highlight w:val="none"/>
            </w:rPr>
            <w:tab/>
          </w:r>
          <w:r>
            <w:rPr>
              <w:highlight w:val="none"/>
            </w:rPr>
            <w:fldChar w:fldCharType="begin"/>
          </w:r>
          <w:r>
            <w:rPr>
              <w:highlight w:val="none"/>
            </w:rPr>
            <w:instrText xml:space="preserve"> PAGEREF _Toc28183 </w:instrText>
          </w:r>
          <w:r>
            <w:rPr>
              <w:highlight w:val="none"/>
            </w:rPr>
            <w:fldChar w:fldCharType="separate"/>
          </w:r>
          <w:r>
            <w:rPr>
              <w:highlight w:val="none"/>
            </w:rPr>
            <w:t>1</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_Toc27345 </w:instrText>
          </w:r>
          <w:r>
            <w:rPr>
              <w:bCs w:val="0"/>
              <w:szCs w:val="24"/>
              <w:highlight w:val="none"/>
            </w:rPr>
            <w:fldChar w:fldCharType="separate"/>
          </w:r>
          <w:r>
            <w:rPr>
              <w:rFonts w:hint="eastAsia" w:ascii="仿宋_GB2312" w:hAnsi="仿宋" w:eastAsia="仿宋_GB2312" w:cs="宋体"/>
              <w:bCs/>
              <w:szCs w:val="32"/>
              <w:highlight w:val="none"/>
            </w:rPr>
            <w:t>（一）项目基本情况</w:t>
          </w:r>
          <w:r>
            <w:rPr>
              <w:highlight w:val="none"/>
            </w:rPr>
            <w:tab/>
          </w:r>
          <w:r>
            <w:rPr>
              <w:highlight w:val="none"/>
            </w:rPr>
            <w:fldChar w:fldCharType="begin"/>
          </w:r>
          <w:r>
            <w:rPr>
              <w:highlight w:val="none"/>
            </w:rPr>
            <w:instrText xml:space="preserve"> PAGEREF _Toc27345 </w:instrText>
          </w:r>
          <w:r>
            <w:rPr>
              <w:highlight w:val="none"/>
            </w:rPr>
            <w:fldChar w:fldCharType="separate"/>
          </w:r>
          <w:r>
            <w:rPr>
              <w:highlight w:val="none"/>
            </w:rPr>
            <w:t>1</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_Toc30597 </w:instrText>
          </w:r>
          <w:r>
            <w:rPr>
              <w:bCs w:val="0"/>
              <w:szCs w:val="24"/>
              <w:highlight w:val="none"/>
            </w:rPr>
            <w:fldChar w:fldCharType="separate"/>
          </w:r>
          <w:r>
            <w:rPr>
              <w:rFonts w:hint="eastAsia" w:ascii="仿宋_GB2312" w:hAnsi="仿宋" w:eastAsia="仿宋_GB2312" w:cs="宋体"/>
              <w:bCs/>
              <w:szCs w:val="32"/>
              <w:highlight w:val="none"/>
            </w:rPr>
            <w:t>（二）项目资金情况</w:t>
          </w:r>
          <w:r>
            <w:rPr>
              <w:highlight w:val="none"/>
            </w:rPr>
            <w:tab/>
          </w:r>
          <w:r>
            <w:rPr>
              <w:highlight w:val="none"/>
            </w:rPr>
            <w:fldChar w:fldCharType="begin"/>
          </w:r>
          <w:r>
            <w:rPr>
              <w:highlight w:val="none"/>
            </w:rPr>
            <w:instrText xml:space="preserve"> PAGEREF _Toc30597 </w:instrText>
          </w:r>
          <w:r>
            <w:rPr>
              <w:highlight w:val="none"/>
            </w:rPr>
            <w:fldChar w:fldCharType="separate"/>
          </w:r>
          <w:r>
            <w:rPr>
              <w:highlight w:val="none"/>
            </w:rPr>
            <w:t>5</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_Toc4656 </w:instrText>
          </w:r>
          <w:r>
            <w:rPr>
              <w:bCs w:val="0"/>
              <w:szCs w:val="24"/>
              <w:highlight w:val="none"/>
            </w:rPr>
            <w:fldChar w:fldCharType="separate"/>
          </w:r>
          <w:r>
            <w:rPr>
              <w:rFonts w:hint="eastAsia" w:ascii="仿宋_GB2312" w:hAnsi="仿宋" w:eastAsia="仿宋_GB2312" w:cs="宋体"/>
              <w:bCs/>
              <w:szCs w:val="32"/>
              <w:highlight w:val="none"/>
            </w:rPr>
            <w:t>（三）绩效目标设置情况</w:t>
          </w:r>
          <w:r>
            <w:rPr>
              <w:highlight w:val="none"/>
            </w:rPr>
            <w:tab/>
          </w:r>
          <w:r>
            <w:rPr>
              <w:highlight w:val="none"/>
            </w:rPr>
            <w:fldChar w:fldCharType="begin"/>
          </w:r>
          <w:r>
            <w:rPr>
              <w:highlight w:val="none"/>
            </w:rPr>
            <w:instrText xml:space="preserve"> PAGEREF _Toc4656 </w:instrText>
          </w:r>
          <w:r>
            <w:rPr>
              <w:highlight w:val="none"/>
            </w:rPr>
            <w:fldChar w:fldCharType="separate"/>
          </w:r>
          <w:r>
            <w:rPr>
              <w:highlight w:val="none"/>
            </w:rPr>
            <w:t>5</w:t>
          </w:r>
          <w:r>
            <w:rPr>
              <w:highlight w:val="none"/>
            </w:rPr>
            <w:fldChar w:fldCharType="end"/>
          </w:r>
          <w:r>
            <w:rPr>
              <w:bCs w:val="0"/>
              <w:szCs w:val="24"/>
              <w:highlight w:val="none"/>
            </w:rPr>
            <w:fldChar w:fldCharType="end"/>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_Toc25486 </w:instrText>
          </w:r>
          <w:r>
            <w:rPr>
              <w:bCs w:val="0"/>
              <w:szCs w:val="24"/>
              <w:highlight w:val="none"/>
            </w:rPr>
            <w:fldChar w:fldCharType="separate"/>
          </w:r>
          <w:r>
            <w:rPr>
              <w:rFonts w:hint="eastAsia" w:ascii="黑体" w:hAnsi="黑体" w:eastAsia="黑体" w:cs="宋体"/>
              <w:szCs w:val="32"/>
              <w:highlight w:val="none"/>
            </w:rPr>
            <w:t>二、评价工作简述</w:t>
          </w:r>
          <w:r>
            <w:rPr>
              <w:highlight w:val="none"/>
            </w:rPr>
            <w:tab/>
          </w:r>
          <w:r>
            <w:rPr>
              <w:highlight w:val="none"/>
            </w:rPr>
            <w:fldChar w:fldCharType="begin"/>
          </w:r>
          <w:r>
            <w:rPr>
              <w:highlight w:val="none"/>
            </w:rPr>
            <w:instrText xml:space="preserve"> PAGEREF _Toc25486 </w:instrText>
          </w:r>
          <w:r>
            <w:rPr>
              <w:highlight w:val="none"/>
            </w:rPr>
            <w:fldChar w:fldCharType="separate"/>
          </w:r>
          <w:r>
            <w:rPr>
              <w:highlight w:val="none"/>
            </w:rPr>
            <w:t>5</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_Toc8259 </w:instrText>
          </w:r>
          <w:r>
            <w:rPr>
              <w:bCs w:val="0"/>
              <w:szCs w:val="24"/>
              <w:highlight w:val="none"/>
            </w:rPr>
            <w:fldChar w:fldCharType="separate"/>
          </w:r>
          <w:r>
            <w:rPr>
              <w:rFonts w:hint="eastAsia" w:ascii="仿宋_GB2312" w:hAnsi="仿宋" w:eastAsia="仿宋_GB2312" w:cs="宋体"/>
              <w:bCs/>
              <w:szCs w:val="32"/>
              <w:highlight w:val="none"/>
            </w:rPr>
            <w:t>（一）评价目的</w:t>
          </w:r>
          <w:r>
            <w:rPr>
              <w:highlight w:val="none"/>
            </w:rPr>
            <w:tab/>
          </w:r>
          <w:r>
            <w:rPr>
              <w:highlight w:val="none"/>
            </w:rPr>
            <w:fldChar w:fldCharType="begin"/>
          </w:r>
          <w:r>
            <w:rPr>
              <w:highlight w:val="none"/>
            </w:rPr>
            <w:instrText xml:space="preserve"> PAGEREF _Toc8259 </w:instrText>
          </w:r>
          <w:r>
            <w:rPr>
              <w:highlight w:val="none"/>
            </w:rPr>
            <w:fldChar w:fldCharType="separate"/>
          </w:r>
          <w:r>
            <w:rPr>
              <w:highlight w:val="none"/>
            </w:rPr>
            <w:t>8</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_Toc22761 </w:instrText>
          </w:r>
          <w:r>
            <w:rPr>
              <w:bCs w:val="0"/>
              <w:szCs w:val="24"/>
              <w:highlight w:val="none"/>
            </w:rPr>
            <w:fldChar w:fldCharType="separate"/>
          </w:r>
          <w:r>
            <w:rPr>
              <w:rFonts w:hint="eastAsia" w:ascii="仿宋_GB2312" w:hAnsi="仿宋" w:eastAsia="仿宋_GB2312" w:cs="宋体"/>
              <w:bCs/>
              <w:szCs w:val="32"/>
              <w:highlight w:val="none"/>
            </w:rPr>
            <w:t>（二）绩效评价工作</w:t>
          </w:r>
          <w:r>
            <w:rPr>
              <w:rFonts w:hint="eastAsia" w:ascii="仿宋_GB2312" w:hAnsi="仿宋" w:eastAsia="仿宋_GB2312" w:cs="宋体"/>
              <w:bCs/>
              <w:szCs w:val="32"/>
              <w:highlight w:val="none"/>
              <w:lang w:val="en-US" w:eastAsia="zh-CN"/>
            </w:rPr>
            <w:t>的基本</w:t>
          </w:r>
          <w:r>
            <w:rPr>
              <w:rFonts w:hint="eastAsia" w:ascii="仿宋_GB2312" w:hAnsi="仿宋" w:eastAsia="仿宋_GB2312" w:cs="宋体"/>
              <w:bCs/>
              <w:szCs w:val="32"/>
              <w:highlight w:val="none"/>
            </w:rPr>
            <w:t>思路</w:t>
          </w:r>
          <w:r>
            <w:rPr>
              <w:highlight w:val="none"/>
            </w:rPr>
            <w:tab/>
          </w:r>
          <w:r>
            <w:rPr>
              <w:highlight w:val="none"/>
            </w:rPr>
            <w:fldChar w:fldCharType="begin"/>
          </w:r>
          <w:r>
            <w:rPr>
              <w:highlight w:val="none"/>
            </w:rPr>
            <w:instrText xml:space="preserve"> PAGEREF _Toc22761 </w:instrText>
          </w:r>
          <w:r>
            <w:rPr>
              <w:highlight w:val="none"/>
            </w:rPr>
            <w:fldChar w:fldCharType="separate"/>
          </w:r>
          <w:r>
            <w:rPr>
              <w:highlight w:val="none"/>
            </w:rPr>
            <w:t>8</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_Toc7962 </w:instrText>
          </w:r>
          <w:r>
            <w:rPr>
              <w:bCs w:val="0"/>
              <w:szCs w:val="24"/>
              <w:highlight w:val="none"/>
            </w:rPr>
            <w:fldChar w:fldCharType="separate"/>
          </w:r>
          <w:r>
            <w:rPr>
              <w:rFonts w:hint="eastAsia" w:ascii="仿宋_GB2312" w:hAnsi="仿宋" w:eastAsia="仿宋_GB2312" w:cs="宋体"/>
              <w:bCs/>
              <w:szCs w:val="32"/>
              <w:highlight w:val="none"/>
            </w:rPr>
            <w:t>（三）评价原则</w:t>
          </w:r>
          <w:r>
            <w:rPr>
              <w:highlight w:val="none"/>
            </w:rPr>
            <w:tab/>
          </w:r>
          <w:r>
            <w:rPr>
              <w:highlight w:val="none"/>
            </w:rPr>
            <w:fldChar w:fldCharType="begin"/>
          </w:r>
          <w:r>
            <w:rPr>
              <w:highlight w:val="none"/>
            </w:rPr>
            <w:instrText xml:space="preserve"> PAGEREF _Toc7962 </w:instrText>
          </w:r>
          <w:r>
            <w:rPr>
              <w:highlight w:val="none"/>
            </w:rPr>
            <w:fldChar w:fldCharType="separate"/>
          </w:r>
          <w:r>
            <w:rPr>
              <w:highlight w:val="none"/>
            </w:rPr>
            <w:t>9</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_Toc1742 </w:instrText>
          </w:r>
          <w:r>
            <w:rPr>
              <w:bCs w:val="0"/>
              <w:szCs w:val="24"/>
              <w:highlight w:val="none"/>
            </w:rPr>
            <w:fldChar w:fldCharType="separate"/>
          </w:r>
          <w:r>
            <w:rPr>
              <w:rFonts w:hint="eastAsia" w:ascii="仿宋_GB2312" w:hAnsi="仿宋" w:eastAsia="仿宋_GB2312" w:cs="宋体"/>
              <w:bCs/>
              <w:szCs w:val="32"/>
              <w:highlight w:val="none"/>
            </w:rPr>
            <w:t>（四）评价方法</w:t>
          </w:r>
          <w:r>
            <w:rPr>
              <w:highlight w:val="none"/>
            </w:rPr>
            <w:tab/>
          </w:r>
          <w:r>
            <w:rPr>
              <w:highlight w:val="none"/>
            </w:rPr>
            <w:fldChar w:fldCharType="begin"/>
          </w:r>
          <w:r>
            <w:rPr>
              <w:highlight w:val="none"/>
            </w:rPr>
            <w:instrText xml:space="preserve"> PAGEREF _Toc1742 </w:instrText>
          </w:r>
          <w:r>
            <w:rPr>
              <w:highlight w:val="none"/>
            </w:rPr>
            <w:fldChar w:fldCharType="separate"/>
          </w:r>
          <w:r>
            <w:rPr>
              <w:highlight w:val="none"/>
            </w:rPr>
            <w:t>9</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_Toc16588 </w:instrText>
          </w:r>
          <w:r>
            <w:rPr>
              <w:bCs w:val="0"/>
              <w:szCs w:val="24"/>
              <w:highlight w:val="none"/>
            </w:rPr>
            <w:fldChar w:fldCharType="separate"/>
          </w:r>
          <w:r>
            <w:rPr>
              <w:rFonts w:hint="eastAsia" w:ascii="仿宋_GB2312" w:hAnsi="仿宋" w:eastAsia="仿宋_GB2312" w:cs="宋体"/>
              <w:bCs/>
              <w:szCs w:val="32"/>
              <w:highlight w:val="none"/>
            </w:rPr>
            <w:t>（五） 指标体系</w:t>
          </w:r>
          <w:r>
            <w:rPr>
              <w:highlight w:val="none"/>
            </w:rPr>
            <w:tab/>
          </w:r>
          <w:r>
            <w:rPr>
              <w:highlight w:val="none"/>
            </w:rPr>
            <w:fldChar w:fldCharType="begin"/>
          </w:r>
          <w:r>
            <w:rPr>
              <w:highlight w:val="none"/>
            </w:rPr>
            <w:instrText xml:space="preserve"> PAGEREF _Toc16588 </w:instrText>
          </w:r>
          <w:r>
            <w:rPr>
              <w:highlight w:val="none"/>
            </w:rPr>
            <w:fldChar w:fldCharType="separate"/>
          </w:r>
          <w:r>
            <w:rPr>
              <w:highlight w:val="none"/>
            </w:rPr>
            <w:t>9</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_Toc31692 </w:instrText>
          </w:r>
          <w:r>
            <w:rPr>
              <w:bCs w:val="0"/>
              <w:szCs w:val="24"/>
              <w:highlight w:val="none"/>
            </w:rPr>
            <w:fldChar w:fldCharType="separate"/>
          </w:r>
          <w:r>
            <w:rPr>
              <w:rFonts w:hint="eastAsia" w:ascii="仿宋_GB2312" w:hAnsi="仿宋" w:eastAsia="仿宋_GB2312" w:cs="宋体"/>
              <w:bCs/>
              <w:szCs w:val="32"/>
              <w:highlight w:val="none"/>
            </w:rPr>
            <w:t>（六）评价等级划分</w:t>
          </w:r>
          <w:r>
            <w:rPr>
              <w:highlight w:val="none"/>
            </w:rPr>
            <w:tab/>
          </w:r>
          <w:r>
            <w:rPr>
              <w:highlight w:val="none"/>
            </w:rPr>
            <w:fldChar w:fldCharType="begin"/>
          </w:r>
          <w:r>
            <w:rPr>
              <w:highlight w:val="none"/>
            </w:rPr>
            <w:instrText xml:space="preserve"> PAGEREF _Toc31692 </w:instrText>
          </w:r>
          <w:r>
            <w:rPr>
              <w:highlight w:val="none"/>
            </w:rPr>
            <w:fldChar w:fldCharType="separate"/>
          </w:r>
          <w:r>
            <w:rPr>
              <w:highlight w:val="none"/>
            </w:rPr>
            <w:t>10</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_Toc24267 </w:instrText>
          </w:r>
          <w:r>
            <w:rPr>
              <w:bCs w:val="0"/>
              <w:szCs w:val="24"/>
              <w:highlight w:val="none"/>
            </w:rPr>
            <w:fldChar w:fldCharType="separate"/>
          </w:r>
          <w:r>
            <w:rPr>
              <w:rFonts w:hint="eastAsia" w:ascii="仿宋_GB2312" w:hAnsi="仿宋" w:eastAsia="仿宋_GB2312" w:cs="宋体"/>
              <w:bCs/>
              <w:szCs w:val="32"/>
              <w:highlight w:val="none"/>
            </w:rPr>
            <w:t>（七）评价工作实施情况</w:t>
          </w:r>
          <w:r>
            <w:rPr>
              <w:highlight w:val="none"/>
            </w:rPr>
            <w:tab/>
          </w:r>
          <w:r>
            <w:rPr>
              <w:highlight w:val="none"/>
            </w:rPr>
            <w:fldChar w:fldCharType="begin"/>
          </w:r>
          <w:r>
            <w:rPr>
              <w:highlight w:val="none"/>
            </w:rPr>
            <w:instrText xml:space="preserve"> PAGEREF _Toc24267 </w:instrText>
          </w:r>
          <w:r>
            <w:rPr>
              <w:highlight w:val="none"/>
            </w:rPr>
            <w:fldChar w:fldCharType="separate"/>
          </w:r>
          <w:r>
            <w:rPr>
              <w:highlight w:val="none"/>
            </w:rPr>
            <w:t>10</w:t>
          </w:r>
          <w:r>
            <w:rPr>
              <w:highlight w:val="none"/>
            </w:rPr>
            <w:fldChar w:fldCharType="end"/>
          </w:r>
          <w:r>
            <w:rPr>
              <w:bCs w:val="0"/>
              <w:szCs w:val="24"/>
              <w:highlight w:val="none"/>
            </w:rPr>
            <w:fldChar w:fldCharType="end"/>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_Toc27359 </w:instrText>
          </w:r>
          <w:r>
            <w:rPr>
              <w:bCs w:val="0"/>
              <w:szCs w:val="24"/>
              <w:highlight w:val="none"/>
            </w:rPr>
            <w:fldChar w:fldCharType="separate"/>
          </w:r>
          <w:r>
            <w:rPr>
              <w:rFonts w:hint="eastAsia" w:ascii="黑体" w:hAnsi="黑体" w:eastAsia="黑体" w:cs="宋体"/>
              <w:szCs w:val="32"/>
              <w:highlight w:val="none"/>
            </w:rPr>
            <w:t>三、绩效评价分析</w:t>
          </w:r>
          <w:r>
            <w:rPr>
              <w:highlight w:val="none"/>
            </w:rPr>
            <w:tab/>
          </w:r>
          <w:r>
            <w:rPr>
              <w:highlight w:val="none"/>
            </w:rPr>
            <w:fldChar w:fldCharType="begin"/>
          </w:r>
          <w:r>
            <w:rPr>
              <w:highlight w:val="none"/>
            </w:rPr>
            <w:instrText xml:space="preserve"> PAGEREF _Toc27359 </w:instrText>
          </w:r>
          <w:r>
            <w:rPr>
              <w:highlight w:val="none"/>
            </w:rPr>
            <w:fldChar w:fldCharType="separate"/>
          </w:r>
          <w:r>
            <w:rPr>
              <w:highlight w:val="none"/>
            </w:rPr>
            <w:t>12</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_Toc5787 </w:instrText>
          </w:r>
          <w:r>
            <w:rPr>
              <w:bCs w:val="0"/>
              <w:szCs w:val="24"/>
              <w:highlight w:val="none"/>
            </w:rPr>
            <w:fldChar w:fldCharType="separate"/>
          </w:r>
          <w:r>
            <w:rPr>
              <w:rFonts w:hint="eastAsia" w:ascii="仿宋_GB2312" w:hAnsi="仿宋" w:eastAsia="仿宋_GB2312" w:cs="宋体"/>
              <w:bCs/>
              <w:szCs w:val="32"/>
              <w:highlight w:val="none"/>
            </w:rPr>
            <w:t>（一）项目决策分析</w:t>
          </w:r>
          <w:r>
            <w:rPr>
              <w:highlight w:val="none"/>
            </w:rPr>
            <w:tab/>
          </w:r>
          <w:r>
            <w:rPr>
              <w:highlight w:val="none"/>
            </w:rPr>
            <w:fldChar w:fldCharType="begin"/>
          </w:r>
          <w:r>
            <w:rPr>
              <w:highlight w:val="none"/>
            </w:rPr>
            <w:instrText xml:space="preserve"> PAGEREF _Toc5787 </w:instrText>
          </w:r>
          <w:r>
            <w:rPr>
              <w:highlight w:val="none"/>
            </w:rPr>
            <w:fldChar w:fldCharType="separate"/>
          </w:r>
          <w:r>
            <w:rPr>
              <w:highlight w:val="none"/>
            </w:rPr>
            <w:t>12</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_Toc5610 </w:instrText>
          </w:r>
          <w:r>
            <w:rPr>
              <w:bCs w:val="0"/>
              <w:szCs w:val="24"/>
              <w:highlight w:val="none"/>
            </w:rPr>
            <w:fldChar w:fldCharType="separate"/>
          </w:r>
          <w:r>
            <w:rPr>
              <w:rFonts w:hint="eastAsia" w:ascii="仿宋_GB2312" w:hAnsi="仿宋" w:eastAsia="仿宋_GB2312" w:cs="宋体"/>
              <w:bCs/>
              <w:szCs w:val="32"/>
              <w:highlight w:val="none"/>
            </w:rPr>
            <w:t>（二）项目管理</w:t>
          </w:r>
          <w:r>
            <w:rPr>
              <w:rFonts w:hint="eastAsia" w:ascii="仿宋_GB2312" w:hAnsi="仿宋" w:eastAsia="仿宋_GB2312" w:cs="宋体"/>
              <w:bCs/>
              <w:szCs w:val="32"/>
              <w:highlight w:val="none"/>
              <w:lang w:val="en-US" w:eastAsia="zh-CN"/>
            </w:rPr>
            <w:t>过程</w:t>
          </w:r>
          <w:r>
            <w:rPr>
              <w:rFonts w:hint="eastAsia" w:ascii="仿宋_GB2312" w:hAnsi="仿宋" w:eastAsia="仿宋_GB2312" w:cs="宋体"/>
              <w:bCs/>
              <w:szCs w:val="32"/>
              <w:highlight w:val="none"/>
            </w:rPr>
            <w:t>情况分析</w:t>
          </w:r>
          <w:r>
            <w:rPr>
              <w:highlight w:val="none"/>
            </w:rPr>
            <w:tab/>
          </w:r>
          <w:r>
            <w:rPr>
              <w:highlight w:val="none"/>
            </w:rPr>
            <w:fldChar w:fldCharType="begin"/>
          </w:r>
          <w:r>
            <w:rPr>
              <w:highlight w:val="none"/>
            </w:rPr>
            <w:instrText xml:space="preserve"> PAGEREF _Toc5610 </w:instrText>
          </w:r>
          <w:r>
            <w:rPr>
              <w:highlight w:val="none"/>
            </w:rPr>
            <w:fldChar w:fldCharType="separate"/>
          </w:r>
          <w:r>
            <w:rPr>
              <w:highlight w:val="none"/>
            </w:rPr>
            <w:t>14</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_Toc31015 </w:instrText>
          </w:r>
          <w:r>
            <w:rPr>
              <w:bCs w:val="0"/>
              <w:szCs w:val="24"/>
              <w:highlight w:val="none"/>
            </w:rPr>
            <w:fldChar w:fldCharType="separate"/>
          </w:r>
          <w:r>
            <w:rPr>
              <w:rFonts w:hint="eastAsia" w:ascii="仿宋_GB2312" w:hAnsi="仿宋" w:eastAsia="仿宋_GB2312" w:cs="宋体"/>
              <w:bCs/>
              <w:szCs w:val="32"/>
              <w:highlight w:val="none"/>
            </w:rPr>
            <w:t>（</w:t>
          </w:r>
          <w:r>
            <w:rPr>
              <w:rFonts w:hint="eastAsia" w:ascii="仿宋_GB2312" w:hAnsi="仿宋" w:eastAsia="仿宋_GB2312" w:cs="宋体"/>
              <w:bCs/>
              <w:szCs w:val="32"/>
              <w:highlight w:val="none"/>
              <w:lang w:val="en-US" w:eastAsia="zh-CN"/>
            </w:rPr>
            <w:t>三</w:t>
          </w:r>
          <w:r>
            <w:rPr>
              <w:rFonts w:hint="eastAsia" w:ascii="仿宋_GB2312" w:hAnsi="仿宋" w:eastAsia="仿宋_GB2312" w:cs="宋体"/>
              <w:bCs/>
              <w:szCs w:val="32"/>
              <w:highlight w:val="none"/>
            </w:rPr>
            <w:t>）项目</w:t>
          </w:r>
          <w:r>
            <w:rPr>
              <w:rFonts w:hint="eastAsia" w:ascii="仿宋_GB2312" w:hAnsi="仿宋" w:eastAsia="仿宋_GB2312" w:cs="宋体"/>
              <w:bCs/>
              <w:szCs w:val="32"/>
              <w:highlight w:val="none"/>
              <w:lang w:val="en-US" w:eastAsia="zh-CN"/>
            </w:rPr>
            <w:t>产出</w:t>
          </w:r>
          <w:r>
            <w:rPr>
              <w:rFonts w:hint="eastAsia" w:ascii="仿宋_GB2312" w:hAnsi="仿宋" w:eastAsia="仿宋_GB2312" w:cs="宋体"/>
              <w:bCs/>
              <w:szCs w:val="32"/>
              <w:highlight w:val="none"/>
            </w:rPr>
            <w:t>情况分析</w:t>
          </w:r>
          <w:r>
            <w:rPr>
              <w:highlight w:val="none"/>
            </w:rPr>
            <w:tab/>
          </w:r>
          <w:r>
            <w:rPr>
              <w:highlight w:val="none"/>
            </w:rPr>
            <w:fldChar w:fldCharType="begin"/>
          </w:r>
          <w:r>
            <w:rPr>
              <w:highlight w:val="none"/>
            </w:rPr>
            <w:instrText xml:space="preserve"> PAGEREF _Toc31015 </w:instrText>
          </w:r>
          <w:r>
            <w:rPr>
              <w:highlight w:val="none"/>
            </w:rPr>
            <w:fldChar w:fldCharType="separate"/>
          </w:r>
          <w:r>
            <w:rPr>
              <w:highlight w:val="none"/>
            </w:rPr>
            <w:t>16</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_Toc3708 </w:instrText>
          </w:r>
          <w:r>
            <w:rPr>
              <w:bCs w:val="0"/>
              <w:szCs w:val="24"/>
              <w:highlight w:val="none"/>
            </w:rPr>
            <w:fldChar w:fldCharType="separate"/>
          </w:r>
          <w:r>
            <w:rPr>
              <w:rFonts w:hint="eastAsia" w:ascii="仿宋_GB2312" w:hAnsi="仿宋" w:eastAsia="仿宋_GB2312" w:cs="宋体"/>
              <w:bCs/>
              <w:szCs w:val="32"/>
              <w:highlight w:val="none"/>
              <w:lang w:val="en-US" w:eastAsia="zh-CN"/>
            </w:rPr>
            <w:t>（四）项目效益评价分析</w:t>
          </w:r>
          <w:r>
            <w:rPr>
              <w:highlight w:val="none"/>
            </w:rPr>
            <w:tab/>
          </w:r>
          <w:r>
            <w:rPr>
              <w:highlight w:val="none"/>
            </w:rPr>
            <w:fldChar w:fldCharType="begin"/>
          </w:r>
          <w:r>
            <w:rPr>
              <w:highlight w:val="none"/>
            </w:rPr>
            <w:instrText xml:space="preserve"> PAGEREF _Toc3708 </w:instrText>
          </w:r>
          <w:r>
            <w:rPr>
              <w:highlight w:val="none"/>
            </w:rPr>
            <w:fldChar w:fldCharType="separate"/>
          </w:r>
          <w:r>
            <w:rPr>
              <w:highlight w:val="none"/>
            </w:rPr>
            <w:t>16</w:t>
          </w:r>
          <w:r>
            <w:rPr>
              <w:highlight w:val="none"/>
            </w:rPr>
            <w:fldChar w:fldCharType="end"/>
          </w:r>
          <w:r>
            <w:rPr>
              <w:bCs w:val="0"/>
              <w:szCs w:val="24"/>
              <w:highlight w:val="none"/>
            </w:rPr>
            <w:fldChar w:fldCharType="end"/>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_Toc6584 </w:instrText>
          </w:r>
          <w:r>
            <w:rPr>
              <w:bCs w:val="0"/>
              <w:szCs w:val="24"/>
              <w:highlight w:val="none"/>
            </w:rPr>
            <w:fldChar w:fldCharType="separate"/>
          </w:r>
          <w:r>
            <w:rPr>
              <w:rFonts w:hint="eastAsia" w:ascii="黑体" w:hAnsi="黑体" w:eastAsia="黑体" w:cs="宋体"/>
              <w:szCs w:val="32"/>
              <w:highlight w:val="none"/>
              <w:lang w:val="en-US" w:eastAsia="zh-CN"/>
            </w:rPr>
            <w:t>四、</w:t>
          </w:r>
          <w:r>
            <w:rPr>
              <w:rFonts w:hint="eastAsia" w:ascii="黑体" w:hAnsi="黑体" w:eastAsia="黑体" w:cs="宋体"/>
              <w:szCs w:val="32"/>
              <w:highlight w:val="none"/>
            </w:rPr>
            <w:t>评价结论</w:t>
          </w:r>
          <w:r>
            <w:rPr>
              <w:highlight w:val="none"/>
            </w:rPr>
            <w:tab/>
          </w:r>
          <w:r>
            <w:rPr>
              <w:highlight w:val="none"/>
            </w:rPr>
            <w:fldChar w:fldCharType="begin"/>
          </w:r>
          <w:r>
            <w:rPr>
              <w:highlight w:val="none"/>
            </w:rPr>
            <w:instrText xml:space="preserve"> PAGEREF _Toc6584 </w:instrText>
          </w:r>
          <w:r>
            <w:rPr>
              <w:highlight w:val="none"/>
            </w:rPr>
            <w:fldChar w:fldCharType="separate"/>
          </w:r>
          <w:r>
            <w:rPr>
              <w:highlight w:val="none"/>
            </w:rPr>
            <w:t>17</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_Toc13481 </w:instrText>
          </w:r>
          <w:r>
            <w:rPr>
              <w:bCs w:val="0"/>
              <w:szCs w:val="24"/>
              <w:highlight w:val="none"/>
            </w:rPr>
            <w:fldChar w:fldCharType="separate"/>
          </w:r>
          <w:r>
            <w:rPr>
              <w:rFonts w:hint="eastAsia" w:ascii="仿宋_GB2312" w:hAnsi="仿宋" w:eastAsia="仿宋_GB2312" w:cs="宋体"/>
              <w:bCs/>
              <w:szCs w:val="32"/>
              <w:highlight w:val="none"/>
            </w:rPr>
            <w:t>（一）评分结果</w:t>
          </w:r>
          <w:r>
            <w:rPr>
              <w:highlight w:val="none"/>
            </w:rPr>
            <w:tab/>
          </w:r>
          <w:r>
            <w:rPr>
              <w:highlight w:val="none"/>
            </w:rPr>
            <w:fldChar w:fldCharType="begin"/>
          </w:r>
          <w:r>
            <w:rPr>
              <w:highlight w:val="none"/>
            </w:rPr>
            <w:instrText xml:space="preserve"> PAGEREF _Toc13481 </w:instrText>
          </w:r>
          <w:r>
            <w:rPr>
              <w:highlight w:val="none"/>
            </w:rPr>
            <w:fldChar w:fldCharType="separate"/>
          </w:r>
          <w:r>
            <w:rPr>
              <w:highlight w:val="none"/>
            </w:rPr>
            <w:t>17</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_Toc3803 </w:instrText>
          </w:r>
          <w:r>
            <w:rPr>
              <w:bCs w:val="0"/>
              <w:szCs w:val="24"/>
              <w:highlight w:val="none"/>
            </w:rPr>
            <w:fldChar w:fldCharType="separate"/>
          </w:r>
          <w:r>
            <w:rPr>
              <w:rFonts w:hint="eastAsia" w:ascii="仿宋_GB2312" w:hAnsi="仿宋" w:eastAsia="仿宋_GB2312" w:cs="宋体"/>
              <w:bCs/>
              <w:szCs w:val="32"/>
              <w:highlight w:val="none"/>
            </w:rPr>
            <w:t>（二）项目总体评价结论</w:t>
          </w:r>
          <w:r>
            <w:rPr>
              <w:highlight w:val="none"/>
            </w:rPr>
            <w:tab/>
          </w:r>
          <w:r>
            <w:rPr>
              <w:highlight w:val="none"/>
            </w:rPr>
            <w:fldChar w:fldCharType="begin"/>
          </w:r>
          <w:r>
            <w:rPr>
              <w:highlight w:val="none"/>
            </w:rPr>
            <w:instrText xml:space="preserve"> PAGEREF _Toc3803 </w:instrText>
          </w:r>
          <w:r>
            <w:rPr>
              <w:highlight w:val="none"/>
            </w:rPr>
            <w:fldChar w:fldCharType="separate"/>
          </w:r>
          <w:r>
            <w:rPr>
              <w:highlight w:val="none"/>
            </w:rPr>
            <w:t>18</w:t>
          </w:r>
          <w:r>
            <w:rPr>
              <w:highlight w:val="none"/>
            </w:rPr>
            <w:fldChar w:fldCharType="end"/>
          </w:r>
          <w:r>
            <w:rPr>
              <w:bCs w:val="0"/>
              <w:szCs w:val="24"/>
              <w:highlight w:val="none"/>
            </w:rPr>
            <w:fldChar w:fldCharType="end"/>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_Toc7267 </w:instrText>
          </w:r>
          <w:r>
            <w:rPr>
              <w:bCs w:val="0"/>
              <w:szCs w:val="24"/>
              <w:highlight w:val="none"/>
            </w:rPr>
            <w:fldChar w:fldCharType="separate"/>
          </w:r>
          <w:r>
            <w:rPr>
              <w:rFonts w:hint="eastAsia" w:ascii="黑体" w:hAnsi="黑体" w:eastAsia="黑体" w:cs="宋体"/>
              <w:szCs w:val="32"/>
              <w:highlight w:val="none"/>
            </w:rPr>
            <w:t>五、问题</w:t>
          </w:r>
          <w:r>
            <w:rPr>
              <w:rFonts w:hint="eastAsia" w:ascii="黑体" w:hAnsi="黑体" w:eastAsia="黑体" w:cs="宋体"/>
              <w:szCs w:val="32"/>
              <w:highlight w:val="none"/>
              <w:lang w:val="en-US" w:eastAsia="zh-CN"/>
            </w:rPr>
            <w:t>及建议</w:t>
          </w:r>
          <w:r>
            <w:rPr>
              <w:highlight w:val="none"/>
            </w:rPr>
            <w:tab/>
          </w:r>
          <w:r>
            <w:rPr>
              <w:highlight w:val="none"/>
            </w:rPr>
            <w:fldChar w:fldCharType="begin"/>
          </w:r>
          <w:r>
            <w:rPr>
              <w:highlight w:val="none"/>
            </w:rPr>
            <w:instrText xml:space="preserve"> PAGEREF _Toc7267 </w:instrText>
          </w:r>
          <w:r>
            <w:rPr>
              <w:highlight w:val="none"/>
            </w:rPr>
            <w:fldChar w:fldCharType="separate"/>
          </w:r>
          <w:r>
            <w:rPr>
              <w:highlight w:val="none"/>
            </w:rPr>
            <w:t>18</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_Toc2013 </w:instrText>
          </w:r>
          <w:r>
            <w:rPr>
              <w:bCs w:val="0"/>
              <w:szCs w:val="24"/>
              <w:highlight w:val="none"/>
            </w:rPr>
            <w:fldChar w:fldCharType="separate"/>
          </w:r>
          <w:r>
            <w:rPr>
              <w:rFonts w:hint="eastAsia" w:ascii="仿宋_GB2312" w:hAnsi="仿宋" w:eastAsia="仿宋_GB2312" w:cs="宋体"/>
              <w:bCs/>
              <w:szCs w:val="32"/>
              <w:highlight w:val="none"/>
            </w:rPr>
            <w:t>（一）问题</w:t>
          </w:r>
          <w:r>
            <w:rPr>
              <w:highlight w:val="none"/>
            </w:rPr>
            <w:tab/>
          </w:r>
          <w:r>
            <w:rPr>
              <w:highlight w:val="none"/>
            </w:rPr>
            <w:fldChar w:fldCharType="begin"/>
          </w:r>
          <w:r>
            <w:rPr>
              <w:highlight w:val="none"/>
            </w:rPr>
            <w:instrText xml:space="preserve"> PAGEREF _Toc2013 </w:instrText>
          </w:r>
          <w:r>
            <w:rPr>
              <w:highlight w:val="none"/>
            </w:rPr>
            <w:fldChar w:fldCharType="separate"/>
          </w:r>
          <w:r>
            <w:rPr>
              <w:highlight w:val="none"/>
            </w:rPr>
            <w:t>18</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_Toc4075 </w:instrText>
          </w:r>
          <w:r>
            <w:rPr>
              <w:bCs w:val="0"/>
              <w:szCs w:val="24"/>
              <w:highlight w:val="none"/>
            </w:rPr>
            <w:fldChar w:fldCharType="separate"/>
          </w:r>
          <w:r>
            <w:rPr>
              <w:rFonts w:hint="eastAsia" w:ascii="仿宋_GB2312" w:hAnsi="仿宋" w:eastAsia="仿宋_GB2312" w:cs="宋体"/>
              <w:bCs/>
              <w:szCs w:val="32"/>
              <w:highlight w:val="none"/>
            </w:rPr>
            <w:t>（</w:t>
          </w:r>
          <w:r>
            <w:rPr>
              <w:rFonts w:hint="eastAsia" w:ascii="仿宋_GB2312" w:hAnsi="仿宋" w:eastAsia="仿宋_GB2312" w:cs="宋体"/>
              <w:bCs/>
              <w:szCs w:val="32"/>
              <w:highlight w:val="none"/>
              <w:lang w:val="en-US" w:eastAsia="zh-CN"/>
            </w:rPr>
            <w:t>二</w:t>
          </w:r>
          <w:r>
            <w:rPr>
              <w:rFonts w:hint="eastAsia" w:ascii="仿宋_GB2312" w:hAnsi="仿宋" w:eastAsia="仿宋_GB2312" w:cs="宋体"/>
              <w:bCs/>
              <w:szCs w:val="32"/>
              <w:highlight w:val="none"/>
            </w:rPr>
            <w:t>）意见和建议</w:t>
          </w:r>
          <w:r>
            <w:rPr>
              <w:highlight w:val="none"/>
            </w:rPr>
            <w:tab/>
          </w:r>
          <w:r>
            <w:rPr>
              <w:highlight w:val="none"/>
            </w:rPr>
            <w:fldChar w:fldCharType="begin"/>
          </w:r>
          <w:r>
            <w:rPr>
              <w:highlight w:val="none"/>
            </w:rPr>
            <w:instrText xml:space="preserve"> PAGEREF _Toc4075 </w:instrText>
          </w:r>
          <w:r>
            <w:rPr>
              <w:highlight w:val="none"/>
            </w:rPr>
            <w:fldChar w:fldCharType="separate"/>
          </w:r>
          <w:r>
            <w:rPr>
              <w:highlight w:val="none"/>
            </w:rPr>
            <w:t>18</w:t>
          </w:r>
          <w:r>
            <w:rPr>
              <w:highlight w:val="none"/>
            </w:rPr>
            <w:fldChar w:fldCharType="end"/>
          </w:r>
          <w:r>
            <w:rPr>
              <w:bCs w:val="0"/>
              <w:szCs w:val="24"/>
              <w:highlight w:val="none"/>
            </w:rPr>
            <w:fldChar w:fldCharType="end"/>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_Toc17475 </w:instrText>
          </w:r>
          <w:r>
            <w:rPr>
              <w:bCs w:val="0"/>
              <w:szCs w:val="24"/>
              <w:highlight w:val="none"/>
            </w:rPr>
            <w:fldChar w:fldCharType="separate"/>
          </w:r>
          <w:r>
            <w:rPr>
              <w:rFonts w:hint="eastAsia" w:ascii="黑体" w:hAnsi="黑体" w:eastAsia="黑体" w:cs="宋体"/>
              <w:szCs w:val="32"/>
              <w:highlight w:val="none"/>
            </w:rPr>
            <w:t>六、主要经验及做法</w:t>
          </w:r>
          <w:r>
            <w:rPr>
              <w:highlight w:val="none"/>
            </w:rPr>
            <w:tab/>
          </w:r>
          <w:r>
            <w:rPr>
              <w:highlight w:val="none"/>
            </w:rPr>
            <w:fldChar w:fldCharType="begin"/>
          </w:r>
          <w:r>
            <w:rPr>
              <w:highlight w:val="none"/>
            </w:rPr>
            <w:instrText xml:space="preserve"> PAGEREF _Toc17475 </w:instrText>
          </w:r>
          <w:r>
            <w:rPr>
              <w:highlight w:val="none"/>
            </w:rPr>
            <w:fldChar w:fldCharType="separate"/>
          </w:r>
          <w:r>
            <w:rPr>
              <w:highlight w:val="none"/>
            </w:rPr>
            <w:t>18</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_Toc32230 </w:instrText>
          </w:r>
          <w:r>
            <w:rPr>
              <w:bCs w:val="0"/>
              <w:szCs w:val="24"/>
              <w:highlight w:val="none"/>
            </w:rPr>
            <w:fldChar w:fldCharType="separate"/>
          </w:r>
          <w:r>
            <w:rPr>
              <w:rFonts w:hint="eastAsia" w:ascii="仿宋_GB2312" w:hAnsi="仿宋" w:eastAsia="仿宋_GB2312" w:cs="宋体"/>
              <w:bCs/>
              <w:szCs w:val="32"/>
              <w:highlight w:val="none"/>
            </w:rPr>
            <w:t>（一）项目实施过程有效监控</w:t>
          </w:r>
          <w:r>
            <w:rPr>
              <w:highlight w:val="none"/>
            </w:rPr>
            <w:tab/>
          </w:r>
          <w:r>
            <w:rPr>
              <w:highlight w:val="none"/>
            </w:rPr>
            <w:fldChar w:fldCharType="begin"/>
          </w:r>
          <w:r>
            <w:rPr>
              <w:highlight w:val="none"/>
            </w:rPr>
            <w:instrText xml:space="preserve"> PAGEREF _Toc32230 </w:instrText>
          </w:r>
          <w:r>
            <w:rPr>
              <w:highlight w:val="none"/>
            </w:rPr>
            <w:fldChar w:fldCharType="separate"/>
          </w:r>
          <w:r>
            <w:rPr>
              <w:highlight w:val="none"/>
            </w:rPr>
            <w:t>19</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_Toc22631 </w:instrText>
          </w:r>
          <w:r>
            <w:rPr>
              <w:bCs w:val="0"/>
              <w:szCs w:val="24"/>
              <w:highlight w:val="none"/>
            </w:rPr>
            <w:fldChar w:fldCharType="separate"/>
          </w:r>
          <w:r>
            <w:rPr>
              <w:rFonts w:hint="eastAsia" w:ascii="仿宋_GB2312" w:hAnsi="仿宋" w:eastAsia="仿宋_GB2312" w:cs="宋体"/>
              <w:bCs/>
              <w:szCs w:val="32"/>
              <w:highlight w:val="none"/>
            </w:rPr>
            <w:t>（二）强化领导，明确职责，合理安排使用资金</w:t>
          </w:r>
          <w:r>
            <w:rPr>
              <w:highlight w:val="none"/>
            </w:rPr>
            <w:tab/>
          </w:r>
          <w:r>
            <w:rPr>
              <w:highlight w:val="none"/>
            </w:rPr>
            <w:fldChar w:fldCharType="begin"/>
          </w:r>
          <w:r>
            <w:rPr>
              <w:highlight w:val="none"/>
            </w:rPr>
            <w:instrText xml:space="preserve"> PAGEREF _Toc22631 </w:instrText>
          </w:r>
          <w:r>
            <w:rPr>
              <w:highlight w:val="none"/>
            </w:rPr>
            <w:fldChar w:fldCharType="separate"/>
          </w:r>
          <w:r>
            <w:rPr>
              <w:highlight w:val="none"/>
            </w:rPr>
            <w:t>19</w:t>
          </w:r>
          <w:r>
            <w:rPr>
              <w:highlight w:val="none"/>
            </w:rPr>
            <w:fldChar w:fldCharType="end"/>
          </w:r>
          <w:r>
            <w:rPr>
              <w:bCs w:val="0"/>
              <w:szCs w:val="24"/>
              <w:highlight w:val="none"/>
            </w:rPr>
            <w:fldChar w:fldCharType="end"/>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_Toc14650 </w:instrText>
          </w:r>
          <w:r>
            <w:rPr>
              <w:bCs w:val="0"/>
              <w:szCs w:val="24"/>
              <w:highlight w:val="none"/>
            </w:rPr>
            <w:fldChar w:fldCharType="separate"/>
          </w:r>
          <w:r>
            <w:rPr>
              <w:rFonts w:hint="eastAsia" w:ascii="黑体" w:hAnsi="黑体" w:eastAsia="黑体" w:cs="宋体"/>
              <w:szCs w:val="32"/>
              <w:highlight w:val="none"/>
            </w:rPr>
            <w:t>七、评价结果应用建议</w:t>
          </w:r>
          <w:r>
            <w:rPr>
              <w:highlight w:val="none"/>
            </w:rPr>
            <w:tab/>
          </w:r>
          <w:r>
            <w:rPr>
              <w:highlight w:val="none"/>
            </w:rPr>
            <w:fldChar w:fldCharType="begin"/>
          </w:r>
          <w:r>
            <w:rPr>
              <w:highlight w:val="none"/>
            </w:rPr>
            <w:instrText xml:space="preserve"> PAGEREF _Toc14650 </w:instrText>
          </w:r>
          <w:r>
            <w:rPr>
              <w:highlight w:val="none"/>
            </w:rPr>
            <w:fldChar w:fldCharType="separate"/>
          </w:r>
          <w:r>
            <w:rPr>
              <w:highlight w:val="none"/>
            </w:rPr>
            <w:t>19</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_Toc6072 </w:instrText>
          </w:r>
          <w:r>
            <w:rPr>
              <w:bCs w:val="0"/>
              <w:szCs w:val="24"/>
              <w:highlight w:val="none"/>
            </w:rPr>
            <w:fldChar w:fldCharType="separate"/>
          </w:r>
          <w:r>
            <w:rPr>
              <w:rFonts w:hint="eastAsia" w:ascii="仿宋_GB2312" w:hAnsi="黑体" w:eastAsia="仿宋_GB2312" w:cs="Times New Roman"/>
              <w:bCs/>
              <w:szCs w:val="32"/>
              <w:highlight w:val="none"/>
            </w:rPr>
            <w:t>（一）及时对发现的问题进行整改</w:t>
          </w:r>
          <w:r>
            <w:rPr>
              <w:highlight w:val="none"/>
            </w:rPr>
            <w:tab/>
          </w:r>
          <w:r>
            <w:rPr>
              <w:highlight w:val="none"/>
            </w:rPr>
            <w:fldChar w:fldCharType="begin"/>
          </w:r>
          <w:r>
            <w:rPr>
              <w:highlight w:val="none"/>
            </w:rPr>
            <w:instrText xml:space="preserve"> PAGEREF _Toc6072 </w:instrText>
          </w:r>
          <w:r>
            <w:rPr>
              <w:highlight w:val="none"/>
            </w:rPr>
            <w:fldChar w:fldCharType="separate"/>
          </w:r>
          <w:r>
            <w:rPr>
              <w:highlight w:val="none"/>
            </w:rPr>
            <w:t>19</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_Toc20240 </w:instrText>
          </w:r>
          <w:r>
            <w:rPr>
              <w:bCs w:val="0"/>
              <w:szCs w:val="24"/>
              <w:highlight w:val="none"/>
            </w:rPr>
            <w:fldChar w:fldCharType="separate"/>
          </w:r>
          <w:r>
            <w:rPr>
              <w:rFonts w:hint="eastAsia" w:ascii="仿宋_GB2312" w:hAnsi="黑体" w:eastAsia="仿宋_GB2312" w:cs="Times New Roman"/>
              <w:bCs/>
              <w:szCs w:val="32"/>
              <w:highlight w:val="none"/>
            </w:rPr>
            <w:t>（二） 建立绩效评价结果应用制度</w:t>
          </w:r>
          <w:r>
            <w:rPr>
              <w:highlight w:val="none"/>
            </w:rPr>
            <w:tab/>
          </w:r>
          <w:r>
            <w:rPr>
              <w:highlight w:val="none"/>
            </w:rPr>
            <w:fldChar w:fldCharType="begin"/>
          </w:r>
          <w:r>
            <w:rPr>
              <w:highlight w:val="none"/>
            </w:rPr>
            <w:instrText xml:space="preserve"> PAGEREF _Toc20240 </w:instrText>
          </w:r>
          <w:r>
            <w:rPr>
              <w:highlight w:val="none"/>
            </w:rPr>
            <w:fldChar w:fldCharType="separate"/>
          </w:r>
          <w:r>
            <w:rPr>
              <w:highlight w:val="none"/>
            </w:rPr>
            <w:t>19</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_Toc5443 </w:instrText>
          </w:r>
          <w:r>
            <w:rPr>
              <w:bCs w:val="0"/>
              <w:szCs w:val="24"/>
              <w:highlight w:val="none"/>
            </w:rPr>
            <w:fldChar w:fldCharType="separate"/>
          </w:r>
          <w:r>
            <w:rPr>
              <w:rFonts w:hint="eastAsia" w:ascii="仿宋_GB2312" w:hAnsi="黑体" w:eastAsia="仿宋_GB2312" w:cs="Times New Roman"/>
              <w:bCs/>
              <w:szCs w:val="32"/>
              <w:highlight w:val="none"/>
            </w:rPr>
            <w:t>（三）</w:t>
          </w:r>
          <w:r>
            <w:rPr>
              <w:rFonts w:hint="eastAsia" w:ascii="仿宋_GB2312" w:hAnsi="黑体" w:eastAsia="仿宋_GB2312" w:cs="Times New Roman"/>
              <w:bCs/>
              <w:szCs w:val="32"/>
              <w:highlight w:val="none"/>
              <w:lang w:val="en-US" w:eastAsia="zh-CN"/>
            </w:rPr>
            <w:t>强化</w:t>
          </w:r>
          <w:r>
            <w:rPr>
              <w:rFonts w:hint="eastAsia" w:ascii="仿宋_GB2312" w:hAnsi="黑体" w:eastAsia="仿宋_GB2312" w:cs="Times New Roman"/>
              <w:bCs/>
              <w:szCs w:val="32"/>
              <w:highlight w:val="none"/>
            </w:rPr>
            <w:t>绩效评价结果应用</w:t>
          </w:r>
          <w:r>
            <w:rPr>
              <w:highlight w:val="none"/>
            </w:rPr>
            <w:tab/>
          </w:r>
          <w:r>
            <w:rPr>
              <w:highlight w:val="none"/>
            </w:rPr>
            <w:fldChar w:fldCharType="begin"/>
          </w:r>
          <w:r>
            <w:rPr>
              <w:highlight w:val="none"/>
            </w:rPr>
            <w:instrText xml:space="preserve"> PAGEREF _Toc5443 </w:instrText>
          </w:r>
          <w:r>
            <w:rPr>
              <w:highlight w:val="none"/>
            </w:rPr>
            <w:fldChar w:fldCharType="separate"/>
          </w:r>
          <w:r>
            <w:rPr>
              <w:highlight w:val="none"/>
            </w:rPr>
            <w:t>20</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_Toc4069 </w:instrText>
          </w:r>
          <w:r>
            <w:rPr>
              <w:bCs w:val="0"/>
              <w:szCs w:val="24"/>
              <w:highlight w:val="none"/>
            </w:rPr>
            <w:fldChar w:fldCharType="separate"/>
          </w:r>
          <w:r>
            <w:rPr>
              <w:rFonts w:hint="eastAsia" w:ascii="仿宋_GB2312" w:hAnsi="黑体" w:eastAsia="仿宋_GB2312" w:cs="Times New Roman"/>
              <w:bCs/>
              <w:szCs w:val="32"/>
              <w:highlight w:val="none"/>
            </w:rPr>
            <w:t>（四）评价结果公开</w:t>
          </w:r>
          <w:r>
            <w:rPr>
              <w:highlight w:val="none"/>
            </w:rPr>
            <w:tab/>
          </w:r>
          <w:r>
            <w:rPr>
              <w:highlight w:val="none"/>
            </w:rPr>
            <w:fldChar w:fldCharType="begin"/>
          </w:r>
          <w:r>
            <w:rPr>
              <w:highlight w:val="none"/>
            </w:rPr>
            <w:instrText xml:space="preserve"> PAGEREF _Toc4069 </w:instrText>
          </w:r>
          <w:r>
            <w:rPr>
              <w:highlight w:val="none"/>
            </w:rPr>
            <w:fldChar w:fldCharType="separate"/>
          </w:r>
          <w:r>
            <w:rPr>
              <w:highlight w:val="none"/>
            </w:rPr>
            <w:t>20</w:t>
          </w:r>
          <w:r>
            <w:rPr>
              <w:highlight w:val="none"/>
            </w:rPr>
            <w:fldChar w:fldCharType="end"/>
          </w:r>
          <w:r>
            <w:rPr>
              <w:bCs w:val="0"/>
              <w:szCs w:val="24"/>
              <w:highlight w:val="none"/>
            </w:rPr>
            <w:fldChar w:fldCharType="end"/>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_Toc17018 </w:instrText>
          </w:r>
          <w:r>
            <w:rPr>
              <w:bCs w:val="0"/>
              <w:szCs w:val="24"/>
              <w:highlight w:val="none"/>
            </w:rPr>
            <w:fldChar w:fldCharType="separate"/>
          </w:r>
          <w:r>
            <w:rPr>
              <w:rFonts w:hint="eastAsia" w:ascii="黑体" w:hAnsi="黑体" w:eastAsia="黑体" w:cs="宋体"/>
              <w:szCs w:val="32"/>
              <w:highlight w:val="none"/>
              <w:lang w:val="en-US" w:eastAsia="zh-CN"/>
            </w:rPr>
            <w:t>八、</w:t>
          </w:r>
          <w:r>
            <w:rPr>
              <w:rFonts w:hint="eastAsia" w:ascii="黑体" w:hAnsi="黑体" w:eastAsia="黑体" w:cs="宋体"/>
              <w:szCs w:val="32"/>
              <w:highlight w:val="none"/>
            </w:rPr>
            <w:t>其他需说明的问题</w:t>
          </w:r>
          <w:r>
            <w:rPr>
              <w:highlight w:val="none"/>
            </w:rPr>
            <w:tab/>
          </w:r>
          <w:r>
            <w:rPr>
              <w:highlight w:val="none"/>
            </w:rPr>
            <w:fldChar w:fldCharType="begin"/>
          </w:r>
          <w:r>
            <w:rPr>
              <w:highlight w:val="none"/>
            </w:rPr>
            <w:instrText xml:space="preserve"> PAGEREF _Toc17018 </w:instrText>
          </w:r>
          <w:r>
            <w:rPr>
              <w:highlight w:val="none"/>
            </w:rPr>
            <w:fldChar w:fldCharType="separate"/>
          </w:r>
          <w:r>
            <w:rPr>
              <w:highlight w:val="none"/>
            </w:rPr>
            <w:t>21</w:t>
          </w:r>
          <w:r>
            <w:rPr>
              <w:highlight w:val="none"/>
            </w:rPr>
            <w:fldChar w:fldCharType="end"/>
          </w:r>
          <w:r>
            <w:rPr>
              <w:bCs w:val="0"/>
              <w:szCs w:val="24"/>
              <w:highlight w:val="none"/>
            </w:rPr>
            <w:fldChar w:fldCharType="end"/>
          </w:r>
        </w:p>
        <w:p>
          <w:pPr>
            <w:pStyle w:val="14"/>
            <w:tabs>
              <w:tab w:val="right" w:leader="dot" w:pos="8306"/>
            </w:tabs>
          </w:pPr>
          <w:r>
            <w:rPr>
              <w:bCs w:val="0"/>
              <w:szCs w:val="24"/>
              <w:highlight w:val="none"/>
            </w:rPr>
            <w:fldChar w:fldCharType="begin"/>
          </w:r>
          <w:r>
            <w:rPr>
              <w:bCs w:val="0"/>
              <w:szCs w:val="24"/>
              <w:highlight w:val="none"/>
            </w:rPr>
            <w:instrText xml:space="preserve"> HYPERLINK \l _Toc25791 </w:instrText>
          </w:r>
          <w:r>
            <w:rPr>
              <w:bCs w:val="0"/>
              <w:szCs w:val="24"/>
              <w:highlight w:val="none"/>
            </w:rPr>
            <w:fldChar w:fldCharType="separate"/>
          </w:r>
          <w:r>
            <w:rPr>
              <w:rFonts w:hint="eastAsia" w:ascii="黑体" w:hAnsi="黑体" w:eastAsia="黑体" w:cs="宋体"/>
              <w:szCs w:val="32"/>
              <w:highlight w:val="none"/>
            </w:rPr>
            <w:t>九、附件</w:t>
          </w:r>
          <w:r>
            <w:rPr>
              <w:highlight w:val="none"/>
            </w:rPr>
            <w:tab/>
          </w:r>
          <w:r>
            <w:rPr>
              <w:highlight w:val="none"/>
            </w:rPr>
            <w:fldChar w:fldCharType="begin"/>
          </w:r>
          <w:r>
            <w:rPr>
              <w:highlight w:val="none"/>
            </w:rPr>
            <w:instrText xml:space="preserve"> PAGEREF _Toc25791 </w:instrText>
          </w:r>
          <w:r>
            <w:rPr>
              <w:highlight w:val="none"/>
            </w:rPr>
            <w:fldChar w:fldCharType="separate"/>
          </w:r>
          <w:r>
            <w:rPr>
              <w:highlight w:val="none"/>
            </w:rPr>
            <w:t>22</w:t>
          </w:r>
          <w:r>
            <w:rPr>
              <w:highlight w:val="none"/>
            </w:rPr>
            <w:fldChar w:fldCharType="end"/>
          </w:r>
          <w:r>
            <w:rPr>
              <w:bCs w:val="0"/>
              <w:szCs w:val="24"/>
              <w:highlight w:val="none"/>
            </w:rPr>
            <w:fldChar w:fldCharType="end"/>
          </w:r>
        </w:p>
        <w:p>
          <w:pPr>
            <w:spacing w:before="0" w:beforeLines="0" w:after="0" w:afterLines="0" w:line="240" w:lineRule="auto"/>
            <w:ind w:left="0" w:leftChars="0" w:right="0" w:rightChars="0" w:firstLine="0" w:firstLineChars="0"/>
            <w:jc w:val="center"/>
            <w:rPr>
              <w:b w:val="0"/>
              <w:bCs w:val="0"/>
              <w:highlight w:val="none"/>
            </w:rPr>
          </w:pPr>
          <w:r>
            <w:rPr>
              <w:b w:val="0"/>
              <w:bCs w:val="0"/>
              <w:sz w:val="24"/>
              <w:szCs w:val="24"/>
              <w:highlight w:val="none"/>
            </w:rPr>
            <w:fldChar w:fldCharType="end"/>
          </w:r>
        </w:p>
      </w:sdtContent>
    </w:sdt>
    <w:p>
      <w:pPr>
        <w:pStyle w:val="14"/>
        <w:tabs>
          <w:tab w:val="right" w:leader="dot" w:pos="8302"/>
        </w:tabs>
        <w:spacing w:line="340" w:lineRule="exact"/>
        <w:rPr>
          <w:rFonts w:ascii="黑体" w:hAnsi="黑体" w:eastAsia="黑体" w:cs="宋体"/>
          <w:sz w:val="32"/>
          <w:szCs w:val="32"/>
        </w:rPr>
      </w:pPr>
    </w:p>
    <w:p>
      <w:pPr>
        <w:spacing w:line="600" w:lineRule="exact"/>
        <w:jc w:val="center"/>
        <w:outlineLvl w:val="9"/>
        <w:rPr>
          <w:rFonts w:ascii="方正小标宋_GBK" w:hAnsi="黑体" w:eastAsia="方正小标宋_GBK" w:cs="宋体"/>
          <w:sz w:val="40"/>
          <w:szCs w:val="40"/>
        </w:rPr>
        <w:sectPr>
          <w:pgSz w:w="11906" w:h="16838"/>
          <w:pgMar w:top="1440" w:right="1800" w:bottom="1440" w:left="1800" w:header="851" w:footer="992" w:gutter="0"/>
          <w:pgBorders>
            <w:top w:val="none" w:sz="0" w:space="0"/>
            <w:left w:val="none" w:sz="0" w:space="0"/>
            <w:bottom w:val="none" w:sz="0" w:space="0"/>
            <w:right w:val="none" w:sz="0" w:space="0"/>
          </w:pgBorders>
          <w:pgNumType w:fmt="numberInDash" w:start="48"/>
          <w:cols w:space="425" w:num="1"/>
          <w:docGrid w:type="lines" w:linePitch="312" w:charSpace="0"/>
        </w:sectPr>
      </w:pPr>
      <w:bookmarkStart w:id="18" w:name="_Toc18687"/>
    </w:p>
    <w:p>
      <w:pPr>
        <w:spacing w:line="600" w:lineRule="exact"/>
        <w:jc w:val="center"/>
        <w:outlineLvl w:val="9"/>
        <w:rPr>
          <w:rFonts w:hint="eastAsia" w:ascii="黑体" w:hAnsi="黑体" w:eastAsia="黑体" w:cs="黑体"/>
          <w:b/>
          <w:kern w:val="0"/>
          <w:sz w:val="48"/>
          <w:szCs w:val="48"/>
          <w:highlight w:val="none"/>
          <w:lang w:eastAsia="zh-CN"/>
        </w:rPr>
      </w:pPr>
      <w:bookmarkStart w:id="19" w:name="_Toc31819"/>
      <w:bookmarkStart w:id="20" w:name="_Toc12923"/>
      <w:bookmarkStart w:id="21" w:name="_Toc16603"/>
      <w:bookmarkStart w:id="22" w:name="_Toc29218"/>
      <w:bookmarkStart w:id="23" w:name="_Toc7636"/>
      <w:bookmarkStart w:id="24" w:name="_Toc24347"/>
      <w:bookmarkStart w:id="25" w:name="_Toc1397"/>
      <w:bookmarkStart w:id="26" w:name="_Toc14725"/>
      <w:bookmarkStart w:id="27" w:name="_Toc19311"/>
      <w:bookmarkStart w:id="28" w:name="_Toc28273"/>
      <w:r>
        <w:rPr>
          <w:rFonts w:hint="eastAsia" w:ascii="黑体" w:hAnsi="黑体" w:eastAsia="黑体" w:cs="黑体"/>
          <w:b/>
          <w:kern w:val="0"/>
          <w:sz w:val="48"/>
          <w:szCs w:val="48"/>
          <w:highlight w:val="none"/>
          <w:lang w:val="en-US" w:eastAsia="zh-CN"/>
        </w:rPr>
        <w:t>洛浦县2021</w:t>
      </w:r>
      <w:r>
        <w:rPr>
          <w:rFonts w:hint="eastAsia" w:ascii="黑体" w:hAnsi="黑体" w:eastAsia="黑体" w:cs="黑体"/>
          <w:b/>
          <w:kern w:val="0"/>
          <w:sz w:val="48"/>
          <w:szCs w:val="48"/>
          <w:highlight w:val="none"/>
          <w:lang w:eastAsia="zh-CN"/>
        </w:rPr>
        <w:t>年中央林业草原生态</w:t>
      </w:r>
    </w:p>
    <w:p>
      <w:pPr>
        <w:spacing w:line="600" w:lineRule="exact"/>
        <w:jc w:val="center"/>
        <w:outlineLvl w:val="9"/>
        <w:rPr>
          <w:rFonts w:hint="eastAsia" w:ascii="黑体" w:hAnsi="黑体" w:eastAsia="黑体" w:cs="黑体"/>
          <w:b/>
          <w:kern w:val="0"/>
          <w:sz w:val="48"/>
          <w:szCs w:val="48"/>
          <w:highlight w:val="none"/>
          <w:lang w:val="en-US" w:eastAsia="zh-CN"/>
        </w:rPr>
      </w:pPr>
      <w:r>
        <w:rPr>
          <w:rFonts w:hint="eastAsia" w:ascii="黑体" w:hAnsi="黑体" w:eastAsia="黑体" w:cs="黑体"/>
          <w:b/>
          <w:kern w:val="0"/>
          <w:sz w:val="48"/>
          <w:szCs w:val="48"/>
          <w:highlight w:val="none"/>
          <w:lang w:eastAsia="zh-CN"/>
        </w:rPr>
        <w:t>保护恢复-生态护林员</w:t>
      </w:r>
      <w:bookmarkEnd w:id="18"/>
      <w:bookmarkEnd w:id="19"/>
      <w:bookmarkEnd w:id="20"/>
      <w:bookmarkEnd w:id="21"/>
      <w:bookmarkEnd w:id="22"/>
      <w:bookmarkEnd w:id="23"/>
      <w:bookmarkEnd w:id="24"/>
      <w:bookmarkEnd w:id="25"/>
      <w:bookmarkEnd w:id="26"/>
      <w:bookmarkEnd w:id="27"/>
      <w:bookmarkEnd w:id="28"/>
      <w:r>
        <w:rPr>
          <w:rFonts w:hint="eastAsia" w:ascii="黑体" w:hAnsi="黑体" w:eastAsia="黑体" w:cs="黑体"/>
          <w:b/>
          <w:kern w:val="0"/>
          <w:sz w:val="48"/>
          <w:szCs w:val="48"/>
          <w:highlight w:val="none"/>
          <w:lang w:val="en-US" w:eastAsia="zh-CN"/>
        </w:rPr>
        <w:t>补助</w:t>
      </w:r>
    </w:p>
    <w:p>
      <w:pPr>
        <w:spacing w:line="600" w:lineRule="exact"/>
        <w:jc w:val="center"/>
        <w:outlineLvl w:val="9"/>
        <w:rPr>
          <w:rFonts w:hint="eastAsia" w:ascii="华文中宋" w:hAnsi="华文中宋" w:eastAsia="华文中宋" w:cs="华文中宋"/>
          <w:b w:val="0"/>
          <w:bCs w:val="0"/>
          <w:sz w:val="44"/>
          <w:szCs w:val="44"/>
          <w:lang w:val="en-US" w:eastAsia="zh-CN"/>
        </w:rPr>
      </w:pPr>
      <w:r>
        <w:rPr>
          <w:rFonts w:hint="eastAsia" w:ascii="黑体" w:hAnsi="黑体" w:eastAsia="黑体" w:cs="黑体"/>
          <w:b/>
          <w:kern w:val="0"/>
          <w:sz w:val="48"/>
          <w:szCs w:val="48"/>
          <w:highlight w:val="none"/>
          <w:lang w:val="en-US" w:eastAsia="zh-CN"/>
        </w:rPr>
        <w:t>项目绩效评价报告</w:t>
      </w:r>
    </w:p>
    <w:p>
      <w:pPr>
        <w:adjustRightInd w:val="0"/>
        <w:snapToGrid w:val="0"/>
        <w:spacing w:line="560" w:lineRule="exact"/>
        <w:ind w:firstLine="640" w:firstLineChars="200"/>
        <w:jc w:val="left"/>
        <w:outlineLvl w:val="9"/>
        <w:rPr>
          <w:rFonts w:hint="eastAsia" w:ascii="黑体" w:hAnsi="黑体" w:eastAsia="黑体" w:cs="宋体"/>
          <w:sz w:val="32"/>
          <w:szCs w:val="32"/>
        </w:rPr>
      </w:pPr>
    </w:p>
    <w:p>
      <w:pPr>
        <w:pStyle w:val="5"/>
        <w:rPr>
          <w:rFonts w:hint="eastAsia"/>
        </w:rPr>
      </w:pPr>
    </w:p>
    <w:p>
      <w:pPr>
        <w:adjustRightInd w:val="0"/>
        <w:snapToGrid w:val="0"/>
        <w:spacing w:line="560" w:lineRule="exact"/>
        <w:ind w:firstLine="640" w:firstLineChars="200"/>
        <w:jc w:val="left"/>
        <w:outlineLvl w:val="0"/>
        <w:rPr>
          <w:rFonts w:ascii="黑体" w:hAnsi="黑体" w:eastAsia="黑体" w:cs="宋体"/>
          <w:sz w:val="32"/>
          <w:szCs w:val="32"/>
        </w:rPr>
      </w:pPr>
      <w:bookmarkStart w:id="29" w:name="_Toc28183"/>
      <w:r>
        <w:rPr>
          <w:rFonts w:hint="eastAsia" w:ascii="黑体" w:hAnsi="黑体" w:eastAsia="黑体" w:cs="宋体"/>
          <w:sz w:val="32"/>
          <w:szCs w:val="32"/>
        </w:rPr>
        <w:t>一、项目概述</w:t>
      </w:r>
      <w:bookmarkEnd w:id="29"/>
    </w:p>
    <w:p>
      <w:pPr>
        <w:pStyle w:val="34"/>
        <w:numPr>
          <w:ilvl w:val="0"/>
          <w:numId w:val="5"/>
        </w:numPr>
        <w:adjustRightInd w:val="0"/>
        <w:snapToGrid w:val="0"/>
        <w:spacing w:line="560" w:lineRule="exact"/>
        <w:ind w:left="0" w:firstLine="643"/>
        <w:rPr>
          <w:rFonts w:ascii="仿宋_GB2312" w:hAnsi="仿宋" w:eastAsia="仿宋_GB2312" w:cs="宋体"/>
          <w:b/>
          <w:bCs/>
          <w:vanish/>
          <w:sz w:val="32"/>
          <w:szCs w:val="32"/>
        </w:rPr>
      </w:pPr>
      <w:bookmarkStart w:id="30" w:name="_Hlk24028365"/>
      <w:r>
        <w:rPr>
          <w:rFonts w:hint="eastAsia" w:ascii="仿宋_GB2312" w:hAnsi="仿宋" w:eastAsia="仿宋_GB2312" w:cs="宋体"/>
          <w:b/>
          <w:bCs/>
          <w:vanish/>
          <w:sz w:val="32"/>
          <w:szCs w:val="32"/>
        </w:rPr>
        <w:t>项目概述</w:t>
      </w:r>
    </w:p>
    <w:p>
      <w:pPr>
        <w:pStyle w:val="34"/>
        <w:adjustRightInd w:val="0"/>
        <w:snapToGrid w:val="0"/>
        <w:spacing w:line="560" w:lineRule="exact"/>
        <w:ind w:left="0" w:leftChars="0" w:firstLine="321" w:firstLineChars="100"/>
        <w:outlineLvl w:val="1"/>
        <w:rPr>
          <w:rFonts w:ascii="仿宋_GB2312" w:hAnsi="仿宋" w:eastAsia="仿宋_GB2312" w:cs="宋体"/>
          <w:b/>
          <w:bCs/>
          <w:sz w:val="32"/>
          <w:szCs w:val="32"/>
        </w:rPr>
      </w:pPr>
      <w:bookmarkStart w:id="31" w:name="_Toc27345"/>
      <w:r>
        <w:rPr>
          <w:rFonts w:hint="eastAsia" w:ascii="仿宋_GB2312" w:hAnsi="仿宋" w:eastAsia="仿宋_GB2312" w:cs="宋体"/>
          <w:b/>
          <w:bCs/>
          <w:sz w:val="32"/>
          <w:szCs w:val="32"/>
        </w:rPr>
        <w:t>（一）项目基本情况</w:t>
      </w:r>
      <w:bookmarkEnd w:id="31"/>
    </w:p>
    <w:p>
      <w:pPr>
        <w:pStyle w:val="34"/>
        <w:tabs>
          <w:tab w:val="left" w:pos="1559"/>
        </w:tabs>
        <w:adjustRightInd w:val="0"/>
        <w:snapToGrid w:val="0"/>
        <w:spacing w:line="560" w:lineRule="exact"/>
        <w:ind w:firstLine="640"/>
        <w:outlineLvl w:val="2"/>
        <w:rPr>
          <w:rFonts w:hint="eastAsia" w:ascii="楷体" w:hAnsi="楷体" w:eastAsia="楷体" w:cs="楷体"/>
          <w:bCs/>
          <w:sz w:val="32"/>
          <w:szCs w:val="32"/>
        </w:rPr>
      </w:pPr>
      <w:r>
        <w:rPr>
          <w:rFonts w:hint="eastAsia" w:ascii="楷体" w:hAnsi="楷体" w:eastAsia="楷体" w:cs="楷体"/>
          <w:bCs/>
          <w:sz w:val="32"/>
          <w:szCs w:val="32"/>
        </w:rPr>
        <w:t>1.项目背景</w:t>
      </w:r>
    </w:p>
    <w:p>
      <w:pPr>
        <w:pStyle w:val="34"/>
        <w:tabs>
          <w:tab w:val="left" w:pos="1559"/>
        </w:tabs>
        <w:adjustRightInd w:val="0"/>
        <w:snapToGrid w:val="0"/>
        <w:spacing w:line="560" w:lineRule="exact"/>
        <w:ind w:firstLine="640"/>
        <w:outlineLvl w:val="2"/>
        <w:rPr>
          <w:rFonts w:hint="eastAsia" w:ascii="仿宋_GB2312" w:hAnsi="仿宋" w:eastAsia="仿宋_GB2312" w:cs="宋体"/>
          <w:kern w:val="2"/>
          <w:sz w:val="32"/>
          <w:szCs w:val="32"/>
          <w:highlight w:val="none"/>
          <w:lang w:val="en-US" w:eastAsia="zh-CN" w:bidi="ar"/>
        </w:rPr>
      </w:pPr>
      <w:r>
        <w:rPr>
          <w:rFonts w:hint="eastAsia" w:ascii="仿宋_GB2312" w:hAnsi="仿宋" w:eastAsia="仿宋_GB2312" w:cs="宋体"/>
          <w:kern w:val="2"/>
          <w:sz w:val="32"/>
          <w:szCs w:val="32"/>
          <w:highlight w:val="none"/>
          <w:lang w:val="en-US" w:eastAsia="zh-CN" w:bidi="ar"/>
        </w:rPr>
        <w:t>落实专项扶贫攻坚行动，实施富民产业，发展特色林果业，实施生态保护。产业发展一批，生态保护一批，依托全县优势产业、特色产业和新兴产业，坚持市场导向，大力发展特色林果、庭院经济、拓宽生态补偿脱贫渠道。2021年续聘建档立卡贫困人口生态护林员1635名，原则上人均管护面积不少于500亩（经济林管护面积可200-300亩），合计50万亩经济林和防护林得到保护和管理。坚持把生态建设与产业发展、农民增收紧密结合，持续抓好三北防护林、重点公益林管护、森林抚育、湿地、沙化土地等林业重点工程项目建设，有效改善绿洲人居环境、实现生态建设与林果业产业协调发展。积极争取更多的特色林果产业发展项目投资和惠民生项目落地，扶持壮大和做大做强特色林果产业，使林果产业在脱贫攻坚中发挥更加突出的作用。</w:t>
      </w:r>
    </w:p>
    <w:p>
      <w:pPr>
        <w:pStyle w:val="34"/>
        <w:tabs>
          <w:tab w:val="left" w:pos="1559"/>
        </w:tabs>
        <w:adjustRightInd w:val="0"/>
        <w:snapToGrid w:val="0"/>
        <w:spacing w:line="560" w:lineRule="exact"/>
        <w:ind w:firstLine="640"/>
        <w:outlineLvl w:val="2"/>
        <w:rPr>
          <w:rFonts w:hint="eastAsia" w:ascii="仿宋_GB2312" w:hAnsi="仿宋" w:eastAsia="仿宋_GB2312" w:cs="宋体"/>
          <w:kern w:val="2"/>
          <w:sz w:val="32"/>
          <w:szCs w:val="32"/>
          <w:highlight w:val="none"/>
          <w:lang w:val="en-US" w:eastAsia="zh-CN" w:bidi="ar"/>
        </w:rPr>
      </w:pPr>
      <w:r>
        <w:rPr>
          <w:rFonts w:hint="eastAsia" w:ascii="仿宋_GB2312" w:hAnsi="仿宋" w:eastAsia="仿宋_GB2312" w:cs="宋体"/>
          <w:kern w:val="2"/>
          <w:sz w:val="32"/>
          <w:szCs w:val="32"/>
          <w:highlight w:val="none"/>
          <w:lang w:val="en-US" w:eastAsia="zh-CN" w:bidi="ar"/>
        </w:rPr>
        <w:t>为了壮大我县护林队伍，保护森林资源，维护生态环境，增加社会投入，促进经济发展，洛浦县林业和草原局根据《关于提前下达2021年中央林业草原生态保护恢复资金预预算的通知》（和地财建〔2020〕126），《关于提前下达2021年中央林业草原生态保护恢复资金预预算的通知》（洛财字〔2020〕115号）文件要求开始实施该项目。</w:t>
      </w:r>
    </w:p>
    <w:p>
      <w:pPr>
        <w:pStyle w:val="34"/>
        <w:tabs>
          <w:tab w:val="left" w:pos="1559"/>
        </w:tabs>
        <w:adjustRightInd w:val="0"/>
        <w:snapToGrid w:val="0"/>
        <w:spacing w:line="560" w:lineRule="exact"/>
        <w:ind w:firstLine="640"/>
        <w:outlineLvl w:val="2"/>
        <w:rPr>
          <w:rFonts w:hint="default" w:ascii="楷体" w:hAnsi="楷体" w:eastAsia="楷体" w:cs="楷体"/>
          <w:bCs/>
          <w:sz w:val="32"/>
          <w:szCs w:val="32"/>
          <w:lang w:val="en-US" w:eastAsia="zh-CN"/>
        </w:rPr>
      </w:pPr>
      <w:r>
        <w:rPr>
          <w:rFonts w:hint="eastAsia" w:ascii="楷体" w:hAnsi="楷体" w:eastAsia="楷体" w:cs="楷体"/>
          <w:bCs/>
          <w:sz w:val="32"/>
          <w:szCs w:val="32"/>
        </w:rPr>
        <w:t>2.项目实施主体</w:t>
      </w:r>
    </w:p>
    <w:p>
      <w:pPr>
        <w:pStyle w:val="34"/>
        <w:keepNext w:val="0"/>
        <w:keepLines w:val="0"/>
        <w:pageBreakBefore w:val="0"/>
        <w:widowControl w:val="0"/>
        <w:kinsoku/>
        <w:wordWrap/>
        <w:overflowPunct/>
        <w:topLinePunct w:val="0"/>
        <w:autoSpaceDE/>
        <w:autoSpaceDN/>
        <w:bidi w:val="0"/>
        <w:adjustRightInd/>
        <w:snapToGrid w:val="0"/>
        <w:spacing w:line="540" w:lineRule="exact"/>
        <w:jc w:val="both"/>
        <w:textAlignment w:val="auto"/>
        <w:outlineLvl w:val="2"/>
        <w:rPr>
          <w:rStyle w:val="23"/>
          <w:rFonts w:hint="eastAsia" w:ascii="仿宋_GB2312" w:hAnsi="仿宋_GB2312" w:eastAsia="仿宋_GB2312" w:cs="仿宋_GB2312"/>
          <w:b w:val="0"/>
          <w:color w:val="auto"/>
          <w:sz w:val="32"/>
          <w:szCs w:val="32"/>
          <w:highlight w:val="none"/>
          <w:lang w:val="en-US" w:eastAsia="zh-CN" w:bidi="ar"/>
        </w:rPr>
      </w:pPr>
      <w:r>
        <w:rPr>
          <w:rFonts w:hint="eastAsia" w:ascii="仿宋_GB2312" w:hAnsi="仿宋_GB2312" w:eastAsia="仿宋_GB2312" w:cs="仿宋_GB2312"/>
          <w:kern w:val="2"/>
          <w:sz w:val="32"/>
          <w:szCs w:val="32"/>
          <w:highlight w:val="none"/>
          <w:lang w:val="en-US" w:eastAsia="zh-CN" w:bidi="ar-SA"/>
        </w:rPr>
        <w:t>该项目由洛浦县林业和草原局负责实施，</w:t>
      </w:r>
      <w:r>
        <w:rPr>
          <w:rStyle w:val="23"/>
          <w:rFonts w:hint="eastAsia" w:ascii="仿宋_GB2312" w:hAnsi="仿宋_GB2312" w:eastAsia="仿宋_GB2312" w:cs="仿宋_GB2312"/>
          <w:b w:val="0"/>
          <w:color w:val="auto"/>
          <w:sz w:val="32"/>
          <w:szCs w:val="32"/>
          <w:highlight w:val="none"/>
          <w:lang w:val="en-US" w:eastAsia="zh-CN" w:bidi="ar"/>
        </w:rPr>
        <w:t>主要职责是：</w:t>
      </w:r>
    </w:p>
    <w:p>
      <w:pPr>
        <w:pStyle w:val="34"/>
        <w:keepNext w:val="0"/>
        <w:keepLines w:val="0"/>
        <w:pageBreakBefore w:val="0"/>
        <w:widowControl w:val="0"/>
        <w:kinsoku/>
        <w:wordWrap/>
        <w:overflowPunct/>
        <w:topLinePunct w:val="0"/>
        <w:autoSpaceDE/>
        <w:autoSpaceDN/>
        <w:bidi w:val="0"/>
        <w:adjustRightInd/>
        <w:snapToGrid w:val="0"/>
        <w:spacing w:line="540" w:lineRule="exact"/>
        <w:jc w:val="both"/>
        <w:textAlignment w:val="auto"/>
        <w:outlineLvl w:val="2"/>
        <w:rPr>
          <w:rStyle w:val="23"/>
          <w:rFonts w:hint="eastAsia" w:ascii="仿宋_GB2312" w:hAnsi="仿宋_GB2312" w:eastAsia="仿宋_GB2312" w:cs="仿宋_GB2312"/>
          <w:b w:val="0"/>
          <w:color w:val="auto"/>
          <w:sz w:val="32"/>
          <w:szCs w:val="32"/>
          <w:highlight w:val="none"/>
          <w:lang w:val="en-US" w:eastAsia="zh-CN" w:bidi="ar"/>
        </w:rPr>
      </w:pPr>
      <w:r>
        <w:rPr>
          <w:rStyle w:val="23"/>
          <w:rFonts w:hint="eastAsia" w:ascii="仿宋_GB2312" w:hAnsi="仿宋_GB2312" w:eastAsia="仿宋_GB2312" w:cs="仿宋_GB2312"/>
          <w:b w:val="0"/>
          <w:color w:val="auto"/>
          <w:sz w:val="32"/>
          <w:szCs w:val="32"/>
          <w:highlight w:val="none"/>
          <w:lang w:val="en-US" w:eastAsia="zh-CN" w:bidi="ar"/>
        </w:rPr>
        <w:t>（1）负责全县林业和草原及其生态保护修复的监督管理。拟订全县林业和草原及其生态保护修复的政策、规划并组织实施。组织开展全县森林、草原、湿地、荒漠和陆生野生动植物资源动态监测与评价，推进全县林业和草原数字化建设。 </w:t>
      </w:r>
    </w:p>
    <w:p>
      <w:pPr>
        <w:pStyle w:val="34"/>
        <w:keepNext w:val="0"/>
        <w:keepLines w:val="0"/>
        <w:pageBreakBefore w:val="0"/>
        <w:widowControl w:val="0"/>
        <w:kinsoku/>
        <w:wordWrap/>
        <w:overflowPunct/>
        <w:topLinePunct w:val="0"/>
        <w:autoSpaceDE/>
        <w:autoSpaceDN/>
        <w:bidi w:val="0"/>
        <w:adjustRightInd/>
        <w:snapToGrid w:val="0"/>
        <w:spacing w:line="540" w:lineRule="exact"/>
        <w:jc w:val="both"/>
        <w:textAlignment w:val="auto"/>
        <w:outlineLvl w:val="2"/>
        <w:rPr>
          <w:rStyle w:val="23"/>
          <w:rFonts w:hint="eastAsia" w:ascii="仿宋_GB2312" w:hAnsi="仿宋_GB2312" w:eastAsia="仿宋_GB2312" w:cs="仿宋_GB2312"/>
          <w:b w:val="0"/>
          <w:color w:val="auto"/>
          <w:sz w:val="32"/>
          <w:szCs w:val="32"/>
          <w:highlight w:val="none"/>
          <w:lang w:val="en-US" w:eastAsia="zh-CN" w:bidi="ar"/>
        </w:rPr>
      </w:pPr>
      <w:r>
        <w:rPr>
          <w:rStyle w:val="23"/>
          <w:rFonts w:hint="eastAsia" w:ascii="仿宋_GB2312" w:hAnsi="仿宋_GB2312" w:eastAsia="仿宋_GB2312" w:cs="仿宋_GB2312"/>
          <w:b w:val="0"/>
          <w:color w:val="auto"/>
          <w:sz w:val="32"/>
          <w:szCs w:val="32"/>
          <w:highlight w:val="none"/>
          <w:lang w:val="en-US" w:eastAsia="zh-CN" w:bidi="ar"/>
        </w:rPr>
        <w:t>（2）组织全县林业和草原生态保护修复和造林绿化工作。组织实施林业和草原重点生态保护修复工程，指导公益林和商品林的培育，指导、监督全民义务植树、城乡绿化工作。指导林业和草原有害生物防治、检疫工作。承担林业和草原应对气候变化的相关工作。 </w:t>
      </w:r>
    </w:p>
    <w:p>
      <w:pPr>
        <w:pStyle w:val="34"/>
        <w:keepNext w:val="0"/>
        <w:keepLines w:val="0"/>
        <w:pageBreakBefore w:val="0"/>
        <w:widowControl w:val="0"/>
        <w:kinsoku/>
        <w:wordWrap/>
        <w:overflowPunct/>
        <w:topLinePunct w:val="0"/>
        <w:autoSpaceDE/>
        <w:autoSpaceDN/>
        <w:bidi w:val="0"/>
        <w:adjustRightInd/>
        <w:snapToGrid w:val="0"/>
        <w:spacing w:line="540" w:lineRule="exact"/>
        <w:jc w:val="both"/>
        <w:textAlignment w:val="auto"/>
        <w:outlineLvl w:val="2"/>
        <w:rPr>
          <w:rStyle w:val="23"/>
          <w:rFonts w:hint="eastAsia" w:ascii="仿宋_GB2312" w:hAnsi="仿宋_GB2312" w:eastAsia="仿宋_GB2312" w:cs="仿宋_GB2312"/>
          <w:b w:val="0"/>
          <w:color w:val="auto"/>
          <w:sz w:val="32"/>
          <w:szCs w:val="32"/>
          <w:highlight w:val="none"/>
          <w:lang w:val="en-US" w:eastAsia="zh-CN" w:bidi="ar"/>
        </w:rPr>
      </w:pPr>
      <w:r>
        <w:rPr>
          <w:rStyle w:val="23"/>
          <w:rFonts w:hint="eastAsia" w:ascii="仿宋_GB2312" w:hAnsi="仿宋_GB2312" w:eastAsia="仿宋_GB2312" w:cs="仿宋_GB2312"/>
          <w:b w:val="0"/>
          <w:color w:val="auto"/>
          <w:sz w:val="32"/>
          <w:szCs w:val="32"/>
          <w:highlight w:val="none"/>
          <w:lang w:val="en-US" w:eastAsia="zh-CN" w:bidi="ar"/>
        </w:rPr>
        <w:t>（3）负责全县自然保护区、风景名胜区、自然遗产、湿地公园、森林、草原、湿地资源的监督管理。组织编制并监督执行全县森林采伐限额。负责林地管理，拟订林地保护利用规划并组织实施，组织实施公益林划定和管理工作，管理国有森林资源。负责草原禁牧、草畜平衡和草原生态修复治理工作，监督管理草原的开发利用。负责湿地生态保护修复工作，拟订全县湿地保护规划和相关地方标准，监督管理湿地的开发利用。 </w:t>
      </w:r>
    </w:p>
    <w:p>
      <w:pPr>
        <w:pStyle w:val="34"/>
        <w:keepNext w:val="0"/>
        <w:keepLines w:val="0"/>
        <w:pageBreakBefore w:val="0"/>
        <w:widowControl w:val="0"/>
        <w:kinsoku/>
        <w:wordWrap/>
        <w:overflowPunct/>
        <w:topLinePunct w:val="0"/>
        <w:autoSpaceDE/>
        <w:autoSpaceDN/>
        <w:bidi w:val="0"/>
        <w:adjustRightInd/>
        <w:snapToGrid w:val="0"/>
        <w:spacing w:line="540" w:lineRule="exact"/>
        <w:jc w:val="both"/>
        <w:textAlignment w:val="auto"/>
        <w:outlineLvl w:val="2"/>
        <w:rPr>
          <w:rStyle w:val="23"/>
          <w:rFonts w:hint="eastAsia" w:ascii="仿宋_GB2312" w:hAnsi="仿宋_GB2312" w:eastAsia="仿宋_GB2312" w:cs="仿宋_GB2312"/>
          <w:b w:val="0"/>
          <w:color w:val="auto"/>
          <w:sz w:val="32"/>
          <w:szCs w:val="32"/>
          <w:highlight w:val="none"/>
          <w:lang w:val="en-US" w:eastAsia="zh-CN" w:bidi="ar"/>
        </w:rPr>
      </w:pPr>
      <w:r>
        <w:rPr>
          <w:rStyle w:val="23"/>
          <w:rFonts w:hint="eastAsia" w:ascii="仿宋_GB2312" w:hAnsi="仿宋_GB2312" w:eastAsia="仿宋_GB2312" w:cs="仿宋_GB2312"/>
          <w:b w:val="0"/>
          <w:color w:val="auto"/>
          <w:sz w:val="32"/>
          <w:szCs w:val="32"/>
          <w:highlight w:val="none"/>
          <w:lang w:val="en-US" w:eastAsia="zh-CN" w:bidi="ar"/>
        </w:rPr>
        <w:t>（4）负责监督管理全县荒漠化防治工作。组织开展荒漠调查，组织拟订防沙治沙及沙化土地封禁保护区建设规划，监督管理沙化土地的开发利用，组织沙尘暴灾害预测预报和应急处置。 </w:t>
      </w:r>
    </w:p>
    <w:p>
      <w:pPr>
        <w:pStyle w:val="34"/>
        <w:keepNext w:val="0"/>
        <w:keepLines w:val="0"/>
        <w:pageBreakBefore w:val="0"/>
        <w:widowControl w:val="0"/>
        <w:kinsoku/>
        <w:wordWrap/>
        <w:overflowPunct/>
        <w:topLinePunct w:val="0"/>
        <w:autoSpaceDE/>
        <w:autoSpaceDN/>
        <w:bidi w:val="0"/>
        <w:adjustRightInd/>
        <w:snapToGrid w:val="0"/>
        <w:spacing w:line="540" w:lineRule="exact"/>
        <w:jc w:val="both"/>
        <w:textAlignment w:val="auto"/>
        <w:outlineLvl w:val="2"/>
        <w:rPr>
          <w:rStyle w:val="23"/>
          <w:rFonts w:hint="eastAsia" w:ascii="仿宋_GB2312" w:hAnsi="仿宋_GB2312" w:eastAsia="仿宋_GB2312" w:cs="仿宋_GB2312"/>
          <w:b w:val="0"/>
          <w:color w:val="auto"/>
          <w:sz w:val="32"/>
          <w:szCs w:val="32"/>
          <w:highlight w:val="none"/>
          <w:lang w:val="en-US" w:eastAsia="zh-CN" w:bidi="ar"/>
        </w:rPr>
      </w:pPr>
      <w:r>
        <w:rPr>
          <w:rStyle w:val="23"/>
          <w:rFonts w:hint="eastAsia" w:ascii="仿宋_GB2312" w:hAnsi="仿宋_GB2312" w:eastAsia="仿宋_GB2312" w:cs="仿宋_GB2312"/>
          <w:b w:val="0"/>
          <w:color w:val="auto"/>
          <w:sz w:val="32"/>
          <w:szCs w:val="32"/>
          <w:highlight w:val="none"/>
          <w:lang w:val="en-US" w:eastAsia="zh-CN" w:bidi="ar"/>
        </w:rPr>
        <w:t>（5）负责全县陆生野生动植物资源监督管理。组织开展陆生野生动植物资源调查，拟订及调整全县重点保护陆生野生动物、植物名录，指导陆生野生动植物的救护繁育、栖息地恢复发展、疫源疫病监测，监督管理陆生野生动植物猎捕或采集、驯养繁殖或培植、经营利用，按分工监督管理野生动植物进出口。 </w:t>
      </w:r>
    </w:p>
    <w:p>
      <w:pPr>
        <w:pStyle w:val="34"/>
        <w:keepNext w:val="0"/>
        <w:keepLines w:val="0"/>
        <w:pageBreakBefore w:val="0"/>
        <w:widowControl w:val="0"/>
        <w:kinsoku/>
        <w:wordWrap/>
        <w:overflowPunct/>
        <w:topLinePunct w:val="0"/>
        <w:autoSpaceDE/>
        <w:autoSpaceDN/>
        <w:bidi w:val="0"/>
        <w:adjustRightInd/>
        <w:snapToGrid w:val="0"/>
        <w:spacing w:line="540" w:lineRule="exact"/>
        <w:jc w:val="both"/>
        <w:textAlignment w:val="auto"/>
        <w:outlineLvl w:val="2"/>
        <w:rPr>
          <w:rStyle w:val="23"/>
          <w:rFonts w:hint="eastAsia" w:ascii="仿宋_GB2312" w:hAnsi="仿宋_GB2312" w:eastAsia="仿宋_GB2312" w:cs="仿宋_GB2312"/>
          <w:b w:val="0"/>
          <w:color w:val="auto"/>
          <w:sz w:val="32"/>
          <w:szCs w:val="32"/>
          <w:highlight w:val="none"/>
          <w:lang w:val="en-US" w:eastAsia="zh-CN" w:bidi="ar"/>
        </w:rPr>
      </w:pPr>
      <w:r>
        <w:rPr>
          <w:rStyle w:val="23"/>
          <w:rFonts w:hint="eastAsia" w:ascii="仿宋_GB2312" w:hAnsi="仿宋_GB2312" w:eastAsia="仿宋_GB2312" w:cs="仿宋_GB2312"/>
          <w:b w:val="0"/>
          <w:color w:val="auto"/>
          <w:sz w:val="32"/>
          <w:szCs w:val="32"/>
          <w:highlight w:val="none"/>
          <w:lang w:val="en-US" w:eastAsia="zh-CN" w:bidi="ar"/>
        </w:rPr>
        <w:t>（6）负责监督管理全县各类自然保护地。拟订各类自然保护地规划和相关地方标准。负责国家公园申报设立、规划、建设和特许经营等工作。负责县级政府直接行使和代理行使全民所有权的国家公园等自然保护地的自然资源资产管理和国土空间用途管制。提出新建、调整各类自然保护地的审核建议并按程序报批，组织世界自然遗产和世界自然与文化双重遗产的申报。负责生物多样性保护相关工作。 </w:t>
      </w:r>
    </w:p>
    <w:p>
      <w:pPr>
        <w:pStyle w:val="34"/>
        <w:keepNext w:val="0"/>
        <w:keepLines w:val="0"/>
        <w:pageBreakBefore w:val="0"/>
        <w:widowControl w:val="0"/>
        <w:kinsoku/>
        <w:wordWrap/>
        <w:overflowPunct/>
        <w:topLinePunct w:val="0"/>
        <w:autoSpaceDE/>
        <w:autoSpaceDN/>
        <w:bidi w:val="0"/>
        <w:adjustRightInd/>
        <w:snapToGrid w:val="0"/>
        <w:spacing w:line="540" w:lineRule="exact"/>
        <w:jc w:val="both"/>
        <w:textAlignment w:val="auto"/>
        <w:outlineLvl w:val="2"/>
        <w:rPr>
          <w:rStyle w:val="23"/>
          <w:rFonts w:hint="eastAsia" w:ascii="仿宋_GB2312" w:hAnsi="仿宋_GB2312" w:eastAsia="仿宋_GB2312" w:cs="仿宋_GB2312"/>
          <w:b w:val="0"/>
          <w:color w:val="auto"/>
          <w:sz w:val="32"/>
          <w:szCs w:val="32"/>
          <w:highlight w:val="none"/>
          <w:lang w:val="en-US" w:eastAsia="zh-CN" w:bidi="ar"/>
        </w:rPr>
      </w:pPr>
      <w:r>
        <w:rPr>
          <w:rStyle w:val="23"/>
          <w:rFonts w:hint="eastAsia" w:ascii="仿宋_GB2312" w:hAnsi="仿宋_GB2312" w:eastAsia="仿宋_GB2312" w:cs="仿宋_GB2312"/>
          <w:b w:val="0"/>
          <w:color w:val="auto"/>
          <w:sz w:val="32"/>
          <w:szCs w:val="32"/>
          <w:highlight w:val="none"/>
          <w:lang w:val="en-US" w:eastAsia="zh-CN" w:bidi="ar"/>
        </w:rPr>
        <w:t>（7）负责推进全县林业和草原改革相关工作。拟订集体林权制度、国有林区、草原等重大改革意见并监督实施。拟订农村林业发展、维护林业经营者合法权益的政策措施。指导农村林地承包经营工作。开展退耕（牧）还林还草，负责天然林保护工作。 </w:t>
      </w:r>
    </w:p>
    <w:p>
      <w:pPr>
        <w:pStyle w:val="34"/>
        <w:keepNext w:val="0"/>
        <w:keepLines w:val="0"/>
        <w:pageBreakBefore w:val="0"/>
        <w:widowControl w:val="0"/>
        <w:kinsoku/>
        <w:wordWrap/>
        <w:overflowPunct/>
        <w:topLinePunct w:val="0"/>
        <w:autoSpaceDE/>
        <w:autoSpaceDN/>
        <w:bidi w:val="0"/>
        <w:adjustRightInd/>
        <w:snapToGrid w:val="0"/>
        <w:spacing w:line="540" w:lineRule="exact"/>
        <w:jc w:val="both"/>
        <w:textAlignment w:val="auto"/>
        <w:outlineLvl w:val="2"/>
        <w:rPr>
          <w:rStyle w:val="23"/>
          <w:rFonts w:hint="eastAsia" w:ascii="仿宋_GB2312" w:hAnsi="仿宋_GB2312" w:eastAsia="仿宋_GB2312" w:cs="仿宋_GB2312"/>
          <w:b w:val="0"/>
          <w:color w:val="auto"/>
          <w:sz w:val="32"/>
          <w:szCs w:val="32"/>
          <w:highlight w:val="none"/>
          <w:lang w:val="en-US" w:eastAsia="zh-CN" w:bidi="ar"/>
        </w:rPr>
      </w:pPr>
      <w:r>
        <w:rPr>
          <w:rStyle w:val="23"/>
          <w:rFonts w:hint="eastAsia" w:ascii="仿宋_GB2312" w:hAnsi="仿宋_GB2312" w:eastAsia="仿宋_GB2312" w:cs="仿宋_GB2312"/>
          <w:b w:val="0"/>
          <w:color w:val="auto"/>
          <w:sz w:val="32"/>
          <w:szCs w:val="32"/>
          <w:highlight w:val="none"/>
          <w:lang w:val="en-US" w:eastAsia="zh-CN" w:bidi="ar"/>
        </w:rPr>
        <w:t>（8）拟订全县林业和草原资源优化配置及木材利用政策。拟订相关林业产业地方标准并监督实施，组织、指导林草产品质量监督。指导开展林业和草原现代园区建设、花卉、特色经济林、森林林下经济、森林康养和生态旅游产业发展。推进林业和草原绿色产业发展。 </w:t>
      </w:r>
    </w:p>
    <w:p>
      <w:pPr>
        <w:pStyle w:val="34"/>
        <w:keepNext w:val="0"/>
        <w:keepLines w:val="0"/>
        <w:pageBreakBefore w:val="0"/>
        <w:widowControl w:val="0"/>
        <w:kinsoku/>
        <w:wordWrap/>
        <w:overflowPunct/>
        <w:topLinePunct w:val="0"/>
        <w:autoSpaceDE/>
        <w:autoSpaceDN/>
        <w:bidi w:val="0"/>
        <w:adjustRightInd/>
        <w:snapToGrid w:val="0"/>
        <w:spacing w:line="540" w:lineRule="exact"/>
        <w:jc w:val="both"/>
        <w:textAlignment w:val="auto"/>
        <w:outlineLvl w:val="2"/>
        <w:rPr>
          <w:rStyle w:val="23"/>
          <w:rFonts w:hint="eastAsia" w:ascii="仿宋_GB2312" w:hAnsi="仿宋_GB2312" w:eastAsia="仿宋_GB2312" w:cs="仿宋_GB2312"/>
          <w:b w:val="0"/>
          <w:color w:val="auto"/>
          <w:sz w:val="32"/>
          <w:szCs w:val="32"/>
          <w:highlight w:val="none"/>
          <w:lang w:val="en-US" w:eastAsia="zh-CN" w:bidi="ar"/>
        </w:rPr>
      </w:pPr>
      <w:r>
        <w:rPr>
          <w:rStyle w:val="23"/>
          <w:rFonts w:hint="eastAsia" w:ascii="仿宋_GB2312" w:hAnsi="仿宋_GB2312" w:eastAsia="仿宋_GB2312" w:cs="仿宋_GB2312"/>
          <w:b w:val="0"/>
          <w:color w:val="auto"/>
          <w:sz w:val="32"/>
          <w:szCs w:val="32"/>
          <w:highlight w:val="none"/>
          <w:lang w:val="en-US" w:eastAsia="zh-CN" w:bidi="ar"/>
        </w:rPr>
        <w:t>（9）指导全县国有林场基本建设和发展。组织林木种子、草种种子资源普查，组织建立种子资源库，负责良种选育推广，管理林木种苗、草种生产经营行为，监管林木种苗、草种质量。监督管理林业和草原生物种子资源、转基因生物安全、植物新品种保护。 </w:t>
      </w:r>
    </w:p>
    <w:p>
      <w:pPr>
        <w:pStyle w:val="34"/>
        <w:keepNext w:val="0"/>
        <w:keepLines w:val="0"/>
        <w:pageBreakBefore w:val="0"/>
        <w:widowControl w:val="0"/>
        <w:kinsoku/>
        <w:wordWrap/>
        <w:overflowPunct/>
        <w:topLinePunct w:val="0"/>
        <w:autoSpaceDE/>
        <w:autoSpaceDN/>
        <w:bidi w:val="0"/>
        <w:adjustRightInd/>
        <w:snapToGrid w:val="0"/>
        <w:spacing w:line="540" w:lineRule="exact"/>
        <w:jc w:val="both"/>
        <w:textAlignment w:val="auto"/>
        <w:outlineLvl w:val="2"/>
        <w:rPr>
          <w:rStyle w:val="23"/>
          <w:rFonts w:hint="eastAsia" w:ascii="仿宋_GB2312" w:hAnsi="仿宋_GB2312" w:eastAsia="仿宋_GB2312" w:cs="仿宋_GB2312"/>
          <w:b w:val="0"/>
          <w:color w:val="auto"/>
          <w:sz w:val="32"/>
          <w:szCs w:val="32"/>
          <w:highlight w:val="none"/>
          <w:lang w:val="en-US" w:eastAsia="zh-CN" w:bidi="ar"/>
        </w:rPr>
      </w:pPr>
      <w:r>
        <w:rPr>
          <w:rStyle w:val="23"/>
          <w:rFonts w:hint="eastAsia" w:ascii="仿宋_GB2312" w:hAnsi="仿宋_GB2312" w:eastAsia="仿宋_GB2312" w:cs="仿宋_GB2312"/>
          <w:b w:val="0"/>
          <w:color w:val="auto"/>
          <w:sz w:val="32"/>
          <w:szCs w:val="32"/>
          <w:highlight w:val="none"/>
          <w:lang w:val="en-US" w:eastAsia="zh-CN" w:bidi="ar"/>
        </w:rPr>
        <w:t>（10）负责落实全县综合防灾减灾规划相关要求。组织编制森林和草原火灾防治规划和防护标准并指导实施，组织、指导开展防火巡护、火源管理、防火设施建设等工作。负责森林和草原火情监测预警、火灾预防工作，发送森林和草原火险信息。组织指导国有林场林区和草原开展宣传教育、监测预警、督促检查等防火工作。 </w:t>
      </w:r>
    </w:p>
    <w:p>
      <w:pPr>
        <w:pStyle w:val="34"/>
        <w:keepNext w:val="0"/>
        <w:keepLines w:val="0"/>
        <w:pageBreakBefore w:val="0"/>
        <w:widowControl w:val="0"/>
        <w:kinsoku/>
        <w:wordWrap/>
        <w:overflowPunct/>
        <w:topLinePunct w:val="0"/>
        <w:autoSpaceDE/>
        <w:autoSpaceDN/>
        <w:bidi w:val="0"/>
        <w:adjustRightInd/>
        <w:snapToGrid w:val="0"/>
        <w:spacing w:line="540" w:lineRule="exact"/>
        <w:jc w:val="both"/>
        <w:textAlignment w:val="auto"/>
        <w:outlineLvl w:val="2"/>
        <w:rPr>
          <w:rStyle w:val="23"/>
          <w:rFonts w:hint="eastAsia" w:ascii="仿宋_GB2312" w:hAnsi="仿宋_GB2312" w:eastAsia="仿宋_GB2312" w:cs="仿宋_GB2312"/>
          <w:b w:val="0"/>
          <w:color w:val="auto"/>
          <w:sz w:val="32"/>
          <w:szCs w:val="32"/>
          <w:highlight w:val="none"/>
          <w:lang w:val="en-US" w:eastAsia="zh-CN" w:bidi="ar"/>
        </w:rPr>
      </w:pPr>
      <w:r>
        <w:rPr>
          <w:rStyle w:val="23"/>
          <w:rFonts w:hint="eastAsia" w:ascii="仿宋_GB2312" w:hAnsi="仿宋_GB2312" w:eastAsia="仿宋_GB2312" w:cs="仿宋_GB2312"/>
          <w:b w:val="0"/>
          <w:color w:val="auto"/>
          <w:sz w:val="32"/>
          <w:szCs w:val="32"/>
          <w:highlight w:val="none"/>
          <w:lang w:val="en-US" w:eastAsia="zh-CN" w:bidi="ar"/>
        </w:rPr>
        <w:t>（11）监督管理全县林业和草原资金和国有资产。提出林业和草原预算内投资、县级财政性资金安排建议，按县政府规定权限，核报、核准规划内和年度计划内投资项目。参与拟订全县林业和草原经济调节政策，组织实施林业和草原生态补偿工作。 </w:t>
      </w:r>
    </w:p>
    <w:p>
      <w:pPr>
        <w:pStyle w:val="34"/>
        <w:keepNext w:val="0"/>
        <w:keepLines w:val="0"/>
        <w:pageBreakBefore w:val="0"/>
        <w:widowControl w:val="0"/>
        <w:kinsoku/>
        <w:wordWrap/>
        <w:overflowPunct/>
        <w:topLinePunct w:val="0"/>
        <w:autoSpaceDE/>
        <w:autoSpaceDN/>
        <w:bidi w:val="0"/>
        <w:adjustRightInd/>
        <w:snapToGrid w:val="0"/>
        <w:spacing w:line="540" w:lineRule="exact"/>
        <w:jc w:val="both"/>
        <w:textAlignment w:val="auto"/>
        <w:outlineLvl w:val="2"/>
        <w:rPr>
          <w:rStyle w:val="23"/>
          <w:rFonts w:hint="eastAsia" w:ascii="仿宋_GB2312" w:hAnsi="仿宋_GB2312" w:eastAsia="仿宋_GB2312" w:cs="仿宋_GB2312"/>
          <w:b w:val="0"/>
          <w:color w:val="auto"/>
          <w:sz w:val="32"/>
          <w:szCs w:val="32"/>
          <w:highlight w:val="none"/>
          <w:lang w:val="en-US" w:eastAsia="zh-CN" w:bidi="ar"/>
        </w:rPr>
      </w:pPr>
      <w:r>
        <w:rPr>
          <w:rStyle w:val="23"/>
          <w:rFonts w:hint="eastAsia" w:ascii="仿宋_GB2312" w:hAnsi="仿宋_GB2312" w:eastAsia="仿宋_GB2312" w:cs="仿宋_GB2312"/>
          <w:b w:val="0"/>
          <w:color w:val="auto"/>
          <w:sz w:val="32"/>
          <w:szCs w:val="32"/>
          <w:highlight w:val="none"/>
          <w:lang w:val="en-US" w:eastAsia="zh-CN" w:bidi="ar"/>
        </w:rPr>
        <w:t>（12）负责林业和草原科技、教育和对外交流工作。指导全县林业和草原人才队伍建设，组织实施林业和草原对外交流与合作事务，承担湿地、防治荒漠化、濒危野生动植物等国际公约履约有关工作。</w:t>
      </w:r>
    </w:p>
    <w:p>
      <w:pPr>
        <w:pStyle w:val="34"/>
        <w:keepNext w:val="0"/>
        <w:keepLines w:val="0"/>
        <w:pageBreakBefore w:val="0"/>
        <w:widowControl w:val="0"/>
        <w:kinsoku/>
        <w:wordWrap/>
        <w:overflowPunct/>
        <w:topLinePunct w:val="0"/>
        <w:autoSpaceDE/>
        <w:autoSpaceDN/>
        <w:bidi w:val="0"/>
        <w:adjustRightInd/>
        <w:snapToGrid w:val="0"/>
        <w:spacing w:line="540" w:lineRule="exact"/>
        <w:jc w:val="both"/>
        <w:textAlignment w:val="auto"/>
        <w:rPr>
          <w:rStyle w:val="23"/>
          <w:rFonts w:hint="default" w:ascii="仿宋_GB2312" w:hAnsi="仿宋_GB2312" w:eastAsia="仿宋_GB2312" w:cs="仿宋_GB2312"/>
          <w:b w:val="0"/>
          <w:color w:val="auto"/>
          <w:sz w:val="32"/>
          <w:szCs w:val="32"/>
          <w:highlight w:val="none"/>
          <w:lang w:val="en-US" w:eastAsia="zh-CN" w:bidi="ar"/>
        </w:rPr>
      </w:pPr>
      <w:r>
        <w:rPr>
          <w:rStyle w:val="23"/>
          <w:rFonts w:hint="eastAsia" w:ascii="仿宋_GB2312" w:hAnsi="仿宋_GB2312" w:eastAsia="仿宋_GB2312" w:cs="仿宋_GB2312"/>
          <w:b w:val="0"/>
          <w:color w:val="auto"/>
          <w:sz w:val="32"/>
          <w:szCs w:val="32"/>
          <w:highlight w:val="none"/>
          <w:lang w:val="en-US" w:eastAsia="zh-CN" w:bidi="ar"/>
        </w:rPr>
        <w:t>洛浦县林业和草原局下属机构：野生动植物和湿地保护站，林业和草原技术推广中心，防沙治沙检测中心，林业草原病虫鼠害防治检疫中心，林业草原种子服务站，国有林场管理站，多鲁1国有林场管理站，洛浦县国营苗圃。</w:t>
      </w:r>
    </w:p>
    <w:p>
      <w:pPr>
        <w:pStyle w:val="34"/>
        <w:keepNext w:val="0"/>
        <w:keepLines w:val="0"/>
        <w:pageBreakBefore w:val="0"/>
        <w:widowControl w:val="0"/>
        <w:kinsoku/>
        <w:wordWrap/>
        <w:overflowPunct/>
        <w:topLinePunct w:val="0"/>
        <w:autoSpaceDE/>
        <w:autoSpaceDN/>
        <w:bidi w:val="0"/>
        <w:adjustRightInd/>
        <w:snapToGrid w:val="0"/>
        <w:spacing w:line="540" w:lineRule="exact"/>
        <w:jc w:val="both"/>
        <w:textAlignment w:val="auto"/>
        <w:rPr>
          <w:rFonts w:hint="eastAsia"/>
          <w:lang w:val="en-US" w:eastAsia="zh-CN"/>
        </w:rPr>
      </w:pPr>
      <w:r>
        <w:rPr>
          <w:rStyle w:val="23"/>
          <w:rFonts w:hint="eastAsia" w:ascii="仿宋_GB2312" w:hAnsi="仿宋_GB2312" w:eastAsia="仿宋_GB2312" w:cs="仿宋_GB2312"/>
          <w:b w:val="0"/>
          <w:color w:val="auto"/>
          <w:sz w:val="32"/>
          <w:szCs w:val="32"/>
          <w:highlight w:val="none"/>
          <w:lang w:val="en-US" w:eastAsia="zh-CN" w:bidi="ar"/>
        </w:rPr>
        <w:t>洛浦县林业和草原局2021年度，编制数30人，实有人数32人，其中：在职人员32人，退休人员12人，财政供养5人。</w:t>
      </w:r>
    </w:p>
    <w:p>
      <w:pPr>
        <w:numPr>
          <w:ilvl w:val="0"/>
          <w:numId w:val="0"/>
        </w:numPr>
        <w:adjustRightInd w:val="0"/>
        <w:snapToGrid w:val="0"/>
        <w:spacing w:line="560" w:lineRule="exact"/>
        <w:ind w:firstLine="640" w:firstLineChars="200"/>
        <w:jc w:val="left"/>
        <w:outlineLvl w:val="0"/>
        <w:rPr>
          <w:rFonts w:hint="eastAsia" w:ascii="楷体" w:hAnsi="楷体" w:eastAsia="楷体" w:cs="楷体"/>
          <w:bCs/>
          <w:sz w:val="32"/>
          <w:szCs w:val="32"/>
        </w:rPr>
      </w:pPr>
      <w:r>
        <w:rPr>
          <w:rFonts w:hint="eastAsia" w:ascii="楷体" w:hAnsi="楷体" w:eastAsia="楷体" w:cs="楷体"/>
          <w:bCs/>
          <w:sz w:val="32"/>
          <w:szCs w:val="32"/>
          <w:lang w:val="en-US" w:eastAsia="zh-CN"/>
        </w:rPr>
        <w:t>3.</w:t>
      </w:r>
      <w:r>
        <w:rPr>
          <w:rFonts w:hint="eastAsia" w:ascii="楷体" w:hAnsi="楷体" w:eastAsia="楷体" w:cs="楷体"/>
          <w:bCs/>
          <w:sz w:val="32"/>
          <w:szCs w:val="32"/>
        </w:rPr>
        <w:t>项目内容</w:t>
      </w:r>
    </w:p>
    <w:p>
      <w:pPr>
        <w:pStyle w:val="34"/>
        <w:keepNext w:val="0"/>
        <w:keepLines w:val="0"/>
        <w:pageBreakBefore w:val="0"/>
        <w:widowControl w:val="0"/>
        <w:kinsoku/>
        <w:wordWrap/>
        <w:overflowPunct/>
        <w:topLinePunct w:val="0"/>
        <w:autoSpaceDE/>
        <w:autoSpaceDN/>
        <w:bidi w:val="0"/>
        <w:adjustRightInd/>
        <w:snapToGrid w:val="0"/>
        <w:spacing w:line="540" w:lineRule="exact"/>
        <w:ind w:left="0" w:leftChars="0" w:firstLine="640" w:firstLineChars="200"/>
        <w:jc w:val="both"/>
        <w:textAlignment w:val="auto"/>
        <w:rPr>
          <w:rStyle w:val="23"/>
          <w:rFonts w:hint="default" w:ascii="仿宋_GB2312" w:hAnsi="仿宋_GB2312" w:eastAsia="仿宋_GB2312" w:cs="仿宋_GB2312"/>
          <w:b w:val="0"/>
          <w:color w:val="auto"/>
          <w:sz w:val="32"/>
          <w:szCs w:val="32"/>
          <w:highlight w:val="none"/>
          <w:lang w:val="en-US" w:eastAsia="zh-CN" w:bidi="ar"/>
        </w:rPr>
      </w:pPr>
      <w:r>
        <w:rPr>
          <w:rStyle w:val="23"/>
          <w:rFonts w:hint="eastAsia" w:ascii="仿宋_GB2312" w:hAnsi="仿宋_GB2312" w:eastAsia="仿宋_GB2312" w:cs="仿宋_GB2312"/>
          <w:b w:val="0"/>
          <w:color w:val="auto"/>
          <w:sz w:val="32"/>
          <w:szCs w:val="32"/>
          <w:highlight w:val="none"/>
          <w:lang w:val="en-US" w:eastAsia="zh-CN" w:bidi="ar"/>
        </w:rPr>
        <w:t>2021年选聘1635名生态护林员，按照1万元/年的标准发放补助，人均管护面积不低于500亩。通过该项目实施，对壮大我县护林队伍，保护森林资源，维护生态环境，增加社会投入，促进经济发展有十分重要的意义。</w:t>
      </w:r>
    </w:p>
    <w:p>
      <w:pPr>
        <w:pStyle w:val="34"/>
        <w:tabs>
          <w:tab w:val="left" w:pos="1559"/>
        </w:tabs>
        <w:adjustRightInd w:val="0"/>
        <w:snapToGrid w:val="0"/>
        <w:spacing w:line="560" w:lineRule="exact"/>
        <w:ind w:firstLine="640"/>
        <w:outlineLvl w:val="2"/>
        <w:rPr>
          <w:rFonts w:hint="eastAsia" w:ascii="楷体" w:hAnsi="楷体" w:eastAsia="楷体" w:cs="楷体"/>
          <w:bCs/>
          <w:sz w:val="32"/>
          <w:szCs w:val="32"/>
          <w:highlight w:val="none"/>
          <w:lang w:eastAsia="zh-CN"/>
        </w:rPr>
      </w:pPr>
      <w:r>
        <w:rPr>
          <w:rFonts w:hint="eastAsia" w:ascii="楷体" w:hAnsi="楷体" w:eastAsia="楷体" w:cs="楷体"/>
          <w:bCs/>
          <w:sz w:val="32"/>
          <w:szCs w:val="32"/>
          <w:highlight w:val="none"/>
          <w:lang w:val="en-US" w:eastAsia="zh-CN"/>
        </w:rPr>
        <w:t>4</w:t>
      </w:r>
      <w:r>
        <w:rPr>
          <w:rFonts w:hint="eastAsia" w:ascii="楷体" w:hAnsi="楷体" w:eastAsia="楷体" w:cs="楷体"/>
          <w:bCs/>
          <w:sz w:val="32"/>
          <w:szCs w:val="32"/>
          <w:highlight w:val="none"/>
        </w:rPr>
        <w:t>.立项依据</w:t>
      </w:r>
    </w:p>
    <w:p>
      <w:pPr>
        <w:pStyle w:val="42"/>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textAlignment w:val="auto"/>
        <w:rPr>
          <w:rFonts w:hint="default"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依据《关于提前下达2021年中央林业草原生态保护恢复资金预预算的通知》（洛财字〔2020〕115号），《关于提前下达2021年中央林业草原生态保护恢复资金预预算的通知》（和地财建〔2020〕126号）文件实施该项目。</w:t>
      </w:r>
    </w:p>
    <w:p>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highlight w:val="none"/>
        </w:rPr>
      </w:pPr>
      <w:bookmarkStart w:id="32" w:name="_Toc30597"/>
      <w:r>
        <w:rPr>
          <w:rFonts w:hint="eastAsia" w:ascii="仿宋_GB2312" w:hAnsi="仿宋" w:eastAsia="仿宋_GB2312" w:cs="宋体"/>
          <w:b/>
          <w:bCs/>
          <w:sz w:val="32"/>
          <w:szCs w:val="32"/>
          <w:highlight w:val="none"/>
        </w:rPr>
        <w:t>（二）项目资金情况</w:t>
      </w:r>
      <w:bookmarkEnd w:id="32"/>
    </w:p>
    <w:p>
      <w:pPr>
        <w:pStyle w:val="34"/>
        <w:tabs>
          <w:tab w:val="left" w:pos="1559"/>
        </w:tabs>
        <w:adjustRightInd w:val="0"/>
        <w:snapToGrid w:val="0"/>
        <w:spacing w:line="560" w:lineRule="exact"/>
        <w:ind w:firstLine="640"/>
        <w:outlineLvl w:val="2"/>
        <w:rPr>
          <w:rFonts w:ascii="楷体" w:hAnsi="楷体" w:eastAsia="楷体" w:cs="楷体"/>
          <w:bCs/>
          <w:sz w:val="32"/>
          <w:szCs w:val="32"/>
        </w:rPr>
      </w:pPr>
      <w:r>
        <w:rPr>
          <w:rFonts w:hint="eastAsia" w:ascii="楷体" w:hAnsi="楷体" w:eastAsia="楷体" w:cs="楷体"/>
          <w:bCs/>
          <w:sz w:val="32"/>
          <w:szCs w:val="32"/>
        </w:rPr>
        <w:t>1.项目资金预算及来源</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default"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该项目预算资金为1635.00万元，资金来源为中央专项资金，截止12月31日，到位资金为1635.00万元，资金到位率100%。</w:t>
      </w:r>
    </w:p>
    <w:p>
      <w:pPr>
        <w:pStyle w:val="34"/>
        <w:tabs>
          <w:tab w:val="left" w:pos="1559"/>
        </w:tabs>
        <w:adjustRightInd w:val="0"/>
        <w:snapToGrid w:val="0"/>
        <w:spacing w:line="560" w:lineRule="exact"/>
        <w:ind w:firstLine="640"/>
        <w:outlineLvl w:val="2"/>
        <w:rPr>
          <w:rFonts w:hint="eastAsia" w:ascii="楷体" w:hAnsi="楷体" w:eastAsia="楷体" w:cs="楷体"/>
          <w:bCs/>
          <w:sz w:val="32"/>
          <w:szCs w:val="32"/>
        </w:rPr>
      </w:pPr>
      <w:r>
        <w:rPr>
          <w:rFonts w:hint="eastAsia" w:ascii="楷体" w:hAnsi="楷体" w:eastAsia="楷体" w:cs="楷体"/>
          <w:bCs/>
          <w:sz w:val="32"/>
          <w:szCs w:val="32"/>
        </w:rPr>
        <w:t>2.预算执行及结果</w:t>
      </w:r>
    </w:p>
    <w:p>
      <w:pPr>
        <w:pStyle w:val="34"/>
        <w:keepNext w:val="0"/>
        <w:keepLines w:val="0"/>
        <w:pageBreakBefore w:val="0"/>
        <w:widowControl w:val="0"/>
        <w:kinsoku/>
        <w:wordWrap/>
        <w:overflowPunct/>
        <w:topLinePunct w:val="0"/>
        <w:autoSpaceDE/>
        <w:autoSpaceDN/>
        <w:bidi w:val="0"/>
        <w:adjustRightInd/>
        <w:snapToGrid w:val="0"/>
        <w:spacing w:line="540" w:lineRule="exact"/>
        <w:jc w:val="both"/>
        <w:textAlignment w:val="auto"/>
        <w:rPr>
          <w:rStyle w:val="23"/>
          <w:rFonts w:hint="eastAsia" w:ascii="仿宋_GB2312" w:hAnsi="仿宋_GB2312" w:eastAsia="仿宋_GB2312" w:cs="仿宋_GB2312"/>
          <w:b w:val="0"/>
          <w:color w:val="auto"/>
          <w:sz w:val="32"/>
          <w:szCs w:val="32"/>
          <w:highlight w:val="none"/>
          <w:lang w:val="en-US" w:eastAsia="zh-CN" w:bidi="ar"/>
        </w:rPr>
      </w:pPr>
      <w:r>
        <w:rPr>
          <w:rFonts w:hint="eastAsia" w:ascii="仿宋_GB2312" w:hAnsi="仿宋_GB2312" w:eastAsia="仿宋_GB2312" w:cs="仿宋_GB2312"/>
          <w:kern w:val="2"/>
          <w:sz w:val="32"/>
          <w:szCs w:val="32"/>
          <w:highlight w:val="none"/>
          <w:lang w:val="en-US" w:eastAsia="zh-CN" w:bidi="ar-SA"/>
        </w:rPr>
        <w:t>截止绩效评价日，项目预算资金1635.00万元，实际到位资金1635.00万元，资金到位率100%。总支出1613.48万元，预算执行率98.68%，该项目资金主要用于为</w:t>
      </w:r>
      <w:r>
        <w:rPr>
          <w:rStyle w:val="23"/>
          <w:rFonts w:hint="eastAsia" w:ascii="仿宋_GB2312" w:hAnsi="仿宋_GB2312" w:eastAsia="仿宋_GB2312" w:cs="仿宋_GB2312"/>
          <w:b w:val="0"/>
          <w:color w:val="auto"/>
          <w:sz w:val="32"/>
          <w:szCs w:val="32"/>
          <w:highlight w:val="none"/>
          <w:lang w:val="en-US" w:eastAsia="zh-CN" w:bidi="ar"/>
        </w:rPr>
        <w:t>2021年1635名生态护林员，按照1万元/年的标准发放补助。</w:t>
      </w:r>
    </w:p>
    <w:p>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33" w:name="_Toc4656"/>
      <w:r>
        <w:rPr>
          <w:rFonts w:hint="eastAsia" w:ascii="仿宋_GB2312" w:hAnsi="仿宋" w:eastAsia="仿宋_GB2312" w:cs="宋体"/>
          <w:b/>
          <w:bCs/>
          <w:sz w:val="32"/>
          <w:szCs w:val="32"/>
        </w:rPr>
        <w:t>（三）绩效目标设置情况</w:t>
      </w:r>
      <w:bookmarkEnd w:id="33"/>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bookmarkStart w:id="34" w:name="_Toc8400"/>
      <w:bookmarkStart w:id="35" w:name="_Toc1757"/>
      <w:bookmarkStart w:id="36" w:name="_Toc26467"/>
      <w:bookmarkStart w:id="37" w:name="_Toc25486"/>
      <w:r>
        <w:rPr>
          <w:rFonts w:hint="eastAsia" w:ascii="仿宋_GB2312" w:hAnsi="仿宋_GB2312" w:eastAsia="仿宋_GB2312" w:cs="仿宋_GB2312"/>
          <w:color w:val="auto"/>
          <w:sz w:val="32"/>
          <w:szCs w:val="32"/>
        </w:rPr>
        <w:t>该项目共设立一级指标3个，二级指标</w:t>
      </w:r>
      <w:r>
        <w:rPr>
          <w:rFonts w:hint="eastAsia" w:ascii="仿宋_GB2312" w:hAnsi="仿宋_GB2312" w:eastAsia="仿宋_GB2312" w:cs="仿宋_GB2312"/>
          <w:color w:val="auto"/>
          <w:sz w:val="32"/>
          <w:szCs w:val="32"/>
          <w:lang w:val="en-US" w:eastAsia="zh-CN"/>
        </w:rPr>
        <w:t>9</w:t>
      </w:r>
      <w:r>
        <w:rPr>
          <w:rFonts w:hint="eastAsia" w:ascii="仿宋_GB2312" w:hAnsi="仿宋_GB2312" w:eastAsia="仿宋_GB2312" w:cs="仿宋_GB2312"/>
          <w:color w:val="auto"/>
          <w:sz w:val="32"/>
          <w:szCs w:val="32"/>
        </w:rPr>
        <w:t>个，三级指标</w:t>
      </w:r>
      <w:r>
        <w:rPr>
          <w:rFonts w:hint="eastAsia" w:ascii="仿宋_GB2312" w:hAnsi="仿宋_GB2312" w:eastAsia="仿宋_GB2312" w:cs="仿宋_GB2312"/>
          <w:color w:val="auto"/>
          <w:sz w:val="32"/>
          <w:szCs w:val="32"/>
          <w:lang w:val="en-US" w:eastAsia="zh-CN"/>
        </w:rPr>
        <w:t>12</w:t>
      </w:r>
      <w:r>
        <w:rPr>
          <w:rFonts w:hint="eastAsia" w:ascii="仿宋_GB2312" w:hAnsi="仿宋_GB2312" w:eastAsia="仿宋_GB2312" w:cs="仿宋_GB2312"/>
          <w:color w:val="auto"/>
          <w:sz w:val="32"/>
          <w:szCs w:val="32"/>
        </w:rPr>
        <w:t>个，指标量化</w:t>
      </w:r>
      <w:r>
        <w:rPr>
          <w:rFonts w:hint="eastAsia" w:ascii="仿宋_GB2312" w:hAnsi="仿宋_GB2312" w:eastAsia="仿宋_GB2312" w:cs="仿宋_GB2312"/>
          <w:color w:val="auto"/>
          <w:sz w:val="32"/>
          <w:szCs w:val="32"/>
          <w:highlight w:val="none"/>
        </w:rPr>
        <w:t>率</w:t>
      </w:r>
      <w:r>
        <w:rPr>
          <w:rFonts w:hint="eastAsia" w:ascii="仿宋_GB2312" w:hAnsi="仿宋_GB2312" w:eastAsia="仿宋_GB2312" w:cs="仿宋_GB2312"/>
          <w:color w:val="auto"/>
          <w:sz w:val="32"/>
          <w:szCs w:val="32"/>
          <w:highlight w:val="none"/>
          <w:lang w:val="en-US" w:eastAsia="zh-CN"/>
        </w:rPr>
        <w:t>83.33</w:t>
      </w:r>
      <w:r>
        <w:rPr>
          <w:rFonts w:hint="eastAsia" w:ascii="仿宋_GB2312" w:hAnsi="仿宋_GB2312" w:eastAsia="仿宋_GB2312" w:cs="仿宋_GB2312"/>
          <w:color w:val="auto"/>
          <w:sz w:val="32"/>
          <w:szCs w:val="32"/>
          <w:highlight w:val="none"/>
        </w:rPr>
        <w:t>%。绩效</w:t>
      </w:r>
      <w:r>
        <w:rPr>
          <w:rFonts w:hint="eastAsia" w:ascii="仿宋_GB2312" w:hAnsi="仿宋_GB2312" w:eastAsia="仿宋_GB2312" w:cs="仿宋_GB2312"/>
          <w:color w:val="auto"/>
          <w:sz w:val="32"/>
          <w:szCs w:val="32"/>
        </w:rPr>
        <w:t>目标明确了项目产出数量和预期达到的效果，绩效目标指标制定明确、细化、量化。整体来看，目标设立合理清晰</w:t>
      </w:r>
      <w:r>
        <w:rPr>
          <w:rFonts w:hint="eastAsia" w:ascii="仿宋_GB2312" w:hAnsi="仿宋_GB2312" w:eastAsia="仿宋_GB2312" w:cs="仿宋_GB2312"/>
          <w:color w:val="auto"/>
          <w:sz w:val="32"/>
          <w:szCs w:val="32"/>
          <w:lang w:val="en-US" w:eastAsia="zh-CN"/>
        </w:rPr>
        <w:t>：</w:t>
      </w:r>
      <w:bookmarkEnd w:id="34"/>
      <w:bookmarkEnd w:id="35"/>
      <w:bookmarkEnd w:id="36"/>
    </w:p>
    <w:p>
      <w:pPr>
        <w:pStyle w:val="34"/>
        <w:tabs>
          <w:tab w:val="left" w:pos="1559"/>
        </w:tabs>
        <w:adjustRightInd w:val="0"/>
        <w:snapToGrid w:val="0"/>
        <w:spacing w:line="560" w:lineRule="exact"/>
        <w:ind w:firstLine="640"/>
        <w:outlineLvl w:val="2"/>
        <w:rPr>
          <w:rFonts w:hint="eastAsia"/>
          <w:lang w:val="en-US" w:eastAsia="zh-CN"/>
        </w:rPr>
      </w:pPr>
      <w:r>
        <w:rPr>
          <w:rFonts w:hint="eastAsia" w:ascii="楷体" w:hAnsi="楷体" w:eastAsia="楷体" w:cs="楷体"/>
          <w:bCs/>
          <w:color w:val="auto"/>
          <w:sz w:val="32"/>
          <w:szCs w:val="32"/>
          <w:highlight w:val="none"/>
          <w:lang w:val="en-US" w:eastAsia="zh-CN"/>
        </w:rPr>
        <w:t>1.</w:t>
      </w:r>
      <w:r>
        <w:rPr>
          <w:rFonts w:hint="eastAsia" w:ascii="楷体" w:hAnsi="楷体" w:eastAsia="楷体" w:cs="楷体"/>
          <w:bCs/>
          <w:color w:val="auto"/>
          <w:sz w:val="32"/>
          <w:szCs w:val="32"/>
          <w:highlight w:val="none"/>
        </w:rPr>
        <w:t>年度总目标</w:t>
      </w:r>
    </w:p>
    <w:p>
      <w:pPr>
        <w:keepNext w:val="0"/>
        <w:keepLines w:val="0"/>
        <w:pageBreakBefore w:val="0"/>
        <w:widowControl w:val="0"/>
        <w:tabs>
          <w:tab w:val="center" w:pos="4203"/>
        </w:tabs>
        <w:kinsoku/>
        <w:wordWrap/>
        <w:overflowPunct/>
        <w:topLinePunct w:val="0"/>
        <w:autoSpaceDE/>
        <w:autoSpaceDN/>
        <w:bidi w:val="0"/>
        <w:adjustRightInd w:val="0"/>
        <w:snapToGrid w:val="0"/>
        <w:spacing w:line="560" w:lineRule="exact"/>
        <w:ind w:firstLine="640" w:firstLineChars="200"/>
        <w:textAlignment w:val="auto"/>
        <w:rPr>
          <w:rFonts w:hint="eastAsia" w:ascii="仿宋_GB2312" w:eastAsia="仿宋_GB2312" w:cs="宋体"/>
          <w:color w:val="auto"/>
          <w:sz w:val="32"/>
          <w:szCs w:val="32"/>
          <w:highlight w:val="none"/>
          <w:lang w:val="en-US" w:eastAsia="zh-CN"/>
        </w:rPr>
      </w:pPr>
      <w:r>
        <w:rPr>
          <w:rFonts w:hint="eastAsia" w:ascii="仿宋_GB2312" w:eastAsia="仿宋_GB2312" w:cs="宋体"/>
          <w:color w:val="auto"/>
          <w:sz w:val="32"/>
          <w:szCs w:val="32"/>
          <w:highlight w:val="none"/>
          <w:lang w:val="en-US" w:eastAsia="zh-CN"/>
        </w:rPr>
        <w:t>完成了为1635名生态护林员发放12个月的补助，剩余21.5209万元，因护林员动态调整，未支付。管护面积不低于500亩，通过该项目的实施，解决了1635名贫困户的就业问题，按照每人每年10000元的补助标准兑现补助资金，增加了贫困户的经济收入，对壮大我县护林队伍，保护森林资源，维护生态环境，增加社会投入，促进经济发展起了基础性作用，改善了绿洲人居环境、实现了生态建设与林果业产业协调发展。</w:t>
      </w:r>
    </w:p>
    <w:p>
      <w:pPr>
        <w:keepNext w:val="0"/>
        <w:keepLines w:val="0"/>
        <w:pageBreakBefore w:val="0"/>
        <w:widowControl w:val="0"/>
        <w:tabs>
          <w:tab w:val="center" w:pos="4203"/>
        </w:tabs>
        <w:kinsoku/>
        <w:wordWrap/>
        <w:overflowPunct/>
        <w:topLinePunct w:val="0"/>
        <w:autoSpaceDE/>
        <w:autoSpaceDN/>
        <w:bidi w:val="0"/>
        <w:adjustRightInd w:val="0"/>
        <w:snapToGrid w:val="0"/>
        <w:spacing w:line="560" w:lineRule="exact"/>
        <w:ind w:firstLine="640" w:firstLineChars="200"/>
        <w:textAlignment w:val="auto"/>
        <w:rPr>
          <w:rFonts w:hint="eastAsia" w:ascii="楷体" w:hAnsi="楷体" w:eastAsia="楷体" w:cs="楷体"/>
          <w:bCs/>
          <w:color w:val="auto"/>
          <w:sz w:val="32"/>
          <w:szCs w:val="32"/>
          <w:highlight w:val="none"/>
          <w:lang w:val="en-US" w:eastAsia="zh-CN"/>
        </w:rPr>
      </w:pPr>
      <w:r>
        <w:rPr>
          <w:rFonts w:hint="eastAsia" w:ascii="仿宋_GB2312" w:eastAsia="仿宋_GB2312" w:cs="宋体"/>
          <w:color w:val="auto"/>
          <w:sz w:val="32"/>
          <w:szCs w:val="32"/>
          <w:lang w:val="en-US" w:eastAsia="zh-CN"/>
        </w:rPr>
        <w:t>2.</w:t>
      </w:r>
      <w:r>
        <w:rPr>
          <w:rFonts w:hint="eastAsia" w:ascii="楷体" w:hAnsi="楷体" w:eastAsia="楷体" w:cs="楷体"/>
          <w:bCs/>
          <w:color w:val="auto"/>
          <w:sz w:val="32"/>
          <w:szCs w:val="32"/>
          <w:highlight w:val="none"/>
          <w:lang w:val="en-US" w:eastAsia="zh-CN"/>
        </w:rPr>
        <w:t>阶段性绩效目标</w:t>
      </w:r>
      <w:r>
        <w:rPr>
          <w:rFonts w:hint="eastAsia" w:ascii="楷体" w:hAnsi="楷体" w:eastAsia="楷体" w:cs="楷体"/>
          <w:bCs/>
          <w:color w:val="auto"/>
          <w:sz w:val="32"/>
          <w:szCs w:val="32"/>
          <w:highlight w:val="none"/>
          <w:lang w:val="en-US" w:eastAsia="zh-CN"/>
        </w:rPr>
        <w:tab/>
      </w:r>
    </w:p>
    <w:p>
      <w:pPr>
        <w:pStyle w:val="34"/>
        <w:numPr>
          <w:ilvl w:val="0"/>
          <w:numId w:val="0"/>
        </w:numPr>
        <w:tabs>
          <w:tab w:val="left" w:pos="1559"/>
        </w:tabs>
        <w:adjustRightInd w:val="0"/>
        <w:snapToGrid w:val="0"/>
        <w:spacing w:line="560" w:lineRule="exact"/>
        <w:ind w:firstLine="640" w:firstLineChars="200"/>
        <w:outlineLvl w:val="2"/>
        <w:rPr>
          <w:rFonts w:hint="eastAsia" w:ascii="仿宋_GB2312" w:eastAsia="仿宋_GB2312" w:cs="宋体"/>
          <w:color w:val="auto"/>
          <w:kern w:val="2"/>
          <w:sz w:val="32"/>
          <w:szCs w:val="32"/>
          <w:lang w:val="en-US" w:eastAsia="zh-CN" w:bidi="ar-SA"/>
        </w:rPr>
      </w:pPr>
      <w:r>
        <w:rPr>
          <w:rFonts w:hint="eastAsia" w:ascii="仿宋_GB2312" w:eastAsia="仿宋_GB2312" w:cs="宋体" w:hAnsiTheme="minorHAnsi"/>
          <w:color w:val="auto"/>
          <w:kern w:val="2"/>
          <w:sz w:val="32"/>
          <w:szCs w:val="32"/>
          <w:lang w:val="en-US" w:eastAsia="zh-CN" w:bidi="ar-SA"/>
        </w:rPr>
        <w:t>根据</w:t>
      </w:r>
      <w:r>
        <w:rPr>
          <w:rFonts w:hint="eastAsia" w:ascii="仿宋_GB2312" w:hAnsi="仿宋_GB2312" w:eastAsia="仿宋_GB2312" w:cs="仿宋_GB2312"/>
          <w:kern w:val="2"/>
          <w:sz w:val="32"/>
          <w:szCs w:val="32"/>
          <w:highlight w:val="none"/>
          <w:lang w:val="en-US" w:eastAsia="zh-CN" w:bidi="ar-SA"/>
        </w:rPr>
        <w:t>《关于提前下达2021年中央林业草原生态保护恢复资金预预算的通知》（洛财字〔2020〕115号），《关于提前下达2021年中央林业草原生态保护恢复资金预预算的通知》（和地财建〔2020〕126号）文件</w:t>
      </w:r>
      <w:r>
        <w:rPr>
          <w:rFonts w:hint="eastAsia" w:ascii="仿宋_GB2312" w:eastAsia="仿宋_GB2312" w:cs="宋体" w:hAnsiTheme="minorHAnsi"/>
          <w:color w:val="auto"/>
          <w:kern w:val="2"/>
          <w:sz w:val="32"/>
          <w:szCs w:val="32"/>
          <w:lang w:val="en-US" w:eastAsia="zh-CN" w:bidi="ar-SA"/>
        </w:rPr>
        <w:t>，</w:t>
      </w:r>
      <w:r>
        <w:rPr>
          <w:rFonts w:hint="eastAsia" w:ascii="仿宋_GB2312" w:eastAsia="仿宋_GB2312" w:cs="宋体"/>
          <w:color w:val="auto"/>
          <w:kern w:val="2"/>
          <w:sz w:val="32"/>
          <w:szCs w:val="32"/>
          <w:lang w:val="en-US" w:eastAsia="zh-CN" w:bidi="ar-SA"/>
        </w:rPr>
        <w:t>2021年中央林业草原生态保护恢复-生态护林员补助项目总投资1635.00</w:t>
      </w:r>
      <w:r>
        <w:rPr>
          <w:rFonts w:hint="eastAsia" w:ascii="仿宋_GB2312" w:eastAsia="仿宋_GB2312" w:cs="宋体" w:hAnsiTheme="minorHAnsi"/>
          <w:color w:val="auto"/>
          <w:kern w:val="2"/>
          <w:sz w:val="32"/>
          <w:szCs w:val="32"/>
          <w:lang w:val="en-US" w:eastAsia="zh-CN" w:bidi="ar-SA"/>
        </w:rPr>
        <w:t>万元。设置了三个一级指标，</w:t>
      </w:r>
      <w:r>
        <w:rPr>
          <w:rFonts w:hint="eastAsia" w:ascii="仿宋_GB2312" w:eastAsia="仿宋_GB2312" w:cs="宋体"/>
          <w:color w:val="auto"/>
          <w:kern w:val="2"/>
          <w:sz w:val="32"/>
          <w:szCs w:val="32"/>
          <w:lang w:val="en-US" w:eastAsia="zh-CN" w:bidi="ar-SA"/>
        </w:rPr>
        <w:t>9个二级指标，12个三级指标</w:t>
      </w:r>
      <w:r>
        <w:rPr>
          <w:rFonts w:hint="eastAsia" w:ascii="仿宋_GB2312" w:eastAsia="仿宋_GB2312" w:cs="宋体" w:hAnsiTheme="minorHAnsi"/>
          <w:color w:val="auto"/>
          <w:kern w:val="2"/>
          <w:sz w:val="32"/>
          <w:szCs w:val="32"/>
          <w:lang w:val="en-US" w:eastAsia="zh-CN" w:bidi="ar-SA"/>
        </w:rPr>
        <w:t>其中</w:t>
      </w:r>
      <w:r>
        <w:rPr>
          <w:rFonts w:hint="eastAsia" w:ascii="仿宋_GB2312" w:eastAsia="仿宋_GB2312" w:cs="宋体"/>
          <w:color w:val="auto"/>
          <w:kern w:val="2"/>
          <w:sz w:val="32"/>
          <w:szCs w:val="32"/>
          <w:lang w:val="en-US" w:eastAsia="zh-CN" w:bidi="ar-SA"/>
        </w:rPr>
        <w:t>：</w:t>
      </w:r>
    </w:p>
    <w:p>
      <w:pPr>
        <w:pStyle w:val="34"/>
        <w:numPr>
          <w:ilvl w:val="0"/>
          <w:numId w:val="6"/>
        </w:numPr>
        <w:tabs>
          <w:tab w:val="left" w:pos="1559"/>
        </w:tabs>
        <w:adjustRightInd w:val="0"/>
        <w:snapToGrid w:val="0"/>
        <w:spacing w:line="560" w:lineRule="exact"/>
        <w:ind w:firstLine="640"/>
        <w:outlineLvl w:val="2"/>
        <w:rPr>
          <w:rFonts w:hint="eastAsia" w:ascii="仿宋_GB2312" w:hAnsi="仿宋_GB2312" w:eastAsia="仿宋_GB2312" w:cs="仿宋_GB2312"/>
          <w:b w:val="0"/>
          <w:bCs/>
          <w:color w:val="auto"/>
          <w:sz w:val="32"/>
          <w:szCs w:val="32"/>
          <w:highlight w:val="none"/>
          <w:lang w:val="en-US" w:eastAsia="zh-CN"/>
        </w:rPr>
      </w:pPr>
      <w:r>
        <w:rPr>
          <w:rFonts w:hint="eastAsia" w:ascii="仿宋_GB2312" w:hAnsi="仿宋_GB2312" w:eastAsia="仿宋_GB2312" w:cs="仿宋_GB2312"/>
          <w:b w:val="0"/>
          <w:bCs/>
          <w:color w:val="auto"/>
          <w:sz w:val="32"/>
          <w:szCs w:val="32"/>
          <w:highlight w:val="none"/>
          <w:lang w:val="en-US" w:eastAsia="zh-CN"/>
        </w:rPr>
        <w:t>产出指标：</w:t>
      </w:r>
    </w:p>
    <w:p>
      <w:pPr>
        <w:pStyle w:val="34"/>
        <w:numPr>
          <w:ilvl w:val="0"/>
          <w:numId w:val="0"/>
        </w:numPr>
        <w:tabs>
          <w:tab w:val="left" w:pos="1559"/>
        </w:tabs>
        <w:adjustRightInd w:val="0"/>
        <w:snapToGrid w:val="0"/>
        <w:spacing w:line="560" w:lineRule="exact"/>
        <w:outlineLvl w:val="2"/>
        <w:rPr>
          <w:rFonts w:hint="default" w:ascii="仿宋_GB2312" w:hAnsi="仿宋_GB2312" w:eastAsia="仿宋_GB2312" w:cs="仿宋_GB2312"/>
          <w:b w:val="0"/>
          <w:bCs/>
          <w:color w:val="auto"/>
          <w:sz w:val="32"/>
          <w:szCs w:val="32"/>
          <w:highlight w:val="none"/>
          <w:lang w:val="en-US" w:eastAsia="zh-CN"/>
        </w:rPr>
      </w:pPr>
      <w:r>
        <w:rPr>
          <w:rFonts w:hint="eastAsia" w:ascii="仿宋_GB2312" w:hAnsi="仿宋_GB2312" w:eastAsia="仿宋_GB2312" w:cs="仿宋_GB2312"/>
          <w:b w:val="0"/>
          <w:bCs/>
          <w:color w:val="auto"/>
          <w:sz w:val="32"/>
          <w:szCs w:val="32"/>
          <w:highlight w:val="none"/>
          <w:lang w:val="en-US" w:eastAsia="zh-CN"/>
        </w:rPr>
        <w:t xml:space="preserve">    产出数量指标</w:t>
      </w:r>
    </w:p>
    <w:p>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b w:val="0"/>
          <w:bCs w:val="0"/>
          <w:color w:val="auto"/>
          <w:kern w:val="2"/>
          <w:sz w:val="32"/>
          <w:szCs w:val="32"/>
          <w:lang w:val="en-US" w:eastAsia="zh-CN" w:bidi="ar-SA"/>
        </w:rPr>
        <w:t>该项目选聘</w:t>
      </w:r>
      <w:bookmarkStart w:id="122" w:name="_GoBack"/>
      <w:bookmarkEnd w:id="122"/>
      <w:r>
        <w:rPr>
          <w:rFonts w:hint="eastAsia" w:ascii="仿宋_GB2312" w:hAnsi="仿宋_GB2312" w:eastAsia="仿宋_GB2312" w:cs="仿宋_GB2312"/>
          <w:b w:val="0"/>
          <w:bCs w:val="0"/>
          <w:color w:val="auto"/>
          <w:kern w:val="2"/>
          <w:sz w:val="32"/>
          <w:szCs w:val="32"/>
          <w:lang w:val="en-US" w:eastAsia="zh-CN" w:bidi="ar-SA"/>
        </w:rPr>
        <w:t>生态护林员人数指标，预期值等于1635名</w:t>
      </w:r>
      <w:r>
        <w:rPr>
          <w:rFonts w:hint="eastAsia" w:ascii="仿宋_GB2312" w:hAnsi="仿宋_GB2312" w:eastAsia="仿宋_GB2312" w:cs="仿宋_GB2312"/>
          <w:sz w:val="32"/>
          <w:szCs w:val="32"/>
          <w:highlight w:val="none"/>
          <w:lang w:val="en-US" w:eastAsia="zh-CN"/>
        </w:rPr>
        <w:t>。</w:t>
      </w:r>
    </w:p>
    <w:p>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b w:val="0"/>
          <w:bCs w:val="0"/>
          <w:color w:val="auto"/>
          <w:kern w:val="2"/>
          <w:sz w:val="32"/>
          <w:szCs w:val="32"/>
          <w:lang w:val="en-US" w:eastAsia="zh-CN" w:bidi="ar-SA"/>
        </w:rPr>
        <w:t>该项目</w:t>
      </w:r>
      <w:r>
        <w:rPr>
          <w:rFonts w:hint="eastAsia" w:ascii="仿宋_GB2312" w:hAnsi="仿宋_GB2312" w:eastAsia="仿宋_GB2312" w:cs="仿宋_GB2312"/>
          <w:sz w:val="32"/>
          <w:szCs w:val="32"/>
          <w:highlight w:val="none"/>
          <w:lang w:val="en-US" w:eastAsia="zh-CN"/>
        </w:rPr>
        <w:t>涉及乡镇指标，预期值等于10个。</w:t>
      </w:r>
    </w:p>
    <w:p>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b w:val="0"/>
          <w:bCs w:val="0"/>
          <w:color w:val="auto"/>
          <w:kern w:val="2"/>
          <w:sz w:val="32"/>
          <w:szCs w:val="32"/>
          <w:lang w:val="en-US" w:eastAsia="zh-CN" w:bidi="ar-SA"/>
        </w:rPr>
        <w:t>该项目</w:t>
      </w:r>
      <w:r>
        <w:rPr>
          <w:rFonts w:hint="default" w:ascii="仿宋_GB2312" w:hAnsi="仿宋_GB2312" w:eastAsia="仿宋_GB2312" w:cs="仿宋_GB2312"/>
          <w:sz w:val="32"/>
          <w:szCs w:val="32"/>
          <w:highlight w:val="none"/>
          <w:lang w:val="en-US" w:eastAsia="zh-CN"/>
        </w:rPr>
        <w:t>管护面积</w:t>
      </w:r>
      <w:r>
        <w:rPr>
          <w:rFonts w:hint="eastAsia" w:ascii="仿宋_GB2312" w:hAnsi="仿宋_GB2312" w:eastAsia="仿宋_GB2312" w:cs="仿宋_GB2312"/>
          <w:sz w:val="32"/>
          <w:szCs w:val="32"/>
          <w:highlight w:val="none"/>
          <w:lang w:val="en-US" w:eastAsia="zh-CN"/>
        </w:rPr>
        <w:t>指标，预期值大于等于500亩。</w:t>
      </w:r>
    </w:p>
    <w:p>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产出质量指标</w:t>
      </w:r>
    </w:p>
    <w:p>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b w:val="0"/>
          <w:bCs w:val="0"/>
          <w:color w:val="auto"/>
          <w:kern w:val="2"/>
          <w:sz w:val="32"/>
          <w:szCs w:val="32"/>
          <w:lang w:val="en-US" w:eastAsia="zh-CN" w:bidi="ar-SA"/>
        </w:rPr>
        <w:t>该项目</w:t>
      </w:r>
      <w:r>
        <w:rPr>
          <w:rFonts w:hint="default" w:ascii="仿宋_GB2312" w:hAnsi="仿宋_GB2312" w:eastAsia="仿宋_GB2312" w:cs="仿宋_GB2312"/>
          <w:sz w:val="32"/>
          <w:szCs w:val="32"/>
          <w:highlight w:val="none"/>
          <w:lang w:val="en-US" w:eastAsia="zh-CN"/>
        </w:rPr>
        <w:t>补助资金发放率</w:t>
      </w:r>
      <w:r>
        <w:rPr>
          <w:rFonts w:hint="eastAsia" w:ascii="仿宋_GB2312" w:hAnsi="仿宋_GB2312" w:eastAsia="仿宋_GB2312" w:cs="仿宋_GB2312"/>
          <w:sz w:val="32"/>
          <w:szCs w:val="32"/>
          <w:highlight w:val="none"/>
          <w:lang w:val="en-US" w:eastAsia="zh-CN"/>
        </w:rPr>
        <w:t>指标，预期值等于100%。</w:t>
      </w:r>
    </w:p>
    <w:p>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产出时效指标</w:t>
      </w:r>
    </w:p>
    <w:p>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该项目资金拨付及时率指标，预期值等于100%。</w:t>
      </w:r>
    </w:p>
    <w:p>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该项目截止时间指标，预期值2021年12月。</w:t>
      </w:r>
    </w:p>
    <w:p>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产出成本指标</w:t>
      </w:r>
    </w:p>
    <w:p>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default"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该项目补助标准指标，预期值等于10000元/人/年。</w:t>
      </w:r>
    </w:p>
    <w:p>
      <w:pPr>
        <w:numPr>
          <w:ilvl w:val="0"/>
          <w:numId w:val="7"/>
        </w:numPr>
        <w:ind w:firstLine="640" w:firstLineChars="200"/>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效益指标：</w:t>
      </w:r>
    </w:p>
    <w:p>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经济效益指标</w:t>
      </w:r>
    </w:p>
    <w:p>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left="638" w:leftChars="304" w:firstLine="0" w:firstLineChars="0"/>
        <w:textAlignment w:val="auto"/>
        <w:outlineLvl w:val="2"/>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该项目提高生态护林员工作收入指标，预期值等于10000元/人/年。</w:t>
      </w:r>
    </w:p>
    <w:p>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社会效益指标</w:t>
      </w:r>
    </w:p>
    <w:p>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该项目</w:t>
      </w:r>
      <w:r>
        <w:rPr>
          <w:rFonts w:hint="default" w:ascii="仿宋_GB2312" w:hAnsi="仿宋_GB2312" w:eastAsia="仿宋_GB2312" w:cs="仿宋_GB2312"/>
          <w:b w:val="0"/>
          <w:bCs w:val="0"/>
          <w:color w:val="auto"/>
          <w:kern w:val="2"/>
          <w:sz w:val="32"/>
          <w:szCs w:val="32"/>
          <w:lang w:val="en-US" w:eastAsia="zh-CN" w:bidi="ar-SA"/>
        </w:rPr>
        <w:t>安排就业人数</w:t>
      </w:r>
      <w:r>
        <w:rPr>
          <w:rFonts w:hint="eastAsia" w:ascii="仿宋_GB2312" w:hAnsi="仿宋_GB2312" w:eastAsia="仿宋_GB2312" w:cs="仿宋_GB2312"/>
          <w:b w:val="0"/>
          <w:bCs w:val="0"/>
          <w:color w:val="auto"/>
          <w:kern w:val="2"/>
          <w:sz w:val="32"/>
          <w:szCs w:val="32"/>
          <w:lang w:val="en-US" w:eastAsia="zh-CN" w:bidi="ar-SA"/>
        </w:rPr>
        <w:t>指标，预期值等于1635名。</w:t>
      </w:r>
    </w:p>
    <w:p>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default"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生态效益指标</w:t>
      </w:r>
    </w:p>
    <w:p>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该项目改善绿洲人居环境、实现生态建设与林果业产业协调发展影响率指标，预期值有效改善。</w:t>
      </w:r>
    </w:p>
    <w:p>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可持续影响指标</w:t>
      </w:r>
    </w:p>
    <w:p>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default"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该项目可持续年限指标，预期值等于1年。</w:t>
      </w:r>
    </w:p>
    <w:p>
      <w:pPr>
        <w:keepNext w:val="0"/>
        <w:keepLines w:val="0"/>
        <w:pageBreakBefore w:val="0"/>
        <w:widowControl w:val="0"/>
        <w:numPr>
          <w:ilvl w:val="0"/>
          <w:numId w:val="0"/>
        </w:numPr>
        <w:kinsoku/>
        <w:wordWrap/>
        <w:overflowPunct/>
        <w:topLinePunct w:val="0"/>
        <w:autoSpaceDE/>
        <w:autoSpaceDN/>
        <w:bidi w:val="0"/>
        <w:adjustRightInd w:val="0"/>
        <w:snapToGrid w:val="0"/>
        <w:spacing w:before="0" w:afterAutospacing="0" w:line="560" w:lineRule="exact"/>
        <w:ind w:leftChars="200"/>
        <w:textAlignment w:val="auto"/>
        <w:outlineLvl w:val="9"/>
        <w:rPr>
          <w:rStyle w:val="23"/>
          <w:rFonts w:hint="eastAsia" w:ascii="仿宋_GB2312" w:hAnsi="仿宋" w:eastAsia="仿宋_GB2312"/>
          <w:b w:val="0"/>
          <w:bCs w:val="0"/>
          <w:spacing w:val="-4"/>
          <w:sz w:val="32"/>
          <w:szCs w:val="32"/>
          <w:lang w:eastAsia="zh-CN"/>
        </w:rPr>
      </w:pPr>
      <w:r>
        <w:rPr>
          <w:rStyle w:val="23"/>
          <w:rFonts w:hint="eastAsia" w:ascii="仿宋_GB2312" w:hAnsi="仿宋" w:eastAsia="仿宋_GB2312"/>
          <w:b w:val="0"/>
          <w:bCs w:val="0"/>
          <w:spacing w:val="-4"/>
          <w:sz w:val="32"/>
          <w:szCs w:val="32"/>
          <w:lang w:eastAsia="zh-CN"/>
        </w:rPr>
        <w:t>（</w:t>
      </w:r>
      <w:r>
        <w:rPr>
          <w:rStyle w:val="23"/>
          <w:rFonts w:hint="eastAsia" w:ascii="仿宋_GB2312" w:hAnsi="仿宋" w:eastAsia="仿宋_GB2312"/>
          <w:b w:val="0"/>
          <w:bCs w:val="0"/>
          <w:spacing w:val="-4"/>
          <w:sz w:val="32"/>
          <w:szCs w:val="32"/>
          <w:lang w:val="en-US" w:eastAsia="zh-CN"/>
        </w:rPr>
        <w:t>3</w:t>
      </w:r>
      <w:r>
        <w:rPr>
          <w:rStyle w:val="23"/>
          <w:rFonts w:hint="eastAsia" w:ascii="仿宋_GB2312" w:hAnsi="仿宋" w:eastAsia="仿宋_GB2312"/>
          <w:b w:val="0"/>
          <w:bCs w:val="0"/>
          <w:spacing w:val="-4"/>
          <w:sz w:val="32"/>
          <w:szCs w:val="32"/>
          <w:lang w:eastAsia="zh-CN"/>
        </w:rPr>
        <w:t>）满意度指标：</w:t>
      </w:r>
    </w:p>
    <w:p>
      <w:pPr>
        <w:numPr>
          <w:ilvl w:val="0"/>
          <w:numId w:val="0"/>
        </w:numPr>
        <w:ind w:firstLine="640" w:firstLineChars="200"/>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通过走访受益对象，人民群众满意度程度预计能达到大于等于95%。</w:t>
      </w:r>
    </w:p>
    <w:p>
      <w:pPr>
        <w:adjustRightInd w:val="0"/>
        <w:snapToGrid w:val="0"/>
        <w:spacing w:line="560" w:lineRule="exact"/>
        <w:ind w:firstLine="640" w:firstLineChars="200"/>
        <w:jc w:val="left"/>
        <w:outlineLvl w:val="0"/>
        <w:rPr>
          <w:rFonts w:ascii="黑体" w:hAnsi="黑体" w:eastAsia="黑体" w:cs="宋体"/>
          <w:sz w:val="32"/>
          <w:szCs w:val="32"/>
          <w:highlight w:val="none"/>
        </w:rPr>
      </w:pPr>
      <w:r>
        <w:rPr>
          <w:rFonts w:hint="eastAsia" w:ascii="黑体" w:hAnsi="黑体" w:eastAsia="黑体" w:cs="宋体"/>
          <w:sz w:val="32"/>
          <w:szCs w:val="32"/>
          <w:highlight w:val="none"/>
        </w:rPr>
        <w:t>二、评价工作简述</w:t>
      </w:r>
      <w:bookmarkEnd w:id="37"/>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eastAsia="仿宋_GB2312" w:cs="宋体" w:hAnsiTheme="minorHAnsi"/>
          <w:color w:val="auto"/>
          <w:kern w:val="2"/>
          <w:sz w:val="32"/>
          <w:szCs w:val="32"/>
          <w:lang w:val="en-US" w:eastAsia="zh-CN" w:bidi="ar-SA"/>
        </w:rPr>
      </w:pPr>
      <w:bookmarkStart w:id="38" w:name="_Toc7630"/>
      <w:bookmarkStart w:id="39" w:name="_Toc19614"/>
      <w:bookmarkStart w:id="40" w:name="_Toc3416"/>
      <w:r>
        <w:rPr>
          <w:rFonts w:hint="eastAsia" w:ascii="仿宋_GB2312" w:eastAsia="仿宋_GB2312" w:cs="宋体" w:hAnsiTheme="minorHAnsi"/>
          <w:color w:val="auto"/>
          <w:kern w:val="2"/>
          <w:sz w:val="32"/>
          <w:szCs w:val="32"/>
          <w:lang w:val="en-US" w:eastAsia="zh-CN" w:bidi="ar-SA"/>
        </w:rPr>
        <w:t>受</w:t>
      </w:r>
      <w:r>
        <w:rPr>
          <w:rFonts w:hint="eastAsia" w:ascii="仿宋_GB2312" w:eastAsia="仿宋_GB2312" w:cs="宋体"/>
          <w:color w:val="auto"/>
          <w:kern w:val="2"/>
          <w:sz w:val="32"/>
          <w:szCs w:val="32"/>
          <w:lang w:val="en-US" w:eastAsia="zh-CN" w:bidi="ar-SA"/>
        </w:rPr>
        <w:t>洛浦</w:t>
      </w:r>
      <w:r>
        <w:rPr>
          <w:rFonts w:hint="eastAsia" w:ascii="仿宋_GB2312" w:eastAsia="仿宋_GB2312" w:cs="宋体" w:hAnsiTheme="minorHAnsi"/>
          <w:color w:val="auto"/>
          <w:kern w:val="2"/>
          <w:sz w:val="32"/>
          <w:szCs w:val="32"/>
          <w:lang w:val="en-US" w:eastAsia="zh-CN" w:bidi="ar-SA"/>
        </w:rPr>
        <w:t>县财政局委托，中瑞诚会计师事务所（特殊普通合伙）喀什分所（以下简称“评价机构”）承担</w:t>
      </w:r>
      <w:r>
        <w:rPr>
          <w:rFonts w:hint="eastAsia" w:ascii="仿宋_GB2312" w:eastAsia="仿宋_GB2312" w:cs="宋体"/>
          <w:color w:val="auto"/>
          <w:kern w:val="2"/>
          <w:sz w:val="32"/>
          <w:szCs w:val="32"/>
          <w:lang w:val="en-US" w:eastAsia="zh-CN" w:bidi="ar-SA"/>
        </w:rPr>
        <w:t>2021年中央林业草原生态保护恢复-生态护林员补助项目项目</w:t>
      </w:r>
      <w:r>
        <w:rPr>
          <w:rFonts w:hint="eastAsia" w:ascii="仿宋_GB2312" w:eastAsia="仿宋_GB2312" w:cs="宋体" w:hAnsiTheme="minorHAnsi"/>
          <w:color w:val="auto"/>
          <w:kern w:val="2"/>
          <w:sz w:val="32"/>
          <w:szCs w:val="32"/>
          <w:lang w:val="en-US" w:eastAsia="zh-CN" w:bidi="ar-SA"/>
        </w:rPr>
        <w:t>支出的绩效评价工作。为更好地保障绩效评价工作的顺利实施，根据财政部颁发的《项目支出绩效评价管理办法》（财预〔2020〕10号）、新疆维吾尔自治区财政厅颁发的《自治区财政支出绩效评价管理暂行办法》（新财预〔2018〕189号）等文件规定，评价机构成立绩效评价工作组（以下简称“评价工作组”）对</w:t>
      </w:r>
      <w:r>
        <w:rPr>
          <w:rFonts w:hint="eastAsia" w:ascii="仿宋_GB2312" w:eastAsia="仿宋_GB2312" w:cs="宋体" w:hAnsiTheme="minorHAnsi"/>
          <w:color w:val="auto"/>
          <w:kern w:val="2"/>
          <w:sz w:val="32"/>
          <w:szCs w:val="32"/>
          <w:highlight w:val="none"/>
          <w:lang w:val="en-US" w:eastAsia="zh-CN" w:bidi="ar-SA"/>
        </w:rPr>
        <w:t>专项</w:t>
      </w:r>
      <w:r>
        <w:rPr>
          <w:rFonts w:hint="eastAsia" w:ascii="仿宋_GB2312" w:eastAsia="仿宋_GB2312" w:cs="宋体" w:hAnsiTheme="minorHAnsi"/>
          <w:color w:val="auto"/>
          <w:kern w:val="2"/>
          <w:sz w:val="32"/>
          <w:szCs w:val="32"/>
          <w:lang w:val="en-US" w:eastAsia="zh-CN" w:bidi="ar-SA"/>
        </w:rPr>
        <w:t>资金投入、资金使用和资金使用效益等方面进行了绩效评价。</w:t>
      </w:r>
      <w:bookmarkEnd w:id="38"/>
      <w:bookmarkEnd w:id="39"/>
      <w:bookmarkEnd w:id="40"/>
    </w:p>
    <w:p>
      <w:pPr>
        <w:pStyle w:val="34"/>
        <w:numPr>
          <w:ilvl w:val="0"/>
          <w:numId w:val="5"/>
        </w:numPr>
        <w:adjustRightInd w:val="0"/>
        <w:snapToGrid w:val="0"/>
        <w:spacing w:line="560" w:lineRule="exact"/>
        <w:ind w:firstLine="643"/>
        <w:rPr>
          <w:rFonts w:ascii="仿宋_GB2312" w:hAnsi="仿宋" w:eastAsia="仿宋_GB2312" w:cs="宋体"/>
          <w:b/>
          <w:bCs/>
          <w:vanish/>
          <w:sz w:val="32"/>
          <w:szCs w:val="32"/>
        </w:rPr>
      </w:pPr>
      <w:r>
        <w:rPr>
          <w:rFonts w:hint="eastAsia" w:ascii="仿宋_GB2312" w:hAnsi="仿宋" w:eastAsia="仿宋_GB2312" w:cs="宋体"/>
          <w:b/>
          <w:bCs/>
          <w:vanish/>
          <w:sz w:val="32"/>
          <w:szCs w:val="32"/>
        </w:rPr>
        <w:t>评价工作简述</w:t>
      </w:r>
    </w:p>
    <w:p>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41" w:name="_Toc8259"/>
      <w:r>
        <w:rPr>
          <w:rFonts w:hint="eastAsia" w:ascii="仿宋_GB2312" w:hAnsi="仿宋" w:eastAsia="仿宋_GB2312" w:cs="宋体"/>
          <w:b/>
          <w:bCs/>
          <w:sz w:val="32"/>
          <w:szCs w:val="32"/>
        </w:rPr>
        <w:t>（一）评价目的</w:t>
      </w:r>
      <w:bookmarkEnd w:id="41"/>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rPr>
      </w:pPr>
      <w:bookmarkStart w:id="42" w:name="_Toc22761"/>
      <w:bookmarkStart w:id="43" w:name="_Toc18186"/>
      <w:r>
        <w:rPr>
          <w:rFonts w:hint="eastAsia" w:ascii="仿宋_GB2312" w:hAnsi="仿宋_GB2312" w:eastAsia="仿宋_GB2312" w:cs="仿宋_GB2312"/>
          <w:sz w:val="32"/>
          <w:szCs w:val="32"/>
        </w:rPr>
        <w:t>按照新疆自治区财政厅和</w:t>
      </w:r>
      <w:r>
        <w:rPr>
          <w:rFonts w:hint="eastAsia" w:ascii="仿宋_GB2312" w:hAnsi="仿宋_GB2312" w:eastAsia="仿宋_GB2312" w:cs="仿宋_GB2312"/>
          <w:sz w:val="32"/>
          <w:szCs w:val="32"/>
          <w:lang w:val="en-US" w:eastAsia="zh-CN"/>
        </w:rPr>
        <w:t>洛浦县</w:t>
      </w:r>
      <w:r>
        <w:rPr>
          <w:rFonts w:hint="eastAsia" w:ascii="仿宋_GB2312" w:hAnsi="仿宋_GB2312" w:eastAsia="仿宋_GB2312" w:cs="仿宋_GB2312"/>
          <w:sz w:val="32"/>
          <w:szCs w:val="32"/>
        </w:rPr>
        <w:t>财政局“加强财政支出管理，强化支出责任，建立科学、合理的财政支出绩效评价管理体系，提高财政资金使用效益”的要求，通过</w:t>
      </w:r>
      <w:r>
        <w:rPr>
          <w:rFonts w:hint="eastAsia" w:ascii="仿宋_GB2312" w:hAnsi="仿宋_GB2312" w:eastAsia="仿宋_GB2312" w:cs="仿宋_GB2312"/>
          <w:sz w:val="32"/>
          <w:szCs w:val="32"/>
          <w:lang w:eastAsia="zh-CN"/>
        </w:rPr>
        <w:t>项目</w:t>
      </w:r>
      <w:r>
        <w:rPr>
          <w:rFonts w:hint="eastAsia" w:ascii="仿宋_GB2312" w:hAnsi="仿宋_GB2312" w:eastAsia="仿宋_GB2312" w:cs="仿宋_GB2312"/>
          <w:sz w:val="32"/>
          <w:szCs w:val="32"/>
        </w:rPr>
        <w:t>决策、过程、产出、效益的全过程梳理、评价，客观公正反映项目立项的科学性、项目实施的规范性、项目管理的有效性和项目效果</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总结项目实施经验，发现存在</w:t>
      </w:r>
      <w:r>
        <w:rPr>
          <w:rFonts w:hint="eastAsia" w:ascii="仿宋_GB2312" w:hAnsi="仿宋_GB2312" w:eastAsia="仿宋_GB2312" w:cs="仿宋_GB2312"/>
          <w:sz w:val="32"/>
          <w:szCs w:val="32"/>
          <w:lang w:eastAsia="zh-CN"/>
        </w:rPr>
        <w:t>的</w:t>
      </w:r>
      <w:r>
        <w:rPr>
          <w:rFonts w:hint="eastAsia" w:ascii="仿宋_GB2312" w:hAnsi="仿宋_GB2312" w:eastAsia="仿宋_GB2312" w:cs="仿宋_GB2312"/>
          <w:sz w:val="32"/>
          <w:szCs w:val="32"/>
        </w:rPr>
        <w:t>问题，提出针对性建议</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为</w:t>
      </w:r>
      <w:r>
        <w:rPr>
          <w:rFonts w:hint="eastAsia" w:ascii="仿宋_GB2312" w:hAnsi="仿宋_GB2312" w:eastAsia="仿宋_GB2312" w:cs="仿宋_GB2312"/>
          <w:sz w:val="32"/>
          <w:szCs w:val="32"/>
          <w:lang w:val="en-US" w:eastAsia="zh-CN"/>
        </w:rPr>
        <w:t>后年度</w:t>
      </w:r>
      <w:r>
        <w:rPr>
          <w:rFonts w:hint="eastAsia" w:ascii="仿宋_GB2312" w:hAnsi="仿宋_GB2312" w:eastAsia="仿宋_GB2312" w:cs="仿宋_GB2312"/>
          <w:sz w:val="32"/>
          <w:szCs w:val="32"/>
          <w:highlight w:val="none"/>
          <w:lang w:val="en-US" w:eastAsia="zh-CN"/>
        </w:rPr>
        <w:t>专项</w:t>
      </w:r>
      <w:r>
        <w:rPr>
          <w:rFonts w:hint="eastAsia" w:ascii="仿宋_GB2312" w:hAnsi="仿宋_GB2312" w:eastAsia="仿宋_GB2312" w:cs="仿宋_GB2312"/>
          <w:sz w:val="32"/>
          <w:szCs w:val="32"/>
          <w:lang w:val="en-US" w:eastAsia="zh-CN"/>
        </w:rPr>
        <w:t>资金</w:t>
      </w:r>
      <w:r>
        <w:rPr>
          <w:rFonts w:hint="eastAsia" w:ascii="仿宋_GB2312" w:hAnsi="仿宋_GB2312" w:eastAsia="仿宋_GB2312" w:cs="仿宋_GB2312"/>
          <w:sz w:val="32"/>
          <w:szCs w:val="32"/>
          <w:lang w:eastAsia="zh-CN"/>
        </w:rPr>
        <w:t>项目的绩效</w:t>
      </w:r>
      <w:r>
        <w:rPr>
          <w:rFonts w:hint="eastAsia" w:ascii="仿宋_GB2312" w:hAnsi="仿宋_GB2312" w:eastAsia="仿宋_GB2312" w:cs="仿宋_GB2312"/>
          <w:sz w:val="32"/>
          <w:szCs w:val="32"/>
        </w:rPr>
        <w:t>管理提供参考依据。</w:t>
      </w:r>
    </w:p>
    <w:p>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r>
        <w:rPr>
          <w:rFonts w:hint="eastAsia" w:ascii="仿宋_GB2312" w:hAnsi="仿宋" w:eastAsia="仿宋_GB2312" w:cs="宋体"/>
          <w:b/>
          <w:bCs/>
          <w:sz w:val="32"/>
          <w:szCs w:val="32"/>
        </w:rPr>
        <w:t>（二）绩效评价工作</w:t>
      </w:r>
      <w:r>
        <w:rPr>
          <w:rFonts w:hint="eastAsia" w:ascii="仿宋_GB2312" w:hAnsi="仿宋" w:eastAsia="仿宋_GB2312" w:cs="宋体"/>
          <w:b/>
          <w:bCs/>
          <w:sz w:val="32"/>
          <w:szCs w:val="32"/>
          <w:lang w:val="en-US" w:eastAsia="zh-CN"/>
        </w:rPr>
        <w:t>的基本</w:t>
      </w:r>
      <w:r>
        <w:rPr>
          <w:rFonts w:hint="eastAsia" w:ascii="仿宋_GB2312" w:hAnsi="仿宋" w:eastAsia="仿宋_GB2312" w:cs="宋体"/>
          <w:b/>
          <w:bCs/>
          <w:sz w:val="32"/>
          <w:szCs w:val="32"/>
        </w:rPr>
        <w:t>思路</w:t>
      </w:r>
      <w:bookmarkEnd w:id="42"/>
      <w:bookmarkEnd w:id="43"/>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eastAsia="仿宋_GB2312" w:cs="宋体" w:hAnsiTheme="minorHAnsi"/>
          <w:color w:val="auto"/>
          <w:kern w:val="2"/>
          <w:sz w:val="32"/>
          <w:szCs w:val="32"/>
          <w:highlight w:val="none"/>
          <w:lang w:val="en-US" w:eastAsia="zh-CN" w:bidi="ar-SA"/>
        </w:rPr>
      </w:pPr>
      <w:bookmarkStart w:id="44" w:name="_Toc14072"/>
      <w:bookmarkStart w:id="45" w:name="_Toc27651416"/>
      <w:bookmarkStart w:id="46" w:name="_Toc7209"/>
      <w:bookmarkStart w:id="47" w:name="_Toc27648031"/>
      <w:bookmarkStart w:id="48" w:name="_Toc27493321"/>
      <w:r>
        <w:rPr>
          <w:rFonts w:hint="eastAsia" w:ascii="仿宋_GB2312" w:eastAsia="仿宋_GB2312" w:cs="宋体" w:hAnsiTheme="minorHAnsi"/>
          <w:color w:val="auto"/>
          <w:kern w:val="2"/>
          <w:sz w:val="32"/>
          <w:szCs w:val="32"/>
          <w:lang w:val="en-US" w:eastAsia="zh-CN" w:bidi="ar-SA"/>
        </w:rPr>
        <w:t>本次评价从项目决策（包括项目立项依据的充分性和立项程序的规范性、绩效目标的合理性和绩效指标的明确性、预算编制的科学性和资金分配的合理性）、项目过程（包括项目资金中的资金到位、预算执行、资金使用的合规性、管理制度的健全性和制度执行的有效性）、项目产出（包括项目产出中的产出数量、产出质量、产出时效、产出成本）和项目效益（包括项目效果中的经济效益、社会效益、生态效益、可持续影响、服务对象满意度）四个维度进</w:t>
      </w:r>
      <w:r>
        <w:rPr>
          <w:rFonts w:hint="eastAsia" w:ascii="仿宋_GB2312" w:eastAsia="仿宋_GB2312" w:cs="宋体" w:hAnsiTheme="minorHAnsi"/>
          <w:color w:val="auto"/>
          <w:kern w:val="2"/>
          <w:sz w:val="32"/>
          <w:szCs w:val="32"/>
          <w:highlight w:val="none"/>
          <w:lang w:val="en-US" w:eastAsia="zh-CN" w:bidi="ar-SA"/>
        </w:rPr>
        <w:t>行评价。评价对象为</w:t>
      </w:r>
      <w:r>
        <w:rPr>
          <w:rFonts w:hint="eastAsia" w:ascii="仿宋_GB2312" w:eastAsia="仿宋_GB2312" w:cs="宋体"/>
          <w:color w:val="auto"/>
          <w:kern w:val="2"/>
          <w:sz w:val="32"/>
          <w:szCs w:val="32"/>
          <w:highlight w:val="none"/>
          <w:lang w:val="en-US" w:eastAsia="zh-CN" w:bidi="ar-SA"/>
        </w:rPr>
        <w:t>中央专项资金</w:t>
      </w:r>
      <w:r>
        <w:rPr>
          <w:rFonts w:hint="eastAsia" w:ascii="仿宋_GB2312" w:eastAsia="仿宋_GB2312" w:cs="宋体" w:hAnsiTheme="minorHAnsi"/>
          <w:color w:val="auto"/>
          <w:kern w:val="2"/>
          <w:sz w:val="32"/>
          <w:szCs w:val="32"/>
          <w:highlight w:val="none"/>
          <w:lang w:val="en-US" w:eastAsia="zh-CN" w:bidi="ar-SA"/>
        </w:rPr>
        <w:t>，评价核心为专项资金的支出完成情况和效果。</w:t>
      </w:r>
      <w:bookmarkEnd w:id="44"/>
      <w:bookmarkEnd w:id="45"/>
      <w:bookmarkEnd w:id="46"/>
      <w:bookmarkEnd w:id="47"/>
      <w:bookmarkEnd w:id="48"/>
    </w:p>
    <w:p>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49" w:name="_Toc7962"/>
      <w:r>
        <w:rPr>
          <w:rFonts w:hint="eastAsia" w:ascii="仿宋_GB2312" w:hAnsi="仿宋" w:eastAsia="仿宋_GB2312" w:cs="宋体"/>
          <w:b/>
          <w:bCs/>
          <w:sz w:val="32"/>
          <w:szCs w:val="32"/>
        </w:rPr>
        <w:t>（三）评价原则</w:t>
      </w:r>
      <w:bookmarkEnd w:id="49"/>
    </w:p>
    <w:p>
      <w:pPr>
        <w:pStyle w:val="34"/>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rPr>
      </w:pPr>
      <w:bookmarkStart w:id="50" w:name="_Toc1742"/>
      <w:r>
        <w:rPr>
          <w:rFonts w:hint="eastAsia" w:ascii="仿宋_GB2312" w:hAnsi="仿宋_GB2312" w:eastAsia="仿宋_GB2312" w:cs="仿宋_GB2312"/>
          <w:sz w:val="32"/>
          <w:szCs w:val="32"/>
          <w:lang w:val="en-US" w:eastAsia="zh-CN"/>
        </w:rPr>
        <w:t>1.</w:t>
      </w:r>
      <w:r>
        <w:rPr>
          <w:rFonts w:hint="eastAsia" w:ascii="仿宋_GB2312" w:hAnsi="仿宋_GB2312" w:eastAsia="仿宋_GB2312" w:cs="仿宋_GB2312"/>
          <w:sz w:val="32"/>
          <w:szCs w:val="32"/>
        </w:rPr>
        <w:t>相关性原则。绩效评价指标与绩效目标有直接的联系，能够恰当反映目标的实现程度。</w:t>
      </w:r>
    </w:p>
    <w:p>
      <w:pPr>
        <w:pStyle w:val="34"/>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2.</w:t>
      </w:r>
      <w:r>
        <w:rPr>
          <w:rFonts w:hint="eastAsia" w:ascii="仿宋_GB2312" w:hAnsi="仿宋_GB2312" w:eastAsia="仿宋_GB2312" w:cs="仿宋_GB2312"/>
          <w:sz w:val="32"/>
          <w:szCs w:val="32"/>
        </w:rPr>
        <w:t>重要性原则。优先使用最具评价对象代表性、最能反映评价要求的核心指标。</w:t>
      </w:r>
    </w:p>
    <w:p>
      <w:pPr>
        <w:pStyle w:val="34"/>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3.</w:t>
      </w:r>
      <w:r>
        <w:rPr>
          <w:rFonts w:hint="eastAsia" w:ascii="仿宋_GB2312" w:hAnsi="仿宋_GB2312" w:eastAsia="仿宋_GB2312" w:cs="仿宋_GB2312"/>
          <w:sz w:val="32"/>
          <w:szCs w:val="32"/>
        </w:rPr>
        <w:t>可比性原则。对同类评价对象设定共性的绩效评价指标，以便于评价标准的规范和评价结果可相互比较。</w:t>
      </w:r>
    </w:p>
    <w:p>
      <w:pPr>
        <w:pStyle w:val="34"/>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4.</w:t>
      </w:r>
      <w:r>
        <w:rPr>
          <w:rFonts w:hint="eastAsia" w:ascii="仿宋_GB2312" w:hAnsi="仿宋_GB2312" w:eastAsia="仿宋_GB2312" w:cs="仿宋_GB2312"/>
          <w:sz w:val="32"/>
          <w:szCs w:val="32"/>
        </w:rPr>
        <w:t>系统性原则。将定量指标与定性指标相结合，定量指标量化，定性指标可衡量，系统反映财政支出所产生的社会效益</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经济效益、环境效益和可持续影响等。</w:t>
      </w:r>
    </w:p>
    <w:p>
      <w:pPr>
        <w:pStyle w:val="34"/>
        <w:keepNext w:val="0"/>
        <w:keepLines w:val="0"/>
        <w:pageBreakBefore w:val="0"/>
        <w:widowControl w:val="0"/>
        <w:kinsoku/>
        <w:wordWrap/>
        <w:overflowPunct/>
        <w:topLinePunct w:val="0"/>
        <w:autoSpaceDE/>
        <w:autoSpaceDN/>
        <w:bidi w:val="0"/>
        <w:adjustRightInd w:val="0"/>
        <w:snapToGrid w:val="0"/>
        <w:spacing w:line="560" w:lineRule="exact"/>
        <w:textAlignment w:val="auto"/>
        <w:outlineLvl w:val="1"/>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5.</w:t>
      </w:r>
      <w:r>
        <w:rPr>
          <w:rFonts w:hint="eastAsia" w:ascii="仿宋_GB2312" w:hAnsi="仿宋_GB2312" w:eastAsia="仿宋_GB2312" w:cs="仿宋_GB2312"/>
          <w:sz w:val="32"/>
          <w:szCs w:val="32"/>
        </w:rPr>
        <w:t>经济性原则。通俗易懂、简便易行，数据的获得考虑现实条件和可操作性，符合成本效益原则。</w:t>
      </w:r>
    </w:p>
    <w:p>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r>
        <w:rPr>
          <w:rFonts w:hint="eastAsia" w:ascii="仿宋_GB2312" w:hAnsi="仿宋" w:eastAsia="仿宋_GB2312" w:cs="宋体"/>
          <w:b/>
          <w:bCs/>
          <w:sz w:val="32"/>
          <w:szCs w:val="32"/>
        </w:rPr>
        <w:t>（四）评价方法</w:t>
      </w:r>
      <w:bookmarkEnd w:id="50"/>
    </w:p>
    <w:p>
      <w:pPr>
        <w:pStyle w:val="34"/>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lang w:val="en-US" w:eastAsia="zh-CN"/>
        </w:rPr>
      </w:pPr>
      <w:bookmarkStart w:id="51" w:name="_Toc16588"/>
      <w:r>
        <w:rPr>
          <w:rFonts w:hint="eastAsia" w:ascii="仿宋_GB2312" w:hAnsi="仿宋_GB2312" w:eastAsia="仿宋_GB2312" w:cs="仿宋_GB2312"/>
          <w:sz w:val="32"/>
          <w:szCs w:val="32"/>
          <w:lang w:val="en-US" w:eastAsia="zh-CN"/>
        </w:rPr>
        <w:t>本次绩效评价主要采用以下评价方法：</w:t>
      </w:r>
    </w:p>
    <w:p>
      <w:pPr>
        <w:pStyle w:val="34"/>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1.比较法，通过对绩效目标与实施效果、历史与当期情况、不同部门和地区同类支出的比较，综合分析绩效目标实现程度。</w:t>
      </w:r>
    </w:p>
    <w:p>
      <w:pPr>
        <w:pStyle w:val="34"/>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2.因素分析法，通过综合分析影响绩效目标实现、实施效果的内外因素，评价绩效目标实现程度。</w:t>
      </w:r>
    </w:p>
    <w:p>
      <w:pPr>
        <w:pStyle w:val="34"/>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3.公众评判法，通过专家评估、公众问卷及抽样调查等对财政支出效果进行评判，评价绩效目标实现程度。</w:t>
      </w:r>
    </w:p>
    <w:p>
      <w:pPr>
        <w:pStyle w:val="34"/>
        <w:numPr>
          <w:ilvl w:val="0"/>
          <w:numId w:val="8"/>
        </w:numPr>
        <w:adjustRightInd w:val="0"/>
        <w:snapToGrid w:val="0"/>
        <w:spacing w:line="560" w:lineRule="exact"/>
        <w:ind w:left="420" w:leftChars="200" w:firstLine="321" w:firstLineChars="100"/>
        <w:outlineLvl w:val="1"/>
        <w:rPr>
          <w:rFonts w:hint="eastAsia" w:ascii="仿宋_GB2312" w:hAnsi="仿宋" w:eastAsia="仿宋_GB2312" w:cs="宋体"/>
          <w:b/>
          <w:bCs/>
          <w:sz w:val="32"/>
          <w:szCs w:val="32"/>
        </w:rPr>
      </w:pPr>
      <w:r>
        <w:rPr>
          <w:rFonts w:hint="eastAsia" w:ascii="仿宋_GB2312" w:hAnsi="仿宋" w:eastAsia="仿宋_GB2312" w:cs="宋体"/>
          <w:b/>
          <w:bCs/>
          <w:sz w:val="32"/>
          <w:szCs w:val="32"/>
        </w:rPr>
        <w:t>指标体系</w:t>
      </w:r>
      <w:bookmarkEnd w:id="51"/>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bookmarkStart w:id="52" w:name="_Toc8115"/>
      <w:bookmarkStart w:id="53" w:name="_Toc986"/>
      <w:bookmarkStart w:id="54" w:name="_Toc22089"/>
      <w:bookmarkStart w:id="55" w:name="_Toc16677"/>
      <w:bookmarkStart w:id="56" w:name="_Toc10934"/>
      <w:bookmarkStart w:id="57" w:name="_Toc32612"/>
      <w:bookmarkStart w:id="58" w:name="_Toc31692"/>
      <w:bookmarkStart w:id="59" w:name="_Toc16367"/>
      <w:r>
        <w:rPr>
          <w:rFonts w:hint="eastAsia" w:ascii="仿宋_GB2312" w:hAnsi="仿宋_GB2312" w:eastAsia="仿宋_GB2312" w:cs="仿宋_GB2312"/>
          <w:sz w:val="32"/>
          <w:szCs w:val="32"/>
          <w:highlight w:val="none"/>
          <w:lang w:val="en-US" w:eastAsia="zh-CN"/>
        </w:rPr>
        <w:t>根据财政部颁发的《项目支出绩效评价管理办法》（财预〔2020〕10号）等相关文件精神，结合重点项目特点，在与专家组、项目单位充分协商的基础上，评价工作组细化了该专项的绩效评价指标体系，详见附件一。</w:t>
      </w:r>
      <w:bookmarkEnd w:id="52"/>
      <w:bookmarkEnd w:id="53"/>
      <w:bookmarkEnd w:id="54"/>
      <w:bookmarkEnd w:id="55"/>
      <w:bookmarkEnd w:id="56"/>
      <w:bookmarkEnd w:id="57"/>
    </w:p>
    <w:p>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r>
        <w:rPr>
          <w:rFonts w:hint="eastAsia" w:ascii="仿宋_GB2312" w:hAnsi="仿宋" w:eastAsia="仿宋_GB2312" w:cs="宋体"/>
          <w:b/>
          <w:bCs/>
          <w:sz w:val="32"/>
          <w:szCs w:val="32"/>
        </w:rPr>
        <w:t>（六）评价等级划分</w:t>
      </w:r>
      <w:bookmarkEnd w:id="58"/>
      <w:bookmarkEnd w:id="59"/>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根据财政部颁发的《项目支出绩效评价管理办法》（财预〔2020〕10号）等相关文件精神，本次绩效评价结果主要采取评分和评级相结合的方式，具体分值和等级可根据不同评价的内容设定。总分一般设置为100分，其中项目决策20分、项目过程20分、项目产出30分、项目绩效30分。评价结果分为优、良、中、差四个等级：</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优（90分（含）—100分）；</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良（80分（含）—90分）；</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中（60分（含）—80分）；</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差（0分—60分）。</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highlight w:val="none"/>
          <w:lang w:val="en-US" w:eastAsia="zh-CN"/>
        </w:rPr>
        <w:t>对在项目进行绩效评价的过程中，如果实施单位有弄虚作假、瞒报谎报情况之行为，绩效评价组将如实上报至洛浦县林业和草原局、洛浦县财政局，并予以通报批评；情节严重的，绩效评价结果将直接判定为不合格等级。</w:t>
      </w:r>
    </w:p>
    <w:p>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60" w:name="_Toc24267"/>
      <w:r>
        <w:rPr>
          <w:rFonts w:hint="eastAsia" w:ascii="仿宋_GB2312" w:hAnsi="仿宋" w:eastAsia="仿宋_GB2312" w:cs="宋体"/>
          <w:b/>
          <w:bCs/>
          <w:sz w:val="32"/>
          <w:szCs w:val="32"/>
        </w:rPr>
        <w:t>（七）评价工作实施情况</w:t>
      </w:r>
      <w:bookmarkEnd w:id="60"/>
    </w:p>
    <w:p>
      <w:pPr>
        <w:pStyle w:val="34"/>
        <w:tabs>
          <w:tab w:val="left" w:pos="1559"/>
        </w:tabs>
        <w:adjustRightInd w:val="0"/>
        <w:snapToGrid w:val="0"/>
        <w:spacing w:line="560" w:lineRule="exact"/>
        <w:ind w:firstLine="640"/>
        <w:outlineLvl w:val="2"/>
        <w:rPr>
          <w:rFonts w:ascii="楷体" w:hAnsi="楷体" w:eastAsia="楷体" w:cs="楷体"/>
          <w:bCs/>
          <w:sz w:val="32"/>
          <w:szCs w:val="32"/>
        </w:rPr>
      </w:pPr>
      <w:bookmarkStart w:id="61" w:name="_Toc12973"/>
      <w:bookmarkStart w:id="62" w:name="_Toc8898"/>
      <w:r>
        <w:rPr>
          <w:rFonts w:hint="eastAsia" w:ascii="楷体" w:hAnsi="楷体" w:eastAsia="楷体" w:cs="楷体"/>
          <w:bCs/>
          <w:sz w:val="32"/>
          <w:szCs w:val="32"/>
        </w:rPr>
        <w:t>1.评价工作程序和时间安排</w:t>
      </w:r>
      <w:bookmarkEnd w:id="61"/>
      <w:bookmarkEnd w:id="62"/>
    </w:p>
    <w:p>
      <w:pPr>
        <w:adjustRightInd w:val="0"/>
        <w:snapToGrid w:val="0"/>
        <w:spacing w:line="560" w:lineRule="exact"/>
        <w:ind w:firstLine="640" w:firstLineChars="200"/>
        <w:rPr>
          <w:rFonts w:ascii="Times New Roman" w:hAnsi="Times New Roman" w:eastAsia="仿宋" w:cs="Times New Roman"/>
          <w:sz w:val="32"/>
          <w:szCs w:val="32"/>
        </w:rPr>
      </w:pPr>
      <w:r>
        <w:rPr>
          <w:rFonts w:hint="eastAsia" w:ascii="仿宋_GB2312" w:hAnsi="仿宋_GB2312" w:eastAsia="仿宋_GB2312" w:cs="仿宋_GB2312"/>
          <w:sz w:val="32"/>
          <w:szCs w:val="32"/>
          <w:highlight w:val="none"/>
          <w:lang w:val="en-US" w:eastAsia="zh-CN"/>
        </w:rPr>
        <w:t>本次绩效评价各阶段具体工作内容及时间进度安排详见</w:t>
      </w:r>
      <w:r>
        <w:rPr>
          <w:rFonts w:hint="eastAsia" w:ascii="仿宋" w:hAnsi="仿宋" w:eastAsia="仿宋" w:cs="仿宋"/>
          <w:sz w:val="32"/>
          <w:szCs w:val="32"/>
        </w:rPr>
        <w:t>下表：</w:t>
      </w:r>
    </w:p>
    <w:p>
      <w:pPr>
        <w:spacing w:after="156" w:afterLines="50" w:line="560" w:lineRule="exact"/>
        <w:jc w:val="center"/>
        <w:rPr>
          <w:rFonts w:ascii="Times New Roman" w:hAnsi="Times New Roman" w:eastAsia="黑体" w:cs="Times New Roman"/>
          <w:sz w:val="32"/>
          <w:szCs w:val="32"/>
          <w:highlight w:val="none"/>
        </w:rPr>
      </w:pPr>
      <w:bookmarkStart w:id="63" w:name="_Toc3615"/>
      <w:bookmarkStart w:id="64" w:name="_Toc28992"/>
      <w:r>
        <w:rPr>
          <w:rFonts w:ascii="Times New Roman" w:hAnsi="Times New Roman" w:eastAsia="黑体" w:cs="Times New Roman"/>
          <w:sz w:val="32"/>
          <w:szCs w:val="32"/>
          <w:highlight w:val="none"/>
        </w:rPr>
        <w:t>绩效评价工作程序和时间安排表</w:t>
      </w:r>
    </w:p>
    <w:tbl>
      <w:tblPr>
        <w:tblStyle w:val="20"/>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8"/>
        <w:gridCol w:w="534"/>
        <w:gridCol w:w="4293"/>
        <w:gridCol w:w="1814"/>
        <w:gridCol w:w="11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4" w:hRule="atLeast"/>
          <w:jc w:val="center"/>
        </w:trPr>
        <w:tc>
          <w:tcPr>
            <w:tcW w:w="688" w:type="dxa"/>
            <w:shd w:val="clear" w:color="auto" w:fill="C0C0C0"/>
            <w:vAlign w:val="center"/>
          </w:tcPr>
          <w:p>
            <w:pPr>
              <w:adjustRightInd w:val="0"/>
              <w:snapToGrid w:val="0"/>
              <w:jc w:val="distribute"/>
              <w:rPr>
                <w:rFonts w:hint="eastAsia" w:ascii="仿宋" w:hAnsi="仿宋" w:eastAsia="仿宋" w:cs="仿宋"/>
                <w:b/>
                <w:bCs/>
                <w:sz w:val="20"/>
                <w:szCs w:val="20"/>
              </w:rPr>
            </w:pPr>
            <w:r>
              <w:rPr>
                <w:rFonts w:hint="eastAsia" w:ascii="仿宋" w:hAnsi="仿宋" w:eastAsia="仿宋" w:cs="仿宋"/>
                <w:b/>
                <w:bCs/>
                <w:sz w:val="20"/>
                <w:szCs w:val="20"/>
              </w:rPr>
              <w:t>阶段</w:t>
            </w:r>
          </w:p>
          <w:p>
            <w:pPr>
              <w:adjustRightInd w:val="0"/>
              <w:snapToGrid w:val="0"/>
              <w:jc w:val="distribute"/>
              <w:rPr>
                <w:rFonts w:hint="eastAsia" w:ascii="仿宋" w:hAnsi="仿宋" w:eastAsia="仿宋" w:cs="仿宋"/>
                <w:b/>
                <w:bCs/>
                <w:sz w:val="20"/>
                <w:szCs w:val="20"/>
              </w:rPr>
            </w:pPr>
            <w:r>
              <w:rPr>
                <w:rFonts w:hint="eastAsia" w:ascii="仿宋" w:hAnsi="仿宋" w:eastAsia="仿宋" w:cs="仿宋"/>
                <w:b/>
                <w:bCs/>
                <w:sz w:val="20"/>
                <w:szCs w:val="20"/>
              </w:rPr>
              <w:t>安排</w:t>
            </w:r>
          </w:p>
        </w:tc>
        <w:tc>
          <w:tcPr>
            <w:tcW w:w="4827" w:type="dxa"/>
            <w:gridSpan w:val="2"/>
            <w:shd w:val="clear" w:color="auto" w:fill="C0C0C0"/>
            <w:vAlign w:val="center"/>
          </w:tcPr>
          <w:p>
            <w:pPr>
              <w:adjustRightInd w:val="0"/>
              <w:snapToGrid w:val="0"/>
              <w:jc w:val="center"/>
              <w:rPr>
                <w:rFonts w:hint="eastAsia" w:ascii="仿宋" w:hAnsi="仿宋" w:eastAsia="仿宋" w:cs="仿宋"/>
                <w:b/>
                <w:bCs/>
                <w:sz w:val="20"/>
                <w:szCs w:val="20"/>
              </w:rPr>
            </w:pPr>
            <w:r>
              <w:rPr>
                <w:rFonts w:hint="eastAsia" w:ascii="仿宋" w:hAnsi="仿宋" w:eastAsia="仿宋" w:cs="仿宋"/>
                <w:b/>
                <w:bCs/>
                <w:sz w:val="20"/>
                <w:szCs w:val="20"/>
              </w:rPr>
              <w:t>工作内容</w:t>
            </w:r>
          </w:p>
        </w:tc>
        <w:tc>
          <w:tcPr>
            <w:tcW w:w="1814" w:type="dxa"/>
            <w:shd w:val="clear" w:color="auto" w:fill="C0C0C0"/>
            <w:vAlign w:val="center"/>
          </w:tcPr>
          <w:p>
            <w:pPr>
              <w:adjustRightInd w:val="0"/>
              <w:snapToGrid w:val="0"/>
              <w:jc w:val="center"/>
              <w:rPr>
                <w:rFonts w:hint="eastAsia" w:ascii="仿宋" w:hAnsi="仿宋" w:eastAsia="仿宋" w:cs="仿宋"/>
                <w:b/>
                <w:bCs/>
                <w:sz w:val="20"/>
                <w:szCs w:val="20"/>
              </w:rPr>
            </w:pPr>
            <w:r>
              <w:rPr>
                <w:rFonts w:hint="eastAsia" w:ascii="仿宋" w:hAnsi="仿宋" w:eastAsia="仿宋" w:cs="仿宋"/>
                <w:b/>
                <w:bCs/>
                <w:sz w:val="20"/>
                <w:szCs w:val="20"/>
              </w:rPr>
              <w:t>进度安排</w:t>
            </w:r>
          </w:p>
        </w:tc>
        <w:tc>
          <w:tcPr>
            <w:tcW w:w="1175" w:type="dxa"/>
            <w:shd w:val="clear" w:color="auto" w:fill="C0C0C0"/>
            <w:vAlign w:val="center"/>
          </w:tcPr>
          <w:p>
            <w:pPr>
              <w:adjustRightInd w:val="0"/>
              <w:snapToGrid w:val="0"/>
              <w:jc w:val="center"/>
              <w:rPr>
                <w:rFonts w:hint="eastAsia" w:ascii="仿宋" w:hAnsi="仿宋" w:eastAsia="仿宋" w:cs="仿宋"/>
                <w:b/>
                <w:bCs/>
                <w:sz w:val="20"/>
                <w:szCs w:val="20"/>
              </w:rPr>
            </w:pPr>
            <w:r>
              <w:rPr>
                <w:rFonts w:hint="eastAsia" w:ascii="仿宋" w:hAnsi="仿宋" w:eastAsia="仿宋" w:cs="仿宋"/>
                <w:b/>
                <w:bCs/>
                <w:sz w:val="20"/>
                <w:szCs w:val="20"/>
              </w:rPr>
              <w:t>参与方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8" w:hRule="atLeast"/>
          <w:jc w:val="center"/>
        </w:trPr>
        <w:tc>
          <w:tcPr>
            <w:tcW w:w="688" w:type="dxa"/>
            <w:vMerge w:val="restart"/>
            <w:shd w:val="clear" w:color="auto" w:fill="auto"/>
            <w:vAlign w:val="center"/>
          </w:tcPr>
          <w:p>
            <w:pPr>
              <w:adjustRightInd w:val="0"/>
              <w:snapToGrid w:val="0"/>
              <w:jc w:val="center"/>
              <w:rPr>
                <w:rFonts w:hint="eastAsia" w:ascii="仿宋" w:hAnsi="仿宋" w:eastAsia="仿宋" w:cs="仿宋"/>
                <w:b/>
                <w:bCs/>
                <w:sz w:val="20"/>
                <w:szCs w:val="20"/>
              </w:rPr>
            </w:pPr>
            <w:r>
              <w:rPr>
                <w:rFonts w:hint="eastAsia" w:ascii="Times New Roman" w:hAnsi="Times New Roman" w:eastAsia="仿宋_GB2312" w:cs="仿宋"/>
                <w:b/>
                <w:bCs/>
                <w:spacing w:val="40"/>
                <w:sz w:val="20"/>
                <w:szCs w:val="20"/>
              </w:rPr>
              <w:t>评价准备阶段</w:t>
            </w:r>
          </w:p>
        </w:tc>
        <w:tc>
          <w:tcPr>
            <w:tcW w:w="4827" w:type="dxa"/>
            <w:gridSpan w:val="2"/>
            <w:shd w:val="clear" w:color="auto" w:fill="auto"/>
            <w:vAlign w:val="center"/>
          </w:tcPr>
          <w:p>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sz w:val="20"/>
                <w:szCs w:val="20"/>
              </w:rPr>
              <w:t>制定《项目实施工作方案》，收集并研究分析项目政策资料，编制指标评价体系和资料清单，并发送被评价单位准备资料。</w:t>
            </w:r>
          </w:p>
        </w:tc>
        <w:tc>
          <w:tcPr>
            <w:tcW w:w="1814" w:type="dxa"/>
            <w:shd w:val="clear" w:color="auto" w:fill="auto"/>
            <w:vAlign w:val="center"/>
          </w:tcPr>
          <w:p>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03</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01</w:t>
            </w:r>
            <w:r>
              <w:rPr>
                <w:rFonts w:hint="eastAsia" w:ascii="Times New Roman" w:hAnsi="Times New Roman" w:eastAsia="仿宋_GB2312" w:cs="仿宋"/>
                <w:sz w:val="20"/>
                <w:szCs w:val="20"/>
              </w:rPr>
              <w:t>日</w:t>
            </w:r>
          </w:p>
        </w:tc>
        <w:tc>
          <w:tcPr>
            <w:tcW w:w="1175" w:type="dxa"/>
            <w:shd w:val="clear" w:color="auto" w:fill="auto"/>
            <w:vAlign w:val="center"/>
          </w:tcPr>
          <w:p>
            <w:pPr>
              <w:adjustRightInd w:val="0"/>
              <w:snapToGrid w:val="0"/>
              <w:jc w:val="center"/>
              <w:rPr>
                <w:rFonts w:hint="eastAsia" w:ascii="仿宋" w:hAnsi="仿宋" w:eastAsia="仿宋" w:cs="仿宋"/>
                <w:b/>
                <w:bCs/>
                <w:sz w:val="20"/>
                <w:szCs w:val="20"/>
              </w:rPr>
            </w:pPr>
            <w:r>
              <w:rPr>
                <w:rFonts w:hint="eastAsia" w:ascii="Times New Roman" w:hAnsi="Times New Roman" w:eastAsia="仿宋_GB2312" w:cs="仿宋"/>
                <w:sz w:val="20"/>
                <w:szCs w:val="20"/>
              </w:rPr>
              <w:t>评价机构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3" w:hRule="atLeast"/>
          <w:jc w:val="center"/>
        </w:trPr>
        <w:tc>
          <w:tcPr>
            <w:tcW w:w="688" w:type="dxa"/>
            <w:vMerge w:val="continue"/>
            <w:shd w:val="clear" w:color="auto" w:fill="auto"/>
            <w:vAlign w:val="center"/>
          </w:tcPr>
          <w:p>
            <w:pPr>
              <w:adjustRightInd w:val="0"/>
              <w:snapToGrid w:val="0"/>
              <w:ind w:firstLine="560" w:firstLineChars="200"/>
              <w:jc w:val="center"/>
              <w:rPr>
                <w:rFonts w:hint="eastAsia" w:ascii="仿宋" w:hAnsi="仿宋" w:eastAsia="仿宋" w:cs="仿宋"/>
                <w:spacing w:val="40"/>
                <w:sz w:val="20"/>
                <w:szCs w:val="20"/>
              </w:rPr>
            </w:pPr>
          </w:p>
        </w:tc>
        <w:tc>
          <w:tcPr>
            <w:tcW w:w="534" w:type="dxa"/>
            <w:vMerge w:val="restart"/>
            <w:shd w:val="clear" w:color="auto" w:fill="auto"/>
            <w:vAlign w:val="center"/>
          </w:tcPr>
          <w:p>
            <w:pPr>
              <w:adjustRightInd w:val="0"/>
              <w:snapToGrid w:val="0"/>
              <w:jc w:val="left"/>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编写相关文本</w:t>
            </w:r>
          </w:p>
          <w:p>
            <w:pPr>
              <w:adjustRightInd w:val="0"/>
              <w:snapToGrid w:val="0"/>
              <w:jc w:val="left"/>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w:t>
            </w:r>
          </w:p>
          <w:p>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b/>
                <w:bCs/>
                <w:sz w:val="20"/>
                <w:szCs w:val="20"/>
              </w:rPr>
              <w:t>准备资料</w:t>
            </w:r>
          </w:p>
        </w:tc>
        <w:tc>
          <w:tcPr>
            <w:tcW w:w="4293" w:type="dxa"/>
            <w:shd w:val="clear" w:color="auto" w:fill="auto"/>
            <w:vAlign w:val="center"/>
          </w:tcPr>
          <w:p>
            <w:pPr>
              <w:adjustRightInd w:val="0"/>
              <w:snapToGrid w:val="0"/>
              <w:jc w:val="left"/>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首轮提交文本及资料：</w:t>
            </w:r>
          </w:p>
          <w:p>
            <w:pPr>
              <w:adjustRightInd w:val="0"/>
              <w:snapToGrid w:val="0"/>
              <w:jc w:val="left"/>
              <w:rPr>
                <w:rFonts w:hint="eastAsia" w:ascii="Times New Roman" w:hAnsi="Times New Roman" w:eastAsia="仿宋_GB2312" w:cs="仿宋"/>
                <w:sz w:val="20"/>
                <w:szCs w:val="20"/>
              </w:rPr>
            </w:pPr>
            <w:r>
              <w:rPr>
                <w:rFonts w:hint="eastAsia" w:ascii="Times New Roman" w:hAnsi="Times New Roman" w:eastAsia="仿宋_GB2312" w:cs="仿宋"/>
                <w:sz w:val="20"/>
                <w:szCs w:val="20"/>
              </w:rPr>
              <w:t>1.项目单位提交自评绩效报告；</w:t>
            </w:r>
          </w:p>
          <w:p>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sz w:val="20"/>
                <w:szCs w:val="20"/>
              </w:rPr>
              <w:t>2.项目单位按照资料清单要求准备相关资料，提交评价工作组。</w:t>
            </w:r>
          </w:p>
        </w:tc>
        <w:tc>
          <w:tcPr>
            <w:tcW w:w="1814" w:type="dxa"/>
            <w:shd w:val="clear" w:color="auto" w:fill="auto"/>
            <w:vAlign w:val="center"/>
          </w:tcPr>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03</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13</w:t>
            </w:r>
            <w:r>
              <w:rPr>
                <w:rFonts w:hint="eastAsia" w:ascii="Times New Roman" w:hAnsi="Times New Roman" w:eastAsia="仿宋_GB2312" w:cs="仿宋"/>
                <w:sz w:val="20"/>
                <w:szCs w:val="20"/>
              </w:rPr>
              <w:t>日</w:t>
            </w:r>
          </w:p>
        </w:tc>
        <w:tc>
          <w:tcPr>
            <w:tcW w:w="1175" w:type="dxa"/>
            <w:vMerge w:val="restart"/>
            <w:shd w:val="clear" w:color="auto" w:fill="auto"/>
            <w:vAlign w:val="center"/>
          </w:tcPr>
          <w:p>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评价机构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0" w:hRule="atLeast"/>
          <w:jc w:val="center"/>
        </w:trPr>
        <w:tc>
          <w:tcPr>
            <w:tcW w:w="688" w:type="dxa"/>
            <w:vMerge w:val="continue"/>
            <w:shd w:val="clear" w:color="auto" w:fill="auto"/>
            <w:vAlign w:val="center"/>
          </w:tcPr>
          <w:p>
            <w:pPr>
              <w:adjustRightInd w:val="0"/>
              <w:snapToGrid w:val="0"/>
              <w:ind w:firstLine="560" w:firstLineChars="200"/>
              <w:jc w:val="center"/>
              <w:rPr>
                <w:rFonts w:hint="eastAsia" w:ascii="仿宋" w:hAnsi="仿宋" w:eastAsia="仿宋" w:cs="仿宋"/>
                <w:spacing w:val="40"/>
                <w:sz w:val="20"/>
                <w:szCs w:val="20"/>
              </w:rPr>
            </w:pPr>
          </w:p>
        </w:tc>
        <w:tc>
          <w:tcPr>
            <w:tcW w:w="534" w:type="dxa"/>
            <w:vMerge w:val="continue"/>
            <w:shd w:val="clear" w:color="auto" w:fill="auto"/>
            <w:vAlign w:val="center"/>
          </w:tcPr>
          <w:p>
            <w:pPr>
              <w:adjustRightInd w:val="0"/>
              <w:snapToGrid w:val="0"/>
              <w:jc w:val="left"/>
              <w:rPr>
                <w:rFonts w:hint="eastAsia" w:ascii="仿宋" w:hAnsi="仿宋" w:eastAsia="仿宋" w:cs="仿宋"/>
                <w:sz w:val="20"/>
                <w:szCs w:val="20"/>
              </w:rPr>
            </w:pPr>
          </w:p>
        </w:tc>
        <w:tc>
          <w:tcPr>
            <w:tcW w:w="4293" w:type="dxa"/>
            <w:tcBorders>
              <w:bottom w:val="single" w:color="auto" w:sz="4" w:space="0"/>
            </w:tcBorders>
            <w:shd w:val="clear" w:color="auto" w:fill="auto"/>
            <w:vAlign w:val="center"/>
          </w:tcPr>
          <w:p>
            <w:pPr>
              <w:adjustRightInd w:val="0"/>
              <w:snapToGrid w:val="0"/>
              <w:jc w:val="left"/>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修改文本及补充资料：</w:t>
            </w:r>
          </w:p>
          <w:p>
            <w:pPr>
              <w:adjustRightInd w:val="0"/>
              <w:snapToGrid w:val="0"/>
              <w:jc w:val="left"/>
              <w:rPr>
                <w:rFonts w:hint="eastAsia" w:ascii="Times New Roman" w:hAnsi="Times New Roman" w:eastAsia="仿宋_GB2312" w:cs="仿宋"/>
                <w:sz w:val="20"/>
                <w:szCs w:val="20"/>
              </w:rPr>
            </w:pPr>
            <w:r>
              <w:rPr>
                <w:rFonts w:hint="eastAsia" w:ascii="Times New Roman" w:hAnsi="Times New Roman" w:eastAsia="仿宋_GB2312" w:cs="仿宋"/>
                <w:sz w:val="20"/>
                <w:szCs w:val="20"/>
              </w:rPr>
              <w:t>1.评价工作组提出绩效报告修改意见，并反馈项目单位进行修改；</w:t>
            </w:r>
          </w:p>
          <w:p>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sz w:val="20"/>
                <w:szCs w:val="20"/>
              </w:rPr>
              <w:t>2.评价工作组对资料进行审核，提出补充修改意见。</w:t>
            </w:r>
          </w:p>
        </w:tc>
        <w:tc>
          <w:tcPr>
            <w:tcW w:w="1814" w:type="dxa"/>
            <w:tcBorders>
              <w:bottom w:val="single" w:color="auto" w:sz="4" w:space="0"/>
            </w:tcBorders>
            <w:shd w:val="clear" w:color="auto" w:fill="auto"/>
            <w:vAlign w:val="center"/>
          </w:tcPr>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03</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20</w:t>
            </w:r>
            <w:r>
              <w:rPr>
                <w:rFonts w:hint="eastAsia" w:ascii="Times New Roman" w:hAnsi="Times New Roman" w:eastAsia="仿宋_GB2312" w:cs="仿宋"/>
                <w:sz w:val="20"/>
                <w:szCs w:val="20"/>
              </w:rPr>
              <w:t>日</w:t>
            </w:r>
          </w:p>
        </w:tc>
        <w:tc>
          <w:tcPr>
            <w:tcW w:w="1175" w:type="dxa"/>
            <w:vMerge w:val="continue"/>
            <w:shd w:val="clear" w:color="auto" w:fill="auto"/>
            <w:vAlign w:val="center"/>
          </w:tcPr>
          <w:p>
            <w:pPr>
              <w:adjustRightInd w:val="0"/>
              <w:snapToGrid w:val="0"/>
              <w:jc w:val="center"/>
              <w:rPr>
                <w:rFonts w:hint="eastAsia" w:ascii="仿宋" w:hAnsi="仿宋" w:eastAsia="仿宋" w:cs="仿宋"/>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97" w:hRule="atLeast"/>
          <w:jc w:val="center"/>
        </w:trPr>
        <w:tc>
          <w:tcPr>
            <w:tcW w:w="688" w:type="dxa"/>
            <w:vMerge w:val="continue"/>
            <w:shd w:val="clear" w:color="auto" w:fill="auto"/>
            <w:vAlign w:val="center"/>
          </w:tcPr>
          <w:p>
            <w:pPr>
              <w:adjustRightInd w:val="0"/>
              <w:snapToGrid w:val="0"/>
              <w:ind w:firstLine="560" w:firstLineChars="200"/>
              <w:jc w:val="center"/>
              <w:rPr>
                <w:rFonts w:hint="eastAsia" w:ascii="仿宋" w:hAnsi="仿宋" w:eastAsia="仿宋" w:cs="仿宋"/>
                <w:spacing w:val="40"/>
                <w:sz w:val="20"/>
                <w:szCs w:val="20"/>
              </w:rPr>
            </w:pPr>
          </w:p>
        </w:tc>
        <w:tc>
          <w:tcPr>
            <w:tcW w:w="534" w:type="dxa"/>
            <w:vMerge w:val="continue"/>
            <w:shd w:val="clear" w:color="auto" w:fill="auto"/>
            <w:vAlign w:val="center"/>
          </w:tcPr>
          <w:p>
            <w:pPr>
              <w:adjustRightInd w:val="0"/>
              <w:snapToGrid w:val="0"/>
              <w:spacing w:after="120"/>
              <w:jc w:val="left"/>
              <w:rPr>
                <w:rFonts w:hint="eastAsia" w:ascii="仿宋" w:hAnsi="仿宋" w:eastAsia="仿宋" w:cs="仿宋"/>
                <w:b/>
                <w:bCs/>
                <w:sz w:val="20"/>
                <w:szCs w:val="20"/>
              </w:rPr>
            </w:pPr>
          </w:p>
        </w:tc>
        <w:tc>
          <w:tcPr>
            <w:tcW w:w="4293" w:type="dxa"/>
            <w:shd w:val="clear" w:color="auto" w:fill="auto"/>
            <w:vAlign w:val="center"/>
          </w:tcPr>
          <w:p>
            <w:pPr>
              <w:adjustRightInd w:val="0"/>
              <w:snapToGrid w:val="0"/>
              <w:jc w:val="left"/>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确定终版文本及资料：</w:t>
            </w:r>
          </w:p>
          <w:p>
            <w:pPr>
              <w:adjustRightInd w:val="0"/>
              <w:snapToGrid w:val="0"/>
              <w:jc w:val="left"/>
              <w:rPr>
                <w:rFonts w:hint="eastAsia" w:ascii="Times New Roman" w:hAnsi="Times New Roman" w:eastAsia="仿宋_GB2312" w:cs="仿宋"/>
                <w:sz w:val="20"/>
                <w:szCs w:val="20"/>
              </w:rPr>
            </w:pPr>
            <w:r>
              <w:rPr>
                <w:rFonts w:hint="eastAsia" w:ascii="Times New Roman" w:hAnsi="Times New Roman" w:eastAsia="仿宋_GB2312" w:cs="仿宋"/>
                <w:sz w:val="20"/>
                <w:szCs w:val="20"/>
              </w:rPr>
              <w:t>1.评价工作组再次审核绩效报告，项目单位参照修改意见进行修改并定稿；</w:t>
            </w:r>
          </w:p>
          <w:p>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sz w:val="20"/>
                <w:szCs w:val="20"/>
              </w:rPr>
              <w:t>2.项目单位按照补充修改意见完善资料，并将终版资料提交评价工作组，并签署资料确认单。</w:t>
            </w:r>
          </w:p>
        </w:tc>
        <w:tc>
          <w:tcPr>
            <w:tcW w:w="1814" w:type="dxa"/>
            <w:shd w:val="clear" w:color="auto" w:fill="auto"/>
            <w:vAlign w:val="center"/>
          </w:tcPr>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03</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22</w:t>
            </w:r>
            <w:r>
              <w:rPr>
                <w:rFonts w:hint="eastAsia" w:ascii="Times New Roman" w:hAnsi="Times New Roman" w:eastAsia="仿宋_GB2312" w:cs="仿宋"/>
                <w:sz w:val="20"/>
                <w:szCs w:val="20"/>
              </w:rPr>
              <w:t>日</w:t>
            </w:r>
          </w:p>
        </w:tc>
        <w:tc>
          <w:tcPr>
            <w:tcW w:w="1175" w:type="dxa"/>
            <w:vMerge w:val="continue"/>
            <w:shd w:val="clear" w:color="auto" w:fill="auto"/>
            <w:vAlign w:val="center"/>
          </w:tcPr>
          <w:p>
            <w:pPr>
              <w:adjustRightInd w:val="0"/>
              <w:snapToGrid w:val="0"/>
              <w:jc w:val="center"/>
              <w:rPr>
                <w:rFonts w:hint="eastAsia" w:ascii="仿宋" w:hAnsi="仿宋" w:eastAsia="仿宋" w:cs="仿宋"/>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08" w:hRule="atLeast"/>
          <w:jc w:val="center"/>
        </w:trPr>
        <w:tc>
          <w:tcPr>
            <w:tcW w:w="688" w:type="dxa"/>
            <w:vMerge w:val="continue"/>
            <w:shd w:val="clear" w:color="auto" w:fill="auto"/>
            <w:textDirection w:val="tbRlV"/>
            <w:vAlign w:val="center"/>
          </w:tcPr>
          <w:p>
            <w:pPr>
              <w:adjustRightInd w:val="0"/>
              <w:snapToGrid w:val="0"/>
              <w:ind w:firstLine="560" w:firstLineChars="200"/>
              <w:jc w:val="center"/>
              <w:rPr>
                <w:rFonts w:hint="eastAsia" w:ascii="仿宋" w:hAnsi="仿宋" w:eastAsia="仿宋" w:cs="仿宋"/>
                <w:spacing w:val="40"/>
                <w:sz w:val="20"/>
                <w:szCs w:val="20"/>
              </w:rPr>
            </w:pPr>
          </w:p>
        </w:tc>
        <w:tc>
          <w:tcPr>
            <w:tcW w:w="4827" w:type="dxa"/>
            <w:gridSpan w:val="2"/>
            <w:shd w:val="clear" w:color="auto" w:fill="auto"/>
            <w:vAlign w:val="center"/>
          </w:tcPr>
          <w:p>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b/>
                <w:bCs/>
                <w:sz w:val="20"/>
                <w:szCs w:val="20"/>
              </w:rPr>
              <w:t>整理、分析资料：</w:t>
            </w:r>
            <w:r>
              <w:rPr>
                <w:rFonts w:hint="eastAsia" w:ascii="Times New Roman" w:hAnsi="Times New Roman" w:eastAsia="仿宋_GB2312" w:cs="仿宋"/>
                <w:sz w:val="20"/>
                <w:szCs w:val="20"/>
              </w:rPr>
              <w:t>评价工作组对所收集资料进行整理、对资金支出情况进行分析，就有关问题与项目单位核实。</w:t>
            </w:r>
          </w:p>
        </w:tc>
        <w:tc>
          <w:tcPr>
            <w:tcW w:w="1814" w:type="dxa"/>
            <w:shd w:val="clear" w:color="auto" w:fill="auto"/>
            <w:vAlign w:val="center"/>
          </w:tcPr>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04</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3</w:t>
            </w:r>
            <w:r>
              <w:rPr>
                <w:rFonts w:hint="eastAsia" w:ascii="Times New Roman" w:hAnsi="Times New Roman" w:eastAsia="仿宋_GB2312" w:cs="仿宋"/>
                <w:sz w:val="20"/>
                <w:szCs w:val="20"/>
              </w:rPr>
              <w:t>日</w:t>
            </w:r>
          </w:p>
        </w:tc>
        <w:tc>
          <w:tcPr>
            <w:tcW w:w="1175" w:type="dxa"/>
            <w:shd w:val="clear" w:color="auto" w:fill="auto"/>
            <w:vAlign w:val="center"/>
          </w:tcPr>
          <w:p>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项目单位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10" w:hRule="atLeast"/>
          <w:jc w:val="center"/>
        </w:trPr>
        <w:tc>
          <w:tcPr>
            <w:tcW w:w="688" w:type="dxa"/>
            <w:vMerge w:val="continue"/>
            <w:shd w:val="clear" w:color="auto" w:fill="auto"/>
            <w:textDirection w:val="tbRlV"/>
            <w:vAlign w:val="center"/>
          </w:tcPr>
          <w:p>
            <w:pPr>
              <w:adjustRightInd w:val="0"/>
              <w:snapToGrid w:val="0"/>
              <w:ind w:left="113" w:leftChars="0" w:firstLine="560" w:firstLineChars="200"/>
              <w:jc w:val="center"/>
              <w:rPr>
                <w:rFonts w:hint="eastAsia" w:ascii="仿宋" w:hAnsi="仿宋" w:eastAsia="仿宋" w:cs="仿宋"/>
                <w:spacing w:val="40"/>
                <w:sz w:val="20"/>
                <w:szCs w:val="20"/>
              </w:rPr>
            </w:pPr>
          </w:p>
        </w:tc>
        <w:tc>
          <w:tcPr>
            <w:tcW w:w="4827" w:type="dxa"/>
            <w:gridSpan w:val="2"/>
            <w:tcBorders>
              <w:bottom w:val="single" w:color="auto" w:sz="4" w:space="0"/>
            </w:tcBorders>
            <w:shd w:val="clear" w:color="auto" w:fill="auto"/>
            <w:vAlign w:val="center"/>
          </w:tcPr>
          <w:p>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b/>
                <w:bCs/>
                <w:sz w:val="20"/>
                <w:szCs w:val="20"/>
              </w:rPr>
              <w:t>成立评价工作小组：</w:t>
            </w:r>
            <w:r>
              <w:rPr>
                <w:rFonts w:hint="eastAsia" w:ascii="Times New Roman" w:hAnsi="Times New Roman" w:eastAsia="仿宋_GB2312" w:cs="仿宋"/>
                <w:sz w:val="20"/>
                <w:szCs w:val="20"/>
              </w:rPr>
              <w:t>遴选相关业务、财务、管理等组成评价工作小组，并对小组成员进行培训。</w:t>
            </w:r>
          </w:p>
        </w:tc>
        <w:tc>
          <w:tcPr>
            <w:tcW w:w="1814" w:type="dxa"/>
            <w:tcBorders>
              <w:bottom w:val="single" w:color="auto" w:sz="4" w:space="0"/>
            </w:tcBorders>
            <w:shd w:val="clear" w:color="auto" w:fill="auto"/>
            <w:vAlign w:val="center"/>
          </w:tcPr>
          <w:p>
            <w:pPr>
              <w:adjustRightInd w:val="0"/>
              <w:snapToGrid w:val="0"/>
              <w:spacing w:before="120" w:after="12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04</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4</w:t>
            </w:r>
            <w:r>
              <w:rPr>
                <w:rFonts w:hint="eastAsia" w:ascii="Times New Roman" w:hAnsi="Times New Roman" w:eastAsia="仿宋_GB2312" w:cs="仿宋"/>
                <w:sz w:val="20"/>
                <w:szCs w:val="20"/>
              </w:rPr>
              <w:t>日</w:t>
            </w:r>
          </w:p>
        </w:tc>
        <w:tc>
          <w:tcPr>
            <w:tcW w:w="1175" w:type="dxa"/>
            <w:tcBorders>
              <w:bottom w:val="single" w:color="auto" w:sz="4" w:space="0"/>
            </w:tcBorders>
            <w:shd w:val="clear" w:color="auto" w:fill="auto"/>
            <w:vAlign w:val="center"/>
          </w:tcPr>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评价机构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04" w:hRule="atLeast"/>
          <w:jc w:val="center"/>
        </w:trPr>
        <w:tc>
          <w:tcPr>
            <w:tcW w:w="688" w:type="dxa"/>
            <w:vMerge w:val="restart"/>
            <w:shd w:val="clear" w:color="auto" w:fill="auto"/>
            <w:textDirection w:val="tbRlV"/>
            <w:vAlign w:val="center"/>
          </w:tcPr>
          <w:p>
            <w:pPr>
              <w:adjustRightInd w:val="0"/>
              <w:snapToGrid w:val="0"/>
              <w:ind w:firstLine="281" w:firstLineChars="100"/>
              <w:rPr>
                <w:rFonts w:hint="eastAsia" w:ascii="仿宋" w:hAnsi="仿宋" w:eastAsia="仿宋" w:cs="仿宋"/>
                <w:spacing w:val="40"/>
                <w:sz w:val="20"/>
                <w:szCs w:val="20"/>
              </w:rPr>
            </w:pPr>
            <w:r>
              <w:rPr>
                <w:rFonts w:hint="eastAsia" w:ascii="Times New Roman" w:hAnsi="Times New Roman" w:eastAsia="仿宋_GB2312" w:cs="仿宋"/>
                <w:b/>
                <w:bCs/>
                <w:spacing w:val="40"/>
                <w:sz w:val="20"/>
                <w:szCs w:val="20"/>
              </w:rPr>
              <w:t>评价实施阶段</w:t>
            </w:r>
          </w:p>
        </w:tc>
        <w:tc>
          <w:tcPr>
            <w:tcW w:w="4827" w:type="dxa"/>
            <w:gridSpan w:val="2"/>
            <w:tcBorders>
              <w:bottom w:val="single" w:color="auto" w:sz="4" w:space="0"/>
            </w:tcBorders>
            <w:shd w:val="clear" w:color="auto" w:fill="auto"/>
            <w:vAlign w:val="center"/>
          </w:tcPr>
          <w:p>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b/>
                <w:bCs/>
                <w:sz w:val="20"/>
                <w:szCs w:val="20"/>
              </w:rPr>
              <w:t>现场调研：</w:t>
            </w:r>
            <w:r>
              <w:rPr>
                <w:rFonts w:hint="eastAsia" w:ascii="Times New Roman" w:hAnsi="Times New Roman" w:eastAsia="仿宋_GB2312" w:cs="仿宋"/>
                <w:sz w:val="20"/>
                <w:szCs w:val="20"/>
              </w:rPr>
              <w:t>根据项目情况，评价工作组对项目现场进行调研，核实项目完成情况及效益实现情况。</w:t>
            </w:r>
          </w:p>
        </w:tc>
        <w:tc>
          <w:tcPr>
            <w:tcW w:w="1814" w:type="dxa"/>
            <w:tcBorders>
              <w:bottom w:val="single" w:color="auto" w:sz="4" w:space="0"/>
            </w:tcBorders>
            <w:shd w:val="clear" w:color="auto" w:fill="auto"/>
            <w:vAlign w:val="center"/>
          </w:tcPr>
          <w:p>
            <w:pPr>
              <w:adjustRightInd w:val="0"/>
              <w:snapToGrid w:val="0"/>
              <w:spacing w:before="120" w:after="12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05</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10</w:t>
            </w:r>
            <w:r>
              <w:rPr>
                <w:rFonts w:hint="eastAsia" w:ascii="Times New Roman" w:hAnsi="Times New Roman" w:eastAsia="仿宋_GB2312" w:cs="仿宋"/>
                <w:sz w:val="20"/>
                <w:szCs w:val="20"/>
              </w:rPr>
              <w:t>日</w:t>
            </w:r>
          </w:p>
        </w:tc>
        <w:tc>
          <w:tcPr>
            <w:tcW w:w="1175" w:type="dxa"/>
            <w:tcBorders>
              <w:bottom w:val="single" w:color="auto" w:sz="4" w:space="0"/>
            </w:tcBorders>
            <w:shd w:val="clear" w:color="auto" w:fill="auto"/>
            <w:vAlign w:val="center"/>
          </w:tcPr>
          <w:p>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评价机构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60" w:hRule="atLeast"/>
          <w:jc w:val="center"/>
        </w:trPr>
        <w:tc>
          <w:tcPr>
            <w:tcW w:w="688" w:type="dxa"/>
            <w:vMerge w:val="continue"/>
            <w:shd w:val="clear" w:color="auto" w:fill="auto"/>
            <w:textDirection w:val="tbRlV"/>
            <w:vAlign w:val="center"/>
          </w:tcPr>
          <w:p>
            <w:pPr>
              <w:adjustRightInd w:val="0"/>
              <w:snapToGrid w:val="0"/>
              <w:ind w:firstLine="400" w:firstLineChars="200"/>
              <w:jc w:val="center"/>
              <w:rPr>
                <w:rFonts w:hint="eastAsia" w:ascii="仿宋" w:hAnsi="仿宋" w:eastAsia="仿宋" w:cs="仿宋"/>
                <w:sz w:val="20"/>
                <w:szCs w:val="20"/>
              </w:rPr>
            </w:pPr>
          </w:p>
        </w:tc>
        <w:tc>
          <w:tcPr>
            <w:tcW w:w="4827" w:type="dxa"/>
            <w:gridSpan w:val="2"/>
            <w:shd w:val="clear" w:color="auto" w:fill="auto"/>
            <w:vAlign w:val="center"/>
          </w:tcPr>
          <w:p>
            <w:pPr>
              <w:rPr>
                <w:rFonts w:hint="eastAsia" w:ascii="仿宋" w:hAnsi="仿宋" w:eastAsia="仿宋" w:cs="仿宋"/>
                <w:b/>
                <w:bCs/>
                <w:sz w:val="20"/>
                <w:szCs w:val="20"/>
              </w:rPr>
            </w:pPr>
            <w:r>
              <w:rPr>
                <w:rFonts w:hint="eastAsia" w:ascii="Times New Roman" w:hAnsi="Times New Roman" w:eastAsia="仿宋_GB2312" w:cs="仿宋"/>
                <w:b/>
                <w:bCs/>
                <w:sz w:val="20"/>
                <w:szCs w:val="20"/>
              </w:rPr>
              <w:t>组织针对性培训：</w:t>
            </w:r>
            <w:r>
              <w:rPr>
                <w:rFonts w:hint="eastAsia" w:ascii="Times New Roman" w:hAnsi="Times New Roman" w:eastAsia="仿宋_GB2312" w:cs="仿宋"/>
                <w:sz w:val="20"/>
                <w:szCs w:val="20"/>
              </w:rPr>
              <w:t>评价工作组根据预算部门（单位）的不同需求，开展有针对性的培训工作。</w:t>
            </w:r>
          </w:p>
        </w:tc>
        <w:tc>
          <w:tcPr>
            <w:tcW w:w="1814" w:type="dxa"/>
            <w:shd w:val="clear" w:color="auto" w:fill="auto"/>
            <w:vAlign w:val="center"/>
          </w:tcPr>
          <w:p>
            <w:pPr>
              <w:adjustRightInd w:val="0"/>
              <w:snapToGrid w:val="0"/>
              <w:spacing w:before="120" w:after="12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05</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12</w:t>
            </w:r>
            <w:r>
              <w:rPr>
                <w:rFonts w:hint="eastAsia" w:ascii="Times New Roman" w:hAnsi="Times New Roman" w:eastAsia="仿宋_GB2312" w:cs="仿宋"/>
                <w:sz w:val="20"/>
                <w:szCs w:val="20"/>
              </w:rPr>
              <w:t>日</w:t>
            </w:r>
          </w:p>
        </w:tc>
        <w:tc>
          <w:tcPr>
            <w:tcW w:w="1175" w:type="dxa"/>
            <w:shd w:val="clear" w:color="auto" w:fill="auto"/>
            <w:vAlign w:val="center"/>
          </w:tcPr>
          <w:p>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委托单位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688" w:type="dxa"/>
            <w:vMerge w:val="continue"/>
            <w:shd w:val="clear" w:color="auto" w:fill="auto"/>
            <w:textDirection w:val="tbRlV"/>
            <w:vAlign w:val="center"/>
          </w:tcPr>
          <w:p>
            <w:pPr>
              <w:adjustRightInd w:val="0"/>
              <w:snapToGrid w:val="0"/>
              <w:ind w:firstLine="400" w:firstLineChars="200"/>
              <w:jc w:val="center"/>
              <w:rPr>
                <w:rFonts w:hint="eastAsia" w:ascii="仿宋" w:hAnsi="仿宋" w:eastAsia="仿宋" w:cs="仿宋"/>
                <w:sz w:val="20"/>
                <w:szCs w:val="20"/>
              </w:rPr>
            </w:pPr>
          </w:p>
        </w:tc>
        <w:tc>
          <w:tcPr>
            <w:tcW w:w="4827" w:type="dxa"/>
            <w:gridSpan w:val="2"/>
            <w:shd w:val="clear" w:color="auto" w:fill="auto"/>
            <w:vAlign w:val="center"/>
          </w:tcPr>
          <w:p>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b/>
                <w:bCs/>
                <w:sz w:val="20"/>
                <w:szCs w:val="20"/>
              </w:rPr>
              <w:t>现场评价会：</w:t>
            </w:r>
            <w:r>
              <w:rPr>
                <w:rFonts w:hint="eastAsia" w:ascii="Times New Roman" w:hAnsi="Times New Roman" w:eastAsia="仿宋_GB2312" w:cs="仿宋"/>
                <w:sz w:val="20"/>
                <w:szCs w:val="20"/>
              </w:rPr>
              <w:t>召开现场评价会议，核实项目执行情况，出具评价意见。</w:t>
            </w:r>
          </w:p>
        </w:tc>
        <w:tc>
          <w:tcPr>
            <w:tcW w:w="1814" w:type="dxa"/>
            <w:shd w:val="clear" w:color="auto" w:fill="auto"/>
            <w:vAlign w:val="center"/>
          </w:tcPr>
          <w:p>
            <w:pPr>
              <w:adjustRightInd w:val="0"/>
              <w:snapToGrid w:val="0"/>
              <w:spacing w:before="120" w:after="12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06</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13</w:t>
            </w:r>
            <w:r>
              <w:rPr>
                <w:rFonts w:hint="eastAsia" w:ascii="Times New Roman" w:hAnsi="Times New Roman" w:eastAsia="仿宋_GB2312" w:cs="仿宋"/>
                <w:sz w:val="20"/>
                <w:szCs w:val="20"/>
              </w:rPr>
              <w:t>日</w:t>
            </w:r>
          </w:p>
        </w:tc>
        <w:tc>
          <w:tcPr>
            <w:tcW w:w="1175" w:type="dxa"/>
            <w:shd w:val="clear" w:color="auto" w:fill="auto"/>
            <w:vAlign w:val="center"/>
          </w:tcPr>
          <w:p>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委托单位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8" w:hRule="atLeast"/>
          <w:jc w:val="center"/>
        </w:trPr>
        <w:tc>
          <w:tcPr>
            <w:tcW w:w="688" w:type="dxa"/>
            <w:vMerge w:val="restart"/>
            <w:shd w:val="clear" w:color="auto" w:fill="auto"/>
            <w:textDirection w:val="tbRlV"/>
            <w:vAlign w:val="center"/>
          </w:tcPr>
          <w:p>
            <w:pPr>
              <w:adjustRightInd w:val="0"/>
              <w:snapToGrid w:val="0"/>
              <w:ind w:firstLine="120" w:firstLineChars="50"/>
              <w:rPr>
                <w:rFonts w:hint="eastAsia" w:ascii="仿宋" w:hAnsi="仿宋" w:eastAsia="仿宋" w:cs="仿宋"/>
                <w:spacing w:val="20"/>
                <w:sz w:val="20"/>
                <w:szCs w:val="20"/>
              </w:rPr>
            </w:pPr>
            <w:r>
              <w:rPr>
                <w:rFonts w:hint="eastAsia" w:ascii="Times New Roman" w:hAnsi="Times New Roman" w:eastAsia="仿宋_GB2312" w:cs="仿宋"/>
                <w:b/>
                <w:bCs/>
                <w:spacing w:val="20"/>
                <w:sz w:val="20"/>
                <w:szCs w:val="20"/>
              </w:rPr>
              <w:t>形成报告阶段</w:t>
            </w:r>
          </w:p>
        </w:tc>
        <w:tc>
          <w:tcPr>
            <w:tcW w:w="4827" w:type="dxa"/>
            <w:gridSpan w:val="2"/>
            <w:shd w:val="clear" w:color="auto" w:fill="auto"/>
            <w:vAlign w:val="center"/>
          </w:tcPr>
          <w:p>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b/>
                <w:bCs/>
                <w:sz w:val="20"/>
                <w:szCs w:val="20"/>
              </w:rPr>
              <w:t>撰写报告：</w:t>
            </w:r>
            <w:r>
              <w:rPr>
                <w:rFonts w:hint="eastAsia" w:ascii="Times New Roman" w:hAnsi="Times New Roman" w:eastAsia="仿宋_GB2312" w:cs="仿宋"/>
                <w:sz w:val="20"/>
                <w:szCs w:val="20"/>
              </w:rPr>
              <w:t>评价工作组撰写项目绩效评价报告。</w:t>
            </w:r>
          </w:p>
        </w:tc>
        <w:tc>
          <w:tcPr>
            <w:tcW w:w="1814" w:type="dxa"/>
            <w:shd w:val="clear" w:color="auto" w:fill="auto"/>
            <w:vAlign w:val="center"/>
          </w:tcPr>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06</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16</w:t>
            </w:r>
            <w:r>
              <w:rPr>
                <w:rFonts w:hint="eastAsia" w:ascii="Times New Roman" w:hAnsi="Times New Roman" w:eastAsia="仿宋_GB2312" w:cs="仿宋"/>
                <w:sz w:val="20"/>
                <w:szCs w:val="20"/>
              </w:rPr>
              <w:t>日</w:t>
            </w:r>
          </w:p>
        </w:tc>
        <w:tc>
          <w:tcPr>
            <w:tcW w:w="1175" w:type="dxa"/>
            <w:shd w:val="clear" w:color="auto" w:fill="auto"/>
            <w:vAlign w:val="center"/>
          </w:tcPr>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评价机构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0" w:hRule="atLeast"/>
          <w:jc w:val="center"/>
        </w:trPr>
        <w:tc>
          <w:tcPr>
            <w:tcW w:w="688" w:type="dxa"/>
            <w:vMerge w:val="continue"/>
            <w:shd w:val="clear" w:color="auto" w:fill="auto"/>
            <w:vAlign w:val="center"/>
          </w:tcPr>
          <w:p>
            <w:pPr>
              <w:adjustRightInd w:val="0"/>
              <w:snapToGrid w:val="0"/>
              <w:ind w:firstLine="400" w:firstLineChars="200"/>
              <w:jc w:val="center"/>
              <w:rPr>
                <w:rFonts w:hint="eastAsia" w:ascii="仿宋" w:hAnsi="仿宋" w:eastAsia="仿宋" w:cs="仿宋"/>
                <w:sz w:val="20"/>
                <w:szCs w:val="20"/>
              </w:rPr>
            </w:pPr>
          </w:p>
        </w:tc>
        <w:tc>
          <w:tcPr>
            <w:tcW w:w="4827" w:type="dxa"/>
            <w:gridSpan w:val="2"/>
            <w:tcBorders>
              <w:bottom w:val="single" w:color="auto" w:sz="4" w:space="0"/>
            </w:tcBorders>
            <w:shd w:val="clear" w:color="auto" w:fill="auto"/>
            <w:vAlign w:val="center"/>
          </w:tcPr>
          <w:p>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b/>
                <w:bCs/>
                <w:sz w:val="20"/>
                <w:szCs w:val="20"/>
              </w:rPr>
              <w:t>报告征求意见：</w:t>
            </w:r>
            <w:r>
              <w:rPr>
                <w:rFonts w:hint="eastAsia" w:ascii="Times New Roman" w:hAnsi="Times New Roman" w:eastAsia="仿宋_GB2312" w:cs="仿宋"/>
                <w:sz w:val="20"/>
                <w:szCs w:val="20"/>
              </w:rPr>
              <w:t>评价报告经评价机构三级审核后，送交委托方及项目单位征求意见。</w:t>
            </w:r>
          </w:p>
        </w:tc>
        <w:tc>
          <w:tcPr>
            <w:tcW w:w="1814" w:type="dxa"/>
            <w:tcBorders>
              <w:bottom w:val="single" w:color="auto" w:sz="4" w:space="0"/>
            </w:tcBorders>
            <w:shd w:val="clear" w:color="auto" w:fill="auto"/>
            <w:vAlign w:val="center"/>
          </w:tcPr>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06</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23</w:t>
            </w:r>
            <w:r>
              <w:rPr>
                <w:rFonts w:hint="eastAsia" w:ascii="Times New Roman" w:hAnsi="Times New Roman" w:eastAsia="仿宋_GB2312" w:cs="仿宋"/>
                <w:sz w:val="20"/>
                <w:szCs w:val="20"/>
              </w:rPr>
              <w:t>日</w:t>
            </w:r>
          </w:p>
        </w:tc>
        <w:tc>
          <w:tcPr>
            <w:tcW w:w="1175" w:type="dxa"/>
            <w:shd w:val="clear" w:color="auto" w:fill="auto"/>
            <w:vAlign w:val="center"/>
          </w:tcPr>
          <w:p>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委托单位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038" w:hRule="atLeast"/>
          <w:jc w:val="center"/>
        </w:trPr>
        <w:tc>
          <w:tcPr>
            <w:tcW w:w="688" w:type="dxa"/>
            <w:vMerge w:val="continue"/>
            <w:shd w:val="clear" w:color="auto" w:fill="auto"/>
            <w:vAlign w:val="center"/>
          </w:tcPr>
          <w:p>
            <w:pPr>
              <w:adjustRightInd w:val="0"/>
              <w:snapToGrid w:val="0"/>
              <w:ind w:firstLine="400" w:firstLineChars="200"/>
              <w:jc w:val="center"/>
              <w:rPr>
                <w:rFonts w:hint="eastAsia" w:ascii="仿宋" w:hAnsi="仿宋" w:eastAsia="仿宋" w:cs="仿宋"/>
                <w:sz w:val="20"/>
                <w:szCs w:val="20"/>
              </w:rPr>
            </w:pPr>
          </w:p>
        </w:tc>
        <w:tc>
          <w:tcPr>
            <w:tcW w:w="4827" w:type="dxa"/>
            <w:gridSpan w:val="2"/>
            <w:shd w:val="clear" w:color="auto" w:fill="auto"/>
            <w:vAlign w:val="center"/>
          </w:tcPr>
          <w:p>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b/>
                <w:bCs/>
                <w:sz w:val="20"/>
                <w:szCs w:val="20"/>
              </w:rPr>
              <w:t>报送报告：</w:t>
            </w:r>
            <w:r>
              <w:rPr>
                <w:rFonts w:hint="eastAsia" w:ascii="Times New Roman" w:hAnsi="Times New Roman" w:eastAsia="仿宋_GB2312" w:cs="仿宋"/>
                <w:sz w:val="20"/>
                <w:szCs w:val="20"/>
              </w:rPr>
              <w:t>根据委托方意见修改报告，在规定时间内正式向委托方报送绩效评价报告。</w:t>
            </w:r>
          </w:p>
        </w:tc>
        <w:tc>
          <w:tcPr>
            <w:tcW w:w="1814" w:type="dxa"/>
            <w:shd w:val="clear" w:color="auto" w:fill="auto"/>
            <w:vAlign w:val="center"/>
          </w:tcPr>
          <w:p>
            <w:pPr>
              <w:adjustRightInd w:val="0"/>
              <w:snapToGrid w:val="0"/>
              <w:spacing w:after="12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06</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highlight w:val="none"/>
                <w:lang w:val="en-US" w:eastAsia="zh-CN"/>
              </w:rPr>
              <w:t>30</w:t>
            </w:r>
            <w:r>
              <w:rPr>
                <w:rFonts w:hint="eastAsia" w:ascii="Times New Roman" w:hAnsi="Times New Roman" w:eastAsia="仿宋_GB2312" w:cs="仿宋"/>
                <w:sz w:val="20"/>
                <w:szCs w:val="20"/>
              </w:rPr>
              <w:t>日</w:t>
            </w:r>
          </w:p>
        </w:tc>
        <w:tc>
          <w:tcPr>
            <w:tcW w:w="1175" w:type="dxa"/>
            <w:shd w:val="clear" w:color="auto" w:fill="auto"/>
            <w:vAlign w:val="center"/>
          </w:tcPr>
          <w:p>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委托单位</w:t>
            </w:r>
          </w:p>
        </w:tc>
      </w:tr>
    </w:tbl>
    <w:p>
      <w:pPr>
        <w:pStyle w:val="34"/>
        <w:tabs>
          <w:tab w:val="left" w:pos="1559"/>
        </w:tabs>
        <w:adjustRightInd w:val="0"/>
        <w:snapToGrid w:val="0"/>
        <w:spacing w:line="560" w:lineRule="exact"/>
        <w:ind w:left="0" w:leftChars="0" w:firstLine="640" w:firstLineChars="200"/>
        <w:outlineLvl w:val="2"/>
        <w:rPr>
          <w:rFonts w:ascii="楷体" w:hAnsi="楷体" w:eastAsia="楷体" w:cs="楷体"/>
          <w:bCs/>
          <w:sz w:val="32"/>
          <w:szCs w:val="32"/>
        </w:rPr>
      </w:pPr>
      <w:r>
        <w:rPr>
          <w:rFonts w:hint="eastAsia" w:ascii="楷体" w:hAnsi="楷体" w:eastAsia="楷体" w:cs="楷体"/>
          <w:bCs/>
          <w:sz w:val="32"/>
          <w:szCs w:val="32"/>
        </w:rPr>
        <w:t>2.实地调研概况</w:t>
      </w:r>
      <w:bookmarkEnd w:id="63"/>
      <w:bookmarkEnd w:id="64"/>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走访调查：采取现场走访调查的形式，了解项目实际情况。到项目实施单位及实施现场，深入实地进行调研和分析，严格按照项目实施方案进行管理，了解前期工作及项目实施情况。</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研读文件：通过检查实施单位自评（总结）报告、研读相关制度文件等，了解在项目实施过程中，作为项目主管单位，是否对项目实施进行协调监督管理，是否制定相关、有效的监督管理制度，是否监督落实项目建设质量情况。</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审阅项目财务收支情况：审阅该项目实施单位记录资金收支的凭证、后附单据及相关文件，审阅该项目的相关规定，审核资金收支是否合规等。</w:t>
      </w:r>
    </w:p>
    <w:p>
      <w:pPr>
        <w:adjustRightInd w:val="0"/>
        <w:snapToGrid w:val="0"/>
        <w:spacing w:line="560" w:lineRule="exact"/>
        <w:ind w:firstLine="640" w:firstLineChars="200"/>
        <w:jc w:val="left"/>
        <w:outlineLvl w:val="0"/>
        <w:rPr>
          <w:rFonts w:ascii="黑体" w:hAnsi="黑体" w:eastAsia="黑体" w:cs="宋体"/>
          <w:sz w:val="32"/>
          <w:szCs w:val="32"/>
        </w:rPr>
      </w:pPr>
      <w:bookmarkStart w:id="65" w:name="_Toc27359"/>
      <w:r>
        <w:rPr>
          <w:rFonts w:hint="eastAsia" w:ascii="黑体" w:hAnsi="黑体" w:eastAsia="黑体" w:cs="宋体"/>
          <w:sz w:val="32"/>
          <w:szCs w:val="32"/>
        </w:rPr>
        <w:t>三、绩效评价分析</w:t>
      </w:r>
      <w:bookmarkEnd w:id="65"/>
    </w:p>
    <w:p>
      <w:pPr>
        <w:pStyle w:val="34"/>
        <w:numPr>
          <w:ilvl w:val="0"/>
          <w:numId w:val="5"/>
        </w:numPr>
        <w:adjustRightInd w:val="0"/>
        <w:snapToGrid w:val="0"/>
        <w:spacing w:line="560" w:lineRule="exact"/>
        <w:ind w:left="0" w:firstLine="643"/>
        <w:rPr>
          <w:rFonts w:ascii="仿宋_GB2312" w:hAnsi="仿宋" w:eastAsia="仿宋_GB2312" w:cs="宋体"/>
          <w:b/>
          <w:bCs/>
          <w:vanish/>
          <w:sz w:val="32"/>
          <w:szCs w:val="32"/>
        </w:rPr>
      </w:pPr>
      <w:r>
        <w:rPr>
          <w:rFonts w:hint="eastAsia" w:ascii="仿宋_GB2312" w:hAnsi="仿宋" w:eastAsia="仿宋_GB2312" w:cs="宋体"/>
          <w:b/>
          <w:bCs/>
          <w:vanish/>
          <w:sz w:val="32"/>
          <w:szCs w:val="32"/>
        </w:rPr>
        <w:t>绩效评价分析</w:t>
      </w:r>
    </w:p>
    <w:p>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highlight w:val="none"/>
        </w:rPr>
      </w:pPr>
      <w:bookmarkStart w:id="66" w:name="_Toc5787"/>
      <w:r>
        <w:rPr>
          <w:rFonts w:hint="eastAsia" w:ascii="仿宋_GB2312" w:hAnsi="仿宋" w:eastAsia="仿宋_GB2312" w:cs="宋体"/>
          <w:b/>
          <w:bCs/>
          <w:sz w:val="32"/>
          <w:szCs w:val="32"/>
          <w:highlight w:val="none"/>
        </w:rPr>
        <w:t>（一）项目决策分析</w:t>
      </w:r>
      <w:bookmarkEnd w:id="66"/>
    </w:p>
    <w:p>
      <w:pPr>
        <w:pStyle w:val="34"/>
        <w:tabs>
          <w:tab w:val="left" w:pos="1559"/>
        </w:tabs>
        <w:adjustRightInd w:val="0"/>
        <w:snapToGrid w:val="0"/>
        <w:spacing w:line="560" w:lineRule="exact"/>
        <w:ind w:firstLine="640"/>
        <w:outlineLvl w:val="2"/>
        <w:rPr>
          <w:rFonts w:hint="eastAsia" w:ascii="楷体" w:hAnsi="楷体" w:eastAsia="楷体" w:cs="楷体"/>
          <w:bCs/>
          <w:sz w:val="32"/>
          <w:szCs w:val="32"/>
          <w:highlight w:val="none"/>
          <w:lang w:val="en-US" w:eastAsia="zh-CN"/>
        </w:rPr>
      </w:pPr>
      <w:bookmarkStart w:id="67" w:name="_Toc27861"/>
      <w:r>
        <w:rPr>
          <w:rFonts w:hint="eastAsia" w:ascii="楷体" w:hAnsi="楷体" w:eastAsia="楷体" w:cs="楷体"/>
          <w:bCs/>
          <w:sz w:val="32"/>
          <w:szCs w:val="32"/>
          <w:highlight w:val="none"/>
        </w:rPr>
        <w:t>1.</w:t>
      </w:r>
      <w:r>
        <w:rPr>
          <w:rFonts w:hint="eastAsia" w:ascii="楷体" w:hAnsi="楷体" w:eastAsia="楷体" w:cs="楷体"/>
          <w:bCs/>
          <w:sz w:val="32"/>
          <w:szCs w:val="32"/>
          <w:highlight w:val="none"/>
          <w:lang w:val="en-US" w:eastAsia="zh-CN"/>
        </w:rPr>
        <w:t xml:space="preserve">项目立项情况  </w:t>
      </w:r>
    </w:p>
    <w:p>
      <w:pPr>
        <w:adjustRightInd w:val="0"/>
        <w:snapToGrid w:val="0"/>
        <w:spacing w:line="560" w:lineRule="exact"/>
        <w:ind w:firstLine="640" w:firstLineChars="200"/>
        <w:rPr>
          <w:rFonts w:hint="eastAsia" w:ascii="仿宋_GB2312" w:hAnsi="仿宋_GB2312" w:eastAsia="仿宋_GB2312" w:cs="仿宋_GB2312"/>
          <w:sz w:val="32"/>
          <w:szCs w:val="32"/>
          <w:highlight w:val="yellow"/>
          <w:lang w:val="en-US" w:eastAsia="zh-CN"/>
        </w:rPr>
      </w:pP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lang w:val="en-US" w:eastAsia="zh-CN"/>
        </w:rPr>
        <w:t>1</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lang w:val="en-US" w:eastAsia="zh-CN"/>
        </w:rPr>
        <w:t>立项依据的充分性</w:t>
      </w:r>
    </w:p>
    <w:p>
      <w:pPr>
        <w:pStyle w:val="42"/>
        <w:keepNext w:val="0"/>
        <w:keepLines w:val="0"/>
        <w:pageBreakBefore w:val="0"/>
        <w:widowControl w:val="0"/>
        <w:kinsoku/>
        <w:wordWrap/>
        <w:overflowPunct/>
        <w:topLinePunct w:val="0"/>
        <w:autoSpaceDE/>
        <w:autoSpaceDN/>
        <w:bidi w:val="0"/>
        <w:adjustRightInd/>
        <w:snapToGrid/>
        <w:spacing w:line="560" w:lineRule="exact"/>
        <w:ind w:left="0" w:firstLine="56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该项目符合《“十四五”林业草原保护发展规划纲要》文件内容，项目的立项符合相关法规政策及部门职责，依据充分；项目是按照规定的程序申请设立；审批文件、材料符合相关要求，项目前期是已经过必要的集体决策。</w:t>
      </w:r>
    </w:p>
    <w:p>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（2）立项程序规范性</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决策依据情况：项目符合经济社会发展规划和部门年度工作计划，贯彻落实习近平总书记关于 坚持走科学、生态、节俭的绿化发展之路”重要指示精神，坚持存量增量并重、数量质量统一，科学精准精细管理，全面提升科学绿化水平，增加林草碳汇，根据《关于提前下达2021年中央林业草原生态保护恢复资金预预算的通知》（和地财建〔2020〕126），《关于提前下达2021年中央林业草原生态保护恢复资金预预算的通知》（洛财字〔2020〕115号）文件要求开始实施该项目。</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default" w:ascii="楷体" w:hAnsi="楷体" w:eastAsia="楷体" w:cs="楷体"/>
          <w:bCs/>
          <w:sz w:val="32"/>
          <w:szCs w:val="32"/>
          <w:highlight w:val="cyan"/>
          <w:lang w:val="en-US"/>
        </w:rPr>
      </w:pPr>
      <w:r>
        <w:rPr>
          <w:rFonts w:hint="eastAsia" w:ascii="仿宋_GB2312" w:hAnsi="仿宋_GB2312" w:eastAsia="仿宋_GB2312" w:cs="仿宋_GB2312"/>
          <w:sz w:val="32"/>
          <w:szCs w:val="32"/>
          <w:highlight w:val="none"/>
          <w:lang w:val="en-US" w:eastAsia="zh-CN"/>
        </w:rPr>
        <w:t>决策程序情况：按照地区印发的实施方案，由林业和草原局牵头编辑实施方案并报人民政府审批，相关乡镇人民政府负责登记符合条件的护林员信息，核定名单及报林业和草原局,林业和草原局通过开会再次对护林员信息进行核定，无异议后报给财政局并申请拨付补奖资金，相关乡镇人民政府按照核定的名单发放补奖资金并进行公开，补助奖励政策领导小组不定期组织开展对相关乡镇落实的</w:t>
      </w:r>
      <w:bookmarkEnd w:id="67"/>
      <w:r>
        <w:rPr>
          <w:rFonts w:hint="eastAsia" w:ascii="仿宋_GB2312" w:hAnsi="仿宋_GB2312" w:eastAsia="仿宋_GB2312" w:cs="仿宋_GB2312"/>
          <w:sz w:val="32"/>
          <w:szCs w:val="32"/>
          <w:highlight w:val="none"/>
          <w:lang w:val="en-US" w:eastAsia="zh-CN"/>
        </w:rPr>
        <w:t>补助奖励政策各项工作的督促，指导，调研</w:t>
      </w:r>
      <w:r>
        <w:rPr>
          <w:rFonts w:hint="eastAsia" w:ascii="仿宋" w:hAnsi="仿宋" w:eastAsia="仿宋" w:cs="仿宋"/>
          <w:sz w:val="32"/>
          <w:szCs w:val="32"/>
          <w:highlight w:val="none"/>
          <w:lang w:val="en-US" w:eastAsia="zh-CN"/>
        </w:rPr>
        <w:t>。</w:t>
      </w:r>
    </w:p>
    <w:p>
      <w:pPr>
        <w:adjustRightInd w:val="0"/>
        <w:snapToGrid w:val="0"/>
        <w:spacing w:line="560" w:lineRule="exact"/>
        <w:ind w:firstLine="640" w:firstLineChars="200"/>
        <w:outlineLvl w:val="2"/>
        <w:rPr>
          <w:rFonts w:hint="default" w:ascii="楷体" w:hAnsi="楷体" w:eastAsia="楷体" w:cs="楷体"/>
          <w:bCs/>
          <w:kern w:val="2"/>
          <w:sz w:val="32"/>
          <w:szCs w:val="32"/>
          <w:lang w:val="en-US" w:eastAsia="zh-CN" w:bidi="ar-SA"/>
        </w:rPr>
      </w:pPr>
      <w:r>
        <w:rPr>
          <w:rFonts w:hint="eastAsia" w:ascii="楷体" w:hAnsi="楷体" w:eastAsia="楷体" w:cs="楷体"/>
          <w:bCs/>
          <w:kern w:val="2"/>
          <w:sz w:val="32"/>
          <w:szCs w:val="32"/>
          <w:lang w:val="en-US" w:eastAsia="zh-CN" w:bidi="ar-SA"/>
        </w:rPr>
        <w:t>2.绩效目标设立情况</w:t>
      </w:r>
    </w:p>
    <w:p>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（1）绩效目标合理性</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绩效目标的内涵明确、具体、可衡量。所设立的绩效目标可以考核并能够指导洛浦县林业和草原局2021年中央林业草原生态保护恢复-生态护林员补助项目的业务工作。指标与评价对象密切相关，全面反映项目实施内容及项目预期绩效情况，绩效目标设立符合洛浦县森林保护工作要求和洛浦县林业和草原局单位2021年工作计划，明确了项目产出数量和预期达到的效果。整体来看，绩效目标设立比较明确。</w:t>
      </w:r>
    </w:p>
    <w:p>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（2）绩效指标明确性</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该项目所设置绩效目标是：一级指标3条，二级指标9条，三级指标12条，可量化指标10条，指标量化率83.33%，该项目总体绩效目标明确，符合绩效目标明确、细化、量化条件。</w:t>
      </w:r>
    </w:p>
    <w:p>
      <w:pPr>
        <w:adjustRightInd w:val="0"/>
        <w:snapToGrid w:val="0"/>
        <w:spacing w:line="560" w:lineRule="exact"/>
        <w:ind w:firstLine="640" w:firstLineChars="200"/>
        <w:outlineLvl w:val="2"/>
        <w:rPr>
          <w:rFonts w:hint="default" w:ascii="楷体" w:hAnsi="楷体" w:eastAsia="楷体" w:cs="楷体"/>
          <w:bCs/>
          <w:kern w:val="2"/>
          <w:sz w:val="32"/>
          <w:szCs w:val="32"/>
          <w:lang w:val="en-US" w:eastAsia="zh-CN" w:bidi="ar-SA"/>
        </w:rPr>
      </w:pPr>
      <w:r>
        <w:rPr>
          <w:rFonts w:hint="eastAsia" w:ascii="楷体" w:hAnsi="楷体" w:eastAsia="楷体" w:cs="楷体"/>
          <w:bCs/>
          <w:kern w:val="2"/>
          <w:sz w:val="32"/>
          <w:szCs w:val="32"/>
          <w:lang w:val="en-US" w:eastAsia="zh-CN" w:bidi="ar-SA"/>
        </w:rPr>
        <w:t>3.资金投入情况</w:t>
      </w:r>
    </w:p>
    <w:p>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（1）预算编制科学性</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 xml:space="preserve">该项目主要是为2021年选聘的1635名生态护林员，按照1万元/年的标准发放补助，人均管护面积不低于500亩。该项目的实施，对壮大我县护林队伍，保护森林资源，维护生态环境，增加社会投入，促进经济发展有十分重要的意义。 </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yellow"/>
          <w:lang w:val="en-US" w:eastAsia="zh-CN"/>
        </w:rPr>
      </w:pPr>
      <w:r>
        <w:rPr>
          <w:rFonts w:hint="eastAsia" w:ascii="仿宋_GB2312" w:hAnsi="仿宋_GB2312" w:eastAsia="仿宋_GB2312" w:cs="仿宋_GB2312"/>
          <w:sz w:val="32"/>
          <w:szCs w:val="32"/>
          <w:highlight w:val="none"/>
          <w:lang w:val="en-US" w:eastAsia="zh-CN"/>
        </w:rPr>
        <w:t>洛浦县林业和草原局根据项目情况进行预算编制，使项目的资金额度与年度目标相适应，制定了明确详细的项目资金支出计划和进度，该项目预算编制比较科学合理。</w:t>
      </w:r>
    </w:p>
    <w:p>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（2）资金分配合理性</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bookmarkStart w:id="68" w:name="_Toc5610"/>
      <w:r>
        <w:rPr>
          <w:rFonts w:hint="eastAsia" w:ascii="仿宋_GB2312" w:hAnsi="仿宋_GB2312" w:eastAsia="仿宋_GB2312" w:cs="仿宋_GB2312"/>
          <w:sz w:val="32"/>
          <w:szCs w:val="32"/>
          <w:highlight w:val="none"/>
          <w:lang w:val="en-US" w:eastAsia="zh-CN"/>
        </w:rPr>
        <w:t>项目预算资金分配具有测算依据，分配额度合理，与补助单位或地方实际相适应，与工作任务相匹配，充分体现了资金分配的合理性。</w:t>
      </w:r>
    </w:p>
    <w:p>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r>
        <w:rPr>
          <w:rFonts w:hint="eastAsia" w:ascii="仿宋_GB2312" w:hAnsi="仿宋" w:eastAsia="仿宋_GB2312" w:cs="宋体"/>
          <w:b/>
          <w:bCs/>
          <w:sz w:val="32"/>
          <w:szCs w:val="32"/>
        </w:rPr>
        <w:t>（二）项目管理</w:t>
      </w:r>
      <w:r>
        <w:rPr>
          <w:rFonts w:hint="eastAsia" w:ascii="仿宋_GB2312" w:hAnsi="仿宋" w:eastAsia="仿宋_GB2312" w:cs="宋体"/>
          <w:b/>
          <w:bCs/>
          <w:sz w:val="32"/>
          <w:szCs w:val="32"/>
          <w:lang w:val="en-US" w:eastAsia="zh-CN"/>
        </w:rPr>
        <w:t>过程</w:t>
      </w:r>
      <w:r>
        <w:rPr>
          <w:rFonts w:hint="eastAsia" w:ascii="仿宋_GB2312" w:hAnsi="仿宋" w:eastAsia="仿宋_GB2312" w:cs="宋体"/>
          <w:b/>
          <w:bCs/>
          <w:sz w:val="32"/>
          <w:szCs w:val="32"/>
        </w:rPr>
        <w:t>情况分析</w:t>
      </w:r>
      <w:bookmarkEnd w:id="68"/>
    </w:p>
    <w:p>
      <w:pPr>
        <w:pStyle w:val="34"/>
        <w:tabs>
          <w:tab w:val="left" w:pos="1559"/>
        </w:tabs>
        <w:adjustRightInd w:val="0"/>
        <w:snapToGrid w:val="0"/>
        <w:spacing w:line="560" w:lineRule="exact"/>
        <w:ind w:firstLine="640"/>
        <w:outlineLvl w:val="2"/>
        <w:rPr>
          <w:rFonts w:hint="eastAsia" w:ascii="楷体" w:hAnsi="楷体" w:eastAsia="楷体" w:cs="楷体"/>
          <w:bCs/>
          <w:sz w:val="32"/>
          <w:szCs w:val="32"/>
          <w:lang w:val="en-US" w:eastAsia="zh-CN"/>
        </w:rPr>
      </w:pPr>
      <w:bookmarkStart w:id="69" w:name="_Toc11398"/>
      <w:r>
        <w:rPr>
          <w:rFonts w:hint="eastAsia" w:ascii="楷体" w:hAnsi="楷体" w:eastAsia="楷体" w:cs="楷体"/>
          <w:bCs/>
          <w:sz w:val="32"/>
          <w:szCs w:val="32"/>
        </w:rPr>
        <w:t>1.项目资金</w:t>
      </w:r>
      <w:bookmarkEnd w:id="69"/>
      <w:r>
        <w:rPr>
          <w:rFonts w:hint="eastAsia" w:ascii="楷体" w:hAnsi="楷体" w:eastAsia="楷体" w:cs="楷体"/>
          <w:bCs/>
          <w:sz w:val="32"/>
          <w:szCs w:val="32"/>
          <w:lang w:val="en-US" w:eastAsia="zh-CN"/>
        </w:rPr>
        <w:t>情况</w:t>
      </w:r>
    </w:p>
    <w:p>
      <w:pPr>
        <w:adjustRightInd w:val="0"/>
        <w:snapToGrid w:val="0"/>
        <w:spacing w:line="56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w:t>
      </w:r>
      <w:r>
        <w:rPr>
          <w:rFonts w:hint="eastAsia" w:ascii="仿宋_GB2312" w:hAnsi="仿宋_GB2312" w:eastAsia="仿宋_GB2312" w:cs="仿宋_GB2312"/>
          <w:sz w:val="32"/>
          <w:szCs w:val="32"/>
          <w:lang w:val="en-US" w:eastAsia="zh-CN"/>
        </w:rPr>
        <w:t>1</w:t>
      </w:r>
      <w:r>
        <w:rPr>
          <w:rFonts w:hint="eastAsia" w:ascii="仿宋_GB2312" w:hAnsi="仿宋_GB2312" w:eastAsia="仿宋_GB2312" w:cs="仿宋_GB2312"/>
          <w:sz w:val="32"/>
          <w:szCs w:val="32"/>
        </w:rPr>
        <w:t>）资金到位情况</w:t>
      </w:r>
    </w:p>
    <w:p>
      <w:pPr>
        <w:pStyle w:val="42"/>
        <w:keepNext w:val="0"/>
        <w:keepLines w:val="0"/>
        <w:pageBreakBefore w:val="0"/>
        <w:widowControl w:val="0"/>
        <w:kinsoku/>
        <w:wordWrap/>
        <w:overflowPunct/>
        <w:topLinePunct w:val="0"/>
        <w:autoSpaceDE/>
        <w:autoSpaceDN/>
        <w:bidi w:val="0"/>
        <w:adjustRightInd/>
        <w:snapToGrid/>
        <w:spacing w:line="560" w:lineRule="exact"/>
        <w:ind w:firstLine="56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本项目预算资金为1635.00万元，实际到位资金为1635.00万元；资金来源为中央专项资金</w:t>
      </w:r>
      <w:r>
        <w:rPr>
          <w:rFonts w:hint="eastAsia" w:ascii="仿宋_GB2312" w:hAnsi="仿宋_GB2312" w:eastAsia="仿宋_GB2312" w:cs="仿宋_GB2312"/>
          <w:kern w:val="2"/>
          <w:sz w:val="32"/>
          <w:szCs w:val="32"/>
          <w:highlight w:val="none"/>
          <w:lang w:val="en-US" w:eastAsia="zh-CN" w:bidi="ar-SA"/>
        </w:rPr>
        <w:t>。</w:t>
      </w:r>
      <w:r>
        <w:rPr>
          <w:rFonts w:hint="eastAsia" w:ascii="仿宋_GB2312" w:hAnsi="仿宋_GB2312" w:eastAsia="仿宋_GB2312" w:cs="仿宋_GB2312"/>
          <w:sz w:val="32"/>
          <w:szCs w:val="32"/>
          <w:highlight w:val="none"/>
          <w:lang w:val="en-US" w:eastAsia="zh-CN"/>
        </w:rPr>
        <w:t>资金到位率100%。</w:t>
      </w:r>
    </w:p>
    <w:p>
      <w:pPr>
        <w:pStyle w:val="42"/>
        <w:keepNext w:val="0"/>
        <w:keepLines w:val="0"/>
        <w:pageBreakBefore w:val="0"/>
        <w:widowControl w:val="0"/>
        <w:kinsoku/>
        <w:wordWrap/>
        <w:overflowPunct/>
        <w:topLinePunct w:val="0"/>
        <w:autoSpaceDE/>
        <w:autoSpaceDN/>
        <w:bidi w:val="0"/>
        <w:spacing w:line="560" w:lineRule="exact"/>
        <w:ind w:firstLine="56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（2）预算管理情况</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该项目预算资金1635.00万元，实际支出1613.48万元，预算执行率98.68%。因护林员动态调整，未支付其余1.32%资金。</w:t>
      </w:r>
    </w:p>
    <w:p>
      <w:pPr>
        <w:numPr>
          <w:ilvl w:val="0"/>
          <w:numId w:val="9"/>
        </w:numPr>
        <w:adjustRightInd w:val="0"/>
        <w:snapToGrid w:val="0"/>
        <w:spacing w:line="56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资金使用合规性</w:t>
      </w:r>
    </w:p>
    <w:p>
      <w:pPr>
        <w:pStyle w:val="8"/>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该项目资金严格按照和田地区财政资金管理制度支付资金；资金的支付有完整的审批程序和手续，符合制度要求；项目资金进行单独核算，财务手续基本合理、完整，资金支付是按照自治区和洛浦县中央专项资金管理办法规定执行，资金使用规范合理。未发现专项资金有截留、挤占、挪用、虚列开支等情况。</w:t>
      </w:r>
    </w:p>
    <w:p>
      <w:pPr>
        <w:pStyle w:val="34"/>
        <w:tabs>
          <w:tab w:val="left" w:pos="1559"/>
        </w:tabs>
        <w:adjustRightInd w:val="0"/>
        <w:snapToGrid w:val="0"/>
        <w:spacing w:line="560" w:lineRule="exact"/>
        <w:ind w:firstLine="640"/>
        <w:outlineLvl w:val="2"/>
        <w:rPr>
          <w:rFonts w:hint="default" w:ascii="楷体" w:hAnsi="楷体" w:eastAsia="楷体" w:cs="楷体"/>
          <w:bCs/>
          <w:sz w:val="32"/>
          <w:szCs w:val="32"/>
          <w:lang w:val="en-US" w:eastAsia="zh-CN"/>
        </w:rPr>
      </w:pPr>
      <w:r>
        <w:rPr>
          <w:rFonts w:hint="eastAsia" w:ascii="楷体" w:hAnsi="楷体" w:eastAsia="楷体" w:cs="楷体"/>
          <w:bCs/>
          <w:sz w:val="32"/>
          <w:szCs w:val="32"/>
          <w:lang w:val="en-US" w:eastAsia="zh-CN"/>
        </w:rPr>
        <w:t>2</w:t>
      </w:r>
      <w:r>
        <w:rPr>
          <w:rFonts w:hint="eastAsia" w:ascii="楷体" w:hAnsi="楷体" w:eastAsia="楷体" w:cs="楷体"/>
          <w:bCs/>
          <w:sz w:val="32"/>
          <w:szCs w:val="32"/>
        </w:rPr>
        <w:t>.</w:t>
      </w:r>
      <w:r>
        <w:rPr>
          <w:rFonts w:hint="eastAsia" w:ascii="楷体" w:hAnsi="楷体" w:eastAsia="楷体" w:cs="楷体"/>
          <w:bCs/>
          <w:sz w:val="32"/>
          <w:szCs w:val="32"/>
          <w:lang w:val="en-US" w:eastAsia="zh-CN"/>
        </w:rPr>
        <w:t>组织实施情况</w:t>
      </w:r>
    </w:p>
    <w:p>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（1）管理制度健全性</w:t>
      </w:r>
    </w:p>
    <w:p>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洛浦县林业和草原局项目资金管理参照关于印发《林业改革发展资金管理办法》的通知财资环〔2020〕36号等文件，规范了项目资金使用标准，确保项目实施单位的资金预算申请、资金执行、资金调整、监督检查、验收等过程在相关制度和流程的有效监督管控之下。项目单位建立《项目管理制度》，制度涵盖了项目的设立、质量管理、安全管理、成本控制、项目验收等流程管理制度，项目管理制度健全。</w:t>
      </w:r>
    </w:p>
    <w:p>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（2）制度执行有效性</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项目资金支出严格按照自治区、地区（市）、县专项资金管理办法运行，项目启动实施后，为了加强森林生态保护，落实森林生态保护补助奖励政策，规范护林员行为，保障森林管护员合法权益，结合本地区实际实施该项目并明确职责分工。</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项目实施单位：会同财政部门、林业和草原部门编制实施方案，组织补助奖励政策资金发放工作；林业和草原局：负责保护森林资源，维护生态环境，增加社会投入，促进经济发展</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财政局：按照实施方案落实补助奖励资金预算，会同林业和草原局部门制定资金分配方案，拨付补助奖励资金，监督检查补助奖励资金使用情况。</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乡镇人民政府：负责补助奖励农牧民信息登记造册、地块落实及资金发放到户工作。</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kern w:val="2"/>
          <w:sz w:val="32"/>
          <w:szCs w:val="32"/>
          <w:lang w:val="en-US" w:eastAsia="zh-CN" w:bidi="ar-SA"/>
        </w:rPr>
        <w:t>建立健全财务管理制度，健</w:t>
      </w:r>
      <w:r>
        <w:rPr>
          <w:rFonts w:hint="eastAsia" w:ascii="仿宋_GB2312" w:hAnsi="仿宋_GB2312" w:eastAsia="仿宋_GB2312" w:cs="仿宋_GB2312"/>
          <w:kern w:val="2"/>
          <w:sz w:val="32"/>
          <w:szCs w:val="32"/>
          <w:highlight w:val="none"/>
          <w:lang w:val="en-US" w:eastAsia="zh-CN" w:bidi="ar-SA"/>
        </w:rPr>
        <w:t>全专项资金发放台账，做</w:t>
      </w:r>
      <w:r>
        <w:rPr>
          <w:rFonts w:hint="eastAsia" w:ascii="仿宋_GB2312" w:hAnsi="仿宋_GB2312" w:eastAsia="仿宋_GB2312" w:cs="仿宋_GB2312"/>
          <w:kern w:val="2"/>
          <w:sz w:val="32"/>
          <w:szCs w:val="32"/>
          <w:lang w:val="en-US" w:eastAsia="zh-CN" w:bidi="ar-SA"/>
        </w:rPr>
        <w:t>好与金融机构的定期对账工作，确保项目专项资金安全使用，</w:t>
      </w:r>
      <w:r>
        <w:rPr>
          <w:rFonts w:hint="eastAsia" w:ascii="仿宋_GB2312" w:hAnsi="仿宋_GB2312" w:eastAsia="仿宋_GB2312" w:cs="仿宋_GB2312"/>
          <w:sz w:val="32"/>
          <w:szCs w:val="32"/>
          <w:lang w:val="en-US" w:eastAsia="zh-CN"/>
        </w:rPr>
        <w:t>资金的支付有完整的审批程序和手续，符合制度要求；项目资金进行单独核算，财务手续基本合理、完整，未发现专项资金有截留、挤占、挪用、虚列开支等情况。</w:t>
      </w:r>
    </w:p>
    <w:p>
      <w:pPr>
        <w:pStyle w:val="34"/>
        <w:adjustRightInd w:val="0"/>
        <w:snapToGrid w:val="0"/>
        <w:spacing w:line="560" w:lineRule="exact"/>
        <w:ind w:left="420" w:leftChars="200" w:firstLine="321" w:firstLineChars="100"/>
        <w:outlineLvl w:val="1"/>
        <w:rPr>
          <w:rFonts w:hint="eastAsia" w:ascii="楷体" w:hAnsi="楷体" w:eastAsia="楷体" w:cs="楷体"/>
          <w:bCs/>
          <w:sz w:val="32"/>
          <w:szCs w:val="32"/>
          <w:lang w:val="en-US" w:eastAsia="zh-CN"/>
        </w:rPr>
      </w:pPr>
      <w:bookmarkStart w:id="70" w:name="_Toc31015"/>
      <w:r>
        <w:rPr>
          <w:rFonts w:hint="eastAsia" w:ascii="仿宋_GB2312" w:hAnsi="仿宋" w:eastAsia="仿宋_GB2312" w:cs="宋体"/>
          <w:b/>
          <w:bCs/>
          <w:sz w:val="32"/>
          <w:szCs w:val="32"/>
        </w:rPr>
        <w:t>（</w:t>
      </w:r>
      <w:r>
        <w:rPr>
          <w:rFonts w:hint="eastAsia" w:ascii="仿宋_GB2312" w:hAnsi="仿宋" w:eastAsia="仿宋_GB2312" w:cs="宋体"/>
          <w:b/>
          <w:bCs/>
          <w:sz w:val="32"/>
          <w:szCs w:val="32"/>
          <w:lang w:val="en-US" w:eastAsia="zh-CN"/>
        </w:rPr>
        <w:t>三</w:t>
      </w:r>
      <w:r>
        <w:rPr>
          <w:rFonts w:hint="eastAsia" w:ascii="仿宋_GB2312" w:hAnsi="仿宋" w:eastAsia="仿宋_GB2312" w:cs="宋体"/>
          <w:b/>
          <w:bCs/>
          <w:sz w:val="32"/>
          <w:szCs w:val="32"/>
        </w:rPr>
        <w:t>）项目</w:t>
      </w:r>
      <w:r>
        <w:rPr>
          <w:rFonts w:hint="eastAsia" w:ascii="仿宋_GB2312" w:hAnsi="仿宋" w:eastAsia="仿宋_GB2312" w:cs="宋体"/>
          <w:b/>
          <w:bCs/>
          <w:sz w:val="32"/>
          <w:szCs w:val="32"/>
          <w:lang w:val="en-US" w:eastAsia="zh-CN"/>
        </w:rPr>
        <w:t>产出</w:t>
      </w:r>
      <w:r>
        <w:rPr>
          <w:rFonts w:hint="eastAsia" w:ascii="仿宋_GB2312" w:hAnsi="仿宋" w:eastAsia="仿宋_GB2312" w:cs="宋体"/>
          <w:b/>
          <w:bCs/>
          <w:sz w:val="32"/>
          <w:szCs w:val="32"/>
        </w:rPr>
        <w:t>情况分析</w:t>
      </w:r>
      <w:bookmarkEnd w:id="70"/>
    </w:p>
    <w:p>
      <w:pPr>
        <w:pStyle w:val="34"/>
        <w:tabs>
          <w:tab w:val="left" w:pos="1559"/>
        </w:tabs>
        <w:adjustRightInd w:val="0"/>
        <w:snapToGrid w:val="0"/>
        <w:spacing w:line="560" w:lineRule="exact"/>
        <w:ind w:firstLine="640"/>
        <w:outlineLvl w:val="2"/>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1.产出数量情况</w:t>
      </w:r>
    </w:p>
    <w:p>
      <w:pPr>
        <w:pStyle w:val="34"/>
        <w:tabs>
          <w:tab w:val="left" w:pos="1559"/>
        </w:tabs>
        <w:adjustRightInd w:val="0"/>
        <w:snapToGrid w:val="0"/>
        <w:spacing w:line="560" w:lineRule="exact"/>
        <w:ind w:firstLine="640"/>
        <w:outlineLvl w:val="2"/>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截止评价日，该项目完成了为10个乡镇1635名生态护林员发放补助，人均管护面积不低于500亩，达到了年初预期指标。</w:t>
      </w:r>
    </w:p>
    <w:p>
      <w:pPr>
        <w:pStyle w:val="34"/>
        <w:tabs>
          <w:tab w:val="left" w:pos="1559"/>
        </w:tabs>
        <w:adjustRightInd w:val="0"/>
        <w:snapToGrid w:val="0"/>
        <w:spacing w:line="560" w:lineRule="exact"/>
        <w:ind w:firstLine="640"/>
        <w:outlineLvl w:val="2"/>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2.产出质量情况</w:t>
      </w:r>
    </w:p>
    <w:p>
      <w:pPr>
        <w:pStyle w:val="34"/>
        <w:tabs>
          <w:tab w:val="left" w:pos="1559"/>
        </w:tabs>
        <w:adjustRightInd w:val="0"/>
        <w:snapToGrid w:val="0"/>
        <w:spacing w:line="560" w:lineRule="exact"/>
        <w:ind w:firstLine="640"/>
        <w:outlineLvl w:val="2"/>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补助资金共1635万元，实际发放补助1613.48万元，补助资金发放率达到了98.68%，由于护林员动态调整，未达到年初预期指标。</w:t>
      </w:r>
    </w:p>
    <w:p>
      <w:pPr>
        <w:pStyle w:val="34"/>
        <w:tabs>
          <w:tab w:val="left" w:pos="1559"/>
        </w:tabs>
        <w:adjustRightInd w:val="0"/>
        <w:snapToGrid w:val="0"/>
        <w:spacing w:line="560" w:lineRule="exact"/>
        <w:ind w:firstLine="640"/>
        <w:outlineLvl w:val="2"/>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3.产出时效情况</w:t>
      </w:r>
    </w:p>
    <w:p>
      <w:pPr>
        <w:pStyle w:val="34"/>
        <w:tabs>
          <w:tab w:val="left" w:pos="1559"/>
        </w:tabs>
        <w:adjustRightInd w:val="0"/>
        <w:snapToGrid w:val="0"/>
        <w:spacing w:line="560" w:lineRule="exact"/>
        <w:ind w:firstLine="640"/>
        <w:outlineLvl w:val="2"/>
        <w:rPr>
          <w:rFonts w:hint="default"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护林员12个月补助按月发放到位，项目截止时间为2021年12月，达到了年初预期指标。</w:t>
      </w:r>
    </w:p>
    <w:p>
      <w:pPr>
        <w:pStyle w:val="34"/>
        <w:tabs>
          <w:tab w:val="left" w:pos="1559"/>
        </w:tabs>
        <w:adjustRightInd w:val="0"/>
        <w:snapToGrid w:val="0"/>
        <w:spacing w:line="560" w:lineRule="exact"/>
        <w:ind w:firstLine="640"/>
        <w:outlineLvl w:val="2"/>
        <w:rPr>
          <w:rFonts w:hint="eastAsia" w:ascii="楷体" w:hAnsi="楷体" w:eastAsia="楷体" w:cs="楷体"/>
          <w:bCs/>
          <w:sz w:val="32"/>
          <w:szCs w:val="32"/>
          <w:highlight w:val="yellow"/>
          <w:lang w:val="en-US" w:eastAsia="zh-CN"/>
        </w:rPr>
      </w:pPr>
      <w:r>
        <w:rPr>
          <w:rFonts w:hint="eastAsia" w:ascii="楷体" w:hAnsi="楷体" w:eastAsia="楷体" w:cs="楷体"/>
          <w:bCs/>
          <w:sz w:val="32"/>
          <w:szCs w:val="32"/>
          <w:highlight w:val="none"/>
          <w:lang w:val="en-US" w:eastAsia="zh-CN"/>
        </w:rPr>
        <w:t>4.产出成本情况</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bookmarkStart w:id="71" w:name="_Toc3708"/>
      <w:r>
        <w:rPr>
          <w:rFonts w:hint="eastAsia" w:ascii="仿宋_GB2312" w:hAnsi="仿宋_GB2312" w:eastAsia="仿宋_GB2312" w:cs="仿宋_GB2312"/>
          <w:kern w:val="2"/>
          <w:sz w:val="32"/>
          <w:szCs w:val="32"/>
          <w:highlight w:val="none"/>
          <w:lang w:val="en-US" w:eastAsia="zh-CN" w:bidi="ar-SA"/>
        </w:rPr>
        <w:t>该项目补助标准1635.00万元，项目实际支出金额为1613.48万元，项目支出有效控制在预算范围内。</w:t>
      </w:r>
    </w:p>
    <w:p>
      <w:pPr>
        <w:pStyle w:val="7"/>
        <w:ind w:firstLine="321" w:firstLineChars="100"/>
        <w:rPr>
          <w:rFonts w:hint="eastAsia" w:ascii="仿宋_GB2312" w:hAnsi="仿宋" w:eastAsia="仿宋_GB2312" w:cs="宋体"/>
          <w:b/>
          <w:bCs/>
          <w:sz w:val="32"/>
          <w:szCs w:val="32"/>
          <w:lang w:val="en-US" w:eastAsia="zh-CN"/>
        </w:rPr>
      </w:pPr>
      <w:r>
        <w:rPr>
          <w:rFonts w:hint="eastAsia" w:ascii="仿宋_GB2312" w:hAnsi="仿宋" w:eastAsia="仿宋_GB2312" w:cs="宋体"/>
          <w:b/>
          <w:bCs/>
          <w:sz w:val="32"/>
          <w:szCs w:val="32"/>
          <w:lang w:val="en-US" w:eastAsia="zh-CN"/>
        </w:rPr>
        <w:t>（四）项目效益评价分析</w:t>
      </w:r>
      <w:bookmarkEnd w:id="71"/>
    </w:p>
    <w:p>
      <w:pPr>
        <w:pStyle w:val="34"/>
        <w:tabs>
          <w:tab w:val="left" w:pos="1559"/>
        </w:tabs>
        <w:adjustRightInd w:val="0"/>
        <w:snapToGrid w:val="0"/>
        <w:spacing w:line="560" w:lineRule="exact"/>
        <w:ind w:firstLine="640"/>
        <w:outlineLvl w:val="2"/>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1.经济效益情况</w:t>
      </w:r>
    </w:p>
    <w:p>
      <w:pPr>
        <w:pStyle w:val="34"/>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default"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按照每人每年10000元的补助标准兑现补助资金，增加了贫困户的经济收入，达到了年初预期指标。</w:t>
      </w:r>
    </w:p>
    <w:p>
      <w:pPr>
        <w:pStyle w:val="34"/>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2.社会效益情况</w:t>
      </w:r>
    </w:p>
    <w:p>
      <w:pPr>
        <w:pStyle w:val="34"/>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通过该项目的实施，解决了1635名贫困户的就业问题。</w:t>
      </w:r>
    </w:p>
    <w:p>
      <w:pPr>
        <w:pStyle w:val="34"/>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default" w:ascii="楷体" w:hAnsi="楷体" w:eastAsia="楷体" w:cs="楷体"/>
          <w:bCs/>
          <w:sz w:val="32"/>
          <w:szCs w:val="32"/>
          <w:lang w:val="en-US" w:eastAsia="zh-CN"/>
        </w:rPr>
      </w:pPr>
      <w:r>
        <w:rPr>
          <w:rFonts w:hint="eastAsia" w:ascii="楷体" w:hAnsi="楷体" w:eastAsia="楷体" w:cs="楷体"/>
          <w:bCs/>
          <w:sz w:val="32"/>
          <w:szCs w:val="32"/>
          <w:lang w:val="en-US" w:eastAsia="zh-CN"/>
        </w:rPr>
        <w:t>3.生态效益情况</w:t>
      </w:r>
    </w:p>
    <w:p>
      <w:pPr>
        <w:pStyle w:val="34"/>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lang w:val="en-US" w:eastAsia="zh-CN"/>
        </w:rPr>
        <w:t>通过该项目实施，</w:t>
      </w:r>
      <w:r>
        <w:rPr>
          <w:rFonts w:hint="eastAsia" w:ascii="仿宋_GB2312" w:hAnsi="仿宋_GB2312" w:eastAsia="仿宋_GB2312" w:cs="仿宋_GB2312"/>
          <w:sz w:val="32"/>
          <w:szCs w:val="32"/>
          <w:highlight w:val="none"/>
        </w:rPr>
        <w:t>改善了绿洲人居环境、实现了生态建设与林果业产业协调发展。</w:t>
      </w:r>
    </w:p>
    <w:p>
      <w:pPr>
        <w:pStyle w:val="34"/>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4.可持续影响情况</w:t>
      </w:r>
    </w:p>
    <w:p>
      <w:pPr>
        <w:pStyle w:val="34"/>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default"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项目开始时间为2021年1月，结束时间为2021年12月，项目持续年限为1年。</w:t>
      </w:r>
    </w:p>
    <w:p>
      <w:pPr>
        <w:pStyle w:val="34"/>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5.服务对象满意度情况</w:t>
      </w:r>
    </w:p>
    <w:p>
      <w:pPr>
        <w:pStyle w:val="34"/>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eastAsia" w:ascii="仿宋_GB2312" w:hAnsi="仿宋_GB2312" w:eastAsia="仿宋_GB2312" w:cs="仿宋_GB2312"/>
          <w:kern w:val="2"/>
          <w:sz w:val="32"/>
          <w:szCs w:val="32"/>
          <w:highlight w:val="yellow"/>
          <w:lang w:val="en-US" w:eastAsia="zh-CN" w:bidi="ar-SA"/>
        </w:rPr>
      </w:pPr>
      <w:bookmarkStart w:id="72" w:name="_Toc6584"/>
      <w:r>
        <w:rPr>
          <w:rFonts w:hint="eastAsia" w:ascii="仿宋_GB2312" w:hAnsi="仿宋_GB2312" w:eastAsia="仿宋_GB2312" w:cs="仿宋_GB2312"/>
          <w:kern w:val="2"/>
          <w:sz w:val="32"/>
          <w:szCs w:val="32"/>
          <w:highlight w:val="none"/>
          <w:lang w:val="en-US" w:eastAsia="zh-CN" w:bidi="ar-SA"/>
        </w:rPr>
        <w:t>通过走访受益对象，发放调查问卷一共115份，回收有效问卷共计115份，按照调查问卷来看，服务对象对项目实施效果的满意程度达100%。</w:t>
      </w:r>
    </w:p>
    <w:p>
      <w:pPr>
        <w:numPr>
          <w:ilvl w:val="0"/>
          <w:numId w:val="0"/>
        </w:numPr>
        <w:adjustRightInd w:val="0"/>
        <w:snapToGrid w:val="0"/>
        <w:spacing w:line="560" w:lineRule="exact"/>
        <w:ind w:firstLine="640" w:firstLineChars="200"/>
        <w:jc w:val="left"/>
        <w:outlineLvl w:val="0"/>
        <w:rPr>
          <w:rFonts w:ascii="黑体" w:hAnsi="黑体" w:eastAsia="黑体" w:cs="宋体"/>
          <w:sz w:val="32"/>
          <w:szCs w:val="32"/>
          <w:highlight w:val="none"/>
        </w:rPr>
      </w:pPr>
      <w:r>
        <w:rPr>
          <w:rFonts w:hint="eastAsia" w:ascii="黑体" w:hAnsi="黑体" w:eastAsia="黑体" w:cs="宋体"/>
          <w:sz w:val="32"/>
          <w:szCs w:val="32"/>
          <w:highlight w:val="none"/>
          <w:lang w:val="en-US" w:eastAsia="zh-CN"/>
        </w:rPr>
        <w:t>四、</w:t>
      </w:r>
      <w:r>
        <w:rPr>
          <w:rFonts w:hint="eastAsia" w:ascii="黑体" w:hAnsi="黑体" w:eastAsia="黑体" w:cs="宋体"/>
          <w:sz w:val="32"/>
          <w:szCs w:val="32"/>
          <w:highlight w:val="none"/>
        </w:rPr>
        <w:t>评价结论</w:t>
      </w:r>
      <w:bookmarkEnd w:id="72"/>
    </w:p>
    <w:p>
      <w:pPr>
        <w:pStyle w:val="34"/>
        <w:adjustRightInd w:val="0"/>
        <w:snapToGrid w:val="0"/>
        <w:spacing w:line="560" w:lineRule="exact"/>
        <w:ind w:firstLine="643"/>
        <w:outlineLvl w:val="1"/>
        <w:rPr>
          <w:rFonts w:ascii="仿宋_GB2312" w:hAnsi="仿宋" w:eastAsia="仿宋_GB2312" w:cs="宋体"/>
          <w:b/>
          <w:bCs/>
          <w:sz w:val="32"/>
          <w:szCs w:val="32"/>
        </w:rPr>
      </w:pPr>
      <w:bookmarkStart w:id="73" w:name="_Toc13481"/>
      <w:r>
        <w:rPr>
          <w:rFonts w:hint="eastAsia" w:ascii="仿宋_GB2312" w:hAnsi="仿宋" w:eastAsia="仿宋_GB2312" w:cs="宋体"/>
          <w:b/>
          <w:bCs/>
          <w:sz w:val="32"/>
          <w:szCs w:val="32"/>
        </w:rPr>
        <w:t>（一）评分结果</w:t>
      </w:r>
      <w:bookmarkEnd w:id="73"/>
    </w:p>
    <w:p>
      <w:pPr>
        <w:spacing w:line="560" w:lineRule="exact"/>
        <w:ind w:firstLine="640" w:firstLineChars="200"/>
        <w:rPr>
          <w:rFonts w:ascii="仿宋" w:hAnsi="仿宋" w:eastAsia="仿宋" w:cs="仿宋_GB2312"/>
          <w:sz w:val="32"/>
          <w:szCs w:val="32"/>
          <w:highlight w:val="yellow"/>
        </w:rPr>
      </w:pPr>
      <w:r>
        <w:rPr>
          <w:rFonts w:hint="eastAsia" w:ascii="仿宋_GB2312" w:hAnsi="仿宋_GB2312" w:eastAsia="仿宋_GB2312" w:cs="仿宋_GB2312"/>
          <w:kern w:val="2"/>
          <w:sz w:val="32"/>
          <w:szCs w:val="32"/>
          <w:highlight w:val="none"/>
          <w:lang w:val="en-US" w:eastAsia="zh-CN" w:bidi="ar-SA"/>
        </w:rPr>
        <w:t>经综合评价，项目得分为99.96分，评价等级为优，一级指标各项得分情况见下表：</w:t>
      </w:r>
    </w:p>
    <w:p>
      <w:pPr>
        <w:pStyle w:val="41"/>
      </w:pPr>
      <w:r>
        <w:rPr>
          <w:rFonts w:hint="eastAsia"/>
          <w:lang w:eastAsia="zh-CN"/>
        </w:rPr>
        <w:t>202</w:t>
      </w:r>
      <w:r>
        <w:rPr>
          <w:rFonts w:hint="eastAsia"/>
          <w:lang w:val="en-US" w:eastAsia="zh-CN"/>
        </w:rPr>
        <w:t>1</w:t>
      </w:r>
      <w:r>
        <w:rPr>
          <w:rFonts w:hint="eastAsia"/>
        </w:rPr>
        <w:t>年度该项目绩效评价</w:t>
      </w:r>
      <w:r>
        <w:t>得分情况表</w:t>
      </w:r>
    </w:p>
    <w:tbl>
      <w:tblPr>
        <w:tblStyle w:val="20"/>
        <w:tblW w:w="830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17"/>
        <w:gridCol w:w="1543"/>
        <w:gridCol w:w="1413"/>
        <w:gridCol w:w="1152"/>
        <w:gridCol w:w="1290"/>
        <w:gridCol w:w="138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1517" w:type="dxa"/>
            <w:tcBorders>
              <w:bottom w:val="single" w:color="auto" w:sz="4" w:space="0"/>
            </w:tcBorders>
            <w:shd w:val="clear" w:color="auto" w:fill="A6A6A6"/>
            <w:vAlign w:val="center"/>
          </w:tcPr>
          <w:p>
            <w:pPr>
              <w:pStyle w:val="41"/>
              <w:rPr>
                <w:rFonts w:ascii="仿宋" w:hAnsi="仿宋" w:eastAsia="仿宋" w:cs="仿宋"/>
                <w:sz w:val="21"/>
                <w:szCs w:val="21"/>
                <w:highlight w:val="none"/>
              </w:rPr>
            </w:pPr>
            <w:r>
              <w:rPr>
                <w:rFonts w:hint="eastAsia" w:ascii="仿宋" w:hAnsi="仿宋" w:eastAsia="仿宋" w:cs="仿宋"/>
                <w:sz w:val="21"/>
                <w:szCs w:val="21"/>
                <w:highlight w:val="none"/>
              </w:rPr>
              <w:t>指标</w:t>
            </w:r>
          </w:p>
        </w:tc>
        <w:tc>
          <w:tcPr>
            <w:tcW w:w="1543" w:type="dxa"/>
            <w:tcBorders>
              <w:bottom w:val="single" w:color="auto" w:sz="4" w:space="0"/>
            </w:tcBorders>
            <w:shd w:val="clear" w:color="auto" w:fill="A6A6A6"/>
            <w:vAlign w:val="center"/>
          </w:tcPr>
          <w:p>
            <w:pPr>
              <w:pStyle w:val="41"/>
              <w:rPr>
                <w:rFonts w:ascii="仿宋" w:hAnsi="仿宋" w:eastAsia="仿宋" w:cs="仿宋"/>
                <w:sz w:val="21"/>
                <w:szCs w:val="21"/>
                <w:highlight w:val="none"/>
              </w:rPr>
            </w:pPr>
            <w:r>
              <w:rPr>
                <w:rFonts w:hint="eastAsia" w:ascii="仿宋" w:hAnsi="仿宋" w:eastAsia="仿宋" w:cs="仿宋"/>
                <w:sz w:val="21"/>
                <w:szCs w:val="21"/>
                <w:highlight w:val="none"/>
              </w:rPr>
              <w:t>项目决策</w:t>
            </w:r>
          </w:p>
        </w:tc>
        <w:tc>
          <w:tcPr>
            <w:tcW w:w="1413" w:type="dxa"/>
            <w:tcBorders>
              <w:bottom w:val="single" w:color="auto" w:sz="4" w:space="0"/>
            </w:tcBorders>
            <w:shd w:val="clear" w:color="auto" w:fill="A6A6A6"/>
            <w:vAlign w:val="center"/>
          </w:tcPr>
          <w:p>
            <w:pPr>
              <w:pStyle w:val="41"/>
              <w:rPr>
                <w:rFonts w:hint="eastAsia" w:ascii="仿宋" w:hAnsi="仿宋" w:eastAsia="仿宋" w:cs="仿宋"/>
                <w:sz w:val="21"/>
                <w:szCs w:val="21"/>
                <w:highlight w:val="none"/>
                <w:lang w:eastAsia="zh-CN"/>
              </w:rPr>
            </w:pPr>
            <w:r>
              <w:rPr>
                <w:rFonts w:hint="eastAsia" w:ascii="仿宋" w:hAnsi="仿宋" w:eastAsia="仿宋" w:cs="仿宋"/>
                <w:sz w:val="21"/>
                <w:szCs w:val="21"/>
                <w:highlight w:val="none"/>
              </w:rPr>
              <w:t>项目</w:t>
            </w:r>
            <w:r>
              <w:rPr>
                <w:rFonts w:hint="eastAsia" w:ascii="仿宋" w:hAnsi="仿宋" w:eastAsia="仿宋" w:cs="仿宋"/>
                <w:sz w:val="21"/>
                <w:szCs w:val="21"/>
                <w:highlight w:val="none"/>
                <w:lang w:val="en-US" w:eastAsia="zh-CN"/>
              </w:rPr>
              <w:t>过程</w:t>
            </w:r>
          </w:p>
        </w:tc>
        <w:tc>
          <w:tcPr>
            <w:tcW w:w="1152" w:type="dxa"/>
            <w:tcBorders>
              <w:bottom w:val="single" w:color="auto" w:sz="4" w:space="0"/>
            </w:tcBorders>
            <w:shd w:val="clear" w:color="auto" w:fill="A6A6A6"/>
            <w:vAlign w:val="center"/>
          </w:tcPr>
          <w:p>
            <w:pPr>
              <w:pStyle w:val="41"/>
              <w:rPr>
                <w:rFonts w:hint="default" w:ascii="仿宋" w:hAnsi="仿宋" w:eastAsia="仿宋" w:cs="仿宋"/>
                <w:sz w:val="21"/>
                <w:szCs w:val="21"/>
                <w:highlight w:val="none"/>
                <w:lang w:val="en-US" w:eastAsia="zh-CN"/>
              </w:rPr>
            </w:pPr>
            <w:r>
              <w:rPr>
                <w:rFonts w:hint="eastAsia" w:ascii="仿宋" w:hAnsi="仿宋" w:eastAsia="仿宋" w:cs="仿宋"/>
                <w:sz w:val="21"/>
                <w:szCs w:val="21"/>
                <w:highlight w:val="none"/>
                <w:lang w:val="en-US" w:eastAsia="zh-CN"/>
              </w:rPr>
              <w:t>项目产出</w:t>
            </w:r>
          </w:p>
        </w:tc>
        <w:tc>
          <w:tcPr>
            <w:tcW w:w="1290" w:type="dxa"/>
            <w:tcBorders>
              <w:bottom w:val="single" w:color="auto" w:sz="4" w:space="0"/>
            </w:tcBorders>
            <w:shd w:val="clear" w:color="auto" w:fill="A6A6A6"/>
            <w:vAlign w:val="center"/>
          </w:tcPr>
          <w:p>
            <w:pPr>
              <w:pStyle w:val="41"/>
              <w:rPr>
                <w:rFonts w:hint="eastAsia" w:ascii="仿宋" w:hAnsi="仿宋" w:eastAsia="仿宋" w:cs="仿宋"/>
                <w:sz w:val="21"/>
                <w:szCs w:val="21"/>
                <w:highlight w:val="none"/>
                <w:lang w:eastAsia="zh-CN"/>
              </w:rPr>
            </w:pPr>
            <w:r>
              <w:rPr>
                <w:rFonts w:hint="eastAsia" w:ascii="仿宋" w:hAnsi="仿宋" w:eastAsia="仿宋" w:cs="仿宋"/>
                <w:sz w:val="21"/>
                <w:szCs w:val="21"/>
                <w:highlight w:val="none"/>
              </w:rPr>
              <w:t>项目</w:t>
            </w:r>
            <w:r>
              <w:rPr>
                <w:rFonts w:hint="eastAsia" w:ascii="仿宋" w:hAnsi="仿宋" w:eastAsia="仿宋" w:cs="仿宋"/>
                <w:sz w:val="21"/>
                <w:szCs w:val="21"/>
                <w:highlight w:val="none"/>
                <w:lang w:val="en-US" w:eastAsia="zh-CN"/>
              </w:rPr>
              <w:t>效益</w:t>
            </w:r>
          </w:p>
        </w:tc>
        <w:tc>
          <w:tcPr>
            <w:tcW w:w="1388" w:type="dxa"/>
            <w:tcBorders>
              <w:bottom w:val="single" w:color="auto" w:sz="4" w:space="0"/>
            </w:tcBorders>
            <w:shd w:val="clear" w:color="auto" w:fill="A6A6A6"/>
            <w:vAlign w:val="center"/>
          </w:tcPr>
          <w:p>
            <w:pPr>
              <w:pStyle w:val="41"/>
              <w:rPr>
                <w:rFonts w:ascii="仿宋" w:hAnsi="仿宋" w:eastAsia="仿宋" w:cs="仿宋"/>
                <w:sz w:val="21"/>
                <w:szCs w:val="21"/>
                <w:highlight w:val="none"/>
              </w:rPr>
            </w:pPr>
            <w:r>
              <w:rPr>
                <w:rFonts w:hint="eastAsia" w:ascii="仿宋" w:hAnsi="仿宋" w:eastAsia="仿宋" w:cs="仿宋"/>
                <w:sz w:val="21"/>
                <w:szCs w:val="21"/>
                <w:highlight w:val="none"/>
              </w:rPr>
              <w:t>合计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1517" w:type="dxa"/>
            <w:vAlign w:val="center"/>
          </w:tcPr>
          <w:p>
            <w:pPr>
              <w:pStyle w:val="41"/>
              <w:rPr>
                <w:rFonts w:ascii="仿宋" w:hAnsi="仿宋" w:eastAsia="仿宋" w:cs="仿宋"/>
                <w:sz w:val="21"/>
                <w:szCs w:val="21"/>
                <w:highlight w:val="none"/>
              </w:rPr>
            </w:pPr>
            <w:r>
              <w:rPr>
                <w:rFonts w:hint="eastAsia" w:ascii="仿宋" w:hAnsi="仿宋" w:eastAsia="仿宋" w:cs="仿宋"/>
                <w:sz w:val="21"/>
                <w:szCs w:val="21"/>
                <w:highlight w:val="none"/>
              </w:rPr>
              <w:t>权重</w:t>
            </w:r>
          </w:p>
        </w:tc>
        <w:tc>
          <w:tcPr>
            <w:tcW w:w="1543" w:type="dxa"/>
            <w:vAlign w:val="center"/>
          </w:tcPr>
          <w:p>
            <w:pPr>
              <w:pStyle w:val="41"/>
              <w:rPr>
                <w:rFonts w:hint="eastAsia" w:ascii="仿宋" w:hAnsi="仿宋" w:eastAsia="仿宋" w:cs="仿宋"/>
                <w:b w:val="0"/>
                <w:sz w:val="21"/>
                <w:szCs w:val="21"/>
                <w:highlight w:val="none"/>
                <w:lang w:eastAsia="zh-CN"/>
              </w:rPr>
            </w:pPr>
            <w:r>
              <w:rPr>
                <w:rFonts w:hint="eastAsia" w:ascii="仿宋" w:hAnsi="仿宋" w:eastAsia="仿宋" w:cs="仿宋"/>
                <w:b w:val="0"/>
                <w:sz w:val="21"/>
                <w:szCs w:val="21"/>
                <w:highlight w:val="none"/>
              </w:rPr>
              <w:t>2</w:t>
            </w:r>
            <w:r>
              <w:rPr>
                <w:rFonts w:hint="eastAsia" w:ascii="仿宋" w:hAnsi="仿宋" w:eastAsia="仿宋" w:cs="仿宋"/>
                <w:b w:val="0"/>
                <w:sz w:val="21"/>
                <w:szCs w:val="21"/>
                <w:highlight w:val="none"/>
                <w:lang w:val="en-US" w:eastAsia="zh-CN"/>
              </w:rPr>
              <w:t>0</w:t>
            </w:r>
          </w:p>
        </w:tc>
        <w:tc>
          <w:tcPr>
            <w:tcW w:w="1413" w:type="dxa"/>
            <w:vAlign w:val="center"/>
          </w:tcPr>
          <w:p>
            <w:pPr>
              <w:pStyle w:val="41"/>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20</w:t>
            </w:r>
          </w:p>
        </w:tc>
        <w:tc>
          <w:tcPr>
            <w:tcW w:w="1152" w:type="dxa"/>
            <w:vAlign w:val="center"/>
          </w:tcPr>
          <w:p>
            <w:pPr>
              <w:pStyle w:val="41"/>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30</w:t>
            </w:r>
          </w:p>
        </w:tc>
        <w:tc>
          <w:tcPr>
            <w:tcW w:w="1290" w:type="dxa"/>
            <w:vAlign w:val="center"/>
          </w:tcPr>
          <w:p>
            <w:pPr>
              <w:pStyle w:val="41"/>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30</w:t>
            </w:r>
          </w:p>
        </w:tc>
        <w:tc>
          <w:tcPr>
            <w:tcW w:w="1388" w:type="dxa"/>
            <w:vAlign w:val="center"/>
          </w:tcPr>
          <w:p>
            <w:pPr>
              <w:pStyle w:val="41"/>
              <w:rPr>
                <w:rFonts w:ascii="仿宋" w:hAnsi="仿宋" w:eastAsia="仿宋" w:cs="仿宋"/>
                <w:b w:val="0"/>
                <w:sz w:val="21"/>
                <w:szCs w:val="21"/>
                <w:highlight w:val="none"/>
              </w:rPr>
            </w:pPr>
            <w:r>
              <w:rPr>
                <w:rFonts w:hint="eastAsia" w:ascii="仿宋" w:hAnsi="仿宋" w:eastAsia="仿宋" w:cs="仿宋"/>
                <w:b w:val="0"/>
                <w:sz w:val="21"/>
                <w:szCs w:val="21"/>
                <w:highlight w:val="none"/>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1517" w:type="dxa"/>
            <w:vAlign w:val="center"/>
          </w:tcPr>
          <w:p>
            <w:pPr>
              <w:pStyle w:val="41"/>
              <w:rPr>
                <w:rFonts w:ascii="仿宋" w:hAnsi="仿宋" w:eastAsia="仿宋" w:cs="仿宋"/>
                <w:sz w:val="21"/>
                <w:szCs w:val="21"/>
                <w:highlight w:val="none"/>
              </w:rPr>
            </w:pPr>
            <w:r>
              <w:rPr>
                <w:rFonts w:hint="eastAsia" w:ascii="仿宋" w:hAnsi="仿宋" w:eastAsia="仿宋" w:cs="仿宋"/>
                <w:sz w:val="21"/>
                <w:szCs w:val="21"/>
                <w:highlight w:val="none"/>
              </w:rPr>
              <w:t>分值</w:t>
            </w:r>
          </w:p>
        </w:tc>
        <w:tc>
          <w:tcPr>
            <w:tcW w:w="1543" w:type="dxa"/>
            <w:vAlign w:val="center"/>
          </w:tcPr>
          <w:p>
            <w:pPr>
              <w:pStyle w:val="41"/>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20</w:t>
            </w:r>
          </w:p>
        </w:tc>
        <w:tc>
          <w:tcPr>
            <w:tcW w:w="1413" w:type="dxa"/>
            <w:vAlign w:val="center"/>
          </w:tcPr>
          <w:p>
            <w:pPr>
              <w:pStyle w:val="41"/>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19.96</w:t>
            </w:r>
          </w:p>
        </w:tc>
        <w:tc>
          <w:tcPr>
            <w:tcW w:w="1152" w:type="dxa"/>
            <w:vAlign w:val="center"/>
          </w:tcPr>
          <w:p>
            <w:pPr>
              <w:pStyle w:val="41"/>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30</w:t>
            </w:r>
          </w:p>
        </w:tc>
        <w:tc>
          <w:tcPr>
            <w:tcW w:w="1290" w:type="dxa"/>
            <w:vAlign w:val="center"/>
          </w:tcPr>
          <w:p>
            <w:pPr>
              <w:pStyle w:val="41"/>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30</w:t>
            </w:r>
          </w:p>
        </w:tc>
        <w:tc>
          <w:tcPr>
            <w:tcW w:w="1388" w:type="dxa"/>
            <w:vAlign w:val="center"/>
          </w:tcPr>
          <w:p>
            <w:pPr>
              <w:pStyle w:val="41"/>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99.96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1517" w:type="dxa"/>
            <w:vAlign w:val="center"/>
          </w:tcPr>
          <w:p>
            <w:pPr>
              <w:pStyle w:val="41"/>
              <w:rPr>
                <w:rFonts w:ascii="仿宋" w:hAnsi="仿宋" w:eastAsia="仿宋" w:cs="仿宋"/>
                <w:sz w:val="21"/>
                <w:szCs w:val="21"/>
                <w:highlight w:val="none"/>
              </w:rPr>
            </w:pPr>
            <w:r>
              <w:rPr>
                <w:rFonts w:hint="eastAsia" w:ascii="仿宋" w:hAnsi="仿宋" w:eastAsia="仿宋" w:cs="仿宋"/>
                <w:sz w:val="21"/>
                <w:szCs w:val="21"/>
                <w:highlight w:val="none"/>
              </w:rPr>
              <w:t>得分率</w:t>
            </w:r>
          </w:p>
        </w:tc>
        <w:tc>
          <w:tcPr>
            <w:tcW w:w="1543" w:type="dxa"/>
            <w:vAlign w:val="center"/>
          </w:tcPr>
          <w:p>
            <w:pPr>
              <w:pStyle w:val="41"/>
              <w:rPr>
                <w:rFonts w:ascii="仿宋" w:hAnsi="仿宋" w:eastAsia="仿宋" w:cs="仿宋"/>
                <w:b w:val="0"/>
                <w:sz w:val="21"/>
                <w:szCs w:val="21"/>
                <w:highlight w:val="none"/>
              </w:rPr>
            </w:pPr>
            <w:r>
              <w:rPr>
                <w:rFonts w:hint="eastAsia" w:ascii="仿宋" w:hAnsi="仿宋" w:eastAsia="仿宋" w:cs="仿宋"/>
                <w:b w:val="0"/>
                <w:sz w:val="21"/>
                <w:szCs w:val="21"/>
                <w:highlight w:val="none"/>
                <w:lang w:val="en-US" w:eastAsia="zh-CN"/>
              </w:rPr>
              <w:t>100</w:t>
            </w:r>
            <w:r>
              <w:rPr>
                <w:rFonts w:hint="eastAsia" w:ascii="仿宋" w:hAnsi="仿宋" w:eastAsia="仿宋" w:cs="仿宋"/>
                <w:b w:val="0"/>
                <w:sz w:val="21"/>
                <w:szCs w:val="21"/>
                <w:highlight w:val="none"/>
              </w:rPr>
              <w:t>%</w:t>
            </w:r>
          </w:p>
        </w:tc>
        <w:tc>
          <w:tcPr>
            <w:tcW w:w="1413" w:type="dxa"/>
            <w:vAlign w:val="center"/>
          </w:tcPr>
          <w:p>
            <w:pPr>
              <w:pStyle w:val="41"/>
              <w:rPr>
                <w:rFonts w:ascii="仿宋" w:hAnsi="仿宋" w:eastAsia="仿宋" w:cs="仿宋"/>
                <w:b w:val="0"/>
                <w:sz w:val="21"/>
                <w:szCs w:val="21"/>
                <w:highlight w:val="none"/>
              </w:rPr>
            </w:pPr>
            <w:r>
              <w:rPr>
                <w:rFonts w:hint="eastAsia" w:ascii="仿宋" w:hAnsi="仿宋" w:eastAsia="仿宋" w:cs="仿宋"/>
                <w:b w:val="0"/>
                <w:sz w:val="21"/>
                <w:szCs w:val="21"/>
                <w:highlight w:val="none"/>
                <w:lang w:val="en-US" w:eastAsia="zh-CN"/>
              </w:rPr>
              <w:t>99.8</w:t>
            </w:r>
            <w:r>
              <w:rPr>
                <w:rFonts w:hint="eastAsia" w:ascii="仿宋" w:hAnsi="仿宋" w:eastAsia="仿宋" w:cs="仿宋"/>
                <w:b w:val="0"/>
                <w:sz w:val="21"/>
                <w:szCs w:val="21"/>
                <w:highlight w:val="none"/>
              </w:rPr>
              <w:t>%</w:t>
            </w:r>
          </w:p>
        </w:tc>
        <w:tc>
          <w:tcPr>
            <w:tcW w:w="1152" w:type="dxa"/>
            <w:vAlign w:val="center"/>
          </w:tcPr>
          <w:p>
            <w:pPr>
              <w:pStyle w:val="41"/>
              <w:rPr>
                <w:rFonts w:hint="eastAsia" w:ascii="仿宋" w:hAnsi="仿宋" w:eastAsia="仿宋" w:cs="仿宋"/>
                <w:b w:val="0"/>
                <w:sz w:val="21"/>
                <w:szCs w:val="21"/>
                <w:highlight w:val="none"/>
              </w:rPr>
            </w:pPr>
            <w:r>
              <w:rPr>
                <w:rFonts w:hint="eastAsia" w:ascii="仿宋" w:hAnsi="仿宋" w:eastAsia="仿宋" w:cs="仿宋"/>
                <w:b w:val="0"/>
                <w:sz w:val="21"/>
                <w:szCs w:val="21"/>
                <w:highlight w:val="none"/>
                <w:lang w:val="en-US" w:eastAsia="zh-CN"/>
              </w:rPr>
              <w:t>100</w:t>
            </w:r>
            <w:r>
              <w:rPr>
                <w:rFonts w:hint="eastAsia" w:ascii="仿宋" w:hAnsi="仿宋" w:eastAsia="仿宋" w:cs="仿宋"/>
                <w:b w:val="0"/>
                <w:sz w:val="21"/>
                <w:szCs w:val="21"/>
                <w:highlight w:val="none"/>
              </w:rPr>
              <w:t>%</w:t>
            </w:r>
          </w:p>
        </w:tc>
        <w:tc>
          <w:tcPr>
            <w:tcW w:w="1290" w:type="dxa"/>
            <w:vAlign w:val="center"/>
          </w:tcPr>
          <w:p>
            <w:pPr>
              <w:pStyle w:val="41"/>
              <w:rPr>
                <w:rFonts w:ascii="仿宋" w:hAnsi="仿宋" w:eastAsia="仿宋" w:cs="仿宋"/>
                <w:b w:val="0"/>
                <w:sz w:val="21"/>
                <w:szCs w:val="21"/>
                <w:highlight w:val="none"/>
              </w:rPr>
            </w:pPr>
            <w:r>
              <w:rPr>
                <w:rFonts w:hint="eastAsia" w:ascii="仿宋" w:hAnsi="仿宋" w:eastAsia="仿宋" w:cs="仿宋"/>
                <w:b w:val="0"/>
                <w:sz w:val="21"/>
                <w:szCs w:val="21"/>
                <w:highlight w:val="none"/>
                <w:lang w:val="en-US" w:eastAsia="zh-CN"/>
              </w:rPr>
              <w:t>100</w:t>
            </w:r>
            <w:r>
              <w:rPr>
                <w:rFonts w:hint="eastAsia" w:ascii="仿宋" w:hAnsi="仿宋" w:eastAsia="仿宋" w:cs="仿宋"/>
                <w:b w:val="0"/>
                <w:sz w:val="21"/>
                <w:szCs w:val="21"/>
                <w:highlight w:val="none"/>
              </w:rPr>
              <w:t>%</w:t>
            </w:r>
          </w:p>
        </w:tc>
        <w:tc>
          <w:tcPr>
            <w:tcW w:w="1388" w:type="dxa"/>
            <w:vAlign w:val="center"/>
          </w:tcPr>
          <w:p>
            <w:pPr>
              <w:pStyle w:val="41"/>
              <w:rPr>
                <w:rFonts w:ascii="仿宋" w:hAnsi="仿宋" w:eastAsia="仿宋" w:cs="仿宋"/>
                <w:b w:val="0"/>
                <w:sz w:val="21"/>
                <w:szCs w:val="21"/>
                <w:highlight w:val="none"/>
              </w:rPr>
            </w:pPr>
            <w:r>
              <w:rPr>
                <w:rFonts w:hint="eastAsia" w:ascii="仿宋" w:hAnsi="仿宋" w:eastAsia="仿宋" w:cs="仿宋"/>
                <w:b w:val="0"/>
                <w:sz w:val="21"/>
                <w:szCs w:val="21"/>
                <w:highlight w:val="none"/>
                <w:lang w:val="en-US" w:eastAsia="zh-CN"/>
              </w:rPr>
              <w:t>99.96</w:t>
            </w:r>
            <w:r>
              <w:rPr>
                <w:rFonts w:hint="eastAsia" w:ascii="仿宋" w:hAnsi="仿宋" w:eastAsia="仿宋" w:cs="仿宋"/>
                <w:b w:val="0"/>
                <w:sz w:val="21"/>
                <w:szCs w:val="21"/>
                <w:highlight w:val="none"/>
              </w:rPr>
              <w:t>%</w:t>
            </w:r>
          </w:p>
        </w:tc>
      </w:tr>
    </w:tbl>
    <w:p>
      <w:pPr>
        <w:pStyle w:val="18"/>
        <w:ind w:firstLine="0" w:firstLineChars="0"/>
      </w:pPr>
    </w:p>
    <w:p>
      <w:pPr>
        <w:pStyle w:val="34"/>
        <w:numPr>
          <w:ilvl w:val="0"/>
          <w:numId w:val="5"/>
        </w:numPr>
        <w:adjustRightInd w:val="0"/>
        <w:snapToGrid w:val="0"/>
        <w:spacing w:line="560" w:lineRule="exact"/>
        <w:ind w:left="0" w:firstLine="643"/>
        <w:rPr>
          <w:rFonts w:ascii="仿宋_GB2312" w:hAnsi="仿宋" w:eastAsia="仿宋_GB2312" w:cs="宋体"/>
          <w:b/>
          <w:bCs/>
          <w:vanish/>
          <w:sz w:val="32"/>
          <w:szCs w:val="32"/>
        </w:rPr>
      </w:pPr>
      <w:r>
        <w:rPr>
          <w:rFonts w:hint="eastAsia" w:ascii="仿宋_GB2312" w:hAnsi="仿宋" w:eastAsia="仿宋_GB2312" w:cs="宋体"/>
          <w:b/>
          <w:bCs/>
          <w:vanish/>
          <w:sz w:val="32"/>
          <w:szCs w:val="32"/>
        </w:rPr>
        <w:t>评价结论</w:t>
      </w:r>
    </w:p>
    <w:p>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74" w:name="_Toc3803"/>
      <w:r>
        <w:rPr>
          <w:rFonts w:hint="eastAsia" w:ascii="仿宋_GB2312" w:hAnsi="仿宋" w:eastAsia="仿宋_GB2312" w:cs="宋体"/>
          <w:b/>
          <w:bCs/>
          <w:sz w:val="32"/>
          <w:szCs w:val="32"/>
        </w:rPr>
        <w:t>（二）项目总体评价结论</w:t>
      </w:r>
      <w:bookmarkEnd w:id="74"/>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yellow"/>
          <w:lang w:val="en-US" w:eastAsia="zh-CN" w:bidi="ar-SA"/>
        </w:rPr>
      </w:pPr>
      <w:r>
        <w:rPr>
          <w:rFonts w:hint="eastAsia" w:ascii="仿宋_GB2312" w:hAnsi="仿宋_GB2312" w:eastAsia="仿宋_GB2312" w:cs="仿宋_GB2312"/>
          <w:kern w:val="2"/>
          <w:sz w:val="32"/>
          <w:szCs w:val="32"/>
          <w:highlight w:val="none"/>
          <w:lang w:val="en-US" w:eastAsia="zh-CN" w:bidi="ar-SA"/>
        </w:rPr>
        <w:t>项目立项较规范，绩效目标合理，绩效指标明确，项目管理制度较健全，制度建设基本有效执行。项目总投资1635.00万元，财政资金到位率100%，实际支出1613.48万元，预算资金执行率98.68%。资金使用程序较规范，能够做到专项资金专款专用，未发现截留、挤占、挪用、虚列支出等情况。项目实施完成了为1635名生态护林员发放12个月的补助，剩余21.5209万元，因护林员动态调整，未支付。管护面积不低于500亩，通过该项目的实施，解决了1635名贫困户的就业问题，按照每人每年10000元的补助标准兑现补助资金，增加了贫困户的经济收入，对壮大我县护林队伍，保护森林资源，维护生态环境，增加社会投入，促进经济发展起了基础性作用，改善了绿洲人居环境、实现了生态建设与林果业产业协调发展。</w:t>
      </w:r>
    </w:p>
    <w:p>
      <w:pPr>
        <w:adjustRightInd w:val="0"/>
        <w:snapToGrid w:val="0"/>
        <w:spacing w:line="560" w:lineRule="exact"/>
        <w:ind w:firstLine="640" w:firstLineChars="200"/>
        <w:jc w:val="left"/>
        <w:outlineLvl w:val="0"/>
        <w:rPr>
          <w:rFonts w:hint="default" w:ascii="黑体" w:hAnsi="黑体" w:eastAsia="黑体" w:cs="宋体"/>
          <w:sz w:val="32"/>
          <w:szCs w:val="32"/>
          <w:highlight w:val="red"/>
          <w:lang w:val="en-US" w:eastAsia="zh-CN"/>
        </w:rPr>
      </w:pPr>
      <w:bookmarkStart w:id="75" w:name="_Toc7267"/>
      <w:r>
        <w:rPr>
          <w:rFonts w:hint="eastAsia" w:ascii="黑体" w:hAnsi="黑体" w:eastAsia="黑体" w:cs="宋体"/>
          <w:sz w:val="32"/>
          <w:szCs w:val="32"/>
          <w:highlight w:val="none"/>
        </w:rPr>
        <w:t>五、问题</w:t>
      </w:r>
      <w:bookmarkEnd w:id="75"/>
      <w:r>
        <w:rPr>
          <w:rFonts w:hint="eastAsia" w:ascii="黑体" w:hAnsi="黑体" w:eastAsia="黑体" w:cs="宋体"/>
          <w:sz w:val="32"/>
          <w:szCs w:val="32"/>
          <w:highlight w:val="none"/>
          <w:lang w:val="en-US" w:eastAsia="zh-CN"/>
        </w:rPr>
        <w:t>及建议</w:t>
      </w:r>
    </w:p>
    <w:p>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highlight w:val="none"/>
        </w:rPr>
      </w:pPr>
      <w:bookmarkStart w:id="76" w:name="_Toc2013"/>
      <w:bookmarkStart w:id="77" w:name="_Toc14039"/>
      <w:r>
        <w:rPr>
          <w:rFonts w:hint="eastAsia" w:ascii="仿宋_GB2312" w:hAnsi="仿宋" w:eastAsia="仿宋_GB2312" w:cs="宋体"/>
          <w:b/>
          <w:bCs/>
          <w:sz w:val="32"/>
          <w:szCs w:val="32"/>
          <w:highlight w:val="none"/>
        </w:rPr>
        <w:t>（一）问题</w:t>
      </w:r>
      <w:bookmarkEnd w:id="76"/>
    </w:p>
    <w:p>
      <w:pPr>
        <w:pStyle w:val="34"/>
        <w:adjustRightInd w:val="0"/>
        <w:snapToGrid w:val="0"/>
        <w:spacing w:line="560" w:lineRule="exact"/>
        <w:ind w:left="0" w:leftChars="0" w:firstLine="640" w:firstLineChars="200"/>
        <w:outlineLvl w:val="1"/>
        <w:rPr>
          <w:rFonts w:hint="eastAsia" w:ascii="仿宋_GB2312" w:hAnsi="仿宋_GB2312" w:eastAsia="仿宋_GB2312" w:cs="仿宋_GB2312"/>
          <w:sz w:val="32"/>
          <w:szCs w:val="32"/>
          <w:highlight w:val="none"/>
          <w:lang w:val="en-US" w:eastAsia="zh-CN"/>
        </w:rPr>
      </w:pPr>
      <w:bookmarkStart w:id="78" w:name="_Toc4075"/>
      <w:r>
        <w:rPr>
          <w:rFonts w:hint="eastAsia" w:ascii="仿宋_GB2312" w:hAnsi="仿宋_GB2312" w:eastAsia="仿宋_GB2312" w:cs="仿宋_GB2312"/>
          <w:sz w:val="32"/>
          <w:szCs w:val="32"/>
          <w:highlight w:val="none"/>
          <w:lang w:val="en-US" w:eastAsia="zh-CN"/>
        </w:rPr>
        <w:t>无。</w:t>
      </w:r>
    </w:p>
    <w:p>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highlight w:val="none"/>
        </w:rPr>
      </w:pPr>
      <w:r>
        <w:rPr>
          <w:rFonts w:hint="eastAsia" w:ascii="仿宋_GB2312" w:hAnsi="仿宋" w:eastAsia="仿宋_GB2312" w:cs="宋体"/>
          <w:b/>
          <w:bCs/>
          <w:sz w:val="32"/>
          <w:szCs w:val="32"/>
          <w:highlight w:val="none"/>
        </w:rPr>
        <w:t>（</w:t>
      </w:r>
      <w:r>
        <w:rPr>
          <w:rFonts w:hint="eastAsia" w:ascii="仿宋_GB2312" w:hAnsi="仿宋" w:eastAsia="仿宋_GB2312" w:cs="宋体"/>
          <w:b/>
          <w:bCs/>
          <w:sz w:val="32"/>
          <w:szCs w:val="32"/>
          <w:highlight w:val="none"/>
          <w:lang w:val="en-US" w:eastAsia="zh-CN"/>
        </w:rPr>
        <w:t>二</w:t>
      </w:r>
      <w:r>
        <w:rPr>
          <w:rFonts w:hint="eastAsia" w:ascii="仿宋_GB2312" w:hAnsi="仿宋" w:eastAsia="仿宋_GB2312" w:cs="宋体"/>
          <w:b/>
          <w:bCs/>
          <w:sz w:val="32"/>
          <w:szCs w:val="32"/>
          <w:highlight w:val="none"/>
        </w:rPr>
        <w:t>）意见和建议</w:t>
      </w:r>
      <w:bookmarkEnd w:id="78"/>
    </w:p>
    <w:p>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无。</w:t>
      </w:r>
    </w:p>
    <w:p>
      <w:pPr>
        <w:adjustRightInd w:val="0"/>
        <w:snapToGrid w:val="0"/>
        <w:spacing w:line="560" w:lineRule="exact"/>
        <w:ind w:firstLine="640" w:firstLineChars="200"/>
        <w:jc w:val="left"/>
        <w:outlineLvl w:val="0"/>
        <w:rPr>
          <w:rFonts w:ascii="黑体" w:hAnsi="黑体" w:eastAsia="黑体" w:cs="宋体"/>
          <w:sz w:val="32"/>
          <w:szCs w:val="32"/>
          <w:highlight w:val="none"/>
        </w:rPr>
      </w:pPr>
      <w:bookmarkStart w:id="79" w:name="_Toc17475"/>
      <w:r>
        <w:rPr>
          <w:rFonts w:hint="eastAsia" w:ascii="黑体" w:hAnsi="黑体" w:eastAsia="黑体" w:cs="宋体"/>
          <w:sz w:val="32"/>
          <w:szCs w:val="32"/>
          <w:highlight w:val="none"/>
        </w:rPr>
        <w:t>六、主要经验及做法</w:t>
      </w:r>
      <w:bookmarkEnd w:id="77"/>
      <w:bookmarkEnd w:id="79"/>
    </w:p>
    <w:p>
      <w:pPr>
        <w:pStyle w:val="34"/>
        <w:adjustRightInd w:val="0"/>
        <w:snapToGrid w:val="0"/>
        <w:spacing w:line="560" w:lineRule="exact"/>
        <w:ind w:left="0" w:leftChars="0" w:firstLine="643" w:firstLineChars="200"/>
        <w:outlineLvl w:val="1"/>
        <w:rPr>
          <w:rFonts w:ascii="仿宋_GB2312" w:hAnsi="仿宋" w:eastAsia="仿宋_GB2312" w:cs="宋体"/>
          <w:b/>
          <w:bCs/>
          <w:sz w:val="32"/>
          <w:szCs w:val="32"/>
        </w:rPr>
      </w:pPr>
      <w:bookmarkStart w:id="80" w:name="_Toc25465"/>
      <w:bookmarkStart w:id="81" w:name="_Toc32230"/>
      <w:bookmarkStart w:id="82" w:name="_Toc16919"/>
      <w:r>
        <w:rPr>
          <w:rFonts w:hint="eastAsia" w:ascii="仿宋_GB2312" w:hAnsi="仿宋" w:eastAsia="仿宋_GB2312" w:cs="宋体"/>
          <w:b/>
          <w:bCs/>
          <w:sz w:val="32"/>
          <w:szCs w:val="32"/>
        </w:rPr>
        <w:t>（一）项目实施过程有效监控</w:t>
      </w:r>
      <w:bookmarkEnd w:id="80"/>
      <w:bookmarkEnd w:id="81"/>
    </w:p>
    <w:p>
      <w:pPr>
        <w:adjustRightInd w:val="0"/>
        <w:snapToGrid w:val="0"/>
        <w:spacing w:line="560" w:lineRule="exact"/>
        <w:ind w:firstLine="640" w:firstLineChars="200"/>
        <w:rPr>
          <w:rFonts w:hint="eastAsia" w:ascii="仿宋_GB2312" w:hAnsi="仿宋_GB2312" w:eastAsia="仿宋_GB2312" w:cs="仿宋_GB2312"/>
          <w:sz w:val="32"/>
          <w:szCs w:val="32"/>
          <w:highlight w:val="none"/>
        </w:rPr>
      </w:pPr>
      <w:bookmarkStart w:id="83" w:name="_Toc22631"/>
      <w:bookmarkStart w:id="84" w:name="_Toc191"/>
      <w:r>
        <w:rPr>
          <w:rFonts w:hint="eastAsia" w:ascii="仿宋_GB2312" w:hAnsi="仿宋_GB2312" w:eastAsia="仿宋_GB2312" w:cs="仿宋_GB2312"/>
          <w:sz w:val="32"/>
          <w:szCs w:val="32"/>
          <w:highlight w:val="none"/>
          <w:lang w:val="en-US" w:eastAsia="zh-CN"/>
        </w:rPr>
        <w:t>洛浦县</w:t>
      </w:r>
      <w:r>
        <w:rPr>
          <w:rFonts w:hint="eastAsia" w:ascii="仿宋_GB2312" w:hAnsi="仿宋_GB2312" w:eastAsia="仿宋_GB2312" w:cs="仿宋_GB2312"/>
          <w:sz w:val="32"/>
          <w:szCs w:val="32"/>
          <w:highlight w:val="none"/>
        </w:rPr>
        <w:t>财政局</w:t>
      </w:r>
      <w:r>
        <w:rPr>
          <w:rFonts w:hint="eastAsia" w:ascii="仿宋_GB2312" w:hAnsi="仿宋_GB2312" w:eastAsia="仿宋_GB2312" w:cs="仿宋_GB2312"/>
          <w:sz w:val="32"/>
          <w:szCs w:val="32"/>
          <w:highlight w:val="none"/>
          <w:lang w:val="en-US" w:eastAsia="zh-CN"/>
        </w:rPr>
        <w:t>针对项目</w:t>
      </w:r>
      <w:r>
        <w:rPr>
          <w:rFonts w:hint="eastAsia" w:ascii="仿宋_GB2312" w:hAnsi="仿宋_GB2312" w:eastAsia="仿宋_GB2312" w:cs="仿宋_GB2312"/>
          <w:sz w:val="32"/>
          <w:szCs w:val="32"/>
          <w:highlight w:val="none"/>
        </w:rPr>
        <w:t>实施全过程</w:t>
      </w:r>
      <w:r>
        <w:rPr>
          <w:rFonts w:hint="eastAsia" w:ascii="仿宋_GB2312" w:hAnsi="仿宋_GB2312" w:eastAsia="仿宋_GB2312" w:cs="仿宋_GB2312"/>
          <w:sz w:val="32"/>
          <w:szCs w:val="32"/>
          <w:highlight w:val="none"/>
          <w:lang w:val="en-US" w:eastAsia="zh-CN"/>
        </w:rPr>
        <w:t>进行</w:t>
      </w:r>
      <w:r>
        <w:rPr>
          <w:rFonts w:hint="eastAsia" w:ascii="仿宋_GB2312" w:hAnsi="仿宋_GB2312" w:eastAsia="仿宋_GB2312" w:cs="仿宋_GB2312"/>
          <w:sz w:val="32"/>
          <w:szCs w:val="32"/>
          <w:highlight w:val="none"/>
        </w:rPr>
        <w:t>绩效管理</w:t>
      </w:r>
      <w:r>
        <w:rPr>
          <w:rFonts w:hint="eastAsia" w:ascii="仿宋_GB2312" w:hAnsi="仿宋_GB2312" w:eastAsia="仿宋_GB2312" w:cs="仿宋_GB2312"/>
          <w:sz w:val="32"/>
          <w:szCs w:val="32"/>
          <w:highlight w:val="none"/>
          <w:lang w:eastAsia="zh-CN"/>
        </w:rPr>
        <w:t>；根据</w:t>
      </w:r>
      <w:r>
        <w:rPr>
          <w:rFonts w:hint="eastAsia" w:ascii="仿宋_GB2312" w:hAnsi="仿宋_GB2312" w:eastAsia="仿宋_GB2312" w:cs="仿宋_GB2312"/>
          <w:sz w:val="32"/>
          <w:szCs w:val="32"/>
          <w:highlight w:val="none"/>
          <w:lang w:val="en-US" w:eastAsia="zh-CN"/>
        </w:rPr>
        <w:t>专项</w:t>
      </w:r>
      <w:r>
        <w:rPr>
          <w:rFonts w:hint="eastAsia" w:ascii="仿宋_GB2312" w:hAnsi="仿宋_GB2312" w:eastAsia="仿宋_GB2312" w:cs="仿宋_GB2312"/>
          <w:sz w:val="32"/>
          <w:szCs w:val="32"/>
          <w:highlight w:val="none"/>
          <w:lang w:eastAsia="zh-CN"/>
        </w:rPr>
        <w:t>资金管理工作，于</w:t>
      </w:r>
      <w:r>
        <w:rPr>
          <w:rFonts w:hint="eastAsia" w:ascii="仿宋_GB2312" w:hAnsi="仿宋_GB2312" w:eastAsia="仿宋_GB2312" w:cs="仿宋_GB2312"/>
          <w:sz w:val="32"/>
          <w:szCs w:val="32"/>
          <w:highlight w:val="none"/>
          <w:lang w:val="en-US" w:eastAsia="zh-CN"/>
        </w:rPr>
        <w:t>5月、8月</w:t>
      </w:r>
      <w:r>
        <w:rPr>
          <w:rFonts w:hint="eastAsia" w:ascii="仿宋_GB2312" w:hAnsi="仿宋_GB2312" w:eastAsia="仿宋_GB2312" w:cs="仿宋_GB2312"/>
          <w:sz w:val="32"/>
          <w:szCs w:val="32"/>
          <w:highlight w:val="none"/>
        </w:rPr>
        <w:t>对</w:t>
      </w:r>
      <w:r>
        <w:rPr>
          <w:rFonts w:hint="eastAsia" w:ascii="仿宋_GB2312" w:hAnsi="仿宋_GB2312" w:eastAsia="仿宋_GB2312" w:cs="仿宋_GB2312"/>
          <w:sz w:val="32"/>
          <w:szCs w:val="32"/>
          <w:highlight w:val="none"/>
          <w:lang w:eastAsia="zh-CN"/>
        </w:rPr>
        <w:t>该</w:t>
      </w:r>
      <w:r>
        <w:rPr>
          <w:rFonts w:hint="eastAsia" w:ascii="仿宋_GB2312" w:hAnsi="仿宋_GB2312" w:eastAsia="仿宋_GB2312" w:cs="仿宋_GB2312"/>
          <w:sz w:val="32"/>
          <w:szCs w:val="32"/>
          <w:highlight w:val="none"/>
        </w:rPr>
        <w:t>项目开展绩效监控，实行项目</w:t>
      </w:r>
      <w:r>
        <w:rPr>
          <w:rFonts w:hint="eastAsia" w:ascii="仿宋_GB2312" w:hAnsi="仿宋_GB2312" w:eastAsia="仿宋_GB2312" w:cs="仿宋_GB2312"/>
          <w:sz w:val="32"/>
          <w:szCs w:val="32"/>
          <w:highlight w:val="none"/>
          <w:lang w:eastAsia="zh-CN"/>
        </w:rPr>
        <w:t>预算执行率与</w:t>
      </w:r>
      <w:r>
        <w:rPr>
          <w:rFonts w:hint="eastAsia" w:ascii="仿宋_GB2312" w:hAnsi="仿宋_GB2312" w:eastAsia="仿宋_GB2312" w:cs="仿宋_GB2312"/>
          <w:sz w:val="32"/>
          <w:szCs w:val="32"/>
          <w:highlight w:val="none"/>
        </w:rPr>
        <w:t>工作完成进度双监控</w:t>
      </w:r>
      <w:r>
        <w:rPr>
          <w:rFonts w:hint="eastAsia" w:ascii="仿宋_GB2312" w:hAnsi="仿宋_GB2312" w:eastAsia="仿宋_GB2312" w:cs="仿宋_GB2312"/>
          <w:sz w:val="32"/>
          <w:szCs w:val="32"/>
          <w:highlight w:val="none"/>
          <w:lang w:eastAsia="zh-CN"/>
        </w:rPr>
        <w:t>，并</w:t>
      </w:r>
      <w:r>
        <w:rPr>
          <w:rFonts w:hint="eastAsia" w:ascii="仿宋_GB2312" w:hAnsi="仿宋_GB2312" w:eastAsia="仿宋_GB2312" w:cs="仿宋_GB2312"/>
          <w:sz w:val="32"/>
          <w:szCs w:val="32"/>
          <w:highlight w:val="none"/>
        </w:rPr>
        <w:t>全面把握资金使用效率和项目实施开展进度，督促相关责任人按期保质完成工作。</w:t>
      </w:r>
    </w:p>
    <w:p>
      <w:pPr>
        <w:adjustRightInd w:val="0"/>
        <w:snapToGrid w:val="0"/>
        <w:spacing w:line="560" w:lineRule="exact"/>
        <w:ind w:firstLine="640"/>
        <w:outlineLvl w:val="1"/>
        <w:rPr>
          <w:rFonts w:ascii="仿宋_GB2312" w:hAnsi="仿宋" w:eastAsia="仿宋_GB2312" w:cs="宋体"/>
          <w:b/>
          <w:bCs/>
          <w:sz w:val="32"/>
          <w:szCs w:val="32"/>
        </w:rPr>
      </w:pPr>
      <w:r>
        <w:rPr>
          <w:rFonts w:hint="eastAsia" w:ascii="仿宋_GB2312" w:hAnsi="仿宋" w:eastAsia="仿宋_GB2312" w:cs="宋体"/>
          <w:b/>
          <w:bCs/>
          <w:sz w:val="32"/>
          <w:szCs w:val="32"/>
        </w:rPr>
        <w:t>（二）强化领导，明确职责，合理安排使用资金</w:t>
      </w:r>
      <w:bookmarkEnd w:id="83"/>
      <w:bookmarkEnd w:id="84"/>
    </w:p>
    <w:bookmarkEnd w:id="82"/>
    <w:p>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bookmarkStart w:id="85" w:name="_Toc13108"/>
      <w:bookmarkStart w:id="86" w:name="_Toc20562"/>
      <w:bookmarkStart w:id="87" w:name="_Toc31915"/>
      <w:bookmarkStart w:id="88" w:name="_Toc14650"/>
      <w:bookmarkStart w:id="89" w:name="_Toc30107"/>
      <w:bookmarkStart w:id="90" w:name="_Toc24288"/>
      <w:bookmarkStart w:id="91" w:name="_Toc7837"/>
      <w:bookmarkStart w:id="92" w:name="_Toc14723"/>
      <w:bookmarkStart w:id="93" w:name="_Toc22725"/>
      <w:r>
        <w:rPr>
          <w:rFonts w:hint="eastAsia" w:ascii="仿宋_GB2312" w:hAnsi="仿宋_GB2312" w:eastAsia="仿宋_GB2312" w:cs="仿宋_GB2312"/>
          <w:sz w:val="32"/>
          <w:szCs w:val="32"/>
          <w:highlight w:val="none"/>
          <w:lang w:val="en-US" w:eastAsia="zh-CN"/>
        </w:rPr>
        <w:t>项目管理单位按照财务管理制度，认真落实项目工作任务，资金安排、资金配套数额、项目监管制度等方面做出了相应的规定，并高度重视，提高政治站位，牢固树立“花钱必问效、无效必问责”的绩效理念，切实增强绩效管理工作的主动性、积极性，对项目资金进行监管，从而提高资金的效益。</w:t>
      </w:r>
      <w:bookmarkEnd w:id="85"/>
      <w:bookmarkEnd w:id="86"/>
      <w:bookmarkEnd w:id="87"/>
    </w:p>
    <w:p>
      <w:pPr>
        <w:tabs>
          <w:tab w:val="left" w:pos="938"/>
        </w:tabs>
        <w:spacing w:line="560" w:lineRule="exact"/>
        <w:ind w:firstLine="640" w:firstLineChars="200"/>
        <w:outlineLvl w:val="0"/>
        <w:rPr>
          <w:rFonts w:ascii="黑体" w:hAnsi="黑体" w:eastAsia="黑体" w:cs="宋体"/>
          <w:sz w:val="32"/>
          <w:szCs w:val="32"/>
        </w:rPr>
      </w:pPr>
      <w:r>
        <w:rPr>
          <w:rFonts w:hint="eastAsia" w:ascii="黑体" w:hAnsi="黑体" w:eastAsia="黑体" w:cs="宋体"/>
          <w:sz w:val="32"/>
          <w:szCs w:val="32"/>
        </w:rPr>
        <w:t>七、评价结果应用建议</w:t>
      </w:r>
      <w:bookmarkEnd w:id="88"/>
      <w:bookmarkEnd w:id="89"/>
    </w:p>
    <w:p>
      <w:pPr>
        <w:spacing w:line="560" w:lineRule="exact"/>
        <w:ind w:firstLine="643" w:firstLineChars="200"/>
        <w:outlineLvl w:val="1"/>
        <w:rPr>
          <w:rFonts w:ascii="仿宋_GB2312" w:hAnsi="黑体" w:eastAsia="仿宋_GB2312" w:cs="Times New Roman"/>
          <w:b/>
          <w:bCs/>
          <w:sz w:val="32"/>
          <w:szCs w:val="32"/>
        </w:rPr>
      </w:pPr>
      <w:bookmarkStart w:id="94" w:name="_Toc6072"/>
      <w:r>
        <w:rPr>
          <w:rFonts w:hint="eastAsia" w:ascii="仿宋_GB2312" w:hAnsi="黑体" w:eastAsia="仿宋_GB2312" w:cs="Times New Roman"/>
          <w:b/>
          <w:bCs/>
          <w:sz w:val="32"/>
          <w:szCs w:val="32"/>
        </w:rPr>
        <w:t>（一）及时对发现的问题进行整改</w:t>
      </w:r>
      <w:bookmarkEnd w:id="90"/>
      <w:bookmarkEnd w:id="94"/>
    </w:p>
    <w:p>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bookmarkStart w:id="95" w:name="_Toc20240"/>
      <w:bookmarkStart w:id="96" w:name="_Toc31513"/>
      <w:r>
        <w:rPr>
          <w:rFonts w:hint="eastAsia" w:ascii="仿宋_GB2312" w:hAnsi="仿宋_GB2312" w:eastAsia="仿宋_GB2312" w:cs="仿宋_GB2312"/>
          <w:sz w:val="32"/>
          <w:szCs w:val="32"/>
          <w:highlight w:val="none"/>
          <w:lang w:val="en-US" w:eastAsia="zh-CN"/>
        </w:rPr>
        <w:t>在绩效管理工作中，针对绩效评价中发现的问题，建议项目管理单位进行梳理，对能够整改的问题及时进行整改，并将整改过程及佐证资料形成档案，提交财政局进行备案，不能整改的问题以后加强管理，切实提高财政资源配置效率和使用效益。</w:t>
      </w:r>
    </w:p>
    <w:p>
      <w:pPr>
        <w:numPr>
          <w:ilvl w:val="0"/>
          <w:numId w:val="10"/>
        </w:numPr>
        <w:spacing w:line="560" w:lineRule="exact"/>
        <w:ind w:firstLine="643" w:firstLineChars="200"/>
        <w:outlineLvl w:val="1"/>
        <w:rPr>
          <w:rFonts w:hint="eastAsia" w:ascii="仿宋_GB2312" w:hAnsi="黑体" w:eastAsia="仿宋_GB2312" w:cs="Times New Roman"/>
          <w:b/>
          <w:bCs/>
          <w:sz w:val="32"/>
          <w:szCs w:val="32"/>
        </w:rPr>
      </w:pPr>
      <w:r>
        <w:rPr>
          <w:rFonts w:hint="eastAsia" w:ascii="仿宋_GB2312" w:hAnsi="黑体" w:eastAsia="仿宋_GB2312" w:cs="Times New Roman"/>
          <w:b/>
          <w:bCs/>
          <w:sz w:val="32"/>
          <w:szCs w:val="32"/>
        </w:rPr>
        <w:t>建立绩效评价结果应用制度</w:t>
      </w:r>
      <w:bookmarkEnd w:id="95"/>
      <w:bookmarkEnd w:id="96"/>
    </w:p>
    <w:p>
      <w:pPr>
        <w:pStyle w:val="18"/>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绩效评价结果应用，既是开展绩效评价工作的基本前提，又是加强财政支出管理、增强资金绩效理念、合理配置公共资源、优化财政支出结构、强化资金管理水平、提高资金使用效益的重要手段。为使绩效评价结果得到合理应用，应将此次绩效评价结果作为以后年度建设资金分配的重要依据。应将此次绩效评价结果作为以后年度建设资金分配的重要依据。</w:t>
      </w:r>
    </w:p>
    <w:p>
      <w:pPr>
        <w:tabs>
          <w:tab w:val="left" w:pos="938"/>
        </w:tabs>
        <w:spacing w:line="560" w:lineRule="exact"/>
        <w:ind w:firstLine="640" w:firstLineChars="200"/>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1.建议建立实施绩效评价结果公开制度（结果反馈制度、结果共享制度、结果报告制度、结果公示制度）；</w:t>
      </w:r>
    </w:p>
    <w:p>
      <w:pPr>
        <w:tabs>
          <w:tab w:val="left" w:pos="938"/>
        </w:tabs>
        <w:spacing w:line="560" w:lineRule="exact"/>
        <w:ind w:firstLine="640" w:firstLineChars="200"/>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2.建议建立绩效评价结果通报、约谈和问责机制；</w:t>
      </w:r>
    </w:p>
    <w:p>
      <w:pPr>
        <w:tabs>
          <w:tab w:val="left" w:pos="938"/>
        </w:tabs>
        <w:spacing w:line="560" w:lineRule="exact"/>
        <w:ind w:firstLine="640" w:firstLineChars="200"/>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3.建议建立绩效评价结果在部门预算中激励与约束挂钩机制；</w:t>
      </w:r>
    </w:p>
    <w:p>
      <w:pPr>
        <w:tabs>
          <w:tab w:val="left" w:pos="938"/>
        </w:tabs>
        <w:spacing w:line="56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kern w:val="2"/>
          <w:sz w:val="32"/>
          <w:szCs w:val="32"/>
          <w:highlight w:val="none"/>
          <w:lang w:val="en-US" w:eastAsia="zh-CN" w:bidi="ar-SA"/>
        </w:rPr>
        <w:t>4.建议建立评价结果惩处机制。</w:t>
      </w:r>
    </w:p>
    <w:p>
      <w:pPr>
        <w:spacing w:line="560" w:lineRule="exact"/>
        <w:ind w:firstLine="643" w:firstLineChars="200"/>
        <w:outlineLvl w:val="1"/>
        <w:rPr>
          <w:rFonts w:ascii="仿宋_GB2312" w:hAnsi="黑体" w:eastAsia="仿宋_GB2312" w:cs="Times New Roman"/>
          <w:b/>
          <w:bCs/>
          <w:sz w:val="32"/>
          <w:szCs w:val="32"/>
        </w:rPr>
      </w:pPr>
      <w:bookmarkStart w:id="97" w:name="_Toc10628"/>
      <w:bookmarkStart w:id="98" w:name="_Toc5443"/>
      <w:r>
        <w:rPr>
          <w:rFonts w:hint="eastAsia" w:ascii="仿宋_GB2312" w:hAnsi="黑体" w:eastAsia="仿宋_GB2312" w:cs="Times New Roman"/>
          <w:b/>
          <w:bCs/>
          <w:sz w:val="32"/>
          <w:szCs w:val="32"/>
        </w:rPr>
        <w:t>（三）</w:t>
      </w:r>
      <w:r>
        <w:rPr>
          <w:rFonts w:hint="eastAsia" w:ascii="仿宋_GB2312" w:hAnsi="黑体" w:eastAsia="仿宋_GB2312" w:cs="Times New Roman"/>
          <w:b/>
          <w:bCs/>
          <w:sz w:val="32"/>
          <w:szCs w:val="32"/>
          <w:lang w:val="en-US" w:eastAsia="zh-CN"/>
        </w:rPr>
        <w:t>强化</w:t>
      </w:r>
      <w:r>
        <w:rPr>
          <w:rFonts w:hint="eastAsia" w:ascii="仿宋_GB2312" w:hAnsi="黑体" w:eastAsia="仿宋_GB2312" w:cs="Times New Roman"/>
          <w:b/>
          <w:bCs/>
          <w:sz w:val="32"/>
          <w:szCs w:val="32"/>
        </w:rPr>
        <w:t>绩效评价结果应用</w:t>
      </w:r>
      <w:bookmarkEnd w:id="97"/>
      <w:bookmarkEnd w:id="98"/>
    </w:p>
    <w:p>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一是严格落实评价结果与预算安排挂钩制度。要严格执行《洛浦县财政支出绩效评价结果应用暂行办法》文件规定，充分应用评价结果，对低效无效资金一律削减或取消。</w:t>
      </w:r>
    </w:p>
    <w:p>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二是将此次评价工作开展情况及评价结果纳入洛浦县全面实施预算绩效管理年度综合评价考核范畴，年终形成总结报告，上报县政府、发改委和县人大。</w:t>
      </w:r>
    </w:p>
    <w:p>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三是进一步加大对评价结果的应用，洛浦县2021年度项目绩效评价情况，可作为以后年度部门单位项目预算编制和安排财政资金的重要依据。</w:t>
      </w:r>
    </w:p>
    <w:p>
      <w:pPr>
        <w:spacing w:line="560" w:lineRule="exact"/>
        <w:ind w:firstLine="643" w:firstLineChars="200"/>
        <w:outlineLvl w:val="1"/>
        <w:rPr>
          <w:rFonts w:ascii="仿宋_GB2312" w:hAnsi="黑体" w:eastAsia="仿宋_GB2312" w:cs="Times New Roman"/>
          <w:b/>
          <w:bCs/>
          <w:sz w:val="32"/>
          <w:szCs w:val="32"/>
        </w:rPr>
      </w:pPr>
      <w:bookmarkStart w:id="99" w:name="_Toc4069"/>
      <w:bookmarkStart w:id="100" w:name="_Toc13172"/>
      <w:r>
        <w:rPr>
          <w:rFonts w:hint="eastAsia" w:ascii="仿宋_GB2312" w:hAnsi="黑体" w:eastAsia="仿宋_GB2312" w:cs="Times New Roman"/>
          <w:b/>
          <w:bCs/>
          <w:sz w:val="32"/>
          <w:szCs w:val="32"/>
        </w:rPr>
        <w:t>（四）评价结果公开</w:t>
      </w:r>
      <w:bookmarkEnd w:id="99"/>
      <w:bookmarkEnd w:id="100"/>
    </w:p>
    <w:p>
      <w:pPr>
        <w:tabs>
          <w:tab w:val="left" w:pos="938"/>
        </w:tabs>
        <w:spacing w:line="560" w:lineRule="exact"/>
        <w:ind w:firstLine="640" w:firstLineChars="200"/>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建议按照政府信息公开管理的相关规定将绩效评价结果（涉密信息除外）向社会公开评价结果，提高工作透明度，接受社会公众的监督。</w:t>
      </w:r>
      <w:bookmarkEnd w:id="91"/>
    </w:p>
    <w:p>
      <w:pPr>
        <w:tabs>
          <w:tab w:val="left" w:pos="938"/>
        </w:tabs>
        <w:spacing w:line="560" w:lineRule="exact"/>
        <w:ind w:firstLine="640" w:firstLineChars="200"/>
        <w:outlineLvl w:val="0"/>
        <w:rPr>
          <w:rFonts w:hint="eastAsia" w:ascii="黑体" w:hAnsi="黑体" w:eastAsia="黑体" w:cs="宋体"/>
          <w:sz w:val="32"/>
          <w:szCs w:val="32"/>
          <w:lang w:val="en-US" w:eastAsia="zh-CN"/>
        </w:rPr>
      </w:pPr>
      <w:bookmarkStart w:id="101" w:name="_Toc17018"/>
      <w:r>
        <w:rPr>
          <w:rFonts w:hint="eastAsia" w:ascii="黑体" w:hAnsi="黑体" w:eastAsia="黑体" w:cs="宋体"/>
          <w:sz w:val="32"/>
          <w:szCs w:val="32"/>
          <w:lang w:val="en-US" w:eastAsia="zh-CN"/>
        </w:rPr>
        <w:t>八、其他需说明的问题</w:t>
      </w:r>
      <w:bookmarkEnd w:id="92"/>
      <w:bookmarkEnd w:id="93"/>
      <w:bookmarkEnd w:id="101"/>
    </w:p>
    <w:p>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第一，该项目部分间接产生的效果无法准确在短期内衡量，因此很难认定项目产生的全部效果。通过指标来反映绩效，指标的科学性和全面性需要不断地完善和研究。</w:t>
      </w:r>
    </w:p>
    <w:p>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第二，评价结果作为安排政府预算、完善政策和改进管理的重要依据。原则上，对评价等级为优、良的，根据情况予以支持；对评价等级为中、差的，要完善政策、改进管理，根据情况核减预算。</w:t>
      </w:r>
    </w:p>
    <w:p>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第三，评价结果分别编入政府决算和部门预算，报送本级人民代表大会常务委员会，并依法予以公开。</w:t>
      </w:r>
    </w:p>
    <w:p>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第四，对使用财政资金严重低效无效并造成重大损失的责任人，要按照相关规定追责问责。对绩效评价过程中发现的资金使用单位和个人的财政违法行为，依照《中华人民共和国预算法》、《财政违法行为处罚处分条例》等有关规定追究责任；发现违纪违法问题线索的，应当及时移送纪检监察机关。</w:t>
      </w:r>
    </w:p>
    <w:p>
      <w:pPr>
        <w:pStyle w:val="18"/>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第五，各级财政部门、预算部门和单位及其工作人员在绩效评价管理工作中存在违反《项目支出绩效评价管理办法》（财预〔2020〕10号）文件行为，以及其他滥用职权、玩忽职守、徇私舞弊等违法违纪行为的，依照《中华人民共和国预算法》、《中华人民共和国公务员法》、《中华人民共和国监察法》、《财政违法行为处罚处分条例》等国家有关规定追究相应责任；涉嫌犯罪的，依法移送司法机关处理。</w:t>
      </w:r>
    </w:p>
    <w:p>
      <w:pPr>
        <w:adjustRightInd w:val="0"/>
        <w:snapToGrid w:val="0"/>
        <w:spacing w:line="560" w:lineRule="exact"/>
        <w:ind w:firstLine="640" w:firstLineChars="200"/>
        <w:jc w:val="left"/>
        <w:outlineLvl w:val="0"/>
        <w:rPr>
          <w:rFonts w:ascii="黑体" w:hAnsi="黑体" w:eastAsia="黑体" w:cs="宋体"/>
          <w:sz w:val="32"/>
          <w:szCs w:val="32"/>
        </w:rPr>
      </w:pPr>
      <w:bookmarkStart w:id="102" w:name="_Toc25791"/>
      <w:r>
        <w:rPr>
          <w:rFonts w:hint="eastAsia" w:ascii="黑体" w:hAnsi="黑体" w:eastAsia="黑体" w:cs="宋体"/>
          <w:sz w:val="32"/>
          <w:szCs w:val="32"/>
        </w:rPr>
        <w:t>九、附件</w:t>
      </w:r>
      <w:bookmarkEnd w:id="102"/>
    </w:p>
    <w:bookmarkEnd w:id="30"/>
    <w:p>
      <w:pPr>
        <w:pStyle w:val="34"/>
        <w:numPr>
          <w:ilvl w:val="0"/>
          <w:numId w:val="5"/>
        </w:numPr>
        <w:adjustRightInd w:val="0"/>
        <w:snapToGrid w:val="0"/>
        <w:spacing w:line="560" w:lineRule="exact"/>
        <w:ind w:left="0" w:firstLine="643"/>
        <w:rPr>
          <w:rFonts w:ascii="仿宋_GB2312" w:hAnsi="仿宋" w:eastAsia="仿宋_GB2312" w:cs="宋体"/>
          <w:b/>
          <w:bCs/>
          <w:vanish/>
          <w:sz w:val="32"/>
          <w:szCs w:val="32"/>
        </w:rPr>
      </w:pPr>
      <w:r>
        <w:rPr>
          <w:rFonts w:hint="eastAsia" w:ascii="仿宋_GB2312" w:hAnsi="仿宋" w:eastAsia="仿宋_GB2312" w:cs="宋体"/>
          <w:b/>
          <w:bCs/>
          <w:vanish/>
          <w:sz w:val="32"/>
          <w:szCs w:val="32"/>
        </w:rPr>
        <w:t>附件</w:t>
      </w:r>
    </w:p>
    <w:p>
      <w:pPr>
        <w:pStyle w:val="34"/>
        <w:spacing w:line="560" w:lineRule="exact"/>
        <w:ind w:firstLine="640"/>
        <w:outlineLvl w:val="0"/>
        <w:rPr>
          <w:rFonts w:hint="default" w:ascii="仿宋_GB2312" w:hAnsi="仿宋_GB2312" w:eastAsia="仿宋_GB2312" w:cs="仿宋_GB2312"/>
          <w:kern w:val="2"/>
          <w:sz w:val="32"/>
          <w:szCs w:val="32"/>
          <w:highlight w:val="none"/>
          <w:lang w:val="en-US" w:eastAsia="zh-CN" w:bidi="ar-SA"/>
        </w:rPr>
      </w:pPr>
      <w:bookmarkStart w:id="103" w:name="_Toc13969"/>
      <w:bookmarkStart w:id="104" w:name="_Toc9070"/>
      <w:bookmarkStart w:id="105" w:name="_Toc5066"/>
      <w:bookmarkStart w:id="106" w:name="_Toc3379"/>
      <w:bookmarkStart w:id="107" w:name="_Toc11156"/>
      <w:r>
        <w:rPr>
          <w:rFonts w:hint="eastAsia" w:ascii="仿宋_GB2312" w:hAnsi="仿宋_GB2312" w:eastAsia="仿宋_GB2312" w:cs="仿宋_GB2312"/>
          <w:kern w:val="2"/>
          <w:sz w:val="32"/>
          <w:szCs w:val="32"/>
          <w:highlight w:val="none"/>
          <w:lang w:val="en-US" w:eastAsia="zh-CN" w:bidi="ar-SA"/>
        </w:rPr>
        <w:t>附件一、2021年中央林业草原生态保护恢复-生态护林员补助项目项目支出绩效评价指标体系</w:t>
      </w:r>
      <w:bookmarkEnd w:id="103"/>
      <w:bookmarkEnd w:id="104"/>
      <w:bookmarkEnd w:id="105"/>
      <w:bookmarkEnd w:id="106"/>
      <w:bookmarkEnd w:id="107"/>
    </w:p>
    <w:p>
      <w:pPr>
        <w:pStyle w:val="34"/>
        <w:spacing w:line="560" w:lineRule="exact"/>
        <w:ind w:firstLine="640"/>
        <w:outlineLvl w:val="0"/>
        <w:rPr>
          <w:rFonts w:hint="default" w:ascii="仿宋_GB2312" w:hAnsi="仿宋_GB2312" w:eastAsia="仿宋_GB2312" w:cs="仿宋_GB2312"/>
          <w:kern w:val="2"/>
          <w:sz w:val="32"/>
          <w:szCs w:val="32"/>
          <w:highlight w:val="none"/>
          <w:lang w:val="en-US" w:eastAsia="zh-CN" w:bidi="ar-SA"/>
        </w:rPr>
      </w:pPr>
      <w:bookmarkStart w:id="108" w:name="_Toc17647"/>
      <w:bookmarkStart w:id="109" w:name="_Toc32762"/>
      <w:bookmarkStart w:id="110" w:name="_Toc5753"/>
      <w:bookmarkStart w:id="111" w:name="_Toc19426"/>
      <w:bookmarkStart w:id="112" w:name="_Toc31506"/>
      <w:r>
        <w:rPr>
          <w:rFonts w:hint="eastAsia" w:ascii="仿宋_GB2312" w:hAnsi="仿宋_GB2312" w:eastAsia="仿宋_GB2312" w:cs="仿宋_GB2312"/>
          <w:kern w:val="2"/>
          <w:sz w:val="32"/>
          <w:szCs w:val="32"/>
          <w:highlight w:val="none"/>
          <w:lang w:val="en-US" w:eastAsia="zh-CN" w:bidi="ar-SA"/>
        </w:rPr>
        <w:t>附件二、2021年中央林业草原生态保护恢复-生态护林员补助项目项目资金使用明细表</w:t>
      </w:r>
      <w:bookmarkEnd w:id="108"/>
      <w:bookmarkEnd w:id="109"/>
      <w:bookmarkEnd w:id="110"/>
      <w:bookmarkEnd w:id="111"/>
      <w:bookmarkEnd w:id="112"/>
    </w:p>
    <w:p>
      <w:pPr>
        <w:pStyle w:val="34"/>
        <w:spacing w:line="560" w:lineRule="exact"/>
        <w:ind w:firstLine="640"/>
        <w:outlineLvl w:val="0"/>
        <w:rPr>
          <w:rFonts w:hint="eastAsia" w:ascii="仿宋_GB2312" w:hAnsi="仿宋_GB2312" w:eastAsia="仿宋_GB2312" w:cs="仿宋_GB2312"/>
          <w:kern w:val="2"/>
          <w:sz w:val="32"/>
          <w:szCs w:val="32"/>
          <w:highlight w:val="none"/>
          <w:lang w:val="en-US" w:eastAsia="zh-CN" w:bidi="ar-SA"/>
        </w:rPr>
      </w:pPr>
      <w:bookmarkStart w:id="113" w:name="_Toc27746"/>
      <w:bookmarkStart w:id="114" w:name="_Toc21161"/>
      <w:bookmarkStart w:id="115" w:name="_Toc16544"/>
      <w:bookmarkStart w:id="116" w:name="_Toc22995"/>
      <w:bookmarkStart w:id="117" w:name="_Toc27332"/>
      <w:r>
        <w:rPr>
          <w:rFonts w:hint="eastAsia" w:ascii="仿宋_GB2312" w:hAnsi="仿宋_GB2312" w:eastAsia="仿宋_GB2312" w:cs="仿宋_GB2312"/>
          <w:kern w:val="2"/>
          <w:sz w:val="32"/>
          <w:szCs w:val="32"/>
          <w:highlight w:val="none"/>
          <w:lang w:val="en-US" w:eastAsia="zh-CN" w:bidi="ar-SA"/>
        </w:rPr>
        <w:t>附件三、2021年中央林业草原生态保护恢复-生态护林员补助项目项目绩效评价工作记录单</w:t>
      </w:r>
      <w:bookmarkEnd w:id="113"/>
      <w:bookmarkEnd w:id="114"/>
      <w:bookmarkEnd w:id="115"/>
      <w:bookmarkEnd w:id="116"/>
      <w:bookmarkEnd w:id="117"/>
      <w:bookmarkStart w:id="118" w:name="_Toc16822"/>
      <w:bookmarkStart w:id="119" w:name="_Toc20564"/>
      <w:bookmarkStart w:id="120" w:name="_Toc18769"/>
    </w:p>
    <w:p>
      <w:pPr>
        <w:pStyle w:val="34"/>
        <w:spacing w:line="560" w:lineRule="exact"/>
        <w:ind w:firstLine="640"/>
        <w:outlineLvl w:val="0"/>
        <w:rPr>
          <w:rFonts w:hint="default" w:ascii="仿宋_GB2312" w:hAnsi="仿宋_GB2312" w:eastAsia="仿宋_GB2312" w:cs="仿宋_GB2312"/>
          <w:kern w:val="2"/>
          <w:sz w:val="32"/>
          <w:szCs w:val="32"/>
          <w:highlight w:val="none"/>
          <w:lang w:val="en-US" w:eastAsia="zh-CN" w:bidi="ar-SA"/>
        </w:rPr>
      </w:pPr>
      <w:bookmarkStart w:id="121" w:name="_Toc27218"/>
      <w:r>
        <w:rPr>
          <w:rFonts w:hint="eastAsia" w:ascii="仿宋_GB2312" w:hAnsi="仿宋_GB2312" w:eastAsia="仿宋_GB2312" w:cs="仿宋_GB2312"/>
          <w:kern w:val="2"/>
          <w:sz w:val="32"/>
          <w:szCs w:val="32"/>
          <w:highlight w:val="none"/>
          <w:lang w:val="en-US" w:eastAsia="zh-CN" w:bidi="ar-SA"/>
        </w:rPr>
        <w:t>附件四、2021年中央林业草原生态保护恢复-生态护林员补助项目项目调查问卷统计表</w:t>
      </w:r>
      <w:bookmarkEnd w:id="118"/>
      <w:bookmarkEnd w:id="119"/>
      <w:bookmarkEnd w:id="120"/>
      <w:bookmarkEnd w:id="121"/>
    </w:p>
    <w:p>
      <w:pPr>
        <w:widowControl/>
        <w:adjustRightInd w:val="0"/>
        <w:snapToGrid w:val="0"/>
        <w:spacing w:line="560" w:lineRule="exact"/>
        <w:jc w:val="left"/>
        <w:rPr>
          <w:rFonts w:hint="default" w:ascii="仿宋_GB2312" w:hAnsi="仿宋_GB2312" w:eastAsia="仿宋_GB2312" w:cs="仿宋_GB2312"/>
          <w:kern w:val="2"/>
          <w:sz w:val="32"/>
          <w:szCs w:val="32"/>
          <w:highlight w:val="none"/>
          <w:lang w:val="en-US" w:eastAsia="zh-CN" w:bidi="ar-SA"/>
        </w:rPr>
      </w:pPr>
    </w:p>
    <w:p>
      <w:pPr>
        <w:pStyle w:val="5"/>
        <w:rPr>
          <w:rFonts w:hint="default"/>
          <w:lang w:val="en-US" w:eastAsia="zh-CN"/>
        </w:rPr>
      </w:pPr>
    </w:p>
    <w:p>
      <w:pPr>
        <w:spacing w:line="560" w:lineRule="exact"/>
        <w:ind w:firstLine="640" w:firstLineChars="200"/>
        <w:jc w:val="right"/>
        <w:rPr>
          <w:rFonts w:ascii="仿宋_GB2312" w:hAnsi="仿宋" w:eastAsia="仿宋_GB2312" w:cs="宋体"/>
          <w:sz w:val="32"/>
          <w:szCs w:val="32"/>
          <w:lang w:bidi="ar"/>
        </w:rPr>
      </w:pPr>
      <w:r>
        <w:rPr>
          <w:rFonts w:hint="eastAsia" w:ascii="仿宋_GB2312" w:hAnsi="仿宋" w:eastAsia="仿宋_GB2312" w:cs="宋体"/>
          <w:sz w:val="32"/>
          <w:szCs w:val="32"/>
          <w:lang w:bidi="ar"/>
        </w:rPr>
        <w:t>中瑞诚会计师事务所</w:t>
      </w:r>
      <w:r>
        <w:rPr>
          <w:rFonts w:hint="eastAsia" w:ascii="仿宋_GB2312" w:hAnsi="仿宋" w:eastAsia="仿宋_GB2312" w:cs="宋体"/>
          <w:sz w:val="32"/>
          <w:szCs w:val="32"/>
          <w:lang w:eastAsia="zh-CN" w:bidi="ar"/>
        </w:rPr>
        <w:t>（特殊普通合伙）</w:t>
      </w:r>
      <w:r>
        <w:rPr>
          <w:rFonts w:hint="eastAsia" w:ascii="仿宋_GB2312" w:hAnsi="仿宋" w:eastAsia="仿宋_GB2312" w:cs="宋体"/>
          <w:sz w:val="32"/>
          <w:szCs w:val="32"/>
          <w:lang w:bidi="ar"/>
        </w:rPr>
        <w:t>喀什分所</w:t>
      </w:r>
    </w:p>
    <w:p>
      <w:pPr>
        <w:spacing w:line="560" w:lineRule="exact"/>
        <w:ind w:firstLine="3827" w:firstLineChars="1196"/>
        <w:jc w:val="right"/>
        <w:rPr>
          <w:rFonts w:ascii="仿宋_GB2312" w:hAnsi="仿宋" w:eastAsia="仿宋_GB2312" w:cs="宋体"/>
          <w:sz w:val="32"/>
          <w:szCs w:val="32"/>
          <w:lang w:bidi="ar"/>
        </w:rPr>
      </w:pPr>
      <w:r>
        <w:rPr>
          <w:rFonts w:hint="eastAsia" w:ascii="仿宋_GB2312" w:hAnsi="仿宋" w:eastAsia="仿宋_GB2312" w:cs="宋体"/>
          <w:sz w:val="32"/>
          <w:szCs w:val="32"/>
          <w:lang w:bidi="ar"/>
        </w:rPr>
        <w:t xml:space="preserve">  </w:t>
      </w:r>
      <w:r>
        <w:rPr>
          <w:rFonts w:hint="eastAsia" w:ascii="仿宋_GB2312" w:hAnsi="仿宋" w:eastAsia="仿宋_GB2312" w:cs="宋体"/>
          <w:sz w:val="32"/>
          <w:szCs w:val="32"/>
          <w:lang w:eastAsia="zh-CN" w:bidi="ar"/>
        </w:rPr>
        <w:t>202</w:t>
      </w:r>
      <w:r>
        <w:rPr>
          <w:rFonts w:hint="eastAsia" w:ascii="仿宋_GB2312" w:hAnsi="仿宋" w:eastAsia="仿宋_GB2312" w:cs="宋体"/>
          <w:sz w:val="32"/>
          <w:szCs w:val="32"/>
          <w:lang w:val="en-US" w:eastAsia="zh-CN" w:bidi="ar"/>
        </w:rPr>
        <w:t>2</w:t>
      </w:r>
      <w:r>
        <w:rPr>
          <w:rFonts w:hint="eastAsia" w:ascii="仿宋_GB2312" w:hAnsi="仿宋" w:eastAsia="仿宋_GB2312" w:cs="宋体"/>
          <w:sz w:val="32"/>
          <w:szCs w:val="32"/>
          <w:highlight w:val="none"/>
          <w:lang w:bidi="ar"/>
        </w:rPr>
        <w:t>年</w:t>
      </w:r>
      <w:r>
        <w:rPr>
          <w:rFonts w:hint="eastAsia" w:ascii="仿宋_GB2312" w:hAnsi="仿宋" w:eastAsia="仿宋_GB2312" w:cs="宋体"/>
          <w:sz w:val="32"/>
          <w:szCs w:val="32"/>
          <w:highlight w:val="none"/>
          <w:lang w:val="en-US" w:eastAsia="zh-CN" w:bidi="ar"/>
        </w:rPr>
        <w:t>06</w:t>
      </w:r>
      <w:r>
        <w:rPr>
          <w:rFonts w:hint="eastAsia" w:ascii="仿宋_GB2312" w:hAnsi="仿宋" w:eastAsia="仿宋_GB2312" w:cs="宋体"/>
          <w:sz w:val="32"/>
          <w:szCs w:val="32"/>
          <w:lang w:bidi="ar"/>
        </w:rPr>
        <w:t>月</w:t>
      </w:r>
      <w:r>
        <w:rPr>
          <w:rFonts w:hint="eastAsia" w:ascii="仿宋_GB2312" w:hAnsi="仿宋" w:eastAsia="仿宋_GB2312" w:cs="宋体"/>
          <w:sz w:val="32"/>
          <w:szCs w:val="32"/>
          <w:lang w:val="en-US" w:eastAsia="zh-CN" w:bidi="ar"/>
        </w:rPr>
        <w:t>30</w:t>
      </w:r>
      <w:r>
        <w:rPr>
          <w:rFonts w:hint="eastAsia" w:ascii="仿宋_GB2312" w:hAnsi="仿宋" w:eastAsia="仿宋_GB2312" w:cs="宋体"/>
          <w:sz w:val="32"/>
          <w:szCs w:val="32"/>
          <w:lang w:bidi="ar"/>
        </w:rPr>
        <w:t>日</w:t>
      </w:r>
    </w:p>
    <w:sectPr>
      <w:footerReference r:id="rId3" w:type="default"/>
      <w:pgSz w:w="11906" w:h="16838"/>
      <w:pgMar w:top="1440" w:right="17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6EDD86DC-1521-4187-969A-95A4ED6E0F2E}"/>
  </w:font>
  <w:font w:name="Arial">
    <w:panose1 w:val="020B0604020202020204"/>
    <w:charset w:val="01"/>
    <w:family w:val="swiss"/>
    <w:pitch w:val="default"/>
    <w:sig w:usb0="E0002EFF" w:usb1="C000785B" w:usb2="00000009" w:usb3="00000000" w:csb0="400001FF" w:csb1="FFFF0000"/>
    <w:embedRegular r:id="rId2" w:fontKey="{BD9FF772-3273-42A2-9D32-373D77F633A1}"/>
  </w:font>
  <w:font w:name="黑体">
    <w:panose1 w:val="02010609060101010101"/>
    <w:charset w:val="86"/>
    <w:family w:val="auto"/>
    <w:pitch w:val="default"/>
    <w:sig w:usb0="800002BF" w:usb1="38CF7CFA" w:usb2="00000016" w:usb3="00000000" w:csb0="00040001" w:csb1="00000000"/>
    <w:embedRegular r:id="rId3" w:fontKey="{2C426D91-DD34-4AA4-8837-76EECBD4E1A2}"/>
  </w:font>
  <w:font w:name="Courier New">
    <w:panose1 w:val="02070309020205020404"/>
    <w:charset w:val="01"/>
    <w:family w:val="modern"/>
    <w:pitch w:val="default"/>
    <w:sig w:usb0="E0002EFF" w:usb1="C0007843" w:usb2="00000009" w:usb3="00000000" w:csb0="400001FF" w:csb1="FFFF0000"/>
    <w:embedRegular r:id="rId4" w:fontKey="{7D149A75-3E2E-44BD-8AE4-01D36610328B}"/>
  </w:font>
  <w:font w:name="Symbol">
    <w:panose1 w:val="05050102010706020507"/>
    <w:charset w:val="02"/>
    <w:family w:val="roman"/>
    <w:pitch w:val="default"/>
    <w:sig w:usb0="00000000" w:usb1="00000000" w:usb2="00000000" w:usb3="00000000" w:csb0="80000000" w:csb1="00000000"/>
    <w:embedRegular r:id="rId5" w:fontKey="{15E67713-FFFA-4071-BBA4-208356B921DB}"/>
  </w:font>
  <w:font w:name="Calibri">
    <w:panose1 w:val="020F0502020204030204"/>
    <w:charset w:val="00"/>
    <w:family w:val="swiss"/>
    <w:pitch w:val="default"/>
    <w:sig w:usb0="E4002EFF" w:usb1="C000247B" w:usb2="00000009" w:usb3="00000000" w:csb0="200001FF" w:csb1="00000000"/>
    <w:embedRegular r:id="rId6" w:fontKey="{A5E623BB-4C40-428B-A3AF-27669E741E49}"/>
  </w:font>
  <w:font w:name="仿宋">
    <w:panose1 w:val="02010609060101010101"/>
    <w:charset w:val="86"/>
    <w:family w:val="modern"/>
    <w:pitch w:val="default"/>
    <w:sig w:usb0="800002BF" w:usb1="38CF7CFA" w:usb2="00000016" w:usb3="00000000" w:csb0="00040001" w:csb1="00000000"/>
    <w:embedRegular r:id="rId7" w:fontKey="{32FD8002-67B8-4695-B2DF-9F5EE2BAC45C}"/>
  </w:font>
  <w:font w:name="Cambria">
    <w:panose1 w:val="02040503050406030204"/>
    <w:charset w:val="00"/>
    <w:family w:val="roman"/>
    <w:pitch w:val="default"/>
    <w:sig w:usb0="E00006FF" w:usb1="420024FF" w:usb2="02000000" w:usb3="00000000" w:csb0="2000019F" w:csb1="00000000"/>
    <w:embedRegular r:id="rId8" w:fontKey="{2D12B6CD-7E00-4679-876D-B08F2DA14387}"/>
  </w:font>
  <w:font w:name="HYb2gj">
    <w:altName w:val="宋体"/>
    <w:panose1 w:val="00000000000000000000"/>
    <w:charset w:val="86"/>
    <w:family w:val="modern"/>
    <w:pitch w:val="default"/>
    <w:sig w:usb0="00000000" w:usb1="00000000" w:usb2="00000010" w:usb3="00000000" w:csb0="00040000" w:csb1="00000000"/>
  </w:font>
  <w:font w:name="仿宋_GB2312">
    <w:panose1 w:val="02010609030101010101"/>
    <w:charset w:val="86"/>
    <w:family w:val="modern"/>
    <w:pitch w:val="default"/>
    <w:sig w:usb0="00000001" w:usb1="080E0000" w:usb2="00000000" w:usb3="00000000" w:csb0="00040000" w:csb1="00000000"/>
    <w:embedRegular r:id="rId9" w:fontKey="{322CE541-BB68-4A92-A9D2-F8D7D1BF7A4C}"/>
  </w:font>
  <w:font w:name="方正小标宋简体">
    <w:panose1 w:val="02010601030101010101"/>
    <w:charset w:val="86"/>
    <w:family w:val="auto"/>
    <w:pitch w:val="default"/>
    <w:sig w:usb0="00000001" w:usb1="080E0000" w:usb2="00000000" w:usb3="00000000" w:csb0="00040000" w:csb1="00000000"/>
  </w:font>
  <w:font w:name="华文楷体">
    <w:panose1 w:val="02010600040101010101"/>
    <w:charset w:val="86"/>
    <w:family w:val="auto"/>
    <w:pitch w:val="default"/>
    <w:sig w:usb0="00000287" w:usb1="080F0000" w:usb2="00000000" w:usb3="00000000" w:csb0="0004009F" w:csb1="DFD70000"/>
    <w:embedRegular r:id="rId10" w:fontKey="{6C7E3ACF-BC01-4BA8-A19C-56749F8ED18B}"/>
  </w:font>
  <w:font w:name="方正小标宋_GBK">
    <w:panose1 w:val="02000000000000000000"/>
    <w:charset w:val="86"/>
    <w:family w:val="script"/>
    <w:pitch w:val="default"/>
    <w:sig w:usb0="A00002BF" w:usb1="38CF7CFA" w:usb2="00082016" w:usb3="00000000" w:csb0="00040001" w:csb1="00000000"/>
    <w:embedRegular r:id="rId11" w:fontKey="{5A1B5625-BCFF-44B9-8216-CDFA01467E7E}"/>
  </w:font>
  <w:font w:name="华文中宋">
    <w:panose1 w:val="02010600040101010101"/>
    <w:charset w:val="86"/>
    <w:family w:val="auto"/>
    <w:pitch w:val="default"/>
    <w:sig w:usb0="00000287" w:usb1="080F0000" w:usb2="00000000" w:usb3="00000000" w:csb0="0004009F" w:csb1="DFD70000"/>
    <w:embedRegular r:id="rId12" w:fontKey="{6F61A473-F498-4AF8-9E1F-8D2E917768FA}"/>
  </w:font>
  <w:font w:name="楷体">
    <w:panose1 w:val="02010609060101010101"/>
    <w:charset w:val="86"/>
    <w:family w:val="modern"/>
    <w:pitch w:val="default"/>
    <w:sig w:usb0="800002BF" w:usb1="38CF7CFA" w:usb2="00000016" w:usb3="00000000" w:csb0="00040001" w:csb1="00000000"/>
    <w:embedRegular r:id="rId13" w:fontKey="{24A1FE20-8AB0-4818-8A87-C894003F829E}"/>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pStyle w:val="12"/>
                          </w:pPr>
                          <w:r>
                            <w:fldChar w:fldCharType="begin"/>
                          </w:r>
                          <w:r>
                            <w:instrText xml:space="preserve"> PAGE  \* MERGEFORMAT </w:instrText>
                          </w:r>
                          <w:r>
                            <w:fldChar w:fldCharType="separate"/>
                          </w:r>
                          <w:r>
                            <w:t>13</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mcYOQyAgAAYwQAAA4AAABkcnMvZTJvRG9jLnhtbK1UzY7aMBC+V+o7&#10;WL6XABUrhAgruoiqEuquRKuejeOQSP6TbUjoA7Rv0FMvvfe5eI797BC22vawh17C2DP+Zr5vZpjf&#10;tkqSo3C+Njqno8GQEqG5KWq9z+nnT+s3U0p8YLpg0miR05Pw9Hbx+tW8sTMxNpWRhXAEINrPGpvT&#10;KgQ7yzLPK6GYHxgrNJylcYoFHN0+KxxrgK5kNh4Ob7LGuMI6w4X3uF11TnpBdC8BNGVZc7Ey/KCE&#10;Dh2qE5IFUPJVbT1dpGrLUvBwX5ZeBCJzCqYhfZEE9i5+s8WczfaO2armlxLYS0p4xkmxWiPpFWrF&#10;AiMHV/8FpWrujDdlGHCjso5IUgQsRsNn2mwrZkXiAqm9vYru/x8s/3h8cKQucjqhRDOFhp9/fD//&#10;/H3+9Y1MojyN9TNEbS3iQvvOtBia/t7jMrJuS6fiL/gQ+CHu6SquaAPh8dF0PJ0O4eLw9QfgZ0/P&#10;rfPhvTCKRCOnDt1LorLjxocutA+J2bRZ11KmDkpNmpzevJ0M04OrB+BSx1iRZuECEyl1pUcrtLv2&#10;wnNnihNoOtPNibd8XaOUDfPhgTkMBsrH6oR7fEppkNJcLEoq477+6z7Go1/wUtJg0HKqsVeUyA8a&#10;fQRg6A3XG7ve0Ad1ZzC5I6yk5cnEAxdkb5bOqC/Yp2XMARfTHJlyGnrzLnTDjn3kYrlMQZg8y8JG&#10;by2P0FEeb5eHADmTylGUTgl0Jx4we6lPlz2Jw/3nOUU9/TcsHg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2Zxg5DICAABjBAAADgAAAAAAAAABACAAAAAfAQAAZHJzL2Uyb0RvYy54bWxQSwUG&#10;AAAAAAYABgBZAQAAwwUAAAAA&#10;">
              <v:fill on="f" focussize="0,0"/>
              <v:stroke on="f" weight="0.5pt"/>
              <v:imagedata o:title=""/>
              <o:lock v:ext="edit" aspectratio="f"/>
              <v:textbox inset="0mm,0mm,0mm,0mm" style="mso-fit-shape-to-text:t;">
                <w:txbxContent>
                  <w:p>
                    <w:pPr>
                      <w:pStyle w:val="12"/>
                    </w:pPr>
                    <w:r>
                      <w:fldChar w:fldCharType="begin"/>
                    </w:r>
                    <w:r>
                      <w:instrText xml:space="preserve"> PAGE  \* MERGEFORMAT </w:instrText>
                    </w:r>
                    <w:r>
                      <w:fldChar w:fldCharType="separate"/>
                    </w:r>
                    <w:r>
                      <w:t>13</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809717B"/>
    <w:multiLevelType w:val="singleLevel"/>
    <w:tmpl w:val="A809717B"/>
    <w:lvl w:ilvl="0" w:tentative="0">
      <w:start w:val="2"/>
      <w:numFmt w:val="chineseCounting"/>
      <w:suff w:val="nothing"/>
      <w:lvlText w:val="（%1）"/>
      <w:lvlJc w:val="left"/>
      <w:rPr>
        <w:rFonts w:hint="eastAsia"/>
      </w:rPr>
    </w:lvl>
  </w:abstractNum>
  <w:abstractNum w:abstractNumId="1">
    <w:nsid w:val="C3C38CFD"/>
    <w:multiLevelType w:val="singleLevel"/>
    <w:tmpl w:val="C3C38CFD"/>
    <w:lvl w:ilvl="0" w:tentative="0">
      <w:start w:val="3"/>
      <w:numFmt w:val="decimal"/>
      <w:suff w:val="nothing"/>
      <w:lvlText w:val="（%1）"/>
      <w:lvlJc w:val="left"/>
    </w:lvl>
  </w:abstractNum>
  <w:abstractNum w:abstractNumId="2">
    <w:nsid w:val="C55B828B"/>
    <w:multiLevelType w:val="singleLevel"/>
    <w:tmpl w:val="C55B828B"/>
    <w:lvl w:ilvl="0" w:tentative="0">
      <w:start w:val="2"/>
      <w:numFmt w:val="chineseCounting"/>
      <w:suff w:val="nothing"/>
      <w:lvlText w:val="（%1）"/>
      <w:lvlJc w:val="left"/>
      <w:rPr>
        <w:rFonts w:hint="eastAsia"/>
      </w:rPr>
    </w:lvl>
  </w:abstractNum>
  <w:abstractNum w:abstractNumId="3">
    <w:nsid w:val="E8DA9C4C"/>
    <w:multiLevelType w:val="singleLevel"/>
    <w:tmpl w:val="E8DA9C4C"/>
    <w:lvl w:ilvl="0" w:tentative="0">
      <w:start w:val="5"/>
      <w:numFmt w:val="chineseCounting"/>
      <w:suff w:val="nothing"/>
      <w:lvlText w:val="（%1）"/>
      <w:lvlJc w:val="left"/>
      <w:rPr>
        <w:rFonts w:hint="eastAsia"/>
      </w:rPr>
    </w:lvl>
  </w:abstractNum>
  <w:abstractNum w:abstractNumId="4">
    <w:nsid w:val="ED537D19"/>
    <w:multiLevelType w:val="singleLevel"/>
    <w:tmpl w:val="ED537D19"/>
    <w:lvl w:ilvl="0" w:tentative="0">
      <w:start w:val="2"/>
      <w:numFmt w:val="decimal"/>
      <w:lvlText w:val="(%1)"/>
      <w:lvlJc w:val="left"/>
      <w:pPr>
        <w:tabs>
          <w:tab w:val="left" w:pos="312"/>
        </w:tabs>
      </w:pPr>
    </w:lvl>
  </w:abstractNum>
  <w:abstractNum w:abstractNumId="5">
    <w:nsid w:val="06830D9A"/>
    <w:multiLevelType w:val="multilevel"/>
    <w:tmpl w:val="06830D9A"/>
    <w:lvl w:ilvl="0" w:tentative="0">
      <w:start w:val="1"/>
      <w:numFmt w:val="decimal"/>
      <w:lvlText w:val="%1"/>
      <w:lvlJc w:val="left"/>
      <w:pPr>
        <w:ind w:left="425" w:hanging="425"/>
      </w:pPr>
      <w:rPr>
        <w:rFonts w:hint="eastAsia"/>
      </w:rPr>
    </w:lvl>
    <w:lvl w:ilvl="1" w:tentative="0">
      <w:start w:val="1"/>
      <w:numFmt w:val="decimal"/>
      <w:lvlText w:val="%1.%2"/>
      <w:lvlJc w:val="left"/>
      <w:pPr>
        <w:ind w:left="992" w:hanging="567"/>
      </w:pPr>
      <w:rPr>
        <w:rFonts w:hint="eastAsia"/>
      </w:rPr>
    </w:lvl>
    <w:lvl w:ilvl="2" w:tentative="0">
      <w:start w:val="1"/>
      <w:numFmt w:val="decimal"/>
      <w:lvlText w:val="%1.%2.%3"/>
      <w:lvlJc w:val="left"/>
      <w:pPr>
        <w:ind w:left="1702" w:hanging="567"/>
      </w:pPr>
      <w:rPr>
        <w:rFonts w:hint="eastAsia"/>
      </w:rPr>
    </w:lvl>
    <w:lvl w:ilvl="3" w:tentative="0">
      <w:start w:val="1"/>
      <w:numFmt w:val="decima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6">
    <w:nsid w:val="0CBA71F6"/>
    <w:multiLevelType w:val="singleLevel"/>
    <w:tmpl w:val="0CBA71F6"/>
    <w:lvl w:ilvl="0" w:tentative="0">
      <w:start w:val="1"/>
      <w:numFmt w:val="chineseCounting"/>
      <w:suff w:val="nothing"/>
      <w:lvlText w:val="%1、"/>
      <w:lvlJc w:val="left"/>
      <w:rPr>
        <w:rFonts w:hint="eastAsia"/>
      </w:rPr>
    </w:lvl>
  </w:abstractNum>
  <w:abstractNum w:abstractNumId="7">
    <w:nsid w:val="4BBB029A"/>
    <w:multiLevelType w:val="multilevel"/>
    <w:tmpl w:val="4BBB029A"/>
    <w:lvl w:ilvl="0" w:tentative="0">
      <w:start w:val="1"/>
      <w:numFmt w:val="decimal"/>
      <w:pStyle w:val="3"/>
      <w:lvlText w:val="%1.1"/>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8">
    <w:nsid w:val="586DE0EC"/>
    <w:multiLevelType w:val="singleLevel"/>
    <w:tmpl w:val="586DE0EC"/>
    <w:lvl w:ilvl="0" w:tentative="0">
      <w:start w:val="1"/>
      <w:numFmt w:val="decimal"/>
      <w:suff w:val="nothing"/>
      <w:lvlText w:val="（%1）"/>
      <w:lvlJc w:val="left"/>
    </w:lvl>
  </w:abstractNum>
  <w:abstractNum w:abstractNumId="9">
    <w:nsid w:val="6EA16E0C"/>
    <w:multiLevelType w:val="multilevel"/>
    <w:tmpl w:val="6EA16E0C"/>
    <w:lvl w:ilvl="0" w:tentative="0">
      <w:start w:val="1"/>
      <w:numFmt w:val="decimal"/>
      <w:pStyle w:val="4"/>
      <w:lvlText w:val="%1.1.1"/>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7"/>
  </w:num>
  <w:num w:numId="2">
    <w:abstractNumId w:val="9"/>
  </w:num>
  <w:num w:numId="3">
    <w:abstractNumId w:val="6"/>
  </w:num>
  <w:num w:numId="4">
    <w:abstractNumId w:val="2"/>
  </w:num>
  <w:num w:numId="5">
    <w:abstractNumId w:val="5"/>
  </w:num>
  <w:num w:numId="6">
    <w:abstractNumId w:val="8"/>
  </w:num>
  <w:num w:numId="7">
    <w:abstractNumId w:val="4"/>
  </w:num>
  <w:num w:numId="8">
    <w:abstractNumId w:val="3"/>
  </w:num>
  <w:num w:numId="9">
    <w:abstractNumId w:val="1"/>
  </w:num>
  <w:num w:numId="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hdrShapeDefaults>
    <o:shapelayout v:ext="edit">
      <o:idmap v:ext="edit" data="1"/>
    </o:shapelayout>
  </w:hdrShapeDefaults>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TQxYWQ0OWQxNDM3Y2IxYWFiMWMxZjMzN2QxNjEzZDUifQ=="/>
  </w:docVars>
  <w:rsids>
    <w:rsidRoot w:val="00414B7D"/>
    <w:rsid w:val="00016E08"/>
    <w:rsid w:val="00021851"/>
    <w:rsid w:val="00024B57"/>
    <w:rsid w:val="00036D0D"/>
    <w:rsid w:val="00036D41"/>
    <w:rsid w:val="00046D50"/>
    <w:rsid w:val="000475FC"/>
    <w:rsid w:val="00082C50"/>
    <w:rsid w:val="0008358D"/>
    <w:rsid w:val="00083F67"/>
    <w:rsid w:val="00087E49"/>
    <w:rsid w:val="000B0B81"/>
    <w:rsid w:val="000B1623"/>
    <w:rsid w:val="000B1CCE"/>
    <w:rsid w:val="000C3557"/>
    <w:rsid w:val="000C5082"/>
    <w:rsid w:val="000D57B9"/>
    <w:rsid w:val="000E1377"/>
    <w:rsid w:val="000F719E"/>
    <w:rsid w:val="00103F61"/>
    <w:rsid w:val="001040BC"/>
    <w:rsid w:val="00107A8F"/>
    <w:rsid w:val="00130F27"/>
    <w:rsid w:val="00136B2F"/>
    <w:rsid w:val="00160CDB"/>
    <w:rsid w:val="00161F5F"/>
    <w:rsid w:val="00162F2E"/>
    <w:rsid w:val="001764F0"/>
    <w:rsid w:val="00176DFF"/>
    <w:rsid w:val="001825A2"/>
    <w:rsid w:val="00186F45"/>
    <w:rsid w:val="00187575"/>
    <w:rsid w:val="001C1801"/>
    <w:rsid w:val="001C64B5"/>
    <w:rsid w:val="0020463E"/>
    <w:rsid w:val="0021140C"/>
    <w:rsid w:val="00230276"/>
    <w:rsid w:val="00230A7C"/>
    <w:rsid w:val="002358FA"/>
    <w:rsid w:val="0023779B"/>
    <w:rsid w:val="002443C4"/>
    <w:rsid w:val="0025623B"/>
    <w:rsid w:val="00257940"/>
    <w:rsid w:val="0027097D"/>
    <w:rsid w:val="00271E15"/>
    <w:rsid w:val="0027684A"/>
    <w:rsid w:val="00276A45"/>
    <w:rsid w:val="00282C28"/>
    <w:rsid w:val="0029663F"/>
    <w:rsid w:val="00297D3C"/>
    <w:rsid w:val="002A49E8"/>
    <w:rsid w:val="002A64D8"/>
    <w:rsid w:val="002A6ECE"/>
    <w:rsid w:val="002B2807"/>
    <w:rsid w:val="002C092D"/>
    <w:rsid w:val="002C1471"/>
    <w:rsid w:val="002C7301"/>
    <w:rsid w:val="002D239F"/>
    <w:rsid w:val="002D49A2"/>
    <w:rsid w:val="002E3475"/>
    <w:rsid w:val="002F2ABF"/>
    <w:rsid w:val="002F5C69"/>
    <w:rsid w:val="00300C5C"/>
    <w:rsid w:val="00334AA6"/>
    <w:rsid w:val="00335ABC"/>
    <w:rsid w:val="0035174C"/>
    <w:rsid w:val="00353891"/>
    <w:rsid w:val="00357062"/>
    <w:rsid w:val="003762B7"/>
    <w:rsid w:val="00377AB2"/>
    <w:rsid w:val="003963D0"/>
    <w:rsid w:val="003A243D"/>
    <w:rsid w:val="003A3F8A"/>
    <w:rsid w:val="003D3349"/>
    <w:rsid w:val="003F5B9B"/>
    <w:rsid w:val="003F5E87"/>
    <w:rsid w:val="003F7B44"/>
    <w:rsid w:val="00403605"/>
    <w:rsid w:val="00414B7D"/>
    <w:rsid w:val="00425B0B"/>
    <w:rsid w:val="00427588"/>
    <w:rsid w:val="0044086E"/>
    <w:rsid w:val="0044115C"/>
    <w:rsid w:val="004419BF"/>
    <w:rsid w:val="004446AF"/>
    <w:rsid w:val="00456D64"/>
    <w:rsid w:val="00461A03"/>
    <w:rsid w:val="00461C13"/>
    <w:rsid w:val="00466D62"/>
    <w:rsid w:val="00480EBB"/>
    <w:rsid w:val="004837BC"/>
    <w:rsid w:val="00491DC0"/>
    <w:rsid w:val="0049279D"/>
    <w:rsid w:val="004929DD"/>
    <w:rsid w:val="004A17A9"/>
    <w:rsid w:val="004A3BA3"/>
    <w:rsid w:val="004C27AA"/>
    <w:rsid w:val="004C4305"/>
    <w:rsid w:val="004C48B5"/>
    <w:rsid w:val="004D64A9"/>
    <w:rsid w:val="004F5174"/>
    <w:rsid w:val="004F7E0C"/>
    <w:rsid w:val="00505ACA"/>
    <w:rsid w:val="00520F1C"/>
    <w:rsid w:val="0052602D"/>
    <w:rsid w:val="00535343"/>
    <w:rsid w:val="0054358D"/>
    <w:rsid w:val="005510BE"/>
    <w:rsid w:val="0055540B"/>
    <w:rsid w:val="005674C1"/>
    <w:rsid w:val="005A11A3"/>
    <w:rsid w:val="005A299C"/>
    <w:rsid w:val="005B40F5"/>
    <w:rsid w:val="005B5C85"/>
    <w:rsid w:val="005D2E62"/>
    <w:rsid w:val="005D3B9D"/>
    <w:rsid w:val="00621D18"/>
    <w:rsid w:val="006264C5"/>
    <w:rsid w:val="006276D2"/>
    <w:rsid w:val="00633F43"/>
    <w:rsid w:val="00635FD4"/>
    <w:rsid w:val="006451C9"/>
    <w:rsid w:val="00682CC7"/>
    <w:rsid w:val="006838D1"/>
    <w:rsid w:val="00683B82"/>
    <w:rsid w:val="006A0C6F"/>
    <w:rsid w:val="006A530D"/>
    <w:rsid w:val="006B5D89"/>
    <w:rsid w:val="006E0F22"/>
    <w:rsid w:val="006F03CF"/>
    <w:rsid w:val="006F614A"/>
    <w:rsid w:val="00706A4E"/>
    <w:rsid w:val="007115C8"/>
    <w:rsid w:val="00722E10"/>
    <w:rsid w:val="00752CB5"/>
    <w:rsid w:val="00760C80"/>
    <w:rsid w:val="00765FA0"/>
    <w:rsid w:val="00770E0C"/>
    <w:rsid w:val="00776C05"/>
    <w:rsid w:val="00783B17"/>
    <w:rsid w:val="00796661"/>
    <w:rsid w:val="007A3C4B"/>
    <w:rsid w:val="007B38F5"/>
    <w:rsid w:val="007C462B"/>
    <w:rsid w:val="007C6866"/>
    <w:rsid w:val="007D1B86"/>
    <w:rsid w:val="007D58AE"/>
    <w:rsid w:val="007E49F4"/>
    <w:rsid w:val="007F5B60"/>
    <w:rsid w:val="00804413"/>
    <w:rsid w:val="0080484E"/>
    <w:rsid w:val="00807F37"/>
    <w:rsid w:val="00813205"/>
    <w:rsid w:val="00853D02"/>
    <w:rsid w:val="008726A9"/>
    <w:rsid w:val="00873B68"/>
    <w:rsid w:val="008741FC"/>
    <w:rsid w:val="008764E8"/>
    <w:rsid w:val="008B08D1"/>
    <w:rsid w:val="008C646A"/>
    <w:rsid w:val="008C6AA7"/>
    <w:rsid w:val="008D2C5C"/>
    <w:rsid w:val="008E0491"/>
    <w:rsid w:val="008E496C"/>
    <w:rsid w:val="009167F1"/>
    <w:rsid w:val="00932232"/>
    <w:rsid w:val="00942A28"/>
    <w:rsid w:val="00952F6D"/>
    <w:rsid w:val="00957616"/>
    <w:rsid w:val="00960A8B"/>
    <w:rsid w:val="00974DAE"/>
    <w:rsid w:val="00975A3A"/>
    <w:rsid w:val="00987C5A"/>
    <w:rsid w:val="0099597E"/>
    <w:rsid w:val="0099715E"/>
    <w:rsid w:val="009A4DCB"/>
    <w:rsid w:val="009A507D"/>
    <w:rsid w:val="009B213F"/>
    <w:rsid w:val="009B47A3"/>
    <w:rsid w:val="009B5649"/>
    <w:rsid w:val="009B56E1"/>
    <w:rsid w:val="009C110C"/>
    <w:rsid w:val="009C79C7"/>
    <w:rsid w:val="009D79E4"/>
    <w:rsid w:val="009E5C35"/>
    <w:rsid w:val="009F3991"/>
    <w:rsid w:val="009F3EFC"/>
    <w:rsid w:val="009F6B69"/>
    <w:rsid w:val="00A10B96"/>
    <w:rsid w:val="00A177CD"/>
    <w:rsid w:val="00A202D7"/>
    <w:rsid w:val="00A21618"/>
    <w:rsid w:val="00A21665"/>
    <w:rsid w:val="00A225EB"/>
    <w:rsid w:val="00A262B3"/>
    <w:rsid w:val="00A35141"/>
    <w:rsid w:val="00A35A5E"/>
    <w:rsid w:val="00A415E3"/>
    <w:rsid w:val="00A426D9"/>
    <w:rsid w:val="00A45F48"/>
    <w:rsid w:val="00A621B0"/>
    <w:rsid w:val="00A72180"/>
    <w:rsid w:val="00A74E49"/>
    <w:rsid w:val="00A773A3"/>
    <w:rsid w:val="00AA252A"/>
    <w:rsid w:val="00AA2C44"/>
    <w:rsid w:val="00AC2A90"/>
    <w:rsid w:val="00AD43E3"/>
    <w:rsid w:val="00AE34E7"/>
    <w:rsid w:val="00AF0AFB"/>
    <w:rsid w:val="00AF7214"/>
    <w:rsid w:val="00B03232"/>
    <w:rsid w:val="00B053C8"/>
    <w:rsid w:val="00B05937"/>
    <w:rsid w:val="00B10C7D"/>
    <w:rsid w:val="00B12A63"/>
    <w:rsid w:val="00B143E3"/>
    <w:rsid w:val="00B20D12"/>
    <w:rsid w:val="00B219EF"/>
    <w:rsid w:val="00B4360F"/>
    <w:rsid w:val="00B46B99"/>
    <w:rsid w:val="00B4775C"/>
    <w:rsid w:val="00B54402"/>
    <w:rsid w:val="00B6760A"/>
    <w:rsid w:val="00B83DC4"/>
    <w:rsid w:val="00BB7563"/>
    <w:rsid w:val="00BC0899"/>
    <w:rsid w:val="00BE28B4"/>
    <w:rsid w:val="00C0298E"/>
    <w:rsid w:val="00C13121"/>
    <w:rsid w:val="00C17077"/>
    <w:rsid w:val="00C1762E"/>
    <w:rsid w:val="00C20D59"/>
    <w:rsid w:val="00C37C3C"/>
    <w:rsid w:val="00C47601"/>
    <w:rsid w:val="00C53CE0"/>
    <w:rsid w:val="00C553E8"/>
    <w:rsid w:val="00C64B66"/>
    <w:rsid w:val="00C669C6"/>
    <w:rsid w:val="00C735FC"/>
    <w:rsid w:val="00C7792A"/>
    <w:rsid w:val="00C87D33"/>
    <w:rsid w:val="00C900CB"/>
    <w:rsid w:val="00C90434"/>
    <w:rsid w:val="00CA6ECC"/>
    <w:rsid w:val="00CB23FF"/>
    <w:rsid w:val="00CD5385"/>
    <w:rsid w:val="00CF007C"/>
    <w:rsid w:val="00CF08F6"/>
    <w:rsid w:val="00D02D71"/>
    <w:rsid w:val="00D21A15"/>
    <w:rsid w:val="00D51B3C"/>
    <w:rsid w:val="00D70DBE"/>
    <w:rsid w:val="00D85954"/>
    <w:rsid w:val="00D868FA"/>
    <w:rsid w:val="00D942D8"/>
    <w:rsid w:val="00DA1E6E"/>
    <w:rsid w:val="00DF6D58"/>
    <w:rsid w:val="00DF79A0"/>
    <w:rsid w:val="00E01285"/>
    <w:rsid w:val="00E06E72"/>
    <w:rsid w:val="00E101C5"/>
    <w:rsid w:val="00E14352"/>
    <w:rsid w:val="00E25CE9"/>
    <w:rsid w:val="00E25E58"/>
    <w:rsid w:val="00E274D7"/>
    <w:rsid w:val="00E35680"/>
    <w:rsid w:val="00E52AFF"/>
    <w:rsid w:val="00E54E41"/>
    <w:rsid w:val="00E77BFD"/>
    <w:rsid w:val="00EA4F02"/>
    <w:rsid w:val="00EA52D5"/>
    <w:rsid w:val="00EA62F4"/>
    <w:rsid w:val="00EE64AF"/>
    <w:rsid w:val="00EF0362"/>
    <w:rsid w:val="00EF7923"/>
    <w:rsid w:val="00F0169E"/>
    <w:rsid w:val="00F02ECD"/>
    <w:rsid w:val="00F03FEA"/>
    <w:rsid w:val="00F32F3A"/>
    <w:rsid w:val="00F3638E"/>
    <w:rsid w:val="00F37675"/>
    <w:rsid w:val="00F52189"/>
    <w:rsid w:val="00F843F0"/>
    <w:rsid w:val="00F845E1"/>
    <w:rsid w:val="00F87D7A"/>
    <w:rsid w:val="00F90E9A"/>
    <w:rsid w:val="00F9178B"/>
    <w:rsid w:val="00FA2D92"/>
    <w:rsid w:val="00FA79ED"/>
    <w:rsid w:val="00FB055D"/>
    <w:rsid w:val="00FB13FC"/>
    <w:rsid w:val="00FB20DA"/>
    <w:rsid w:val="00FB212B"/>
    <w:rsid w:val="00FC0C10"/>
    <w:rsid w:val="00FC1F1B"/>
    <w:rsid w:val="00FC312F"/>
    <w:rsid w:val="00FD336C"/>
    <w:rsid w:val="011C5968"/>
    <w:rsid w:val="017A1376"/>
    <w:rsid w:val="019C1042"/>
    <w:rsid w:val="01D976F9"/>
    <w:rsid w:val="01DB05CA"/>
    <w:rsid w:val="02C624B1"/>
    <w:rsid w:val="02E24B65"/>
    <w:rsid w:val="031B4FD7"/>
    <w:rsid w:val="03384BB1"/>
    <w:rsid w:val="033B3541"/>
    <w:rsid w:val="03685B95"/>
    <w:rsid w:val="03A17C2D"/>
    <w:rsid w:val="03C9420E"/>
    <w:rsid w:val="03EC6EBA"/>
    <w:rsid w:val="03EE2230"/>
    <w:rsid w:val="043F0DA3"/>
    <w:rsid w:val="045545F7"/>
    <w:rsid w:val="04A406D7"/>
    <w:rsid w:val="04BC5076"/>
    <w:rsid w:val="04DD3CEE"/>
    <w:rsid w:val="05403880"/>
    <w:rsid w:val="05466AD0"/>
    <w:rsid w:val="057D1D75"/>
    <w:rsid w:val="05AE6F6A"/>
    <w:rsid w:val="063F521C"/>
    <w:rsid w:val="06766A33"/>
    <w:rsid w:val="068D2C76"/>
    <w:rsid w:val="06D21523"/>
    <w:rsid w:val="072D56D3"/>
    <w:rsid w:val="073076D9"/>
    <w:rsid w:val="07722B91"/>
    <w:rsid w:val="07867BF0"/>
    <w:rsid w:val="07E36243"/>
    <w:rsid w:val="0822779D"/>
    <w:rsid w:val="086039B5"/>
    <w:rsid w:val="089C44B6"/>
    <w:rsid w:val="08E806AC"/>
    <w:rsid w:val="09035DC8"/>
    <w:rsid w:val="092B1014"/>
    <w:rsid w:val="093A1BBD"/>
    <w:rsid w:val="09415222"/>
    <w:rsid w:val="09A37E69"/>
    <w:rsid w:val="09CA6A7A"/>
    <w:rsid w:val="09CB150A"/>
    <w:rsid w:val="09DC263D"/>
    <w:rsid w:val="09EC6DE6"/>
    <w:rsid w:val="0A037E2F"/>
    <w:rsid w:val="0A0402F4"/>
    <w:rsid w:val="0A5343BB"/>
    <w:rsid w:val="0A844F3D"/>
    <w:rsid w:val="0A870EFF"/>
    <w:rsid w:val="0A9224F0"/>
    <w:rsid w:val="0AA243BD"/>
    <w:rsid w:val="0AB358AB"/>
    <w:rsid w:val="0AC26F81"/>
    <w:rsid w:val="0AE64A4E"/>
    <w:rsid w:val="0B4777AE"/>
    <w:rsid w:val="0BC43BCA"/>
    <w:rsid w:val="0C1E6CF7"/>
    <w:rsid w:val="0C4C516B"/>
    <w:rsid w:val="0C5149F8"/>
    <w:rsid w:val="0C6100E9"/>
    <w:rsid w:val="0C9408B1"/>
    <w:rsid w:val="0CD12227"/>
    <w:rsid w:val="0D4A7C88"/>
    <w:rsid w:val="0D681993"/>
    <w:rsid w:val="0D9E1D21"/>
    <w:rsid w:val="0D9F2933"/>
    <w:rsid w:val="0DA94513"/>
    <w:rsid w:val="0DBD4354"/>
    <w:rsid w:val="0DC93204"/>
    <w:rsid w:val="0E020B6B"/>
    <w:rsid w:val="0E1D36E7"/>
    <w:rsid w:val="0E5C62A4"/>
    <w:rsid w:val="0EC72756"/>
    <w:rsid w:val="0EFF4355"/>
    <w:rsid w:val="0F397B92"/>
    <w:rsid w:val="0F4C711B"/>
    <w:rsid w:val="0F6B1F68"/>
    <w:rsid w:val="0F704B97"/>
    <w:rsid w:val="0FCC46EF"/>
    <w:rsid w:val="104D2185"/>
    <w:rsid w:val="107E409D"/>
    <w:rsid w:val="10F351D8"/>
    <w:rsid w:val="10F54453"/>
    <w:rsid w:val="10FE360A"/>
    <w:rsid w:val="110A197C"/>
    <w:rsid w:val="11542761"/>
    <w:rsid w:val="1188035B"/>
    <w:rsid w:val="11C16297"/>
    <w:rsid w:val="11C87659"/>
    <w:rsid w:val="11F87298"/>
    <w:rsid w:val="128D210B"/>
    <w:rsid w:val="12940E0B"/>
    <w:rsid w:val="12BC68F7"/>
    <w:rsid w:val="12EB67CB"/>
    <w:rsid w:val="131D1FC0"/>
    <w:rsid w:val="13200321"/>
    <w:rsid w:val="133E3F47"/>
    <w:rsid w:val="14345D0C"/>
    <w:rsid w:val="14530434"/>
    <w:rsid w:val="145D32C7"/>
    <w:rsid w:val="14FD2BB2"/>
    <w:rsid w:val="151547B8"/>
    <w:rsid w:val="15294C1C"/>
    <w:rsid w:val="154510DF"/>
    <w:rsid w:val="16181B81"/>
    <w:rsid w:val="163E45AA"/>
    <w:rsid w:val="16453E27"/>
    <w:rsid w:val="16465A40"/>
    <w:rsid w:val="16AD702C"/>
    <w:rsid w:val="16DD6B31"/>
    <w:rsid w:val="17461C62"/>
    <w:rsid w:val="17AA48DE"/>
    <w:rsid w:val="17E62AA7"/>
    <w:rsid w:val="17EF2C21"/>
    <w:rsid w:val="17F4424E"/>
    <w:rsid w:val="189A61CB"/>
    <w:rsid w:val="18EF46F1"/>
    <w:rsid w:val="19165ED3"/>
    <w:rsid w:val="196116C8"/>
    <w:rsid w:val="19837757"/>
    <w:rsid w:val="1A2447D6"/>
    <w:rsid w:val="1A4F2ED7"/>
    <w:rsid w:val="1A6B70D6"/>
    <w:rsid w:val="1BDB434B"/>
    <w:rsid w:val="1BFF75B4"/>
    <w:rsid w:val="1CCD3ED3"/>
    <w:rsid w:val="1D0826D3"/>
    <w:rsid w:val="1D3C33F2"/>
    <w:rsid w:val="1D74030A"/>
    <w:rsid w:val="1E1910DF"/>
    <w:rsid w:val="1E765D9E"/>
    <w:rsid w:val="1E852558"/>
    <w:rsid w:val="1EA43555"/>
    <w:rsid w:val="1EC62B79"/>
    <w:rsid w:val="1F270062"/>
    <w:rsid w:val="1F3D026E"/>
    <w:rsid w:val="1F4024E6"/>
    <w:rsid w:val="1F8054F8"/>
    <w:rsid w:val="1FC90F95"/>
    <w:rsid w:val="201A26D0"/>
    <w:rsid w:val="20413C5F"/>
    <w:rsid w:val="209E1CA7"/>
    <w:rsid w:val="20B31AFE"/>
    <w:rsid w:val="20D47D98"/>
    <w:rsid w:val="21164FA2"/>
    <w:rsid w:val="21311EA5"/>
    <w:rsid w:val="213F555E"/>
    <w:rsid w:val="21832154"/>
    <w:rsid w:val="2183368C"/>
    <w:rsid w:val="21C25F7F"/>
    <w:rsid w:val="21C86D7A"/>
    <w:rsid w:val="21F148E9"/>
    <w:rsid w:val="21F9422C"/>
    <w:rsid w:val="21FA4D09"/>
    <w:rsid w:val="22A23A20"/>
    <w:rsid w:val="22F35566"/>
    <w:rsid w:val="23DE067B"/>
    <w:rsid w:val="2449672E"/>
    <w:rsid w:val="25177E64"/>
    <w:rsid w:val="258F3375"/>
    <w:rsid w:val="25BC2B1C"/>
    <w:rsid w:val="26311933"/>
    <w:rsid w:val="263521FC"/>
    <w:rsid w:val="26A02230"/>
    <w:rsid w:val="26A946F1"/>
    <w:rsid w:val="270F717E"/>
    <w:rsid w:val="27430DFA"/>
    <w:rsid w:val="27D23000"/>
    <w:rsid w:val="287F0225"/>
    <w:rsid w:val="2888633C"/>
    <w:rsid w:val="28967876"/>
    <w:rsid w:val="28DC6D8D"/>
    <w:rsid w:val="28E658A2"/>
    <w:rsid w:val="2934369F"/>
    <w:rsid w:val="293539E2"/>
    <w:rsid w:val="294806D3"/>
    <w:rsid w:val="29584F90"/>
    <w:rsid w:val="29601992"/>
    <w:rsid w:val="29700F10"/>
    <w:rsid w:val="29C75BF1"/>
    <w:rsid w:val="2A3537E9"/>
    <w:rsid w:val="2A7A532E"/>
    <w:rsid w:val="2B116393"/>
    <w:rsid w:val="2B280230"/>
    <w:rsid w:val="2B2B6B34"/>
    <w:rsid w:val="2B3C1752"/>
    <w:rsid w:val="2B6407D7"/>
    <w:rsid w:val="2B68020E"/>
    <w:rsid w:val="2BC96FB4"/>
    <w:rsid w:val="2BCB1CCD"/>
    <w:rsid w:val="2BED42B0"/>
    <w:rsid w:val="2BF72439"/>
    <w:rsid w:val="2C120FBA"/>
    <w:rsid w:val="2C2926C2"/>
    <w:rsid w:val="2C2D516F"/>
    <w:rsid w:val="2CF23076"/>
    <w:rsid w:val="2D1550EE"/>
    <w:rsid w:val="2D270E95"/>
    <w:rsid w:val="2D3B7778"/>
    <w:rsid w:val="2DA43847"/>
    <w:rsid w:val="2DBF0548"/>
    <w:rsid w:val="2DDB109D"/>
    <w:rsid w:val="2DE67EA2"/>
    <w:rsid w:val="2E28596F"/>
    <w:rsid w:val="2E503645"/>
    <w:rsid w:val="2E8F6D9B"/>
    <w:rsid w:val="2E943024"/>
    <w:rsid w:val="2F545A81"/>
    <w:rsid w:val="2F676C11"/>
    <w:rsid w:val="2F6D2B41"/>
    <w:rsid w:val="301532EA"/>
    <w:rsid w:val="30377C0B"/>
    <w:rsid w:val="303C7515"/>
    <w:rsid w:val="30450F97"/>
    <w:rsid w:val="30592DBB"/>
    <w:rsid w:val="309B5AA8"/>
    <w:rsid w:val="30D74F49"/>
    <w:rsid w:val="31032936"/>
    <w:rsid w:val="310E7A63"/>
    <w:rsid w:val="315F2B6B"/>
    <w:rsid w:val="31C75A19"/>
    <w:rsid w:val="31F65444"/>
    <w:rsid w:val="31FD2DFF"/>
    <w:rsid w:val="31FE1724"/>
    <w:rsid w:val="32393EA5"/>
    <w:rsid w:val="32505F18"/>
    <w:rsid w:val="325B5CA8"/>
    <w:rsid w:val="32844C58"/>
    <w:rsid w:val="32D400E5"/>
    <w:rsid w:val="32E57142"/>
    <w:rsid w:val="330149B7"/>
    <w:rsid w:val="33062B8C"/>
    <w:rsid w:val="3314415B"/>
    <w:rsid w:val="3373322C"/>
    <w:rsid w:val="343E2D93"/>
    <w:rsid w:val="345D70F2"/>
    <w:rsid w:val="348A0827"/>
    <w:rsid w:val="34DF4479"/>
    <w:rsid w:val="352A0746"/>
    <w:rsid w:val="353C2939"/>
    <w:rsid w:val="35956D0A"/>
    <w:rsid w:val="35AC7563"/>
    <w:rsid w:val="35C325F8"/>
    <w:rsid w:val="35E36877"/>
    <w:rsid w:val="35E55CD1"/>
    <w:rsid w:val="35EC1630"/>
    <w:rsid w:val="35EF4932"/>
    <w:rsid w:val="361653D4"/>
    <w:rsid w:val="36723A2B"/>
    <w:rsid w:val="3678556E"/>
    <w:rsid w:val="36C40E55"/>
    <w:rsid w:val="36EF37C9"/>
    <w:rsid w:val="37685E7A"/>
    <w:rsid w:val="37800460"/>
    <w:rsid w:val="37920AEE"/>
    <w:rsid w:val="37D556C3"/>
    <w:rsid w:val="384A7A41"/>
    <w:rsid w:val="385B2EF8"/>
    <w:rsid w:val="38905D39"/>
    <w:rsid w:val="38A774A1"/>
    <w:rsid w:val="38B2148E"/>
    <w:rsid w:val="38B36A60"/>
    <w:rsid w:val="38C068C5"/>
    <w:rsid w:val="38D94CED"/>
    <w:rsid w:val="391E1F52"/>
    <w:rsid w:val="39465DF3"/>
    <w:rsid w:val="394A5FF0"/>
    <w:rsid w:val="396B5391"/>
    <w:rsid w:val="3A593B03"/>
    <w:rsid w:val="3A7845C1"/>
    <w:rsid w:val="3A914A27"/>
    <w:rsid w:val="3B352BD2"/>
    <w:rsid w:val="3B43014D"/>
    <w:rsid w:val="3BB719E6"/>
    <w:rsid w:val="3BCC0025"/>
    <w:rsid w:val="3BCF17A7"/>
    <w:rsid w:val="3C052A44"/>
    <w:rsid w:val="3C3505F9"/>
    <w:rsid w:val="3C356645"/>
    <w:rsid w:val="3CAC15D2"/>
    <w:rsid w:val="3CB20F70"/>
    <w:rsid w:val="3D061283"/>
    <w:rsid w:val="3DD72468"/>
    <w:rsid w:val="3DDA79A5"/>
    <w:rsid w:val="3E054764"/>
    <w:rsid w:val="3E107CA2"/>
    <w:rsid w:val="3E3C1889"/>
    <w:rsid w:val="3E4B02B0"/>
    <w:rsid w:val="3E504A51"/>
    <w:rsid w:val="3E5D7F6D"/>
    <w:rsid w:val="3E720BBD"/>
    <w:rsid w:val="3E7F0FD3"/>
    <w:rsid w:val="3F276678"/>
    <w:rsid w:val="3F3A7B06"/>
    <w:rsid w:val="3F4E727B"/>
    <w:rsid w:val="3F4E7974"/>
    <w:rsid w:val="3F8F4793"/>
    <w:rsid w:val="3F9600B4"/>
    <w:rsid w:val="3F9E131B"/>
    <w:rsid w:val="40214590"/>
    <w:rsid w:val="402B7E3F"/>
    <w:rsid w:val="40575044"/>
    <w:rsid w:val="40A1781F"/>
    <w:rsid w:val="40A801E1"/>
    <w:rsid w:val="40AB238A"/>
    <w:rsid w:val="411F71B7"/>
    <w:rsid w:val="41322588"/>
    <w:rsid w:val="41B32333"/>
    <w:rsid w:val="41DD6993"/>
    <w:rsid w:val="421D2353"/>
    <w:rsid w:val="427A506E"/>
    <w:rsid w:val="4284303B"/>
    <w:rsid w:val="42847D13"/>
    <w:rsid w:val="42AA07D4"/>
    <w:rsid w:val="42AD7A50"/>
    <w:rsid w:val="42CE1FCF"/>
    <w:rsid w:val="431E58B7"/>
    <w:rsid w:val="432B278D"/>
    <w:rsid w:val="43825D54"/>
    <w:rsid w:val="4388488F"/>
    <w:rsid w:val="43A8521B"/>
    <w:rsid w:val="443326F0"/>
    <w:rsid w:val="444D3426"/>
    <w:rsid w:val="446737BF"/>
    <w:rsid w:val="447A6FA6"/>
    <w:rsid w:val="449E3F2F"/>
    <w:rsid w:val="44FC25A1"/>
    <w:rsid w:val="4553243B"/>
    <w:rsid w:val="45834774"/>
    <w:rsid w:val="459C3C24"/>
    <w:rsid w:val="45A80E97"/>
    <w:rsid w:val="467C1E8C"/>
    <w:rsid w:val="46897314"/>
    <w:rsid w:val="46E84D4F"/>
    <w:rsid w:val="470343A1"/>
    <w:rsid w:val="4713714A"/>
    <w:rsid w:val="472B474E"/>
    <w:rsid w:val="47802038"/>
    <w:rsid w:val="478B6735"/>
    <w:rsid w:val="47B324DC"/>
    <w:rsid w:val="47EB03B5"/>
    <w:rsid w:val="47FB099F"/>
    <w:rsid w:val="483504F4"/>
    <w:rsid w:val="48394494"/>
    <w:rsid w:val="48A7564B"/>
    <w:rsid w:val="48BD099B"/>
    <w:rsid w:val="48F74ABF"/>
    <w:rsid w:val="4940640D"/>
    <w:rsid w:val="49497549"/>
    <w:rsid w:val="497E123A"/>
    <w:rsid w:val="4993326C"/>
    <w:rsid w:val="49BF66B8"/>
    <w:rsid w:val="4A432BA3"/>
    <w:rsid w:val="4A72756B"/>
    <w:rsid w:val="4A797541"/>
    <w:rsid w:val="4A7F5FCD"/>
    <w:rsid w:val="4AD1334A"/>
    <w:rsid w:val="4B010B09"/>
    <w:rsid w:val="4BC149DF"/>
    <w:rsid w:val="4BE30283"/>
    <w:rsid w:val="4BF37B2C"/>
    <w:rsid w:val="4CF31CB8"/>
    <w:rsid w:val="4D1E0B50"/>
    <w:rsid w:val="4D8A0FED"/>
    <w:rsid w:val="4D917D31"/>
    <w:rsid w:val="4E002236"/>
    <w:rsid w:val="4E4179EE"/>
    <w:rsid w:val="4E470433"/>
    <w:rsid w:val="4E767DC2"/>
    <w:rsid w:val="4E8F6F3C"/>
    <w:rsid w:val="4ED57ECB"/>
    <w:rsid w:val="4F9F7B0F"/>
    <w:rsid w:val="4FCE03C2"/>
    <w:rsid w:val="50372AC6"/>
    <w:rsid w:val="50F66874"/>
    <w:rsid w:val="510711CE"/>
    <w:rsid w:val="512438F2"/>
    <w:rsid w:val="512B0AEB"/>
    <w:rsid w:val="51B24506"/>
    <w:rsid w:val="51C90B72"/>
    <w:rsid w:val="52414FCD"/>
    <w:rsid w:val="52603064"/>
    <w:rsid w:val="52677290"/>
    <w:rsid w:val="52803B80"/>
    <w:rsid w:val="52B27FA0"/>
    <w:rsid w:val="53434A68"/>
    <w:rsid w:val="534838B6"/>
    <w:rsid w:val="53D725CB"/>
    <w:rsid w:val="542B42CD"/>
    <w:rsid w:val="547140A9"/>
    <w:rsid w:val="54B21C9B"/>
    <w:rsid w:val="54C25001"/>
    <w:rsid w:val="54CB1C1C"/>
    <w:rsid w:val="55083AF1"/>
    <w:rsid w:val="55360C50"/>
    <w:rsid w:val="55AE5125"/>
    <w:rsid w:val="56443477"/>
    <w:rsid w:val="56686407"/>
    <w:rsid w:val="5670694D"/>
    <w:rsid w:val="568203C1"/>
    <w:rsid w:val="5692044B"/>
    <w:rsid w:val="570C6A4D"/>
    <w:rsid w:val="57200AAC"/>
    <w:rsid w:val="57400FAC"/>
    <w:rsid w:val="57FA77E0"/>
    <w:rsid w:val="588472F7"/>
    <w:rsid w:val="58E443C8"/>
    <w:rsid w:val="58F12371"/>
    <w:rsid w:val="590B4AF5"/>
    <w:rsid w:val="59255366"/>
    <w:rsid w:val="592E3D42"/>
    <w:rsid w:val="5957077D"/>
    <w:rsid w:val="5A0679B5"/>
    <w:rsid w:val="5A3566E7"/>
    <w:rsid w:val="5A5F5703"/>
    <w:rsid w:val="5B10408B"/>
    <w:rsid w:val="5B614E05"/>
    <w:rsid w:val="5B9F729D"/>
    <w:rsid w:val="5BBB54FB"/>
    <w:rsid w:val="5C304108"/>
    <w:rsid w:val="5CD22B72"/>
    <w:rsid w:val="5CD37180"/>
    <w:rsid w:val="5D0D0413"/>
    <w:rsid w:val="5D226ACA"/>
    <w:rsid w:val="5D3778A4"/>
    <w:rsid w:val="5D684E59"/>
    <w:rsid w:val="5D6A02A3"/>
    <w:rsid w:val="5D76641B"/>
    <w:rsid w:val="5D873867"/>
    <w:rsid w:val="5D9D4B3C"/>
    <w:rsid w:val="5DAC0B5B"/>
    <w:rsid w:val="5DEC3733"/>
    <w:rsid w:val="5E324CFB"/>
    <w:rsid w:val="5EAE580E"/>
    <w:rsid w:val="5F3351B1"/>
    <w:rsid w:val="5F373A61"/>
    <w:rsid w:val="5F6A0D11"/>
    <w:rsid w:val="5F6D6775"/>
    <w:rsid w:val="60091B2F"/>
    <w:rsid w:val="601B7887"/>
    <w:rsid w:val="60666BAE"/>
    <w:rsid w:val="60CB6295"/>
    <w:rsid w:val="60EF3577"/>
    <w:rsid w:val="612F2FC5"/>
    <w:rsid w:val="61810DAC"/>
    <w:rsid w:val="61BA34EB"/>
    <w:rsid w:val="61F64342"/>
    <w:rsid w:val="62361D20"/>
    <w:rsid w:val="624F1FFB"/>
    <w:rsid w:val="626838A5"/>
    <w:rsid w:val="62743A36"/>
    <w:rsid w:val="62B214F1"/>
    <w:rsid w:val="62BD4A25"/>
    <w:rsid w:val="63146D7E"/>
    <w:rsid w:val="63230500"/>
    <w:rsid w:val="63513D97"/>
    <w:rsid w:val="63920A42"/>
    <w:rsid w:val="64760EA5"/>
    <w:rsid w:val="64963F53"/>
    <w:rsid w:val="64C32216"/>
    <w:rsid w:val="64CC30EB"/>
    <w:rsid w:val="64D85CAF"/>
    <w:rsid w:val="64E67343"/>
    <w:rsid w:val="65240CFF"/>
    <w:rsid w:val="65611872"/>
    <w:rsid w:val="656C6C0C"/>
    <w:rsid w:val="663B0545"/>
    <w:rsid w:val="663C6FD7"/>
    <w:rsid w:val="664A1A6A"/>
    <w:rsid w:val="66690A9C"/>
    <w:rsid w:val="66846F63"/>
    <w:rsid w:val="66AE6963"/>
    <w:rsid w:val="66B5704E"/>
    <w:rsid w:val="66EF19E5"/>
    <w:rsid w:val="67CB184B"/>
    <w:rsid w:val="67F3262C"/>
    <w:rsid w:val="67F72DF6"/>
    <w:rsid w:val="6801064C"/>
    <w:rsid w:val="68083B50"/>
    <w:rsid w:val="680B3A79"/>
    <w:rsid w:val="686F0A84"/>
    <w:rsid w:val="688E629F"/>
    <w:rsid w:val="68917166"/>
    <w:rsid w:val="68CE2566"/>
    <w:rsid w:val="68DF4C87"/>
    <w:rsid w:val="69006B8C"/>
    <w:rsid w:val="69603B4A"/>
    <w:rsid w:val="696320E7"/>
    <w:rsid w:val="698A6289"/>
    <w:rsid w:val="69AB5865"/>
    <w:rsid w:val="6A295EBD"/>
    <w:rsid w:val="6A6352C7"/>
    <w:rsid w:val="6ACD7664"/>
    <w:rsid w:val="6B224577"/>
    <w:rsid w:val="6B3063AB"/>
    <w:rsid w:val="6B785364"/>
    <w:rsid w:val="6B8039E1"/>
    <w:rsid w:val="6BC87F76"/>
    <w:rsid w:val="6C0A4E0D"/>
    <w:rsid w:val="6C2B0249"/>
    <w:rsid w:val="6D011978"/>
    <w:rsid w:val="6D4C7577"/>
    <w:rsid w:val="6D614BA0"/>
    <w:rsid w:val="6DF40034"/>
    <w:rsid w:val="6DFB3AAB"/>
    <w:rsid w:val="6E296577"/>
    <w:rsid w:val="6E2E7467"/>
    <w:rsid w:val="6E8B3828"/>
    <w:rsid w:val="6EE82A97"/>
    <w:rsid w:val="6F2548C9"/>
    <w:rsid w:val="6F65704C"/>
    <w:rsid w:val="6F670D3C"/>
    <w:rsid w:val="6F806D7A"/>
    <w:rsid w:val="6FB00B6F"/>
    <w:rsid w:val="705742C5"/>
    <w:rsid w:val="708519A6"/>
    <w:rsid w:val="70953AEF"/>
    <w:rsid w:val="70D84686"/>
    <w:rsid w:val="71103916"/>
    <w:rsid w:val="711B49BC"/>
    <w:rsid w:val="714C6B86"/>
    <w:rsid w:val="71697858"/>
    <w:rsid w:val="717C4FF8"/>
    <w:rsid w:val="718F2948"/>
    <w:rsid w:val="71C10EE3"/>
    <w:rsid w:val="71DA1C11"/>
    <w:rsid w:val="71F32CE0"/>
    <w:rsid w:val="721754DD"/>
    <w:rsid w:val="72D47A43"/>
    <w:rsid w:val="738144AE"/>
    <w:rsid w:val="73A94202"/>
    <w:rsid w:val="73D5303E"/>
    <w:rsid w:val="73F0565F"/>
    <w:rsid w:val="740E54B7"/>
    <w:rsid w:val="74557BA0"/>
    <w:rsid w:val="74667C0C"/>
    <w:rsid w:val="74750532"/>
    <w:rsid w:val="74A2489D"/>
    <w:rsid w:val="74DA6C11"/>
    <w:rsid w:val="750931DA"/>
    <w:rsid w:val="75282411"/>
    <w:rsid w:val="754427F8"/>
    <w:rsid w:val="75642364"/>
    <w:rsid w:val="756A176D"/>
    <w:rsid w:val="757B2EFF"/>
    <w:rsid w:val="757C60BA"/>
    <w:rsid w:val="75AC36CE"/>
    <w:rsid w:val="75B93025"/>
    <w:rsid w:val="75C31316"/>
    <w:rsid w:val="75CC3D65"/>
    <w:rsid w:val="75D14FF0"/>
    <w:rsid w:val="75FE6729"/>
    <w:rsid w:val="760E4EC1"/>
    <w:rsid w:val="76207A89"/>
    <w:rsid w:val="762F3558"/>
    <w:rsid w:val="763B1F21"/>
    <w:rsid w:val="76826103"/>
    <w:rsid w:val="770316D3"/>
    <w:rsid w:val="773548BB"/>
    <w:rsid w:val="77B67B5F"/>
    <w:rsid w:val="781D20DD"/>
    <w:rsid w:val="78306109"/>
    <w:rsid w:val="783B31FD"/>
    <w:rsid w:val="78497278"/>
    <w:rsid w:val="78AE2748"/>
    <w:rsid w:val="7925747B"/>
    <w:rsid w:val="792A33BB"/>
    <w:rsid w:val="7988615C"/>
    <w:rsid w:val="798F0E1C"/>
    <w:rsid w:val="79BB2739"/>
    <w:rsid w:val="79E43492"/>
    <w:rsid w:val="7A03359A"/>
    <w:rsid w:val="7A467F03"/>
    <w:rsid w:val="7A4915EA"/>
    <w:rsid w:val="7AA367B5"/>
    <w:rsid w:val="7AC55644"/>
    <w:rsid w:val="7B0E2083"/>
    <w:rsid w:val="7B8B1DF6"/>
    <w:rsid w:val="7B9A69BB"/>
    <w:rsid w:val="7BAC4808"/>
    <w:rsid w:val="7BE76D09"/>
    <w:rsid w:val="7C1169AE"/>
    <w:rsid w:val="7C616904"/>
    <w:rsid w:val="7C646F65"/>
    <w:rsid w:val="7C8A7419"/>
    <w:rsid w:val="7C9F4A04"/>
    <w:rsid w:val="7D5C5C78"/>
    <w:rsid w:val="7E0000DB"/>
    <w:rsid w:val="7E0D7ED1"/>
    <w:rsid w:val="7E5129C6"/>
    <w:rsid w:val="7E8B57D8"/>
    <w:rsid w:val="7F0510C2"/>
    <w:rsid w:val="7F0C4881"/>
    <w:rsid w:val="7F305838"/>
    <w:rsid w:val="7F3B73BA"/>
    <w:rsid w:val="7FCC0955"/>
    <w:rsid w:val="7FD5136B"/>
    <w:rsid w:val="7FFA4B2B"/>
    <w:rsid w:val="7FFD0EBB"/>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iPriority="39" w:name="toc 2"/>
    <w:lsdException w:qFormat="1"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semiHidden="0"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qFormat="1" w:uiPriority="99" w:name="Body Text First Indent"/>
    <w:lsdException w:qFormat="1" w:unhideWhenUsed="0" w:uiPriority="0"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name="Hyperlink"/>
    <w:lsdException w:qFormat="1" w:uiPriority="99" w:name="FollowedHyperlink"/>
    <w:lsdException w:qFormat="1" w:unhideWhenUsed="0" w:uiPriority="0" w:semiHidden="0" w:name="Strong"/>
    <w:lsdException w:qFormat="1" w:unhideWhenUsed="0" w:uiPriority="20" w:semiHidden="0" w:name="Emphasis"/>
    <w:lsdException w:uiPriority="99" w:name="Document Map"/>
    <w:lsdException w:qFormat="1" w:unhideWhenUsed="0" w:uiPriority="0" w:semiHidden="0"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3">
    <w:name w:val="heading 1"/>
    <w:basedOn w:val="1"/>
    <w:next w:val="1"/>
    <w:link w:val="32"/>
    <w:qFormat/>
    <w:uiPriority w:val="9"/>
    <w:pPr>
      <w:keepNext/>
      <w:keepLines/>
      <w:numPr>
        <w:ilvl w:val="0"/>
        <w:numId w:val="1"/>
      </w:numPr>
      <w:spacing w:before="340" w:after="330" w:line="578" w:lineRule="auto"/>
      <w:ind w:left="0" w:firstLine="0"/>
      <w:outlineLvl w:val="0"/>
    </w:pPr>
    <w:rPr>
      <w:rFonts w:eastAsia="仿宋"/>
      <w:b/>
      <w:bCs/>
      <w:kern w:val="44"/>
      <w:sz w:val="32"/>
      <w:szCs w:val="44"/>
    </w:rPr>
  </w:style>
  <w:style w:type="paragraph" w:styleId="4">
    <w:name w:val="heading 2"/>
    <w:basedOn w:val="1"/>
    <w:next w:val="1"/>
    <w:link w:val="33"/>
    <w:unhideWhenUsed/>
    <w:qFormat/>
    <w:uiPriority w:val="9"/>
    <w:pPr>
      <w:keepNext/>
      <w:keepLines/>
      <w:numPr>
        <w:ilvl w:val="0"/>
        <w:numId w:val="2"/>
      </w:numPr>
      <w:spacing w:before="260" w:after="260" w:line="416" w:lineRule="auto"/>
      <w:outlineLvl w:val="1"/>
    </w:pPr>
    <w:rPr>
      <w:rFonts w:eastAsia="仿宋" w:asciiTheme="majorHAnsi" w:hAnsiTheme="majorHAnsi" w:cstheme="majorBidi"/>
      <w:bCs/>
      <w:sz w:val="32"/>
      <w:szCs w:val="32"/>
    </w:rPr>
  </w:style>
  <w:style w:type="paragraph" w:styleId="5">
    <w:name w:val="heading 3"/>
    <w:basedOn w:val="1"/>
    <w:next w:val="1"/>
    <w:unhideWhenUsed/>
    <w:qFormat/>
    <w:uiPriority w:val="9"/>
    <w:pPr>
      <w:keepNext/>
      <w:widowControl/>
      <w:spacing w:before="240" w:after="60"/>
      <w:jc w:val="left"/>
      <w:outlineLvl w:val="2"/>
    </w:pPr>
    <w:rPr>
      <w:rFonts w:ascii="Cambria" w:hAnsi="Cambria" w:eastAsia="宋体"/>
      <w:b/>
      <w:bCs/>
      <w:kern w:val="0"/>
      <w:sz w:val="26"/>
      <w:szCs w:val="26"/>
    </w:rPr>
  </w:style>
  <w:style w:type="character" w:default="1" w:styleId="22">
    <w:name w:val="Default Paragraph Font"/>
    <w:semiHidden/>
    <w:unhideWhenUsed/>
    <w:qFormat/>
    <w:uiPriority w:val="1"/>
  </w:style>
  <w:style w:type="table" w:default="1" w:styleId="20">
    <w:name w:val="Normal Table"/>
    <w:semiHidden/>
    <w:unhideWhenUsed/>
    <w:qFormat/>
    <w:uiPriority w:val="99"/>
    <w:tblPr>
      <w:tblCellMar>
        <w:top w:w="0" w:type="dxa"/>
        <w:left w:w="108" w:type="dxa"/>
        <w:bottom w:w="0" w:type="dxa"/>
        <w:right w:w="108" w:type="dxa"/>
      </w:tblCellMar>
    </w:tblPr>
  </w:style>
  <w:style w:type="paragraph" w:styleId="2">
    <w:name w:val="Plain Text"/>
    <w:basedOn w:val="1"/>
    <w:qFormat/>
    <w:uiPriority w:val="0"/>
    <w:rPr>
      <w:rFonts w:ascii="宋体" w:hAnsi="Courier New"/>
    </w:rPr>
  </w:style>
  <w:style w:type="paragraph" w:styleId="6">
    <w:name w:val="caption"/>
    <w:basedOn w:val="1"/>
    <w:next w:val="1"/>
    <w:unhideWhenUsed/>
    <w:qFormat/>
    <w:uiPriority w:val="35"/>
    <w:rPr>
      <w:rFonts w:eastAsia="黑体" w:asciiTheme="majorHAnsi" w:hAnsiTheme="majorHAnsi" w:cstheme="majorBidi"/>
      <w:sz w:val="20"/>
      <w:szCs w:val="20"/>
    </w:rPr>
  </w:style>
  <w:style w:type="paragraph" w:styleId="7">
    <w:name w:val="annotation text"/>
    <w:basedOn w:val="1"/>
    <w:link w:val="39"/>
    <w:semiHidden/>
    <w:unhideWhenUsed/>
    <w:qFormat/>
    <w:uiPriority w:val="99"/>
    <w:pPr>
      <w:jc w:val="left"/>
    </w:pPr>
  </w:style>
  <w:style w:type="paragraph" w:styleId="8">
    <w:name w:val="Body Text"/>
    <w:basedOn w:val="1"/>
    <w:qFormat/>
    <w:uiPriority w:val="0"/>
  </w:style>
  <w:style w:type="paragraph" w:styleId="9">
    <w:name w:val="Body Text Indent"/>
    <w:basedOn w:val="1"/>
    <w:qFormat/>
    <w:uiPriority w:val="0"/>
    <w:pPr>
      <w:ind w:firstLine="660"/>
    </w:pPr>
    <w:rPr>
      <w:sz w:val="30"/>
    </w:rPr>
  </w:style>
  <w:style w:type="paragraph" w:styleId="10">
    <w:name w:val="toc 3"/>
    <w:basedOn w:val="1"/>
    <w:next w:val="1"/>
    <w:semiHidden/>
    <w:unhideWhenUsed/>
    <w:qFormat/>
    <w:uiPriority w:val="39"/>
    <w:pPr>
      <w:ind w:left="840" w:leftChars="400"/>
    </w:pPr>
  </w:style>
  <w:style w:type="paragraph" w:styleId="11">
    <w:name w:val="Balloon Text"/>
    <w:basedOn w:val="1"/>
    <w:link w:val="38"/>
    <w:semiHidden/>
    <w:unhideWhenUsed/>
    <w:qFormat/>
    <w:uiPriority w:val="99"/>
    <w:rPr>
      <w:sz w:val="18"/>
      <w:szCs w:val="18"/>
    </w:rPr>
  </w:style>
  <w:style w:type="paragraph" w:styleId="12">
    <w:name w:val="footer"/>
    <w:basedOn w:val="1"/>
    <w:link w:val="30"/>
    <w:unhideWhenUsed/>
    <w:qFormat/>
    <w:uiPriority w:val="99"/>
    <w:pPr>
      <w:tabs>
        <w:tab w:val="center" w:pos="4153"/>
        <w:tab w:val="right" w:pos="8306"/>
      </w:tabs>
      <w:snapToGrid w:val="0"/>
      <w:jc w:val="left"/>
    </w:pPr>
    <w:rPr>
      <w:sz w:val="18"/>
      <w:szCs w:val="18"/>
    </w:rPr>
  </w:style>
  <w:style w:type="paragraph" w:styleId="13">
    <w:name w:val="header"/>
    <w:basedOn w:val="1"/>
    <w:link w:val="29"/>
    <w:unhideWhenUsed/>
    <w:qFormat/>
    <w:uiPriority w:val="99"/>
    <w:pPr>
      <w:pBdr>
        <w:bottom w:val="single" w:color="auto" w:sz="6" w:space="1"/>
      </w:pBdr>
      <w:tabs>
        <w:tab w:val="center" w:pos="4153"/>
        <w:tab w:val="right" w:pos="8306"/>
      </w:tabs>
      <w:snapToGrid w:val="0"/>
      <w:jc w:val="center"/>
    </w:pPr>
    <w:rPr>
      <w:sz w:val="18"/>
      <w:szCs w:val="18"/>
    </w:rPr>
  </w:style>
  <w:style w:type="paragraph" w:styleId="14">
    <w:name w:val="toc 1"/>
    <w:basedOn w:val="1"/>
    <w:next w:val="1"/>
    <w:qFormat/>
    <w:uiPriority w:val="39"/>
    <w:rPr>
      <w:rFonts w:ascii="Times New Roman" w:hAnsi="Times New Roman" w:eastAsia="宋体" w:cs="Times New Roman"/>
    </w:rPr>
  </w:style>
  <w:style w:type="paragraph" w:styleId="15">
    <w:name w:val="toc 2"/>
    <w:basedOn w:val="1"/>
    <w:next w:val="1"/>
    <w:semiHidden/>
    <w:unhideWhenUsed/>
    <w:qFormat/>
    <w:uiPriority w:val="39"/>
    <w:pPr>
      <w:ind w:left="420" w:leftChars="200"/>
    </w:pPr>
  </w:style>
  <w:style w:type="paragraph" w:styleId="16">
    <w:name w:val="Normal (Web)"/>
    <w:basedOn w:val="1"/>
    <w:semiHidden/>
    <w:unhideWhenUsed/>
    <w:qFormat/>
    <w:uiPriority w:val="99"/>
    <w:pPr>
      <w:spacing w:before="0" w:beforeAutospacing="1" w:after="0" w:afterAutospacing="1"/>
      <w:ind w:left="0" w:right="0"/>
      <w:jc w:val="left"/>
    </w:pPr>
    <w:rPr>
      <w:kern w:val="0"/>
      <w:sz w:val="14"/>
      <w:szCs w:val="14"/>
      <w:lang w:val="en-US" w:eastAsia="zh-CN" w:bidi="ar"/>
    </w:rPr>
  </w:style>
  <w:style w:type="paragraph" w:styleId="17">
    <w:name w:val="annotation subject"/>
    <w:basedOn w:val="7"/>
    <w:next w:val="7"/>
    <w:link w:val="40"/>
    <w:semiHidden/>
    <w:unhideWhenUsed/>
    <w:qFormat/>
    <w:uiPriority w:val="99"/>
    <w:rPr>
      <w:b/>
      <w:bCs/>
    </w:rPr>
  </w:style>
  <w:style w:type="paragraph" w:styleId="18">
    <w:name w:val="Body Text First Indent"/>
    <w:basedOn w:val="8"/>
    <w:semiHidden/>
    <w:unhideWhenUsed/>
    <w:qFormat/>
    <w:uiPriority w:val="99"/>
    <w:pPr>
      <w:ind w:firstLine="420" w:firstLineChars="100"/>
    </w:pPr>
  </w:style>
  <w:style w:type="paragraph" w:styleId="19">
    <w:name w:val="Body Text First Indent 2"/>
    <w:basedOn w:val="9"/>
    <w:qFormat/>
    <w:uiPriority w:val="0"/>
    <w:pPr>
      <w:tabs>
        <w:tab w:val="left" w:pos="180"/>
        <w:tab w:val="left" w:pos="540"/>
      </w:tabs>
      <w:ind w:firstLine="420" w:firstLineChars="200"/>
    </w:pPr>
  </w:style>
  <w:style w:type="table" w:styleId="21">
    <w:name w:val="Table Grid"/>
    <w:basedOn w:val="20"/>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3">
    <w:name w:val="Strong"/>
    <w:basedOn w:val="22"/>
    <w:qFormat/>
    <w:uiPriority w:val="0"/>
    <w:rPr>
      <w:b/>
      <w:bCs/>
    </w:rPr>
  </w:style>
  <w:style w:type="character" w:styleId="24">
    <w:name w:val="FollowedHyperlink"/>
    <w:basedOn w:val="22"/>
    <w:semiHidden/>
    <w:unhideWhenUsed/>
    <w:qFormat/>
    <w:uiPriority w:val="99"/>
    <w:rPr>
      <w:color w:val="000000"/>
      <w:u w:val="none"/>
    </w:rPr>
  </w:style>
  <w:style w:type="character" w:styleId="25">
    <w:name w:val="Emphasis"/>
    <w:basedOn w:val="22"/>
    <w:qFormat/>
    <w:uiPriority w:val="20"/>
  </w:style>
  <w:style w:type="character" w:styleId="26">
    <w:name w:val="Hyperlink"/>
    <w:basedOn w:val="22"/>
    <w:semiHidden/>
    <w:unhideWhenUsed/>
    <w:qFormat/>
    <w:uiPriority w:val="99"/>
    <w:rPr>
      <w:color w:val="000000"/>
      <w:u w:val="none"/>
    </w:rPr>
  </w:style>
  <w:style w:type="character" w:styleId="27">
    <w:name w:val="annotation reference"/>
    <w:basedOn w:val="22"/>
    <w:semiHidden/>
    <w:unhideWhenUsed/>
    <w:qFormat/>
    <w:uiPriority w:val="99"/>
    <w:rPr>
      <w:sz w:val="21"/>
      <w:szCs w:val="21"/>
    </w:rPr>
  </w:style>
  <w:style w:type="paragraph" w:customStyle="1" w:styleId="28">
    <w:name w:val="Default"/>
    <w:qFormat/>
    <w:uiPriority w:val="0"/>
    <w:pPr>
      <w:widowControl w:val="0"/>
      <w:autoSpaceDE w:val="0"/>
      <w:autoSpaceDN w:val="0"/>
      <w:adjustRightInd w:val="0"/>
    </w:pPr>
    <w:rPr>
      <w:rFonts w:ascii="HYb2gj" w:hAnsi="Times New Roman" w:eastAsia="HYb2gj" w:cs="HYb2gj"/>
      <w:color w:val="000000"/>
      <w:sz w:val="24"/>
      <w:szCs w:val="24"/>
      <w:lang w:val="en-US" w:eastAsia="zh-CN" w:bidi="ar-SA"/>
    </w:rPr>
  </w:style>
  <w:style w:type="character" w:customStyle="1" w:styleId="29">
    <w:name w:val="页眉 Char"/>
    <w:basedOn w:val="22"/>
    <w:link w:val="13"/>
    <w:qFormat/>
    <w:uiPriority w:val="99"/>
    <w:rPr>
      <w:sz w:val="18"/>
      <w:szCs w:val="18"/>
    </w:rPr>
  </w:style>
  <w:style w:type="character" w:customStyle="1" w:styleId="30">
    <w:name w:val="页脚 Char"/>
    <w:basedOn w:val="22"/>
    <w:link w:val="12"/>
    <w:qFormat/>
    <w:uiPriority w:val="99"/>
    <w:rPr>
      <w:sz w:val="18"/>
      <w:szCs w:val="18"/>
    </w:rPr>
  </w:style>
  <w:style w:type="character" w:customStyle="1" w:styleId="31">
    <w:name w:val="font41"/>
    <w:basedOn w:val="22"/>
    <w:qFormat/>
    <w:uiPriority w:val="0"/>
    <w:rPr>
      <w:rFonts w:ascii="仿宋_GB2312" w:eastAsia="仿宋_GB2312" w:cs="仿宋_GB2312"/>
      <w:color w:val="000000"/>
      <w:sz w:val="24"/>
      <w:szCs w:val="24"/>
      <w:u w:val="none"/>
    </w:rPr>
  </w:style>
  <w:style w:type="character" w:customStyle="1" w:styleId="32">
    <w:name w:val="标题 1 Char"/>
    <w:basedOn w:val="22"/>
    <w:link w:val="3"/>
    <w:qFormat/>
    <w:uiPriority w:val="9"/>
    <w:rPr>
      <w:rFonts w:eastAsia="仿宋"/>
      <w:b/>
      <w:bCs/>
      <w:kern w:val="44"/>
      <w:sz w:val="32"/>
      <w:szCs w:val="44"/>
    </w:rPr>
  </w:style>
  <w:style w:type="character" w:customStyle="1" w:styleId="33">
    <w:name w:val="标题 2 Char"/>
    <w:basedOn w:val="22"/>
    <w:link w:val="4"/>
    <w:qFormat/>
    <w:uiPriority w:val="9"/>
    <w:rPr>
      <w:rFonts w:eastAsia="仿宋" w:asciiTheme="majorHAnsi" w:hAnsiTheme="majorHAnsi" w:cstheme="majorBidi"/>
      <w:bCs/>
      <w:sz w:val="32"/>
      <w:szCs w:val="32"/>
    </w:rPr>
  </w:style>
  <w:style w:type="paragraph" w:styleId="34">
    <w:name w:val="List Paragraph"/>
    <w:basedOn w:val="1"/>
    <w:qFormat/>
    <w:uiPriority w:val="34"/>
    <w:pPr>
      <w:ind w:firstLine="420" w:firstLineChars="200"/>
    </w:pPr>
  </w:style>
  <w:style w:type="paragraph" w:customStyle="1" w:styleId="35">
    <w:name w:val="WPSOffice手动目录 1"/>
    <w:qFormat/>
    <w:uiPriority w:val="0"/>
    <w:rPr>
      <w:rFonts w:asciiTheme="minorHAnsi" w:hAnsiTheme="minorHAnsi" w:eastAsiaTheme="minorEastAsia" w:cstheme="minorBidi"/>
      <w:lang w:val="en-US" w:eastAsia="zh-CN" w:bidi="ar-SA"/>
    </w:rPr>
  </w:style>
  <w:style w:type="paragraph" w:customStyle="1" w:styleId="36">
    <w:name w:val="WPSOffice手动目录 2"/>
    <w:qFormat/>
    <w:uiPriority w:val="0"/>
    <w:pPr>
      <w:ind w:left="200" w:leftChars="200"/>
    </w:pPr>
    <w:rPr>
      <w:rFonts w:asciiTheme="minorHAnsi" w:hAnsiTheme="minorHAnsi" w:eastAsiaTheme="minorEastAsia" w:cstheme="minorBidi"/>
      <w:lang w:val="en-US" w:eastAsia="zh-CN" w:bidi="ar-SA"/>
    </w:rPr>
  </w:style>
  <w:style w:type="paragraph" w:customStyle="1" w:styleId="37">
    <w:name w:val="WPSOffice手动目录 3"/>
    <w:qFormat/>
    <w:uiPriority w:val="0"/>
    <w:pPr>
      <w:ind w:left="400" w:leftChars="400"/>
    </w:pPr>
    <w:rPr>
      <w:rFonts w:asciiTheme="minorHAnsi" w:hAnsiTheme="minorHAnsi" w:eastAsiaTheme="minorEastAsia" w:cstheme="minorBidi"/>
      <w:lang w:val="en-US" w:eastAsia="zh-CN" w:bidi="ar-SA"/>
    </w:rPr>
  </w:style>
  <w:style w:type="character" w:customStyle="1" w:styleId="38">
    <w:name w:val="批注框文本 Char"/>
    <w:basedOn w:val="22"/>
    <w:link w:val="11"/>
    <w:semiHidden/>
    <w:qFormat/>
    <w:uiPriority w:val="99"/>
    <w:rPr>
      <w:kern w:val="2"/>
      <w:sz w:val="18"/>
      <w:szCs w:val="18"/>
    </w:rPr>
  </w:style>
  <w:style w:type="character" w:customStyle="1" w:styleId="39">
    <w:name w:val="批注文字 Char"/>
    <w:basedOn w:val="22"/>
    <w:link w:val="7"/>
    <w:semiHidden/>
    <w:qFormat/>
    <w:uiPriority w:val="99"/>
    <w:rPr>
      <w:kern w:val="2"/>
      <w:sz w:val="21"/>
      <w:szCs w:val="24"/>
    </w:rPr>
  </w:style>
  <w:style w:type="character" w:customStyle="1" w:styleId="40">
    <w:name w:val="批注主题 Char"/>
    <w:basedOn w:val="39"/>
    <w:link w:val="17"/>
    <w:semiHidden/>
    <w:qFormat/>
    <w:uiPriority w:val="99"/>
    <w:rPr>
      <w:b/>
      <w:bCs/>
      <w:kern w:val="2"/>
      <w:sz w:val="21"/>
      <w:szCs w:val="24"/>
    </w:rPr>
  </w:style>
  <w:style w:type="paragraph" w:customStyle="1" w:styleId="41">
    <w:name w:val="闻政表"/>
    <w:basedOn w:val="1"/>
    <w:qFormat/>
    <w:uiPriority w:val="99"/>
    <w:pPr>
      <w:spacing w:before="60" w:after="60"/>
      <w:jc w:val="center"/>
    </w:pPr>
    <w:rPr>
      <w:rFonts w:ascii="Times New Roman" w:hAnsi="Times New Roman" w:eastAsia="仿宋_GB2312"/>
      <w:b/>
      <w:kern w:val="0"/>
      <w:sz w:val="24"/>
      <w:szCs w:val="28"/>
    </w:rPr>
  </w:style>
  <w:style w:type="paragraph" w:customStyle="1" w:styleId="42">
    <w:name w:val="列表段落1"/>
    <w:basedOn w:val="1"/>
    <w:qFormat/>
    <w:uiPriority w:val="34"/>
    <w:pPr>
      <w:ind w:firstLine="420" w:firstLineChars="200"/>
    </w:pPr>
  </w:style>
  <w:style w:type="paragraph" w:customStyle="1" w:styleId="43">
    <w:name w:val="无间隔1"/>
    <w:basedOn w:val="1"/>
    <w:qFormat/>
    <w:uiPriority w:val="1"/>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customXml" Target="../customXml/item2.xml"/><Relationship Id="rId6" Type="http://schemas.openxmlformats.org/officeDocument/2006/relationships/numbering" Target="numbering.xml"/><Relationship Id="rId5" Type="http://schemas.openxmlformats.org/officeDocument/2006/relationships/customXml" Target="../customXml/item1.xml"/><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73F39DA-BB28-4752-A7CB-656F2CF4CE59}">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29</Pages>
  <Words>13204</Words>
  <Characters>14037</Characters>
  <Lines>79</Lines>
  <Paragraphs>22</Paragraphs>
  <TotalTime>23</TotalTime>
  <ScaleCrop>false</ScaleCrop>
  <LinksUpToDate>false</LinksUpToDate>
  <CharactersWithSpaces>14174</CharactersWithSpaces>
  <Application>WPS Office_11.1.0.12358_F1E327BC-269C-435d-A152-05C5408002CA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2019-11-07T05:25:00Z</dcterms:created>
  <dc:creator>jc</dc:creator>
  <cp:lastModifiedBy>@</cp:lastModifiedBy>
  <cp:lastPrinted>2021-07-28T10:34:00Z</cp:lastPrinted>
  <dcterms:modified xsi:type="dcterms:W3CDTF">2022-09-25T02:53:40Z</dcterms:modified>
  <cp:revision>182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2052-11.1.0.12358</vt:lpwstr>
  </property>
  <property fmtid="{D5CDD505-2E9C-101B-9397-08002B2CF9AE}" pid="3" name="ICV">
    <vt:lpwstr>A8312BA226C94F5A884B33DB13DDFAF3</vt:lpwstr>
  </property>
  <property fmtid="{D5CDD505-2E9C-101B-9397-08002B2CF9AE}" pid="4" name="KSOSaveFontToCloudKey">
    <vt:lpwstr>999270995_embed</vt:lpwstr>
  </property>
</Properties>
</file>