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both"/>
        <w:rPr>
          <w:rFonts w:ascii="方正小标宋简体" w:hAnsi="黑体" w:eastAsia="方正小标宋简体" w:cs="宋体"/>
          <w:kern w:val="0"/>
          <w:sz w:val="44"/>
          <w:szCs w:val="44"/>
        </w:rPr>
      </w:pPr>
    </w:p>
    <w:p>
      <w:pPr>
        <w:jc w:val="center"/>
        <w:rPr>
          <w:rFonts w:hint="eastAsia" w:ascii="方正小标宋简体" w:hAnsi="黑体" w:eastAsia="方正小标宋简体" w:cs="宋体"/>
          <w:kern w:val="0"/>
          <w:sz w:val="44"/>
          <w:szCs w:val="44"/>
          <w:lang w:eastAsia="zh-CN"/>
        </w:rPr>
      </w:pPr>
      <w:r>
        <w:rPr>
          <w:rFonts w:hint="eastAsia" w:ascii="方正小标宋简体" w:hAnsi="黑体" w:eastAsia="方正小标宋简体" w:cs="宋体"/>
          <w:kern w:val="0"/>
          <w:sz w:val="44"/>
          <w:szCs w:val="44"/>
          <w:lang w:eastAsia="zh-CN"/>
        </w:rPr>
        <w:t>洛浦县农业农村局</w:t>
      </w:r>
    </w:p>
    <w:p>
      <w:pPr>
        <w:jc w:val="center"/>
        <w:rPr>
          <w:rFonts w:hint="eastAsia" w:ascii="方正小标宋简体" w:hAnsi="黑体" w:eastAsia="方正小标宋简体" w:cs="宋体"/>
          <w:kern w:val="0"/>
          <w:sz w:val="44"/>
          <w:szCs w:val="44"/>
          <w:highlight w:val="none"/>
          <w:lang w:val="en-US" w:eastAsia="zh-CN"/>
        </w:rPr>
      </w:pPr>
      <w:r>
        <w:rPr>
          <w:rFonts w:hint="eastAsia" w:ascii="方正小标宋简体" w:hAnsi="黑体" w:eastAsia="方正小标宋简体" w:cs="宋体"/>
          <w:kern w:val="0"/>
          <w:sz w:val="44"/>
          <w:szCs w:val="44"/>
          <w:lang w:eastAsia="zh-CN"/>
        </w:rPr>
        <w:t>人居环境整治项目</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jc w:val="center"/>
        <w:rPr>
          <w:rFonts w:ascii="方正小标宋简体" w:hAnsi="黑体" w:eastAsia="方正小标宋简体" w:cs="宋体"/>
          <w:kern w:val="0"/>
          <w:sz w:val="72"/>
          <w:szCs w:val="72"/>
        </w:rPr>
      </w:pPr>
      <w:r>
        <w:rPr>
          <w:rFonts w:hint="eastAsia" w:ascii="方正小标宋简体" w:hAnsi="黑体" w:eastAsia="方正小标宋简体" w:cs="宋体"/>
          <w:kern w:val="0"/>
          <w:sz w:val="72"/>
          <w:szCs w:val="72"/>
        </w:rPr>
        <w:t>绩效评价报告</w:t>
      </w: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rPr>
          <w:rFonts w:ascii="Times New Roman" w:hAnsi="黑体" w:eastAsia="黑体" w:cs="宋体"/>
          <w:kern w:val="0"/>
          <w:sz w:val="24"/>
        </w:rPr>
      </w:pPr>
    </w:p>
    <w:p>
      <w:pPr>
        <w:pStyle w:val="4"/>
        <w:numPr>
          <w:ilvl w:val="0"/>
          <w:numId w:val="0"/>
        </w:numPr>
        <w:ind w:leftChars="0"/>
        <w:rPr>
          <w:rFonts w:ascii="Times New Roman" w:hAnsi="黑体" w:eastAsia="黑体" w:cs="宋体"/>
          <w:kern w:val="0"/>
          <w:sz w:val="24"/>
        </w:rPr>
      </w:pPr>
    </w:p>
    <w:p>
      <w:pPr>
        <w:rPr>
          <w:rFonts w:ascii="Times New Roman" w:hAnsi="黑体" w:eastAsia="黑体" w:cs="宋体"/>
          <w:kern w:val="0"/>
          <w:sz w:val="24"/>
        </w:rPr>
      </w:pPr>
    </w:p>
    <w:p>
      <w:pPr>
        <w:pStyle w:val="2"/>
      </w:pPr>
    </w:p>
    <w:p/>
    <w:p>
      <w:pPr>
        <w:spacing w:line="400" w:lineRule="exact"/>
        <w:ind w:firstLine="2040" w:firstLineChars="850"/>
        <w:jc w:val="left"/>
        <w:rPr>
          <w:rFonts w:ascii="黑体" w:hAnsi="黑体" w:eastAsia="黑体" w:cs="宋体"/>
          <w:kern w:val="0"/>
          <w:sz w:val="24"/>
        </w:rPr>
      </w:pPr>
      <w:r>
        <w:rPr>
          <w:rFonts w:hint="eastAsia" w:ascii="黑体" w:hAnsi="黑体" w:eastAsia="黑体" w:cs="宋体"/>
          <w:kern w:val="0"/>
          <w:sz w:val="24"/>
        </w:rPr>
        <w:t>报告编号：</w:t>
      </w:r>
      <w:r>
        <w:rPr>
          <w:rFonts w:hint="eastAsia" w:ascii="黑体" w:hAnsi="黑体" w:eastAsia="黑体" w:cs="宋体"/>
          <w:kern w:val="0"/>
          <w:sz w:val="24"/>
          <w:highlight w:val="none"/>
        </w:rPr>
        <w:t>中瑞诚喀绩评字[202</w:t>
      </w:r>
      <w:r>
        <w:rPr>
          <w:rFonts w:hint="eastAsia" w:ascii="黑体" w:hAnsi="黑体" w:eastAsia="黑体" w:cs="宋体"/>
          <w:kern w:val="0"/>
          <w:sz w:val="24"/>
          <w:highlight w:val="none"/>
          <w:lang w:val="en-US" w:eastAsia="zh-CN"/>
        </w:rPr>
        <w:t>2</w:t>
      </w:r>
      <w:r>
        <w:rPr>
          <w:rFonts w:hint="eastAsia" w:ascii="黑体" w:hAnsi="黑体" w:eastAsia="黑体" w:cs="宋体"/>
          <w:kern w:val="0"/>
          <w:sz w:val="24"/>
          <w:highlight w:val="none"/>
        </w:rPr>
        <w:t>]</w:t>
      </w:r>
      <w:r>
        <w:rPr>
          <w:rFonts w:hint="eastAsia" w:ascii="黑体" w:hAnsi="黑体" w:eastAsia="黑体" w:cs="宋体"/>
          <w:kern w:val="0"/>
          <w:sz w:val="24"/>
          <w:highlight w:val="none"/>
          <w:lang w:val="en-US" w:eastAsia="zh-CN"/>
        </w:rPr>
        <w:t>143</w:t>
      </w:r>
      <w:r>
        <w:rPr>
          <w:rFonts w:hint="eastAsia" w:ascii="黑体" w:hAnsi="黑体" w:eastAsia="黑体" w:cs="宋体"/>
          <w:kern w:val="0"/>
          <w:sz w:val="24"/>
          <w:highlight w:val="none"/>
        </w:rPr>
        <w:t>号</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委托单位：</w:t>
      </w:r>
      <w:r>
        <w:rPr>
          <w:rFonts w:hint="eastAsia" w:ascii="黑体" w:hAnsi="黑体" w:eastAsia="黑体" w:cs="宋体"/>
          <w:kern w:val="0"/>
          <w:sz w:val="24"/>
          <w:lang w:eastAsia="zh-CN"/>
        </w:rPr>
        <w:t>洛浦</w:t>
      </w:r>
      <w:r>
        <w:rPr>
          <w:rFonts w:hint="eastAsia" w:ascii="黑体" w:hAnsi="黑体" w:eastAsia="黑体" w:cs="宋体"/>
          <w:kern w:val="0"/>
          <w:sz w:val="24"/>
        </w:rPr>
        <w:t>县财政局</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评价机构：中瑞诚会计师事务所</w:t>
      </w:r>
      <w:r>
        <w:rPr>
          <w:rFonts w:hint="eastAsia" w:ascii="黑体" w:hAnsi="黑体" w:eastAsia="黑体" w:cs="宋体"/>
          <w:kern w:val="0"/>
          <w:sz w:val="24"/>
          <w:lang w:eastAsia="zh-CN"/>
        </w:rPr>
        <w:t>（特殊普通合伙）</w:t>
      </w:r>
      <w:r>
        <w:rPr>
          <w:rFonts w:hint="eastAsia" w:ascii="黑体" w:hAnsi="黑体" w:eastAsia="黑体" w:cs="宋体"/>
          <w:kern w:val="0"/>
          <w:sz w:val="24"/>
        </w:rPr>
        <w:t>喀什分所</w:t>
      </w:r>
    </w:p>
    <w:p>
      <w:pPr>
        <w:spacing w:line="400" w:lineRule="exact"/>
        <w:ind w:firstLine="2040" w:firstLineChars="850"/>
        <w:jc w:val="left"/>
        <w:rPr>
          <w:rFonts w:hint="eastAsia" w:ascii="黑体" w:hAnsi="黑体" w:eastAsia="黑体" w:cs="宋体"/>
          <w:kern w:val="0"/>
          <w:sz w:val="24"/>
        </w:rPr>
      </w:pPr>
      <w:r>
        <w:rPr>
          <w:rFonts w:hint="eastAsia" w:ascii="黑体" w:hAnsi="黑体" w:eastAsia="黑体" w:cs="宋体"/>
          <w:kern w:val="0"/>
          <w:sz w:val="24"/>
        </w:rPr>
        <w:t>报告时间：</w:t>
      </w:r>
      <w:r>
        <w:rPr>
          <w:rFonts w:hint="eastAsia" w:ascii="黑体" w:hAnsi="黑体" w:eastAsia="黑体" w:cs="宋体"/>
          <w:kern w:val="0"/>
          <w:sz w:val="24"/>
          <w:lang w:eastAsia="zh-CN"/>
        </w:rPr>
        <w:t>202</w:t>
      </w:r>
      <w:r>
        <w:rPr>
          <w:rFonts w:hint="eastAsia" w:ascii="黑体" w:hAnsi="黑体" w:eastAsia="黑体" w:cs="宋体"/>
          <w:kern w:val="0"/>
          <w:sz w:val="24"/>
          <w:lang w:val="en-US" w:eastAsia="zh-CN"/>
        </w:rPr>
        <w:t>2</w:t>
      </w:r>
      <w:r>
        <w:rPr>
          <w:rFonts w:hint="eastAsia" w:ascii="黑体" w:hAnsi="黑体" w:eastAsia="黑体" w:cs="宋体"/>
          <w:kern w:val="0"/>
          <w:sz w:val="24"/>
        </w:rPr>
        <w:t>年</w:t>
      </w:r>
      <w:r>
        <w:rPr>
          <w:rFonts w:hint="eastAsia" w:ascii="黑体" w:hAnsi="黑体" w:eastAsia="黑体" w:cs="宋体"/>
          <w:kern w:val="0"/>
          <w:sz w:val="24"/>
          <w:lang w:val="en-US" w:eastAsia="zh-CN"/>
        </w:rPr>
        <w:t>06</w:t>
      </w:r>
      <w:r>
        <w:rPr>
          <w:rFonts w:hint="eastAsia" w:ascii="黑体" w:hAnsi="黑体" w:eastAsia="黑体" w:cs="宋体"/>
          <w:kern w:val="0"/>
          <w:sz w:val="24"/>
        </w:rPr>
        <w:t>月</w:t>
      </w:r>
      <w:r>
        <w:rPr>
          <w:rFonts w:hint="eastAsia" w:ascii="黑体" w:hAnsi="黑体" w:eastAsia="黑体" w:cs="宋体"/>
          <w:kern w:val="0"/>
          <w:sz w:val="24"/>
          <w:lang w:val="en-US" w:eastAsia="zh-CN"/>
        </w:rPr>
        <w:t>30</w:t>
      </w:r>
      <w:r>
        <w:rPr>
          <w:rFonts w:hint="eastAsia" w:ascii="黑体" w:hAnsi="黑体" w:eastAsia="黑体" w:cs="宋体"/>
          <w:kern w:val="0"/>
          <w:sz w:val="24"/>
        </w:rPr>
        <w:t>日</w:t>
      </w:r>
    </w:p>
    <w:p>
      <w:pPr>
        <w:pStyle w:val="2"/>
        <w:rPr>
          <w:rFonts w:hint="eastAsia" w:ascii="黑体" w:hAnsi="黑体" w:eastAsia="黑体" w:cs="宋体"/>
          <w:kern w:val="0"/>
          <w:sz w:val="24"/>
        </w:rPr>
      </w:pPr>
    </w:p>
    <w:p>
      <w:pPr>
        <w:pStyle w:val="2"/>
      </w:pPr>
    </w:p>
    <w:tbl>
      <w:tblPr>
        <w:tblStyle w:val="20"/>
        <w:tblpPr w:leftFromText="180" w:rightFromText="180" w:vertAnchor="text" w:horzAnchor="margin" w:tblpX="1" w:tblpY="-77"/>
        <w:tblOverlap w:val="never"/>
        <w:tblW w:w="8983" w:type="dxa"/>
        <w:tblInd w:w="0" w:type="dxa"/>
        <w:tblLayout w:type="fixed"/>
        <w:tblCellMar>
          <w:top w:w="15" w:type="dxa"/>
          <w:left w:w="15" w:type="dxa"/>
          <w:bottom w:w="15" w:type="dxa"/>
          <w:right w:w="15" w:type="dxa"/>
        </w:tblCellMar>
      </w:tblPr>
      <w:tblGrid>
        <w:gridCol w:w="1291"/>
        <w:gridCol w:w="954"/>
        <w:gridCol w:w="180"/>
        <w:gridCol w:w="284"/>
        <w:gridCol w:w="850"/>
        <w:gridCol w:w="851"/>
        <w:gridCol w:w="81"/>
        <w:gridCol w:w="202"/>
        <w:gridCol w:w="992"/>
        <w:gridCol w:w="709"/>
        <w:gridCol w:w="343"/>
        <w:gridCol w:w="994"/>
        <w:gridCol w:w="1252"/>
      </w:tblGrid>
      <w:tr>
        <w:tblPrEx>
          <w:tblCellMar>
            <w:top w:w="15" w:type="dxa"/>
            <w:left w:w="15" w:type="dxa"/>
            <w:bottom w:w="15" w:type="dxa"/>
            <w:right w:w="15" w:type="dxa"/>
          </w:tblCellMar>
        </w:tblPrEx>
        <w:trPr>
          <w:trHeight w:val="289" w:hRule="atLeast"/>
        </w:trPr>
        <w:tc>
          <w:tcPr>
            <w:tcW w:w="8983" w:type="dxa"/>
            <w:gridSpan w:val="13"/>
            <w:shd w:val="clear" w:color="auto" w:fill="auto"/>
            <w:vAlign w:val="center"/>
          </w:tcPr>
          <w:p>
            <w:pPr>
              <w:widowControl/>
              <w:jc w:val="left"/>
              <w:textAlignment w:val="center"/>
              <w:rPr>
                <w:rFonts w:hint="eastAsia" w:ascii="黑体" w:hAnsi="宋体" w:eastAsia="黑体" w:cs="黑体"/>
                <w:color w:val="000000"/>
                <w:sz w:val="24"/>
                <w:highlight w:val="none"/>
                <w:lang w:eastAsia="zh-CN"/>
              </w:rPr>
            </w:pPr>
            <w:r>
              <w:rPr>
                <w:rFonts w:hint="eastAsia" w:ascii="黑体" w:hAnsi="宋体" w:eastAsia="黑体" w:cs="黑体"/>
                <w:color w:val="000000"/>
                <w:kern w:val="0"/>
                <w:sz w:val="24"/>
                <w:highlight w:val="none"/>
              </w:rPr>
              <w:t>评价分值：</w:t>
            </w:r>
            <w:r>
              <w:rPr>
                <w:rFonts w:hint="eastAsia" w:ascii="黑体" w:hAnsi="宋体" w:eastAsia="黑体" w:cs="黑体"/>
                <w:color w:val="000000"/>
                <w:kern w:val="0"/>
                <w:sz w:val="24"/>
                <w:highlight w:val="none"/>
                <w:lang w:val="en-US" w:eastAsia="zh-CN"/>
              </w:rPr>
              <w:t>93</w:t>
            </w:r>
            <w:r>
              <w:rPr>
                <w:rStyle w:val="31"/>
                <w:rFonts w:hint="eastAsia" w:hAnsi="宋体"/>
                <w:highlight w:val="none"/>
              </w:rPr>
              <w:t xml:space="preserve"> </w:t>
            </w:r>
            <w:r>
              <w:rPr>
                <w:rFonts w:hint="eastAsia" w:ascii="黑体" w:hAnsi="宋体" w:eastAsia="黑体" w:cs="黑体"/>
                <w:color w:val="000000"/>
                <w:kern w:val="0"/>
                <w:sz w:val="24"/>
                <w:highlight w:val="none"/>
              </w:rPr>
              <w:t>评价等级：</w:t>
            </w:r>
            <w:r>
              <w:rPr>
                <w:rFonts w:hint="eastAsia" w:ascii="黑体" w:hAnsi="宋体" w:eastAsia="黑体" w:cs="黑体"/>
                <w:color w:val="000000"/>
                <w:kern w:val="0"/>
                <w:sz w:val="24"/>
                <w:highlight w:val="none"/>
                <w:lang w:val="en-US" w:eastAsia="zh-CN"/>
              </w:rPr>
              <w:t>优</w:t>
            </w:r>
          </w:p>
        </w:tc>
      </w:tr>
      <w:tr>
        <w:tblPrEx>
          <w:tblCellMar>
            <w:top w:w="15" w:type="dxa"/>
            <w:left w:w="15" w:type="dxa"/>
            <w:bottom w:w="15" w:type="dxa"/>
            <w:right w:w="15" w:type="dxa"/>
          </w:tblCellMar>
        </w:tblPrEx>
        <w:trPr>
          <w:trHeight w:val="510" w:hRule="atLeast"/>
        </w:trPr>
        <w:tc>
          <w:tcPr>
            <w:tcW w:w="8983" w:type="dxa"/>
            <w:gridSpan w:val="13"/>
            <w:shd w:val="clear" w:color="auto" w:fill="auto"/>
            <w:vAlign w:val="center"/>
          </w:tcPr>
          <w:p>
            <w:pPr>
              <w:widowControl/>
              <w:jc w:val="center"/>
              <w:textAlignment w:val="center"/>
              <w:rPr>
                <w:rFonts w:ascii="黑体" w:hAnsi="宋体" w:eastAsia="黑体" w:cs="黑体"/>
                <w:b/>
                <w:color w:val="000000"/>
                <w:sz w:val="36"/>
                <w:szCs w:val="36"/>
                <w:highlight w:val="none"/>
              </w:rPr>
            </w:pPr>
            <w:r>
              <w:rPr>
                <w:rFonts w:hint="eastAsia" w:ascii="黑体" w:hAnsi="宋体" w:eastAsia="黑体" w:cs="黑体"/>
                <w:b/>
                <w:color w:val="000000"/>
                <w:kern w:val="0"/>
                <w:sz w:val="36"/>
                <w:szCs w:val="36"/>
                <w:highlight w:val="none"/>
              </w:rPr>
              <w:t>概   要</w:t>
            </w:r>
          </w:p>
        </w:tc>
      </w:tr>
      <w:tr>
        <w:tblPrEx>
          <w:tblCellMar>
            <w:top w:w="15" w:type="dxa"/>
            <w:left w:w="15" w:type="dxa"/>
            <w:bottom w:w="15" w:type="dxa"/>
            <w:right w:w="15" w:type="dxa"/>
          </w:tblCellMar>
        </w:tblPrEx>
        <w:trPr>
          <w:trHeight w:val="330" w:hRule="atLeast"/>
        </w:trPr>
        <w:tc>
          <w:tcPr>
            <w:tcW w:w="8983" w:type="dxa"/>
            <w:gridSpan w:val="13"/>
            <w:shd w:val="clear" w:color="auto" w:fill="auto"/>
            <w:vAlign w:val="center"/>
          </w:tcPr>
          <w:p>
            <w:pPr>
              <w:widowControl/>
              <w:jc w:val="left"/>
              <w:textAlignment w:val="center"/>
              <w:rPr>
                <w:rFonts w:ascii="黑体" w:hAnsi="黑体" w:eastAsia="黑体" w:cs="仿宋_GB2312"/>
                <w:color w:val="000000"/>
                <w:sz w:val="22"/>
                <w:highlight w:val="none"/>
              </w:rPr>
            </w:pPr>
            <w:r>
              <w:rPr>
                <w:rFonts w:hint="eastAsia" w:ascii="黑体" w:hAnsi="黑体" w:eastAsia="黑体" w:cs="仿宋_GB2312"/>
                <w:color w:val="000000"/>
                <w:kern w:val="0"/>
                <w:sz w:val="22"/>
                <w:highlight w:val="none"/>
              </w:rPr>
              <w:t>评价机构全称（盖章）：中瑞诚会计师事务所</w:t>
            </w:r>
            <w:r>
              <w:rPr>
                <w:rFonts w:hint="eastAsia" w:ascii="黑体" w:hAnsi="黑体" w:eastAsia="黑体" w:cs="仿宋_GB2312"/>
                <w:color w:val="000000"/>
                <w:kern w:val="0"/>
                <w:sz w:val="22"/>
                <w:highlight w:val="none"/>
                <w:lang w:eastAsia="zh-CN"/>
              </w:rPr>
              <w:t>（特殊普通合伙）</w:t>
            </w:r>
            <w:r>
              <w:rPr>
                <w:rFonts w:hint="eastAsia" w:ascii="黑体" w:hAnsi="黑体" w:eastAsia="黑体" w:cs="仿宋_GB2312"/>
                <w:color w:val="000000"/>
                <w:kern w:val="0"/>
                <w:sz w:val="22"/>
                <w:highlight w:val="none"/>
              </w:rPr>
              <w:t xml:space="preserve">喀什分所 </w:t>
            </w:r>
            <w:r>
              <w:rPr>
                <w:rFonts w:hint="eastAsia" w:ascii="黑体" w:hAnsi="黑体" w:eastAsia="黑体" w:cs="仿宋_GB2312"/>
                <w:color w:val="000000"/>
                <w:kern w:val="0"/>
                <w:sz w:val="22"/>
                <w:highlight w:val="none"/>
                <w:lang w:val="en-US" w:eastAsia="zh-CN"/>
              </w:rPr>
              <w:t xml:space="preserve">   </w:t>
            </w:r>
            <w:r>
              <w:rPr>
                <w:rFonts w:hint="eastAsia" w:ascii="黑体" w:hAnsi="黑体" w:eastAsia="黑体" w:cs="仿宋_GB2312"/>
                <w:color w:val="000000"/>
                <w:kern w:val="0"/>
                <w:sz w:val="22"/>
                <w:highlight w:val="none"/>
              </w:rPr>
              <w:t>单位：万元、类、个</w:t>
            </w:r>
          </w:p>
        </w:tc>
      </w:tr>
      <w:tr>
        <w:tblPrEx>
          <w:tblCellMar>
            <w:top w:w="15" w:type="dxa"/>
            <w:left w:w="15" w:type="dxa"/>
            <w:bottom w:w="15" w:type="dxa"/>
            <w:right w:w="15" w:type="dxa"/>
          </w:tblCellMar>
        </w:tblPrEx>
        <w:trPr>
          <w:trHeight w:val="57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项目名称</w:t>
            </w:r>
          </w:p>
        </w:tc>
        <w:tc>
          <w:tcPr>
            <w:tcW w:w="5103" w:type="dxa"/>
            <w:gridSpan w:val="9"/>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人居环境整治</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评价年度</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财政主管处室</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绩效股</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高月仙15713865046</w:t>
            </w:r>
          </w:p>
        </w:tc>
      </w:tr>
      <w:tr>
        <w:tblPrEx>
          <w:tblCellMar>
            <w:top w:w="15" w:type="dxa"/>
            <w:left w:w="15" w:type="dxa"/>
            <w:bottom w:w="15" w:type="dxa"/>
            <w:right w:w="15" w:type="dxa"/>
          </w:tblCellMar>
        </w:tblPrEx>
        <w:trPr>
          <w:trHeight w:val="51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主管部门</w:t>
            </w:r>
          </w:p>
        </w:tc>
        <w:tc>
          <w:tcPr>
            <w:tcW w:w="3119" w:type="dxa"/>
            <w:gridSpan w:val="5"/>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eastAsia="zh-CN"/>
              </w:rPr>
              <w:t>洛浦县农业农村局</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联系人及联系方式</w:t>
            </w:r>
          </w:p>
        </w:tc>
        <w:tc>
          <w:tcPr>
            <w:tcW w:w="2589"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亚力坤·艾沙13999051227</w:t>
            </w:r>
          </w:p>
        </w:tc>
      </w:tr>
      <w:tr>
        <w:tblPrEx>
          <w:tblCellMar>
            <w:top w:w="15" w:type="dxa"/>
            <w:left w:w="15" w:type="dxa"/>
            <w:bottom w:w="15" w:type="dxa"/>
            <w:right w:w="15" w:type="dxa"/>
          </w:tblCellMar>
        </w:tblPrEx>
        <w:trPr>
          <w:trHeight w:val="376"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自评方式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 xml:space="preserve"> 实地调研、文件研读等方式</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自评分值</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自评等级</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优</w:t>
            </w:r>
          </w:p>
        </w:tc>
      </w:tr>
      <w:tr>
        <w:tblPrEx>
          <w:tblCellMar>
            <w:top w:w="15" w:type="dxa"/>
            <w:left w:w="15" w:type="dxa"/>
            <w:bottom w:w="15" w:type="dxa"/>
            <w:right w:w="15" w:type="dxa"/>
          </w:tblCellMar>
        </w:tblPrEx>
        <w:trPr>
          <w:trHeight w:val="615"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各级资金</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投入总数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360.00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sz w:val="20"/>
                <w:szCs w:val="20"/>
                <w:highlight w:val="none"/>
              </w:rPr>
              <w:t>抽查资金总数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rPr>
            </w:pPr>
            <w:r>
              <w:rPr>
                <w:rFonts w:hint="eastAsia" w:ascii="仿宋_GB2312" w:hAnsi="宋体" w:eastAsia="仿宋_GB2312" w:cs="仿宋_GB2312"/>
                <w:color w:val="000000"/>
                <w:sz w:val="20"/>
                <w:szCs w:val="20"/>
                <w:highlight w:val="none"/>
                <w:lang w:val="en-US" w:eastAsia="zh-CN"/>
              </w:rPr>
              <w:t>360.00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sz w:val="20"/>
                <w:szCs w:val="20"/>
                <w:highlight w:val="none"/>
              </w:rPr>
              <w:t>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rPr>
            </w:pPr>
            <w:r>
              <w:rPr>
                <w:rFonts w:hint="eastAsia" w:ascii="仿宋_GB2312" w:hAnsi="宋体" w:eastAsia="仿宋_GB2312" w:cs="仿宋_GB2312"/>
                <w:color w:val="000000"/>
                <w:sz w:val="20"/>
                <w:szCs w:val="20"/>
                <w:highlight w:val="none"/>
                <w:lang w:val="en-US" w:eastAsia="zh-CN"/>
              </w:rPr>
              <w:t>100%</w:t>
            </w:r>
          </w:p>
        </w:tc>
      </w:tr>
      <w:tr>
        <w:tblPrEx>
          <w:tblCellMar>
            <w:top w:w="15" w:type="dxa"/>
            <w:left w:w="15" w:type="dxa"/>
            <w:bottom w:w="15" w:type="dxa"/>
            <w:right w:w="15" w:type="dxa"/>
          </w:tblCellMar>
        </w:tblPrEx>
        <w:trPr>
          <w:trHeight w:val="54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lang w:val="en-US" w:eastAsia="zh-CN"/>
              </w:rPr>
              <w:t>本级</w:t>
            </w:r>
            <w:r>
              <w:rPr>
                <w:rFonts w:hint="eastAsia" w:ascii="黑体" w:hAnsi="宋体" w:eastAsia="黑体" w:cs="黑体"/>
                <w:color w:val="000000"/>
                <w:kern w:val="0"/>
                <w:sz w:val="20"/>
                <w:szCs w:val="20"/>
                <w:highlight w:val="none"/>
              </w:rPr>
              <w:t>财政资金</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拨付数</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0.00</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lang w:val="en-US" w:eastAsia="zh-CN"/>
              </w:rPr>
              <w:t>本级</w:t>
            </w:r>
            <w:r>
              <w:rPr>
                <w:rFonts w:hint="eastAsia" w:ascii="黑体" w:hAnsi="宋体" w:eastAsia="黑体" w:cs="黑体"/>
                <w:color w:val="000000"/>
                <w:kern w:val="0"/>
                <w:sz w:val="20"/>
                <w:szCs w:val="20"/>
                <w:highlight w:val="none"/>
              </w:rPr>
              <w:t>财政资金</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rPr>
            </w:pPr>
            <w:r>
              <w:rPr>
                <w:rFonts w:hint="eastAsia" w:ascii="仿宋_GB2312" w:hAnsi="宋体" w:eastAsia="仿宋_GB2312" w:cs="仿宋_GB2312"/>
                <w:color w:val="000000"/>
                <w:sz w:val="20"/>
                <w:szCs w:val="20"/>
                <w:highlight w:val="none"/>
                <w:lang w:val="en-US" w:eastAsia="zh-CN"/>
              </w:rPr>
              <w:t>0.00</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lang w:eastAsia="zh-CN"/>
              </w:rPr>
              <w:t>自治区</w:t>
            </w:r>
            <w:r>
              <w:rPr>
                <w:rFonts w:hint="eastAsia" w:ascii="黑体" w:hAnsi="宋体" w:eastAsia="黑体" w:cs="黑体"/>
                <w:color w:val="000000"/>
                <w:kern w:val="0"/>
                <w:sz w:val="20"/>
                <w:szCs w:val="20"/>
                <w:highlight w:val="none"/>
              </w:rPr>
              <w:t>财政资金抽查占比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项目类别</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业务类</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抽查类别</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类别抽查占比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r>
      <w:tr>
        <w:tblPrEx>
          <w:tblCellMar>
            <w:top w:w="15" w:type="dxa"/>
            <w:left w:w="15" w:type="dxa"/>
            <w:bottom w:w="15" w:type="dxa"/>
            <w:right w:w="15" w:type="dxa"/>
          </w:tblCellMar>
        </w:tblPrEx>
        <w:trPr>
          <w:trHeight w:val="480" w:hRule="atLeast"/>
        </w:trPr>
        <w:tc>
          <w:tcPr>
            <w:tcW w:w="1291"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项目数量</w:t>
            </w:r>
          </w:p>
        </w:tc>
        <w:tc>
          <w:tcPr>
            <w:tcW w:w="1418"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w:t>
            </w:r>
          </w:p>
        </w:tc>
        <w:tc>
          <w:tcPr>
            <w:tcW w:w="1701"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抽查项目数</w:t>
            </w:r>
          </w:p>
        </w:tc>
        <w:tc>
          <w:tcPr>
            <w:tcW w:w="1984" w:type="dxa"/>
            <w:gridSpan w:val="4"/>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eastAsia"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w:t>
            </w:r>
          </w:p>
        </w:tc>
        <w:tc>
          <w:tcPr>
            <w:tcW w:w="1337" w:type="dxa"/>
            <w:gridSpan w:val="2"/>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项目抽查占比</w:t>
            </w:r>
          </w:p>
        </w:tc>
        <w:tc>
          <w:tcPr>
            <w:tcW w:w="1252" w:type="dxa"/>
            <w:tcBorders>
              <w:top w:val="single" w:color="000000"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eastAsia="zh-CN"/>
              </w:rPr>
            </w:pPr>
            <w:r>
              <w:rPr>
                <w:rFonts w:hint="eastAsia" w:ascii="仿宋_GB2312" w:hAnsi="宋体" w:eastAsia="仿宋_GB2312" w:cs="仿宋_GB2312"/>
                <w:color w:val="000000"/>
                <w:sz w:val="20"/>
                <w:szCs w:val="20"/>
                <w:highlight w:val="none"/>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涉及市县数</w:t>
            </w:r>
          </w:p>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或项目点</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highlight w:val="none"/>
                <w:lang w:val="en-US" w:eastAsia="zh-CN"/>
              </w:rPr>
            </w:pPr>
            <w:r>
              <w:rPr>
                <w:rFonts w:hint="eastAsia" w:ascii="仿宋_GB2312" w:hAnsi="宋体" w:eastAsia="仿宋_GB2312" w:cs="仿宋_GB2312"/>
                <w:color w:val="000000"/>
                <w:kern w:val="0"/>
                <w:sz w:val="20"/>
                <w:szCs w:val="20"/>
                <w:highlight w:val="none"/>
                <w:lang w:val="en-US" w:eastAsia="zh-CN"/>
              </w:rPr>
              <w:t>1</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抽查市县数</w:t>
            </w:r>
          </w:p>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或项目点</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黑体" w:hAnsi="宋体" w:eastAsia="仿宋_GB2312" w:cs="黑体"/>
                <w:color w:val="000000"/>
                <w:kern w:val="0"/>
                <w:sz w:val="20"/>
                <w:szCs w:val="20"/>
                <w:highlight w:val="none"/>
                <w:lang w:val="en-US" w:eastAsia="zh-CN"/>
              </w:rPr>
            </w:pPr>
            <w:r>
              <w:rPr>
                <w:rFonts w:hint="eastAsia" w:ascii="黑体" w:hAnsi="宋体" w:eastAsia="仿宋_GB2312" w:cs="黑体"/>
                <w:color w:val="000000"/>
                <w:kern w:val="0"/>
                <w:sz w:val="20"/>
                <w:szCs w:val="20"/>
                <w:highlight w:val="none"/>
                <w:lang w:val="en-US" w:eastAsia="zh-CN"/>
              </w:rPr>
              <w:t>1</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抽查</w:t>
            </w:r>
          </w:p>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区域</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highlight w:val="none"/>
                <w:lang w:val="en-US" w:eastAsia="zh-CN"/>
              </w:rPr>
            </w:pPr>
            <w:r>
              <w:rPr>
                <w:rFonts w:hint="eastAsia" w:ascii="仿宋_GB2312" w:hAnsi="宋体" w:eastAsia="仿宋_GB2312" w:cs="仿宋_GB2312"/>
                <w:color w:val="000000"/>
                <w:kern w:val="0"/>
                <w:sz w:val="20"/>
                <w:szCs w:val="20"/>
                <w:highlight w:val="none"/>
                <w:lang w:val="en-US" w:eastAsia="zh-CN"/>
              </w:rPr>
              <w:t>布亚乡/多鲁乡/洛浦镇/杭桂镇/纳瓦乡/恰尔巴格乡/阿其克乡/山普鲁镇/拜什托格拉克乡</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发放调查</w:t>
            </w:r>
          </w:p>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问卷</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highlight w:val="none"/>
                <w:lang w:val="en-US" w:eastAsia="zh-CN"/>
              </w:rPr>
            </w:pPr>
            <w:r>
              <w:rPr>
                <w:rFonts w:hint="eastAsia" w:ascii="仿宋_GB2312" w:hAnsi="宋体" w:eastAsia="仿宋_GB2312" w:cs="仿宋_GB2312"/>
                <w:color w:val="000000"/>
                <w:kern w:val="0"/>
                <w:sz w:val="20"/>
                <w:szCs w:val="20"/>
                <w:highlight w:val="none"/>
                <w:lang w:val="en-US" w:eastAsia="zh-CN"/>
              </w:rPr>
              <w:t>600</w:t>
            </w:r>
          </w:p>
        </w:tc>
        <w:tc>
          <w:tcPr>
            <w:tcW w:w="1134" w:type="dxa"/>
            <w:gridSpan w:val="2"/>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有效调查</w:t>
            </w:r>
          </w:p>
          <w:p>
            <w:pPr>
              <w:widowControl/>
              <w:spacing w:line="240" w:lineRule="exact"/>
              <w:jc w:val="center"/>
              <w:textAlignment w:val="center"/>
              <w:rPr>
                <w:rFonts w:ascii="黑体" w:hAnsi="黑体" w:eastAsia="黑体" w:cs="仿宋_GB2312"/>
                <w:color w:val="000000"/>
                <w:kern w:val="0"/>
                <w:sz w:val="20"/>
                <w:szCs w:val="20"/>
                <w:highlight w:val="none"/>
              </w:rPr>
            </w:pPr>
            <w:r>
              <w:rPr>
                <w:rFonts w:hint="eastAsia" w:ascii="黑体" w:hAnsi="宋体" w:eastAsia="黑体" w:cs="黑体"/>
                <w:color w:val="000000"/>
                <w:kern w:val="0"/>
                <w:sz w:val="20"/>
                <w:szCs w:val="20"/>
                <w:highlight w:val="none"/>
              </w:rPr>
              <w:t>问卷</w:t>
            </w:r>
          </w:p>
        </w:tc>
        <w:tc>
          <w:tcPr>
            <w:tcW w:w="1134" w:type="dxa"/>
            <w:gridSpan w:val="3"/>
            <w:tcBorders>
              <w:top w:val="single" w:color="000000" w:sz="4" w:space="0"/>
              <w:left w:val="single" w:color="000000"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highlight w:val="none"/>
                <w:lang w:val="en-US" w:eastAsia="zh-CN"/>
              </w:rPr>
            </w:pPr>
            <w:r>
              <w:rPr>
                <w:rFonts w:hint="eastAsia" w:ascii="仿宋_GB2312" w:hAnsi="宋体" w:eastAsia="仿宋_GB2312" w:cs="仿宋_GB2312"/>
                <w:color w:val="000000"/>
                <w:kern w:val="0"/>
                <w:sz w:val="20"/>
                <w:szCs w:val="20"/>
                <w:highlight w:val="none"/>
                <w:lang w:val="en-US" w:eastAsia="zh-CN"/>
              </w:rPr>
              <w:t>600</w:t>
            </w:r>
          </w:p>
        </w:tc>
        <w:tc>
          <w:tcPr>
            <w:tcW w:w="992" w:type="dxa"/>
            <w:tcBorders>
              <w:top w:val="single" w:color="000000" w:sz="4" w:space="0"/>
              <w:left w:val="single" w:color="auto"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满意度</w:t>
            </w:r>
          </w:p>
          <w:p>
            <w:pPr>
              <w:widowControl/>
              <w:spacing w:line="240" w:lineRule="exact"/>
              <w:jc w:val="center"/>
              <w:textAlignment w:val="center"/>
              <w:rPr>
                <w:rFonts w:ascii="仿宋_GB2312" w:hAnsi="宋体" w:eastAsia="仿宋_GB2312" w:cs="仿宋_GB2312"/>
                <w:color w:val="000000"/>
                <w:kern w:val="0"/>
                <w:sz w:val="20"/>
                <w:szCs w:val="20"/>
                <w:highlight w:val="none"/>
              </w:rPr>
            </w:pPr>
            <w:r>
              <w:rPr>
                <w:rFonts w:hint="eastAsia" w:ascii="黑体" w:hAnsi="宋体" w:eastAsia="黑体" w:cs="黑体"/>
                <w:color w:val="000000"/>
                <w:kern w:val="0"/>
                <w:sz w:val="20"/>
                <w:szCs w:val="20"/>
                <w:highlight w:val="none"/>
              </w:rPr>
              <w:t>情况</w:t>
            </w:r>
          </w:p>
        </w:tc>
        <w:tc>
          <w:tcPr>
            <w:tcW w:w="3298" w:type="dxa"/>
            <w:gridSpan w:val="4"/>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kern w:val="0"/>
                <w:sz w:val="20"/>
                <w:szCs w:val="20"/>
                <w:highlight w:val="none"/>
                <w:lang w:val="en-US" w:eastAsia="zh-CN"/>
              </w:rPr>
            </w:pPr>
            <w:r>
              <w:rPr>
                <w:rFonts w:hint="eastAsia" w:ascii="仿宋_GB2312" w:hAnsi="宋体" w:eastAsia="仿宋_GB2312" w:cs="仿宋_GB2312"/>
                <w:color w:val="000000"/>
                <w:kern w:val="0"/>
                <w:sz w:val="20"/>
                <w:szCs w:val="20"/>
                <w:highlight w:val="none"/>
                <w:lang w:val="en-US" w:eastAsia="zh-CN"/>
              </w:rPr>
              <w:t>100%</w:t>
            </w:r>
          </w:p>
        </w:tc>
      </w:tr>
      <w:tr>
        <w:tblPrEx>
          <w:tblCellMar>
            <w:top w:w="15" w:type="dxa"/>
            <w:left w:w="15" w:type="dxa"/>
            <w:bottom w:w="15" w:type="dxa"/>
            <w:right w:w="15" w:type="dxa"/>
          </w:tblCellMar>
        </w:tblPrEx>
        <w:trPr>
          <w:trHeight w:val="399" w:hRule="atLeast"/>
        </w:trPr>
        <w:tc>
          <w:tcPr>
            <w:tcW w:w="1291" w:type="dxa"/>
            <w:tcBorders>
              <w:top w:val="single" w:color="000000"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绩效目标</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实现情况</w:t>
            </w:r>
          </w:p>
        </w:tc>
        <w:tc>
          <w:tcPr>
            <w:tcW w:w="7692" w:type="dxa"/>
            <w:gridSpan w:val="12"/>
            <w:tcBorders>
              <w:top w:val="single" w:color="000000" w:sz="4" w:space="0"/>
              <w:left w:val="single" w:color="000000" w:sz="4" w:space="0"/>
              <w:bottom w:val="single" w:color="auto" w:sz="4" w:space="0"/>
              <w:right w:val="single" w:color="000000"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完成了9个乡镇6000户农户的改厕工作，补贴已到位。通过实施农村人居环境整治“厕所革命”工程，改善了农村环境和卫生条件提高农民健康水平，提高了农村文明化程度，养成了良好的生活习惯。</w:t>
            </w:r>
          </w:p>
        </w:tc>
      </w:tr>
      <w:tr>
        <w:tblPrEx>
          <w:tblCellMar>
            <w:top w:w="15" w:type="dxa"/>
            <w:left w:w="15" w:type="dxa"/>
            <w:bottom w:w="15" w:type="dxa"/>
            <w:right w:w="15" w:type="dxa"/>
          </w:tblCellMar>
        </w:tblPrEx>
        <w:trPr>
          <w:trHeight w:val="450" w:hRule="atLeast"/>
        </w:trPr>
        <w:tc>
          <w:tcPr>
            <w:tcW w:w="1291"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kern w:val="0"/>
                <w:sz w:val="20"/>
                <w:szCs w:val="20"/>
                <w:highlight w:val="none"/>
              </w:rPr>
              <w:t>简要情况</w:t>
            </w:r>
          </w:p>
        </w:tc>
        <w:tc>
          <w:tcPr>
            <w:tcW w:w="7692" w:type="dxa"/>
            <w:gridSpan w:val="12"/>
            <w:tcBorders>
              <w:top w:val="single" w:color="auto" w:sz="4" w:space="0"/>
              <w:left w:val="single" w:color="auto" w:sz="4" w:space="0"/>
              <w:bottom w:val="single" w:color="auto" w:sz="4" w:space="0"/>
              <w:right w:val="single" w:color="auto" w:sz="4" w:space="0"/>
            </w:tcBorders>
            <w:shd w:val="clear" w:color="auto" w:fill="auto"/>
            <w:vAlign w:val="center"/>
          </w:tcPr>
          <w:p>
            <w:pPr>
              <w:keepNext w:val="0"/>
              <w:keepLines w:val="0"/>
              <w:pageBreakBefore w:val="0"/>
              <w:widowControl/>
              <w:kinsoku/>
              <w:wordWrap/>
              <w:overflowPunct/>
              <w:topLinePunct w:val="0"/>
              <w:autoSpaceDE/>
              <w:autoSpaceDN/>
              <w:bidi w:val="0"/>
              <w:adjustRightInd/>
              <w:snapToGrid/>
              <w:spacing w:line="240" w:lineRule="exact"/>
              <w:jc w:val="left"/>
              <w:textAlignment w:val="center"/>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sz w:val="20"/>
                <w:szCs w:val="20"/>
                <w:highlight w:val="none"/>
                <w:lang w:val="en-US" w:eastAsia="zh-CN"/>
              </w:rPr>
              <w:t>资料归档不规范，缺失各乡镇项目最终验收报告，会议纪要及项目现场照片。</w:t>
            </w:r>
          </w:p>
        </w:tc>
      </w:tr>
      <w:tr>
        <w:tblPrEx>
          <w:tblCellMar>
            <w:top w:w="15" w:type="dxa"/>
            <w:left w:w="15" w:type="dxa"/>
            <w:bottom w:w="15" w:type="dxa"/>
            <w:right w:w="15" w:type="dxa"/>
          </w:tblCellMar>
        </w:tblPrEx>
        <w:trPr>
          <w:trHeight w:val="512" w:hRule="atLeast"/>
        </w:trPr>
        <w:tc>
          <w:tcPr>
            <w:tcW w:w="1291" w:type="dxa"/>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评价问题</w:t>
            </w:r>
          </w:p>
          <w:p>
            <w:pPr>
              <w:widowControl/>
              <w:spacing w:line="240" w:lineRule="exact"/>
              <w:jc w:val="center"/>
              <w:textAlignment w:val="center"/>
              <w:rPr>
                <w:rFonts w:ascii="黑体" w:hAnsi="宋体" w:eastAsia="黑体" w:cs="黑体"/>
                <w:color w:val="000000"/>
                <w:kern w:val="0"/>
                <w:sz w:val="20"/>
                <w:szCs w:val="20"/>
                <w:highlight w:val="none"/>
              </w:rPr>
            </w:pPr>
            <w:r>
              <w:rPr>
                <w:rFonts w:hint="eastAsia" w:ascii="黑体" w:hAnsi="宋体" w:eastAsia="黑体" w:cs="黑体"/>
                <w:color w:val="000000"/>
                <w:kern w:val="0"/>
                <w:sz w:val="20"/>
                <w:szCs w:val="20"/>
                <w:highlight w:val="none"/>
              </w:rPr>
              <w:t>简要建议</w:t>
            </w:r>
          </w:p>
        </w:tc>
        <w:tc>
          <w:tcPr>
            <w:tcW w:w="7692" w:type="dxa"/>
            <w:gridSpan w:val="12"/>
            <w:tcBorders>
              <w:top w:val="single" w:color="auto" w:sz="4" w:space="0"/>
              <w:left w:val="single" w:color="000000" w:sz="4" w:space="0"/>
              <w:bottom w:val="single" w:color="000000" w:sz="4" w:space="0"/>
              <w:right w:val="single" w:color="000000" w:sz="4" w:space="0"/>
            </w:tcBorders>
            <w:shd w:val="clear" w:color="auto" w:fill="auto"/>
            <w:vAlign w:val="center"/>
          </w:tcPr>
          <w:p>
            <w:pPr>
              <w:pStyle w:val="2"/>
              <w:keepNext w:val="0"/>
              <w:keepLines w:val="0"/>
              <w:pageBreakBefore w:val="0"/>
              <w:widowControl w:val="0"/>
              <w:kinsoku/>
              <w:wordWrap/>
              <w:overflowPunct/>
              <w:topLinePunct w:val="0"/>
              <w:autoSpaceDE/>
              <w:autoSpaceDN/>
              <w:bidi w:val="0"/>
              <w:adjustRightInd/>
              <w:snapToGrid w:val="0"/>
              <w:spacing w:line="240" w:lineRule="exact"/>
              <w:textAlignment w:val="auto"/>
              <w:rPr>
                <w:rFonts w:hint="eastAsia" w:ascii="仿宋_GB2312" w:hAnsi="宋体" w:eastAsia="仿宋_GB2312" w:cs="仿宋_GB2312"/>
                <w:color w:val="000000"/>
                <w:sz w:val="20"/>
                <w:szCs w:val="20"/>
                <w:highlight w:val="none"/>
                <w:lang w:eastAsia="zh-CN"/>
              </w:rPr>
            </w:pPr>
            <w:r>
              <w:rPr>
                <w:rFonts w:hint="eastAsia" w:ascii="仿宋_GB2312" w:hAnsi="宋体" w:eastAsia="仿宋_GB2312" w:cs="仿宋_GB2312"/>
                <w:color w:val="000000"/>
                <w:kern w:val="2"/>
                <w:sz w:val="20"/>
                <w:szCs w:val="20"/>
                <w:highlight w:val="none"/>
                <w:lang w:val="en-US" w:eastAsia="zh-CN" w:bidi="ar-SA"/>
              </w:rPr>
              <w:t>洛浦县农业农村局作为项目主管单位充分发挥牵头作用，结合项目管理制度及档案管理制度严格要求相关工作人员对各乡镇项目资料进行补充完善并收集好项目资料，为后期查阅项目资料提供便利条件。</w:t>
            </w:r>
          </w:p>
        </w:tc>
      </w:tr>
      <w:tr>
        <w:tblPrEx>
          <w:tblCellMar>
            <w:top w:w="15" w:type="dxa"/>
            <w:left w:w="15" w:type="dxa"/>
            <w:bottom w:w="15" w:type="dxa"/>
            <w:right w:w="15" w:type="dxa"/>
          </w:tblCellMar>
        </w:tblPrEx>
        <w:trPr>
          <w:trHeight w:val="962" w:hRule="atLeast"/>
        </w:trPr>
        <w:tc>
          <w:tcPr>
            <w:tcW w:w="1291" w:type="dxa"/>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sz w:val="20"/>
                <w:szCs w:val="20"/>
                <w:highlight w:val="none"/>
              </w:rPr>
              <w:t>评价结果</w:t>
            </w:r>
          </w:p>
          <w:p>
            <w:pPr>
              <w:widowControl/>
              <w:spacing w:line="240" w:lineRule="exact"/>
              <w:jc w:val="center"/>
              <w:textAlignment w:val="center"/>
              <w:rPr>
                <w:rFonts w:ascii="黑体" w:hAnsi="宋体" w:eastAsia="黑体" w:cs="黑体"/>
                <w:color w:val="000000"/>
                <w:sz w:val="20"/>
                <w:szCs w:val="20"/>
                <w:highlight w:val="none"/>
              </w:rPr>
            </w:pPr>
            <w:r>
              <w:rPr>
                <w:rFonts w:hint="eastAsia" w:ascii="黑体" w:hAnsi="宋体" w:eastAsia="黑体" w:cs="黑体"/>
                <w:color w:val="000000"/>
                <w:sz w:val="20"/>
                <w:szCs w:val="20"/>
                <w:highlight w:val="none"/>
              </w:rPr>
              <w:t>应用建议</w:t>
            </w:r>
          </w:p>
        </w:tc>
        <w:tc>
          <w:tcPr>
            <w:tcW w:w="7692" w:type="dxa"/>
            <w:gridSpan w:val="1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1.建议将此次绩效评价过程中发现的问题进行及时整改；</w:t>
            </w:r>
          </w:p>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2.建议加大对绩效评价结果的应用，此次绩效评价结果，可作为202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年各部门（单位）改进管理、调整财政支出方向、预算编制和安排财政资金的重要依据；</w:t>
            </w:r>
          </w:p>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rPr>
              <w:t>3.建议建立绩效评价结果应用制度，将</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年绩效评价结果进行公示、公开。</w:t>
            </w:r>
          </w:p>
        </w:tc>
      </w:tr>
      <w:tr>
        <w:tblPrEx>
          <w:tblCellMar>
            <w:top w:w="15" w:type="dxa"/>
            <w:left w:w="15" w:type="dxa"/>
            <w:bottom w:w="15" w:type="dxa"/>
            <w:right w:w="15" w:type="dxa"/>
          </w:tblCellMar>
        </w:tblPrEx>
        <w:trPr>
          <w:trHeight w:val="424" w:hRule="atLeast"/>
        </w:trPr>
        <w:tc>
          <w:tcPr>
            <w:tcW w:w="2245"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评价时间</w:t>
            </w:r>
          </w:p>
        </w:tc>
        <w:tc>
          <w:tcPr>
            <w:tcW w:w="2246" w:type="dxa"/>
            <w:gridSpan w:val="5"/>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left"/>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1</w:t>
            </w:r>
            <w:r>
              <w:rPr>
                <w:rFonts w:hint="eastAsia" w:ascii="仿宋_GB2312" w:hAnsi="宋体" w:eastAsia="仿宋_GB2312" w:cs="仿宋_GB2312"/>
                <w:color w:val="000000"/>
                <w:sz w:val="20"/>
                <w:szCs w:val="20"/>
                <w:highlight w:val="none"/>
              </w:rPr>
              <w:t>日至</w:t>
            </w:r>
            <w:r>
              <w:rPr>
                <w:rFonts w:hint="eastAsia" w:ascii="仿宋_GB2312" w:hAnsi="宋体" w:eastAsia="仿宋_GB2312" w:cs="仿宋_GB2312"/>
                <w:color w:val="000000"/>
                <w:sz w:val="20"/>
                <w:szCs w:val="20"/>
                <w:highlight w:val="none"/>
                <w:lang w:eastAsia="zh-CN"/>
              </w:rPr>
              <w:t>202</w:t>
            </w:r>
            <w:r>
              <w:rPr>
                <w:rFonts w:hint="eastAsia" w:ascii="仿宋_GB2312" w:hAnsi="宋体" w:eastAsia="仿宋_GB2312" w:cs="仿宋_GB2312"/>
                <w:color w:val="000000"/>
                <w:sz w:val="20"/>
                <w:szCs w:val="20"/>
                <w:highlight w:val="none"/>
                <w:lang w:val="en-US" w:eastAsia="zh-CN"/>
              </w:rPr>
              <w:t>2</w:t>
            </w:r>
            <w:r>
              <w:rPr>
                <w:rFonts w:hint="eastAsia" w:ascii="仿宋_GB2312" w:hAnsi="宋体" w:eastAsia="仿宋_GB2312" w:cs="仿宋_GB2312"/>
                <w:color w:val="000000"/>
                <w:sz w:val="20"/>
                <w:szCs w:val="20"/>
                <w:highlight w:val="none"/>
              </w:rPr>
              <w:t>年</w:t>
            </w:r>
            <w:r>
              <w:rPr>
                <w:rFonts w:hint="eastAsia" w:ascii="仿宋_GB2312" w:hAnsi="宋体" w:eastAsia="仿宋_GB2312" w:cs="仿宋_GB2312"/>
                <w:color w:val="000000"/>
                <w:sz w:val="20"/>
                <w:szCs w:val="20"/>
                <w:highlight w:val="none"/>
                <w:lang w:val="en-US" w:eastAsia="zh-CN"/>
              </w:rPr>
              <w:t>06</w:t>
            </w:r>
            <w:r>
              <w:rPr>
                <w:rFonts w:hint="eastAsia" w:ascii="仿宋_GB2312" w:hAnsi="宋体" w:eastAsia="仿宋_GB2312" w:cs="仿宋_GB2312"/>
                <w:color w:val="000000"/>
                <w:sz w:val="20"/>
                <w:szCs w:val="20"/>
                <w:highlight w:val="none"/>
              </w:rPr>
              <w:t>月</w:t>
            </w:r>
            <w:r>
              <w:rPr>
                <w:rFonts w:hint="eastAsia" w:ascii="仿宋_GB2312" w:hAnsi="宋体" w:eastAsia="仿宋_GB2312" w:cs="仿宋_GB2312"/>
                <w:color w:val="000000"/>
                <w:sz w:val="20"/>
                <w:szCs w:val="20"/>
                <w:highlight w:val="none"/>
                <w:lang w:val="en-US" w:eastAsia="zh-CN"/>
              </w:rPr>
              <w:t>30</w:t>
            </w:r>
            <w:r>
              <w:rPr>
                <w:rFonts w:hint="eastAsia" w:ascii="仿宋_GB2312" w:hAnsi="宋体" w:eastAsia="仿宋_GB2312" w:cs="仿宋_GB2312"/>
                <w:color w:val="000000"/>
                <w:sz w:val="20"/>
                <w:szCs w:val="20"/>
                <w:highlight w:val="none"/>
              </w:rPr>
              <w:t>日</w:t>
            </w:r>
          </w:p>
        </w:tc>
        <w:tc>
          <w:tcPr>
            <w:tcW w:w="2246" w:type="dxa"/>
            <w:gridSpan w:val="4"/>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评价机构报告编号</w:t>
            </w:r>
          </w:p>
        </w:tc>
        <w:tc>
          <w:tcPr>
            <w:tcW w:w="2246" w:type="dxa"/>
            <w:gridSpan w:val="2"/>
            <w:tcBorders>
              <w:top w:val="single" w:color="auto" w:sz="4" w:space="0"/>
              <w:left w:val="single" w:color="000000" w:sz="4" w:space="0"/>
              <w:bottom w:val="single" w:color="auto" w:sz="4" w:space="0"/>
              <w:right w:val="single" w:color="000000" w:sz="4" w:space="0"/>
            </w:tcBorders>
            <w:shd w:val="clear" w:color="auto" w:fill="auto"/>
            <w:vAlign w:val="center"/>
          </w:tcPr>
          <w:p>
            <w:pPr>
              <w:widowControl/>
              <w:spacing w:line="240" w:lineRule="exact"/>
              <w:jc w:val="center"/>
              <w:textAlignment w:val="center"/>
              <w:rPr>
                <w:rFonts w:hint="eastAsia"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中瑞诚喀绩评字[202</w:t>
            </w:r>
            <w:r>
              <w:rPr>
                <w:rFonts w:hint="eastAsia" w:ascii="黑体" w:hAnsi="黑体" w:eastAsia="黑体" w:cs="仿宋_GB2312"/>
                <w:color w:val="000000"/>
                <w:sz w:val="20"/>
                <w:szCs w:val="20"/>
                <w:highlight w:val="none"/>
                <w:lang w:val="en-US" w:eastAsia="zh-CN"/>
              </w:rPr>
              <w:t>2</w:t>
            </w:r>
            <w:r>
              <w:rPr>
                <w:rFonts w:hint="eastAsia" w:ascii="黑体" w:hAnsi="黑体" w:eastAsia="黑体" w:cs="仿宋_GB2312"/>
                <w:color w:val="000000"/>
                <w:sz w:val="20"/>
                <w:szCs w:val="20"/>
                <w:highlight w:val="none"/>
              </w:rPr>
              <w:t>]</w:t>
            </w:r>
            <w:r>
              <w:rPr>
                <w:rFonts w:hint="eastAsia" w:ascii="黑体" w:hAnsi="黑体" w:eastAsia="黑体" w:cs="仿宋_GB2312"/>
                <w:color w:val="000000"/>
                <w:sz w:val="20"/>
                <w:szCs w:val="20"/>
                <w:highlight w:val="none"/>
                <w:lang w:val="en-US" w:eastAsia="zh-CN"/>
              </w:rPr>
              <w:t>143</w:t>
            </w:r>
            <w:r>
              <w:rPr>
                <w:rFonts w:hint="eastAsia" w:ascii="黑体" w:hAnsi="黑体" w:eastAsia="黑体" w:cs="仿宋_GB2312"/>
                <w:color w:val="000000"/>
                <w:sz w:val="20"/>
                <w:szCs w:val="20"/>
                <w:highlight w:val="none"/>
              </w:rPr>
              <w:t>号</w:t>
            </w:r>
          </w:p>
        </w:tc>
      </w:tr>
      <w:tr>
        <w:tblPrEx>
          <w:tblCellMar>
            <w:top w:w="15" w:type="dxa"/>
            <w:left w:w="15" w:type="dxa"/>
            <w:bottom w:w="15" w:type="dxa"/>
            <w:right w:w="15" w:type="dxa"/>
          </w:tblCellMar>
        </w:tblPrEx>
        <w:trPr>
          <w:trHeight w:val="715" w:hRule="atLeast"/>
        </w:trPr>
        <w:tc>
          <w:tcPr>
            <w:tcW w:w="2245"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项目负责人（签字）</w:t>
            </w:r>
          </w:p>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及联系方式</w:t>
            </w:r>
          </w:p>
        </w:tc>
        <w:tc>
          <w:tcPr>
            <w:tcW w:w="2246" w:type="dxa"/>
            <w:gridSpan w:val="5"/>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hint="default" w:ascii="仿宋_GB2312" w:hAnsi="宋体" w:eastAsia="仿宋_GB2312" w:cs="仿宋_GB2312"/>
                <w:color w:val="000000"/>
                <w:sz w:val="20"/>
                <w:szCs w:val="20"/>
                <w:highlight w:val="none"/>
                <w:lang w:val="en-US"/>
              </w:rPr>
            </w:pPr>
            <w:r>
              <w:rPr>
                <w:rFonts w:hint="eastAsia" w:ascii="仿宋_GB2312" w:hAnsi="宋体" w:eastAsia="仿宋_GB2312" w:cs="仿宋_GB2312"/>
                <w:color w:val="000000"/>
                <w:sz w:val="20"/>
                <w:szCs w:val="20"/>
                <w:highlight w:val="none"/>
                <w:lang w:val="en-US" w:eastAsia="zh-CN"/>
              </w:rPr>
              <w:t>古丽热依汉 13079918673</w:t>
            </w:r>
          </w:p>
        </w:tc>
        <w:tc>
          <w:tcPr>
            <w:tcW w:w="2246" w:type="dxa"/>
            <w:gridSpan w:val="4"/>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法定代表人（签字）</w:t>
            </w:r>
          </w:p>
          <w:p>
            <w:pPr>
              <w:widowControl/>
              <w:spacing w:line="240" w:lineRule="exact"/>
              <w:jc w:val="center"/>
              <w:textAlignment w:val="center"/>
              <w:rPr>
                <w:rFonts w:ascii="黑体" w:hAnsi="黑体" w:eastAsia="黑体" w:cs="仿宋_GB2312"/>
                <w:color w:val="000000"/>
                <w:sz w:val="20"/>
                <w:szCs w:val="20"/>
                <w:highlight w:val="none"/>
              </w:rPr>
            </w:pPr>
            <w:r>
              <w:rPr>
                <w:rFonts w:hint="eastAsia" w:ascii="黑体" w:hAnsi="黑体" w:eastAsia="黑体" w:cs="仿宋_GB2312"/>
                <w:color w:val="000000"/>
                <w:sz w:val="20"/>
                <w:szCs w:val="20"/>
                <w:highlight w:val="none"/>
              </w:rPr>
              <w:t>及联系方式</w:t>
            </w:r>
          </w:p>
        </w:tc>
        <w:tc>
          <w:tcPr>
            <w:tcW w:w="2246" w:type="dxa"/>
            <w:gridSpan w:val="2"/>
            <w:tcBorders>
              <w:top w:val="single" w:color="auto" w:sz="4" w:space="0"/>
              <w:left w:val="single" w:color="000000" w:sz="4" w:space="0"/>
              <w:bottom w:val="single" w:color="000000" w:sz="4" w:space="0"/>
              <w:right w:val="single" w:color="000000" w:sz="4" w:space="0"/>
            </w:tcBorders>
            <w:shd w:val="clear" w:color="auto" w:fill="auto"/>
            <w:vAlign w:val="center"/>
          </w:tcPr>
          <w:p>
            <w:pPr>
              <w:widowControl/>
              <w:spacing w:line="240" w:lineRule="exact"/>
              <w:jc w:val="center"/>
              <w:textAlignment w:val="center"/>
              <w:rPr>
                <w:rFonts w:ascii="仿宋_GB2312" w:hAnsi="宋体" w:eastAsia="仿宋_GB2312" w:cs="仿宋_GB2312"/>
                <w:color w:val="000000"/>
                <w:sz w:val="20"/>
                <w:szCs w:val="20"/>
                <w:highlight w:val="none"/>
              </w:rPr>
            </w:pPr>
            <w:r>
              <w:rPr>
                <w:rFonts w:hint="eastAsia" w:ascii="仿宋_GB2312" w:hAnsi="宋体" w:eastAsia="仿宋_GB2312" w:cs="仿宋_GB2312"/>
                <w:color w:val="000000"/>
                <w:sz w:val="20"/>
                <w:szCs w:val="20"/>
                <w:highlight w:val="none"/>
                <w:lang w:val="en-US" w:eastAsia="zh-CN"/>
              </w:rPr>
              <w:t>叶金玲 13899129971</w:t>
            </w:r>
          </w:p>
        </w:tc>
      </w:tr>
    </w:tbl>
    <w:p>
      <w:pPr>
        <w:pStyle w:val="14"/>
        <w:tabs>
          <w:tab w:val="right" w:leader="dot" w:pos="8302"/>
        </w:tabs>
        <w:ind w:firstLine="3520" w:firstLineChars="800"/>
        <w:jc w:val="both"/>
        <w:rPr>
          <w:rFonts w:ascii="方正小标宋简体" w:hAnsi="黑体" w:eastAsia="方正小标宋简体" w:cs="宋体"/>
          <w:sz w:val="44"/>
          <w:szCs w:val="44"/>
        </w:rPr>
      </w:pPr>
      <w:r>
        <w:rPr>
          <w:rFonts w:hint="eastAsia" w:ascii="方正小标宋简体" w:hAnsi="黑体" w:eastAsia="方正小标宋简体" w:cs="宋体"/>
          <w:sz w:val="44"/>
          <w:szCs w:val="44"/>
        </w:rPr>
        <w:t>摘   要</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ascii="仿宋" w:hAnsi="仿宋" w:eastAsia="仿宋" w:cs="仿宋"/>
          <w:sz w:val="32"/>
          <w:szCs w:val="32"/>
        </w:rPr>
      </w:pPr>
      <w:r>
        <w:rPr>
          <w:rFonts w:hint="eastAsia" w:ascii="仿宋_GB2312" w:hAnsi="仿宋_GB2312" w:eastAsia="仿宋_GB2312" w:cs="仿宋_GB2312"/>
          <w:sz w:val="32"/>
          <w:szCs w:val="32"/>
          <w:highlight w:val="none"/>
        </w:rPr>
        <w:t>为规范和加强财政资金的管理，</w:t>
      </w:r>
      <w:r>
        <w:rPr>
          <w:rFonts w:hint="eastAsia" w:ascii="仿宋_GB2312" w:hAnsi="仿宋_GB2312" w:eastAsia="仿宋_GB2312" w:cs="仿宋_GB2312"/>
          <w:sz w:val="32"/>
          <w:szCs w:val="32"/>
          <w:highlight w:val="none"/>
          <w:lang w:eastAsia="zh-CN"/>
        </w:rPr>
        <w:t>优化财政支出结构、</w:t>
      </w:r>
      <w:r>
        <w:rPr>
          <w:rFonts w:hint="eastAsia" w:ascii="仿宋_GB2312" w:hAnsi="仿宋_GB2312" w:eastAsia="仿宋_GB2312" w:cs="仿宋_GB2312"/>
          <w:sz w:val="32"/>
          <w:szCs w:val="32"/>
          <w:highlight w:val="none"/>
        </w:rPr>
        <w:t>进一步发挥绩效管理工作对财政资金使用管理的导向和激励作用，提高资金使用效益</w:t>
      </w:r>
      <w:r>
        <w:rPr>
          <w:rFonts w:hint="eastAsia" w:ascii="仿宋_GB2312" w:hAnsi="仿宋_GB2312" w:eastAsia="仿宋_GB2312" w:cs="仿宋_GB2312"/>
          <w:sz w:val="32"/>
          <w:szCs w:val="32"/>
          <w:highlight w:val="none"/>
          <w:lang w:eastAsia="zh-CN"/>
        </w:rPr>
        <w:t>，根据财政部《项目支出绩效评价管理办法》（财预〔2020〕10 号）</w:t>
      </w:r>
      <w:r>
        <w:rPr>
          <w:rFonts w:hint="eastAsia" w:ascii="仿宋_GB2312" w:hAnsi="仿宋_GB2312" w:eastAsia="仿宋_GB2312" w:cs="仿宋_GB2312"/>
          <w:sz w:val="32"/>
          <w:szCs w:val="32"/>
          <w:highlight w:val="none"/>
          <w:lang w:val="en-US" w:eastAsia="zh-CN"/>
        </w:rPr>
        <w:t>及</w:t>
      </w:r>
      <w:r>
        <w:rPr>
          <w:rFonts w:hint="eastAsia" w:ascii="仿宋_GB2312" w:hAnsi="仿宋_GB2312" w:eastAsia="仿宋_GB2312" w:cs="仿宋_GB2312"/>
          <w:sz w:val="32"/>
          <w:szCs w:val="32"/>
          <w:highlight w:val="none"/>
          <w:lang w:eastAsia="zh-CN"/>
        </w:rPr>
        <w:t>《自治区财政支出绩效评价管理暂行办法》（新财预〔2018〕189号）</w:t>
      </w:r>
      <w:r>
        <w:rPr>
          <w:rFonts w:hint="eastAsia" w:ascii="仿宋_GB2312" w:hAnsi="仿宋_GB2312" w:eastAsia="仿宋_GB2312" w:cs="仿宋_GB2312"/>
          <w:spacing w:val="-5"/>
          <w:sz w:val="32"/>
          <w:szCs w:val="32"/>
          <w:highlight w:val="none"/>
        </w:rPr>
        <w:t>相关规定，</w:t>
      </w:r>
      <w:r>
        <w:rPr>
          <w:rFonts w:hint="eastAsia" w:ascii="仿宋_GB2312" w:hAnsi="宋体" w:eastAsia="仿宋_GB2312" w:cs="仿宋_GB2312"/>
          <w:color w:val="000000"/>
          <w:sz w:val="32"/>
          <w:szCs w:val="32"/>
          <w:highlight w:val="none"/>
          <w:lang w:val="en-US" w:eastAsia="zh-CN"/>
        </w:rPr>
        <w:t>受洛浦县财政局委托，中瑞诚会计师事务所（特殊普通合伙）喀什分所作为第三方评价机构于2021年01月01日至2022年06月30日对洛浦县农业农村局管理的人居环境整治项目开展了绩效评价，评价情况如下：</w:t>
      </w:r>
    </w:p>
    <w:p>
      <w:pPr>
        <w:adjustRightInd w:val="0"/>
        <w:snapToGrid w:val="0"/>
        <w:spacing w:line="560" w:lineRule="exact"/>
        <w:ind w:firstLine="640" w:firstLineChars="200"/>
        <w:jc w:val="left"/>
        <w:outlineLvl w:val="0"/>
        <w:rPr>
          <w:rFonts w:hint="eastAsia" w:ascii="黑体" w:hAnsi="黑体" w:eastAsia="黑体" w:cs="宋体"/>
          <w:sz w:val="32"/>
          <w:szCs w:val="32"/>
          <w:highlight w:val="none"/>
        </w:rPr>
      </w:pPr>
      <w:bookmarkStart w:id="0" w:name="_Toc1784"/>
      <w:r>
        <w:rPr>
          <w:rFonts w:hint="eastAsia" w:ascii="黑体" w:hAnsi="黑体" w:eastAsia="黑体" w:cs="宋体"/>
          <w:sz w:val="32"/>
          <w:szCs w:val="32"/>
          <w:highlight w:val="none"/>
        </w:rPr>
        <w:t>一、项目概述</w:t>
      </w:r>
      <w:bookmarkEnd w:id="0"/>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bookmarkStart w:id="1" w:name="_Toc4382"/>
      <w:r>
        <w:rPr>
          <w:rFonts w:hint="eastAsia" w:ascii="仿宋_GB2312" w:hAnsi="仿宋_GB2312" w:eastAsia="仿宋_GB2312" w:cs="仿宋_GB2312"/>
          <w:sz w:val="32"/>
          <w:szCs w:val="32"/>
          <w:highlight w:val="none"/>
          <w:lang w:val="en-US" w:eastAsia="zh-CN"/>
        </w:rPr>
        <w:t xml:space="preserve">本项目遵循财政部《关于提前下达2021年自治区农村人居环境整治资金预算的通知》（洛财农〔2021〕012号）等相关政策文件与规定，为了深入贯彻习近平总书记关于厕所革命的重要指示批示精神，深入推进人居环境整治和做好农村“厕所革命”专项行动，关于地区农办下发的《2021年自治区农村人居环境整治资金预算的通知》要求，根据自治区党委农办《关于做好2021年自治区农村人居环境整治资金预算的通知》(新财农2020 121 号)文件精神，以及地区财政局，自然资源局，扶贫办和农业农村局四部门联合下发的《关于提前下达2021年自治区农村人居环境整治资金预算的通知》(和地财农2020 68号)文件要求我县分配的360 万元资金，用于对9个乡镇6000户实施2021年农村人居环境整治“厕所革命”工程,按照“三防两有”标准通过验收后发放补助，补助标准为600元/户，通过实施农村人居环境整治“厕所革命”工程，改善农村环境和卫生条件提高农民健康水平，提高农村文明化程度，养成良好的生活习惯。  </w:t>
      </w:r>
    </w:p>
    <w:p>
      <w:pPr>
        <w:adjustRightInd w:val="0"/>
        <w:snapToGrid w:val="0"/>
        <w:spacing w:line="560" w:lineRule="exact"/>
        <w:ind w:firstLine="640" w:firstLineChars="200"/>
        <w:jc w:val="left"/>
        <w:outlineLvl w:val="0"/>
        <w:rPr>
          <w:rFonts w:hint="eastAsia" w:ascii="黑体" w:hAnsi="黑体" w:eastAsia="黑体" w:cs="宋体"/>
          <w:sz w:val="32"/>
          <w:szCs w:val="32"/>
          <w:highlight w:val="yellow"/>
          <w:lang w:eastAsia="zh-CN"/>
        </w:rPr>
      </w:pPr>
      <w:r>
        <w:rPr>
          <w:rFonts w:hint="eastAsia" w:ascii="黑体" w:hAnsi="黑体" w:eastAsia="黑体" w:cs="宋体"/>
          <w:sz w:val="32"/>
          <w:szCs w:val="32"/>
        </w:rPr>
        <w:t>二、评价工作简述</w:t>
      </w:r>
      <w:bookmarkEnd w:id="1"/>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lang w:eastAsia="zh-CN"/>
        </w:rPr>
      </w:pPr>
      <w:bookmarkStart w:id="2" w:name="_Toc13087"/>
      <w:r>
        <w:rPr>
          <w:rFonts w:hint="eastAsia" w:ascii="仿宋_GB2312" w:hAnsi="仿宋_GB2312" w:eastAsia="仿宋_GB2312" w:cs="仿宋_GB2312"/>
          <w:sz w:val="32"/>
          <w:szCs w:val="32"/>
          <w:highlight w:val="none"/>
        </w:rPr>
        <w:t>评价组自承接本项目后，立足于</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项目特点，本次评价关注重点：一是针对预算编制、资金执行的相关情况评价项目预算编制、财务核算是否到位</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rPr>
        <w:t>二是评价</w:t>
      </w:r>
      <w:r>
        <w:rPr>
          <w:rFonts w:hint="eastAsia" w:ascii="仿宋_GB2312" w:hAnsi="仿宋_GB2312" w:eastAsia="仿宋_GB2312" w:cs="仿宋_GB2312"/>
          <w:sz w:val="32"/>
          <w:szCs w:val="32"/>
          <w:highlight w:val="none"/>
          <w:lang w:eastAsia="zh-CN"/>
        </w:rPr>
        <w:t>项目实施</w:t>
      </w:r>
      <w:r>
        <w:rPr>
          <w:rFonts w:hint="eastAsia" w:ascii="仿宋_GB2312" w:hAnsi="仿宋_GB2312" w:eastAsia="仿宋_GB2312" w:cs="仿宋_GB2312"/>
          <w:sz w:val="32"/>
          <w:szCs w:val="32"/>
          <w:highlight w:val="none"/>
        </w:rPr>
        <w:t>单位的管理制度、监管考核机制是否健全；三是评价项目是否按照目标执行，项目实施效果是否达到预期目标</w:t>
      </w:r>
      <w:r>
        <w:rPr>
          <w:rFonts w:hint="eastAsia" w:ascii="仿宋_GB2312" w:hAnsi="仿宋_GB2312" w:eastAsia="仿宋_GB2312" w:cs="仿宋_GB2312"/>
          <w:sz w:val="32"/>
          <w:szCs w:val="32"/>
          <w:highlight w:val="none"/>
          <w:lang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jc w:val="left"/>
        <w:textAlignment w:val="auto"/>
        <w:outlineLvl w:val="0"/>
        <w:rPr>
          <w:rFonts w:hint="default"/>
          <w:highlight w:val="yellow"/>
          <w:lang w:val="en-US" w:eastAsia="zh-CN"/>
        </w:rPr>
      </w:pPr>
      <w:r>
        <w:rPr>
          <w:rFonts w:hint="eastAsia" w:ascii="仿宋_GB2312" w:hAnsi="仿宋_GB2312" w:eastAsia="仿宋_GB2312" w:cs="仿宋_GB2312"/>
          <w:sz w:val="32"/>
          <w:szCs w:val="32"/>
          <w:highlight w:val="none"/>
          <w:lang w:val="en-US" w:eastAsia="zh-CN"/>
        </w:rPr>
        <w:t>评价工作组通过前期调研，</w:t>
      </w:r>
      <w:r>
        <w:rPr>
          <w:rFonts w:hint="eastAsia" w:ascii="仿宋_GB2312" w:hAnsi="仿宋_GB2312" w:eastAsia="仿宋_GB2312" w:cs="仿宋_GB2312"/>
          <w:sz w:val="32"/>
          <w:szCs w:val="32"/>
          <w:highlight w:val="none"/>
        </w:rPr>
        <w:t>了解项目管理流程及效果</w:t>
      </w:r>
      <w:r>
        <w:rPr>
          <w:rFonts w:hint="eastAsia" w:ascii="仿宋_GB2312" w:hAnsi="仿宋_GB2312" w:eastAsia="仿宋_GB2312" w:cs="仿宋_GB2312"/>
          <w:sz w:val="32"/>
          <w:szCs w:val="32"/>
          <w:highlight w:val="none"/>
          <w:lang w:eastAsia="zh-CN"/>
        </w:rPr>
        <w:t>，</w:t>
      </w:r>
      <w:r>
        <w:rPr>
          <w:rFonts w:hint="eastAsia" w:ascii="仿宋_GB2312" w:hAnsi="仿宋_GB2312" w:eastAsia="仿宋_GB2312" w:cs="仿宋_GB2312"/>
          <w:sz w:val="32"/>
          <w:szCs w:val="32"/>
          <w:highlight w:val="none"/>
          <w:lang w:val="en-US" w:eastAsia="zh-CN"/>
        </w:rPr>
        <w:t>从项目决策、项目过程、项目产出和项目效益四个维度制定了工作方案，明确了评价的目的、方法、原则、指标、标准、社会调查方案等，重点对该项目的实施情况及效益进行了核实；评价工作组本着科学规范的绩效评价原则，运用成本效益分析法、比较分析法等方法，严格按照工作方案，经过数据采集、问卷调查、实地调研、数据分析和报告撰写等环节，完成了绩效评价工作。</w:t>
      </w:r>
    </w:p>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三、绩效评价分析</w:t>
      </w:r>
      <w:bookmarkEnd w:id="2"/>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3" w:name="_Toc24046"/>
      <w:bookmarkStart w:id="4" w:name="_Toc4082"/>
      <w:r>
        <w:rPr>
          <w:rFonts w:hint="eastAsia" w:ascii="仿宋_GB2312" w:hAnsi="仿宋_GB2312" w:eastAsia="仿宋_GB2312" w:cs="仿宋_GB2312"/>
          <w:sz w:val="32"/>
          <w:szCs w:val="32"/>
          <w:highlight w:val="none"/>
          <w:lang w:val="en-US" w:eastAsia="zh-CN"/>
        </w:rPr>
        <w:t>依据《自治区财政支出绩效评价管理暂行办法》（新财预〔2018〕189号）文件精神，评价工作组从绩效目标、绩效控制、产出及效果进行评价分析。绩效目标主要针对目标明确性、目标合理性和目标细化程度进行分析；绩效控制主要针对资金使用及管理情况、项目组织情况、项目管理情况进行分析；项目产出及效果主要针对项目的经济性、效率性和效益性进行分析。</w:t>
      </w:r>
    </w:p>
    <w:bookmarkEnd w:id="3"/>
    <w:p>
      <w:pPr>
        <w:adjustRightInd w:val="0"/>
        <w:snapToGrid w:val="0"/>
        <w:spacing w:line="560" w:lineRule="exact"/>
        <w:ind w:firstLine="640" w:firstLineChars="200"/>
        <w:jc w:val="left"/>
        <w:outlineLvl w:val="0"/>
        <w:rPr>
          <w:rFonts w:hint="eastAsia" w:ascii="黑体" w:hAnsi="黑体" w:eastAsia="黑体" w:cs="宋体"/>
          <w:sz w:val="32"/>
          <w:szCs w:val="32"/>
        </w:rPr>
      </w:pPr>
      <w:r>
        <w:rPr>
          <w:rFonts w:hint="eastAsia" w:ascii="黑体" w:hAnsi="黑体" w:eastAsia="黑体" w:cs="宋体"/>
          <w:sz w:val="32"/>
          <w:szCs w:val="32"/>
        </w:rPr>
        <w:t>四、评价结论</w:t>
      </w:r>
      <w:bookmarkEnd w:id="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经综合评价，项目得分为93分，其中：项目决策得分20分、项目过程得分18分；项目产出得分24分、项目效益得分30分，评价等级为优。</w:t>
      </w:r>
    </w:p>
    <w:p>
      <w:pPr>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立项较规范，绩效目标合理绩效指标明确，项目管理制度较健全。该项目预算资金360.00万元，实际支出360.00万元，预算资金执行率100%。通过文件研读、实地调研、数据分析等方式，全面了解该项目的使用效果，项目管理过程较规范；总的来看，该项目已完成了9个乡镇6000户农户的改厕工作，补贴已到位。通过实施农村人居环境整治“厕所革命”工程，改善了农村环境和卫生条件提高农民健康水平，提高了农村文明化程度，养成了良好的生活习惯。</w:t>
      </w:r>
    </w:p>
    <w:p>
      <w:pPr>
        <w:adjustRightInd w:val="0"/>
        <w:snapToGrid w:val="0"/>
        <w:spacing w:line="560" w:lineRule="exact"/>
        <w:ind w:firstLine="960" w:firstLineChars="300"/>
        <w:jc w:val="left"/>
        <w:outlineLvl w:val="0"/>
        <w:rPr>
          <w:rFonts w:hint="eastAsia" w:ascii="黑体" w:hAnsi="黑体" w:eastAsia="黑体" w:cs="宋体"/>
          <w:sz w:val="32"/>
          <w:szCs w:val="32"/>
          <w:highlight w:val="none"/>
        </w:rPr>
      </w:pPr>
      <w:bookmarkStart w:id="5" w:name="_Toc25703"/>
      <w:r>
        <w:rPr>
          <w:rFonts w:hint="eastAsia" w:ascii="黑体" w:hAnsi="黑体" w:eastAsia="黑体" w:cs="宋体"/>
          <w:sz w:val="32"/>
          <w:szCs w:val="32"/>
          <w:highlight w:val="none"/>
          <w:lang w:val="en-US" w:eastAsia="zh-CN"/>
        </w:rPr>
        <w:t>五、</w:t>
      </w:r>
      <w:r>
        <w:rPr>
          <w:rFonts w:hint="eastAsia" w:ascii="黑体" w:hAnsi="黑体" w:eastAsia="黑体" w:cs="宋体"/>
          <w:sz w:val="32"/>
          <w:szCs w:val="32"/>
          <w:highlight w:val="none"/>
        </w:rPr>
        <w:t>问题</w:t>
      </w:r>
      <w:r>
        <w:rPr>
          <w:rFonts w:hint="eastAsia" w:ascii="黑体" w:hAnsi="黑体" w:eastAsia="黑体" w:cs="宋体"/>
          <w:sz w:val="32"/>
          <w:szCs w:val="32"/>
          <w:highlight w:val="none"/>
          <w:lang w:val="en-US" w:eastAsia="zh-CN"/>
        </w:rPr>
        <w:t>及</w:t>
      </w:r>
      <w:r>
        <w:rPr>
          <w:rFonts w:hint="eastAsia" w:ascii="黑体" w:hAnsi="黑体" w:eastAsia="黑体" w:cs="宋体"/>
          <w:sz w:val="32"/>
          <w:szCs w:val="32"/>
          <w:highlight w:val="none"/>
        </w:rPr>
        <w:t>建议</w:t>
      </w:r>
      <w:bookmarkEnd w:id="5"/>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 w:name="_Toc22139"/>
      <w:bookmarkStart w:id="7" w:name="_Toc24350"/>
      <w:bookmarkStart w:id="8" w:name="_Toc5400"/>
      <w:bookmarkStart w:id="9" w:name="_Toc19437"/>
      <w:bookmarkStart w:id="10" w:name="_Toc6009"/>
      <w:bookmarkStart w:id="11" w:name="_Toc11063"/>
      <w:r>
        <w:rPr>
          <w:rFonts w:hint="eastAsia" w:ascii="仿宋_GB2312" w:hAnsi="仿宋" w:eastAsia="仿宋_GB2312" w:cs="宋体"/>
          <w:b/>
          <w:bCs/>
          <w:sz w:val="32"/>
          <w:szCs w:val="32"/>
        </w:rPr>
        <w:t>（一）问题</w:t>
      </w:r>
      <w:bookmarkEnd w:id="6"/>
      <w:bookmarkEnd w:id="7"/>
      <w:bookmarkEnd w:id="8"/>
      <w:bookmarkEnd w:id="9"/>
      <w:bookmarkEnd w:id="10"/>
      <w:bookmarkEnd w:id="11"/>
    </w:p>
    <w:p>
      <w:pPr>
        <w:pStyle w:val="34"/>
        <w:adjustRightInd w:val="0"/>
        <w:snapToGrid w:val="0"/>
        <w:spacing w:line="560" w:lineRule="exact"/>
        <w:ind w:left="0" w:leftChars="0" w:firstLine="640" w:firstLineChars="200"/>
        <w:outlineLvl w:val="1"/>
        <w:rPr>
          <w:rFonts w:hint="eastAsia" w:ascii="仿宋" w:hAnsi="仿宋" w:eastAsia="仿宋" w:cs="仿宋"/>
          <w:sz w:val="32"/>
          <w:szCs w:val="32"/>
          <w:highlight w:val="none"/>
          <w:lang w:val="en-US" w:eastAsia="zh-CN"/>
        </w:rPr>
      </w:pPr>
      <w:bookmarkStart w:id="12" w:name="_Toc3933"/>
      <w:bookmarkStart w:id="13" w:name="_Toc23428"/>
      <w:bookmarkStart w:id="14" w:name="_Toc25341"/>
      <w:bookmarkStart w:id="15" w:name="_Toc21456"/>
      <w:bookmarkStart w:id="16" w:name="_Toc32170"/>
      <w:bookmarkStart w:id="17" w:name="_Toc13719"/>
      <w:r>
        <w:rPr>
          <w:rFonts w:hint="eastAsia" w:ascii="仿宋" w:hAnsi="仿宋" w:eastAsia="仿宋" w:cs="仿宋"/>
          <w:sz w:val="32"/>
          <w:szCs w:val="32"/>
          <w:highlight w:val="none"/>
          <w:lang w:val="en-US" w:eastAsia="zh-CN"/>
        </w:rPr>
        <w:t>资料归档不规范，缺失各乡镇项目最终验收报告，会议纪要及项目现场照片。</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eastAsia="zh-CN"/>
        </w:rPr>
        <w:t>二</w:t>
      </w:r>
      <w:r>
        <w:rPr>
          <w:rFonts w:hint="eastAsia" w:ascii="仿宋_GB2312" w:hAnsi="仿宋" w:eastAsia="仿宋_GB2312" w:cs="宋体"/>
          <w:b/>
          <w:bCs/>
          <w:sz w:val="32"/>
          <w:szCs w:val="32"/>
        </w:rPr>
        <w:t>）意见和建议</w:t>
      </w:r>
      <w:bookmarkEnd w:id="12"/>
      <w:bookmarkEnd w:id="13"/>
      <w:bookmarkEnd w:id="14"/>
      <w:bookmarkEnd w:id="15"/>
      <w:bookmarkEnd w:id="16"/>
      <w:bookmarkEnd w:id="17"/>
    </w:p>
    <w:p>
      <w:pPr>
        <w:pStyle w:val="34"/>
        <w:adjustRightInd w:val="0"/>
        <w:snapToGrid w:val="0"/>
        <w:spacing w:line="560" w:lineRule="exact"/>
        <w:ind w:left="0" w:leftChars="0" w:firstLine="640" w:firstLineChars="200"/>
        <w:outlineLvl w:val="1"/>
        <w:rPr>
          <w:rFonts w:hint="eastAsia" w:ascii="仿宋" w:hAnsi="仿宋" w:eastAsia="仿宋" w:cs="仿宋"/>
          <w:sz w:val="32"/>
          <w:szCs w:val="32"/>
          <w:highlight w:val="none"/>
          <w:lang w:val="en-US" w:eastAsia="zh-CN"/>
        </w:rPr>
      </w:pPr>
      <w:r>
        <w:rPr>
          <w:rFonts w:hint="eastAsia" w:ascii="仿宋" w:hAnsi="仿宋" w:eastAsia="仿宋" w:cs="仿宋"/>
          <w:sz w:val="32"/>
          <w:szCs w:val="32"/>
          <w:highlight w:val="none"/>
          <w:lang w:val="en-US" w:eastAsia="zh-CN"/>
        </w:rPr>
        <w:t>洛浦县农业农村局作为项目主管单位充分发挥牵头作用，结合项目管理制度及档案管理制度严格要求相关工作人员对各乡镇项目资料进行补充完善并收集好项目资料，为后期查阅项目资料提供便利条件。</w:t>
      </w:r>
    </w:p>
    <w:p>
      <w:pPr>
        <w:rPr>
          <w:rFonts w:hint="eastAsia"/>
        </w:rPr>
      </w:pPr>
    </w:p>
    <w:p>
      <w:pPr>
        <w:ind w:firstLine="2200" w:firstLineChars="500"/>
        <w:jc w:val="both"/>
        <w:rPr>
          <w:rFonts w:hint="eastAsia" w:ascii="黑体" w:hAnsi="黑体" w:eastAsia="黑体" w:cs="黑体"/>
          <w:b w:val="0"/>
          <w:bCs w:val="0"/>
          <w:sz w:val="44"/>
          <w:szCs w:val="44"/>
        </w:rPr>
      </w:pPr>
      <w:r>
        <w:rPr>
          <w:rFonts w:hint="eastAsia" w:ascii="黑体" w:hAnsi="黑体" w:eastAsia="黑体" w:cs="黑体"/>
          <w:b w:val="0"/>
          <w:bCs w:val="0"/>
          <w:sz w:val="44"/>
          <w:szCs w:val="44"/>
        </w:rPr>
        <w:t>绩效评价工作组成员</w:t>
      </w:r>
    </w:p>
    <w:p>
      <w:pPr>
        <w:jc w:val="center"/>
      </w:pPr>
    </w:p>
    <w:tbl>
      <w:tblPr>
        <w:tblStyle w:val="21"/>
        <w:tblW w:w="8722"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27"/>
        <w:gridCol w:w="1605"/>
        <w:gridCol w:w="1960"/>
        <w:gridCol w:w="1640"/>
        <w:gridCol w:w="1510"/>
        <w:gridCol w:w="14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527"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序号</w:t>
            </w:r>
          </w:p>
        </w:tc>
        <w:tc>
          <w:tcPr>
            <w:tcW w:w="1605"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项目职务</w:t>
            </w:r>
          </w:p>
        </w:tc>
        <w:tc>
          <w:tcPr>
            <w:tcW w:w="196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姓名</w:t>
            </w:r>
          </w:p>
        </w:tc>
        <w:tc>
          <w:tcPr>
            <w:tcW w:w="164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执业（从业）</w:t>
            </w:r>
          </w:p>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资格</w:t>
            </w:r>
          </w:p>
        </w:tc>
        <w:tc>
          <w:tcPr>
            <w:tcW w:w="151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职称</w:t>
            </w:r>
          </w:p>
        </w:tc>
        <w:tc>
          <w:tcPr>
            <w:tcW w:w="1480" w:type="dxa"/>
            <w:vAlign w:val="center"/>
          </w:tcPr>
          <w:p>
            <w:pPr>
              <w:pStyle w:val="14"/>
              <w:tabs>
                <w:tab w:val="right" w:leader="dot" w:pos="8302"/>
              </w:tabs>
              <w:spacing w:line="340" w:lineRule="exact"/>
              <w:jc w:val="center"/>
              <w:rPr>
                <w:rFonts w:ascii="黑体" w:hAnsi="黑体" w:eastAsia="黑体" w:cs="宋体"/>
                <w:kern w:val="0"/>
                <w:sz w:val="24"/>
              </w:rPr>
            </w:pPr>
            <w:r>
              <w:rPr>
                <w:rFonts w:hint="eastAsia" w:ascii="黑体" w:hAnsi="黑体" w:eastAsia="黑体" w:cs="宋体"/>
                <w:kern w:val="0"/>
                <w:sz w:val="24"/>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0" w:hRule="atLeast"/>
        </w:trPr>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1</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项目负责人</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叶金玲</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项目总负责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2</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项目财务专家</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eastAsia="zh-CN"/>
              </w:rPr>
            </w:pPr>
            <w:r>
              <w:rPr>
                <w:rFonts w:hint="eastAsia" w:ascii="仿宋_GB2312" w:hAnsi="黑体" w:eastAsia="仿宋_GB2312" w:cs="宋体"/>
                <w:kern w:val="0"/>
                <w:sz w:val="24"/>
                <w:lang w:val="en-US" w:eastAsia="zh-CN"/>
              </w:rPr>
              <w:t>冯琼</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注册会计师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资金审查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3</w:t>
            </w:r>
          </w:p>
        </w:tc>
        <w:tc>
          <w:tcPr>
            <w:tcW w:w="1605"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项目行业专家</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曹堂哲</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风险稳定评估师、高级投资管理师、计算机辅助设计师、信息管理师、物流工程师</w:t>
            </w: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中级经济师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审核指导   质量审核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0" w:hRule="atLeast"/>
        </w:trPr>
        <w:tc>
          <w:tcPr>
            <w:tcW w:w="527"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rPr>
              <w:t>4</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rPr>
              <w:t>项目</w:t>
            </w:r>
            <w:r>
              <w:rPr>
                <w:rFonts w:hint="eastAsia" w:ascii="仿宋_GB2312" w:hAnsi="黑体" w:eastAsia="仿宋_GB2312" w:cs="宋体"/>
                <w:kern w:val="0"/>
                <w:sz w:val="24"/>
                <w:lang w:val="en-US" w:eastAsia="zh-CN"/>
              </w:rPr>
              <w:t>组成员</w:t>
            </w:r>
          </w:p>
        </w:tc>
        <w:tc>
          <w:tcPr>
            <w:tcW w:w="196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古丽热依汉</w:t>
            </w:r>
          </w:p>
        </w:tc>
        <w:tc>
          <w:tcPr>
            <w:tcW w:w="1640" w:type="dxa"/>
            <w:vAlign w:val="center"/>
          </w:tcPr>
          <w:p>
            <w:pPr>
              <w:pStyle w:val="14"/>
              <w:tabs>
                <w:tab w:val="right" w:leader="dot" w:pos="8302"/>
              </w:tabs>
              <w:spacing w:line="340" w:lineRule="exact"/>
              <w:jc w:val="center"/>
              <w:rPr>
                <w:rFonts w:hint="eastAsia" w:ascii="仿宋_GB2312" w:hAnsi="黑体" w:eastAsia="仿宋_GB2312" w:cs="宋体"/>
                <w:kern w:val="0"/>
                <w:sz w:val="24"/>
                <w:lang w:val="en-US" w:eastAsia="zh-CN"/>
              </w:rPr>
            </w:pP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助理</w:t>
            </w:r>
            <w:r>
              <w:rPr>
                <w:rFonts w:hint="eastAsia" w:ascii="仿宋_GB2312" w:hAnsi="黑体" w:eastAsia="仿宋_GB2312" w:cs="宋体"/>
                <w:kern w:val="0"/>
                <w:sz w:val="24"/>
              </w:rPr>
              <w:t>会计师</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trPr>
        <w:tc>
          <w:tcPr>
            <w:tcW w:w="527"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5</w:t>
            </w:r>
          </w:p>
        </w:tc>
        <w:tc>
          <w:tcPr>
            <w:tcW w:w="1605" w:type="dxa"/>
            <w:vAlign w:val="center"/>
          </w:tcPr>
          <w:p>
            <w:pPr>
              <w:pStyle w:val="14"/>
              <w:tabs>
                <w:tab w:val="right" w:leader="dot" w:pos="8302"/>
              </w:tabs>
              <w:spacing w:line="340" w:lineRule="exact"/>
              <w:jc w:val="center"/>
              <w:rPr>
                <w:rFonts w:hint="default" w:ascii="仿宋_GB2312" w:hAnsi="黑体" w:eastAsia="仿宋_GB2312" w:cs="宋体"/>
                <w:kern w:val="0"/>
                <w:sz w:val="24"/>
                <w:lang w:val="en-US" w:eastAsia="zh-CN"/>
              </w:rPr>
            </w:pPr>
            <w:r>
              <w:rPr>
                <w:rFonts w:hint="eastAsia" w:ascii="仿宋_GB2312" w:hAnsi="黑体" w:eastAsia="仿宋_GB2312" w:cs="宋体"/>
                <w:kern w:val="0"/>
                <w:sz w:val="24"/>
                <w:lang w:val="en-US" w:eastAsia="zh-CN"/>
              </w:rPr>
              <w:t>项目组成员</w:t>
            </w:r>
          </w:p>
        </w:tc>
        <w:tc>
          <w:tcPr>
            <w:tcW w:w="196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val="en-US" w:eastAsia="zh-CN"/>
              </w:rPr>
              <w:t>阿曼古丽</w:t>
            </w:r>
          </w:p>
        </w:tc>
        <w:tc>
          <w:tcPr>
            <w:tcW w:w="1640" w:type="dxa"/>
            <w:vAlign w:val="center"/>
          </w:tcPr>
          <w:p>
            <w:pPr>
              <w:pStyle w:val="14"/>
              <w:tabs>
                <w:tab w:val="right" w:leader="dot" w:pos="8302"/>
              </w:tabs>
              <w:spacing w:line="340" w:lineRule="exact"/>
              <w:jc w:val="center"/>
              <w:rPr>
                <w:rFonts w:ascii="仿宋_GB2312" w:hAnsi="黑体" w:eastAsia="仿宋_GB2312" w:cs="宋体"/>
                <w:kern w:val="0"/>
                <w:sz w:val="24"/>
              </w:rPr>
            </w:pPr>
          </w:p>
        </w:tc>
        <w:tc>
          <w:tcPr>
            <w:tcW w:w="1510" w:type="dxa"/>
            <w:vAlign w:val="center"/>
          </w:tcPr>
          <w:p>
            <w:pPr>
              <w:pStyle w:val="14"/>
              <w:tabs>
                <w:tab w:val="right" w:leader="dot" w:pos="8302"/>
              </w:tabs>
              <w:spacing w:line="340" w:lineRule="exact"/>
              <w:jc w:val="center"/>
              <w:rPr>
                <w:rFonts w:ascii="仿宋_GB2312" w:hAnsi="黑体" w:eastAsia="仿宋_GB2312" w:cs="宋体"/>
                <w:kern w:val="0"/>
                <w:sz w:val="24"/>
              </w:rPr>
            </w:pPr>
            <w:r>
              <w:rPr>
                <w:rFonts w:hint="eastAsia" w:ascii="仿宋_GB2312" w:hAnsi="黑体" w:eastAsia="仿宋_GB2312" w:cs="宋体"/>
                <w:kern w:val="0"/>
                <w:sz w:val="24"/>
                <w:lang w:eastAsia="zh-CN"/>
              </w:rPr>
              <w:t>会计员</w:t>
            </w:r>
          </w:p>
        </w:tc>
        <w:tc>
          <w:tcPr>
            <w:tcW w:w="1480" w:type="dxa"/>
            <w:vAlign w:val="center"/>
          </w:tcPr>
          <w:p>
            <w:pPr>
              <w:pStyle w:val="14"/>
              <w:tabs>
                <w:tab w:val="right" w:leader="dot" w:pos="8302"/>
              </w:tabs>
              <w:spacing w:line="340" w:lineRule="exact"/>
              <w:jc w:val="center"/>
              <w:rPr>
                <w:rFonts w:ascii="仿宋_GB2312" w:hAnsi="黑体" w:eastAsia="仿宋_GB2312" w:cs="宋体"/>
                <w:kern w:val="0"/>
                <w:sz w:val="24"/>
              </w:rPr>
            </w:pPr>
          </w:p>
        </w:tc>
      </w:tr>
    </w:tbl>
    <w:p>
      <w:pPr>
        <w:ind w:firstLine="640" w:firstLineChars="200"/>
        <w:rPr>
          <w:rFonts w:ascii="仿宋_GB2312" w:eastAsia="仿宋_GB2312"/>
          <w:sz w:val="32"/>
          <w:szCs w:val="32"/>
        </w:rPr>
      </w:pPr>
    </w:p>
    <w:p>
      <w:pPr>
        <w:pStyle w:val="14"/>
        <w:tabs>
          <w:tab w:val="right" w:leader="dot" w:pos="8302"/>
        </w:tabs>
        <w:spacing w:line="340" w:lineRule="exact"/>
        <w:jc w:val="both"/>
        <w:rPr>
          <w:rFonts w:ascii="宋体" w:hAnsi="宋体" w:cs="宋体"/>
          <w:b/>
          <w:sz w:val="28"/>
          <w:szCs w:val="28"/>
        </w:rPr>
        <w:sectPr>
          <w:pgSz w:w="11906" w:h="16838"/>
          <w:pgMar w:top="2098" w:right="1531" w:bottom="1984" w:left="1531" w:header="851" w:footer="992" w:gutter="0"/>
          <w:pgBorders>
            <w:top w:val="none" w:sz="0" w:space="0"/>
            <w:left w:val="none" w:sz="0" w:space="0"/>
            <w:bottom w:val="none" w:sz="0" w:space="0"/>
            <w:right w:val="none" w:sz="0" w:space="0"/>
          </w:pgBorders>
          <w:cols w:space="425" w:num="1"/>
          <w:docGrid w:type="lines" w:linePitch="312" w:charSpace="0"/>
        </w:sectPr>
      </w:pPr>
    </w:p>
    <w:p>
      <w:pPr>
        <w:pStyle w:val="14"/>
        <w:tabs>
          <w:tab w:val="right" w:leader="dot" w:pos="8302"/>
        </w:tabs>
        <w:spacing w:line="340" w:lineRule="exact"/>
        <w:jc w:val="center"/>
        <w:rPr>
          <w:rFonts w:hint="eastAsia" w:ascii="黑体" w:hAnsi="黑体" w:eastAsia="黑体" w:cs="黑体"/>
          <w:b/>
          <w:sz w:val="36"/>
          <w:szCs w:val="36"/>
        </w:rPr>
      </w:pPr>
      <w:r>
        <w:rPr>
          <w:rFonts w:hint="eastAsia" w:ascii="黑体" w:hAnsi="黑体" w:eastAsia="黑体" w:cs="黑体"/>
          <w:b/>
          <w:sz w:val="36"/>
          <w:szCs w:val="36"/>
        </w:rPr>
        <w:t>目 录</w:t>
      </w:r>
    </w:p>
    <w:sdt>
      <w:sdtPr>
        <w:rPr>
          <w:rFonts w:ascii="宋体" w:hAnsi="宋体" w:eastAsia="宋体" w:cstheme="minorBidi"/>
          <w:kern w:val="2"/>
          <w:sz w:val="24"/>
          <w:szCs w:val="24"/>
          <w:lang w:val="en-US" w:eastAsia="zh-CN" w:bidi="ar-SA"/>
        </w:rPr>
        <w:id w:val="147475025"/>
        <w15:color w:val="DBDBDB"/>
        <w:docPartObj>
          <w:docPartGallery w:val="Table of Contents"/>
          <w:docPartUnique/>
        </w:docPartObj>
      </w:sdtPr>
      <w:sdtEndPr>
        <w:rPr>
          <w:rFonts w:asciiTheme="minorHAnsi" w:hAnsiTheme="minorHAnsi" w:eastAsiaTheme="minorEastAsia" w:cstheme="minorBidi"/>
          <w:b w:val="0"/>
          <w:bCs w:val="0"/>
          <w:kern w:val="2"/>
          <w:sz w:val="21"/>
          <w:szCs w:val="24"/>
          <w:highlight w:val="none"/>
          <w:lang w:val="en-US" w:eastAsia="zh-CN" w:bidi="ar-SA"/>
        </w:rPr>
      </w:sdtEndPr>
      <w:sdtContent>
        <w:p>
          <w:pPr>
            <w:spacing w:before="0" w:beforeLines="0" w:after="0" w:afterLines="0" w:line="240" w:lineRule="auto"/>
            <w:ind w:left="0" w:leftChars="0" w:right="0" w:rightChars="0" w:firstLine="0" w:firstLineChars="0"/>
            <w:jc w:val="center"/>
            <w:rPr>
              <w:rFonts w:asciiTheme="minorHAnsi" w:hAnsiTheme="minorHAnsi" w:eastAsiaTheme="minorEastAsia" w:cstheme="minorBidi"/>
              <w:b w:val="0"/>
              <w:bCs w:val="0"/>
              <w:kern w:val="2"/>
              <w:sz w:val="24"/>
              <w:szCs w:val="24"/>
              <w:highlight w:val="none"/>
              <w:lang w:val="en-US" w:eastAsia="zh-CN" w:bidi="ar-SA"/>
            </w:rPr>
          </w:pPr>
          <w:r>
            <w:rPr>
              <w:b w:val="0"/>
              <w:bCs w:val="0"/>
              <w:sz w:val="24"/>
              <w:szCs w:val="24"/>
              <w:highlight w:val="none"/>
            </w:rPr>
            <w:fldChar w:fldCharType="begin"/>
          </w:r>
          <w:r>
            <w:rPr>
              <w:b w:val="0"/>
              <w:bCs w:val="0"/>
              <w:sz w:val="24"/>
              <w:szCs w:val="24"/>
              <w:highlight w:val="none"/>
            </w:rPr>
            <w:instrText xml:space="preserve">TOC \o "1-2" \h \u </w:instrText>
          </w:r>
          <w:r>
            <w:rPr>
              <w:b w:val="0"/>
              <w:bCs w:val="0"/>
              <w:sz w:val="24"/>
              <w:szCs w:val="24"/>
              <w:highlight w:val="none"/>
            </w:rPr>
            <w:fldChar w:fldCharType="separate"/>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_Toc28183 </w:instrText>
          </w:r>
          <w:r>
            <w:rPr>
              <w:bCs w:val="0"/>
              <w:szCs w:val="24"/>
              <w:highlight w:val="none"/>
            </w:rPr>
            <w:fldChar w:fldCharType="separate"/>
          </w:r>
          <w:r>
            <w:rPr>
              <w:rFonts w:hint="eastAsia" w:ascii="黑体" w:hAnsi="黑体" w:eastAsia="黑体" w:cs="宋体"/>
              <w:szCs w:val="32"/>
              <w:highlight w:val="none"/>
            </w:rPr>
            <w:t>一、项目概述</w:t>
          </w:r>
          <w:r>
            <w:rPr>
              <w:highlight w:val="none"/>
            </w:rPr>
            <w:tab/>
          </w:r>
          <w:r>
            <w:rPr>
              <w:highlight w:val="none"/>
            </w:rPr>
            <w:fldChar w:fldCharType="begin"/>
          </w:r>
          <w:r>
            <w:rPr>
              <w:highlight w:val="none"/>
            </w:rPr>
            <w:instrText xml:space="preserve"> PAGEREF _Toc28183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_Toc27345 </w:instrText>
          </w:r>
          <w:r>
            <w:rPr>
              <w:bCs w:val="0"/>
              <w:szCs w:val="24"/>
              <w:highlight w:val="none"/>
            </w:rPr>
            <w:fldChar w:fldCharType="separate"/>
          </w:r>
          <w:r>
            <w:rPr>
              <w:rFonts w:hint="eastAsia" w:ascii="仿宋_GB2312" w:hAnsi="仿宋" w:eastAsia="仿宋_GB2312" w:cs="宋体"/>
              <w:bCs/>
              <w:szCs w:val="32"/>
              <w:highlight w:val="none"/>
            </w:rPr>
            <w:t>（一）项目基本情况</w:t>
          </w:r>
          <w:r>
            <w:rPr>
              <w:highlight w:val="none"/>
            </w:rPr>
            <w:tab/>
          </w:r>
          <w:r>
            <w:rPr>
              <w:highlight w:val="none"/>
            </w:rPr>
            <w:fldChar w:fldCharType="begin"/>
          </w:r>
          <w:r>
            <w:rPr>
              <w:highlight w:val="none"/>
            </w:rPr>
            <w:instrText xml:space="preserve"> PAGEREF _Toc27345 </w:instrText>
          </w:r>
          <w:r>
            <w:rPr>
              <w:highlight w:val="none"/>
            </w:rPr>
            <w:fldChar w:fldCharType="separate"/>
          </w:r>
          <w:r>
            <w:rPr>
              <w:highlight w:val="none"/>
            </w:rPr>
            <w:t>1</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_Toc30597 </w:instrText>
          </w:r>
          <w:r>
            <w:rPr>
              <w:bCs w:val="0"/>
              <w:szCs w:val="24"/>
              <w:highlight w:val="none"/>
            </w:rPr>
            <w:fldChar w:fldCharType="separate"/>
          </w:r>
          <w:r>
            <w:rPr>
              <w:rFonts w:hint="eastAsia" w:ascii="仿宋_GB2312" w:hAnsi="仿宋" w:eastAsia="仿宋_GB2312" w:cs="宋体"/>
              <w:bCs/>
              <w:szCs w:val="32"/>
              <w:highlight w:val="none"/>
            </w:rPr>
            <w:t>（二）项目资金情况</w:t>
          </w:r>
          <w:r>
            <w:rPr>
              <w:highlight w:val="none"/>
            </w:rPr>
            <w:tab/>
          </w:r>
          <w:r>
            <w:rPr>
              <w:highlight w:val="none"/>
            </w:rPr>
            <w:fldChar w:fldCharType="begin"/>
          </w:r>
          <w:r>
            <w:rPr>
              <w:highlight w:val="none"/>
            </w:rPr>
            <w:instrText xml:space="preserve"> PAGEREF _Toc30597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_Toc4656 </w:instrText>
          </w:r>
          <w:r>
            <w:rPr>
              <w:bCs w:val="0"/>
              <w:szCs w:val="24"/>
              <w:highlight w:val="none"/>
            </w:rPr>
            <w:fldChar w:fldCharType="separate"/>
          </w:r>
          <w:r>
            <w:rPr>
              <w:rFonts w:hint="eastAsia" w:ascii="仿宋_GB2312" w:hAnsi="仿宋" w:eastAsia="仿宋_GB2312" w:cs="宋体"/>
              <w:bCs/>
              <w:szCs w:val="32"/>
              <w:highlight w:val="none"/>
            </w:rPr>
            <w:t>（三）绩效目标设置情况</w:t>
          </w:r>
          <w:r>
            <w:rPr>
              <w:highlight w:val="none"/>
            </w:rPr>
            <w:tab/>
          </w:r>
          <w:r>
            <w:rPr>
              <w:highlight w:val="none"/>
            </w:rPr>
            <w:fldChar w:fldCharType="begin"/>
          </w:r>
          <w:r>
            <w:rPr>
              <w:highlight w:val="none"/>
            </w:rPr>
            <w:instrText xml:space="preserve"> PAGEREF _Toc4656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_Toc25486 </w:instrText>
          </w:r>
          <w:r>
            <w:rPr>
              <w:bCs w:val="0"/>
              <w:szCs w:val="24"/>
              <w:highlight w:val="none"/>
            </w:rPr>
            <w:fldChar w:fldCharType="separate"/>
          </w:r>
          <w:r>
            <w:rPr>
              <w:rFonts w:hint="eastAsia" w:ascii="黑体" w:hAnsi="黑体" w:eastAsia="黑体" w:cs="宋体"/>
              <w:szCs w:val="32"/>
              <w:highlight w:val="none"/>
            </w:rPr>
            <w:t>二、评价工作简述</w:t>
          </w:r>
          <w:r>
            <w:rPr>
              <w:highlight w:val="none"/>
            </w:rPr>
            <w:tab/>
          </w:r>
          <w:r>
            <w:rPr>
              <w:highlight w:val="none"/>
            </w:rPr>
            <w:fldChar w:fldCharType="begin"/>
          </w:r>
          <w:r>
            <w:rPr>
              <w:highlight w:val="none"/>
            </w:rPr>
            <w:instrText xml:space="preserve"> PAGEREF _Toc25486 </w:instrText>
          </w:r>
          <w:r>
            <w:rPr>
              <w:highlight w:val="none"/>
            </w:rPr>
            <w:fldChar w:fldCharType="separate"/>
          </w:r>
          <w:r>
            <w:rPr>
              <w:highlight w:val="none"/>
            </w:rPr>
            <w:t>5</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_Toc8259 </w:instrText>
          </w:r>
          <w:r>
            <w:rPr>
              <w:bCs w:val="0"/>
              <w:szCs w:val="24"/>
              <w:highlight w:val="none"/>
            </w:rPr>
            <w:fldChar w:fldCharType="separate"/>
          </w:r>
          <w:r>
            <w:rPr>
              <w:rFonts w:hint="eastAsia" w:ascii="仿宋_GB2312" w:hAnsi="仿宋" w:eastAsia="仿宋_GB2312" w:cs="宋体"/>
              <w:bCs/>
              <w:szCs w:val="32"/>
              <w:highlight w:val="none"/>
            </w:rPr>
            <w:t>（一）评价目的</w:t>
          </w:r>
          <w:r>
            <w:rPr>
              <w:highlight w:val="none"/>
            </w:rPr>
            <w:tab/>
          </w:r>
          <w:r>
            <w:rPr>
              <w:highlight w:val="none"/>
            </w:rPr>
            <w:fldChar w:fldCharType="begin"/>
          </w:r>
          <w:r>
            <w:rPr>
              <w:highlight w:val="none"/>
            </w:rPr>
            <w:instrText xml:space="preserve"> PAGEREF _Toc8259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_Toc22761 </w:instrText>
          </w:r>
          <w:r>
            <w:rPr>
              <w:bCs w:val="0"/>
              <w:szCs w:val="24"/>
              <w:highlight w:val="none"/>
            </w:rPr>
            <w:fldChar w:fldCharType="separate"/>
          </w:r>
          <w:r>
            <w:rPr>
              <w:rFonts w:hint="eastAsia" w:ascii="仿宋_GB2312" w:hAnsi="仿宋" w:eastAsia="仿宋_GB2312" w:cs="宋体"/>
              <w:bCs/>
              <w:szCs w:val="32"/>
              <w:highlight w:val="none"/>
            </w:rPr>
            <w:t>（二）绩效评价工作</w:t>
          </w:r>
          <w:r>
            <w:rPr>
              <w:rFonts w:hint="eastAsia" w:ascii="仿宋_GB2312" w:hAnsi="仿宋" w:eastAsia="仿宋_GB2312" w:cs="宋体"/>
              <w:bCs/>
              <w:szCs w:val="32"/>
              <w:highlight w:val="none"/>
              <w:lang w:val="en-US" w:eastAsia="zh-CN"/>
            </w:rPr>
            <w:t>的基本</w:t>
          </w:r>
          <w:r>
            <w:rPr>
              <w:rFonts w:hint="eastAsia" w:ascii="仿宋_GB2312" w:hAnsi="仿宋" w:eastAsia="仿宋_GB2312" w:cs="宋体"/>
              <w:bCs/>
              <w:szCs w:val="32"/>
              <w:highlight w:val="none"/>
            </w:rPr>
            <w:t>思路</w:t>
          </w:r>
          <w:r>
            <w:rPr>
              <w:highlight w:val="none"/>
            </w:rPr>
            <w:tab/>
          </w:r>
          <w:r>
            <w:rPr>
              <w:highlight w:val="none"/>
            </w:rPr>
            <w:fldChar w:fldCharType="begin"/>
          </w:r>
          <w:r>
            <w:rPr>
              <w:highlight w:val="none"/>
            </w:rPr>
            <w:instrText xml:space="preserve"> PAGEREF _Toc22761 </w:instrText>
          </w:r>
          <w:r>
            <w:rPr>
              <w:highlight w:val="none"/>
            </w:rPr>
            <w:fldChar w:fldCharType="separate"/>
          </w:r>
          <w:r>
            <w:rPr>
              <w:highlight w:val="none"/>
            </w:rPr>
            <w:t>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_Toc7962 </w:instrText>
          </w:r>
          <w:r>
            <w:rPr>
              <w:bCs w:val="0"/>
              <w:szCs w:val="24"/>
              <w:highlight w:val="none"/>
            </w:rPr>
            <w:fldChar w:fldCharType="separate"/>
          </w:r>
          <w:r>
            <w:rPr>
              <w:rFonts w:hint="eastAsia" w:ascii="仿宋_GB2312" w:hAnsi="仿宋" w:eastAsia="仿宋_GB2312" w:cs="宋体"/>
              <w:bCs/>
              <w:szCs w:val="32"/>
              <w:highlight w:val="none"/>
            </w:rPr>
            <w:t>（三）评价原则</w:t>
          </w:r>
          <w:r>
            <w:rPr>
              <w:highlight w:val="none"/>
            </w:rPr>
            <w:tab/>
          </w:r>
          <w:r>
            <w:rPr>
              <w:highlight w:val="none"/>
            </w:rPr>
            <w:fldChar w:fldCharType="begin"/>
          </w:r>
          <w:r>
            <w:rPr>
              <w:highlight w:val="none"/>
            </w:rPr>
            <w:instrText xml:space="preserve"> PAGEREF _Toc7962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_Toc1742 </w:instrText>
          </w:r>
          <w:r>
            <w:rPr>
              <w:bCs w:val="0"/>
              <w:szCs w:val="24"/>
              <w:highlight w:val="none"/>
            </w:rPr>
            <w:fldChar w:fldCharType="separate"/>
          </w:r>
          <w:r>
            <w:rPr>
              <w:rFonts w:hint="eastAsia" w:ascii="仿宋_GB2312" w:hAnsi="仿宋" w:eastAsia="仿宋_GB2312" w:cs="宋体"/>
              <w:bCs/>
              <w:szCs w:val="32"/>
              <w:highlight w:val="none"/>
            </w:rPr>
            <w:t>（四）评价方法</w:t>
          </w:r>
          <w:r>
            <w:rPr>
              <w:highlight w:val="none"/>
            </w:rPr>
            <w:tab/>
          </w:r>
          <w:r>
            <w:rPr>
              <w:highlight w:val="none"/>
            </w:rPr>
            <w:fldChar w:fldCharType="begin"/>
          </w:r>
          <w:r>
            <w:rPr>
              <w:highlight w:val="none"/>
            </w:rPr>
            <w:instrText xml:space="preserve"> PAGEREF _Toc1742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_Toc16588 </w:instrText>
          </w:r>
          <w:r>
            <w:rPr>
              <w:bCs w:val="0"/>
              <w:szCs w:val="24"/>
              <w:highlight w:val="none"/>
            </w:rPr>
            <w:fldChar w:fldCharType="separate"/>
          </w:r>
          <w:r>
            <w:rPr>
              <w:rFonts w:hint="eastAsia" w:ascii="仿宋_GB2312" w:hAnsi="仿宋" w:eastAsia="仿宋_GB2312" w:cs="宋体"/>
              <w:bCs/>
              <w:szCs w:val="32"/>
              <w:highlight w:val="none"/>
            </w:rPr>
            <w:t>（五） 指标体系</w:t>
          </w:r>
          <w:r>
            <w:rPr>
              <w:highlight w:val="none"/>
            </w:rPr>
            <w:tab/>
          </w:r>
          <w:r>
            <w:rPr>
              <w:highlight w:val="none"/>
            </w:rPr>
            <w:fldChar w:fldCharType="begin"/>
          </w:r>
          <w:r>
            <w:rPr>
              <w:highlight w:val="none"/>
            </w:rPr>
            <w:instrText xml:space="preserve"> PAGEREF _Toc16588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_Toc31692 </w:instrText>
          </w:r>
          <w:r>
            <w:rPr>
              <w:bCs w:val="0"/>
              <w:szCs w:val="24"/>
              <w:highlight w:val="none"/>
            </w:rPr>
            <w:fldChar w:fldCharType="separate"/>
          </w:r>
          <w:r>
            <w:rPr>
              <w:rFonts w:hint="eastAsia" w:ascii="仿宋_GB2312" w:hAnsi="仿宋" w:eastAsia="仿宋_GB2312" w:cs="宋体"/>
              <w:bCs/>
              <w:szCs w:val="32"/>
              <w:highlight w:val="none"/>
            </w:rPr>
            <w:t>（六）评价等级划分</w:t>
          </w:r>
          <w:r>
            <w:rPr>
              <w:highlight w:val="none"/>
            </w:rPr>
            <w:tab/>
          </w:r>
          <w:r>
            <w:rPr>
              <w:highlight w:val="none"/>
            </w:rPr>
            <w:fldChar w:fldCharType="begin"/>
          </w:r>
          <w:r>
            <w:rPr>
              <w:highlight w:val="none"/>
            </w:rPr>
            <w:instrText xml:space="preserve"> PAGEREF _Toc31692 </w:instrText>
          </w:r>
          <w:r>
            <w:rPr>
              <w:highlight w:val="none"/>
            </w:rPr>
            <w:fldChar w:fldCharType="separate"/>
          </w:r>
          <w:r>
            <w:rPr>
              <w:highlight w:val="none"/>
            </w:rPr>
            <w:t>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_Toc24267 </w:instrText>
          </w:r>
          <w:r>
            <w:rPr>
              <w:bCs w:val="0"/>
              <w:szCs w:val="24"/>
              <w:highlight w:val="none"/>
            </w:rPr>
            <w:fldChar w:fldCharType="separate"/>
          </w:r>
          <w:r>
            <w:rPr>
              <w:rFonts w:hint="eastAsia" w:ascii="仿宋_GB2312" w:hAnsi="仿宋" w:eastAsia="仿宋_GB2312" w:cs="宋体"/>
              <w:bCs/>
              <w:szCs w:val="32"/>
              <w:highlight w:val="none"/>
            </w:rPr>
            <w:t>（七）评价工作实施情况</w:t>
          </w:r>
          <w:r>
            <w:rPr>
              <w:highlight w:val="none"/>
            </w:rPr>
            <w:tab/>
          </w:r>
          <w:r>
            <w:rPr>
              <w:highlight w:val="none"/>
            </w:rPr>
            <w:fldChar w:fldCharType="begin"/>
          </w:r>
          <w:r>
            <w:rPr>
              <w:highlight w:val="none"/>
            </w:rPr>
            <w:instrText xml:space="preserve"> PAGEREF _Toc24267 </w:instrText>
          </w:r>
          <w:r>
            <w:rPr>
              <w:highlight w:val="none"/>
            </w:rPr>
            <w:fldChar w:fldCharType="separate"/>
          </w:r>
          <w:r>
            <w:rPr>
              <w:highlight w:val="none"/>
            </w:rPr>
            <w:t>10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_Toc27359 </w:instrText>
          </w:r>
          <w:r>
            <w:rPr>
              <w:bCs w:val="0"/>
              <w:szCs w:val="24"/>
              <w:highlight w:val="none"/>
            </w:rPr>
            <w:fldChar w:fldCharType="separate"/>
          </w:r>
          <w:r>
            <w:rPr>
              <w:rFonts w:hint="eastAsia" w:ascii="黑体" w:hAnsi="黑体" w:eastAsia="黑体" w:cs="宋体"/>
              <w:szCs w:val="32"/>
              <w:highlight w:val="none"/>
            </w:rPr>
            <w:t>三、绩效评价分析</w:t>
          </w:r>
          <w:r>
            <w:rPr>
              <w:highlight w:val="none"/>
            </w:rPr>
            <w:tab/>
          </w:r>
          <w:r>
            <w:rPr>
              <w:highlight w:val="none"/>
            </w:rPr>
            <w:fldChar w:fldCharType="begin"/>
          </w:r>
          <w:r>
            <w:rPr>
              <w:highlight w:val="none"/>
            </w:rPr>
            <w:instrText xml:space="preserve"> PAGEREF _Toc27359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_Toc5787 </w:instrText>
          </w:r>
          <w:r>
            <w:rPr>
              <w:bCs w:val="0"/>
              <w:szCs w:val="24"/>
              <w:highlight w:val="none"/>
            </w:rPr>
            <w:fldChar w:fldCharType="separate"/>
          </w:r>
          <w:r>
            <w:rPr>
              <w:rFonts w:hint="eastAsia" w:ascii="仿宋_GB2312" w:hAnsi="仿宋" w:eastAsia="仿宋_GB2312" w:cs="宋体"/>
              <w:bCs/>
              <w:szCs w:val="32"/>
              <w:highlight w:val="none"/>
            </w:rPr>
            <w:t>（一）项目决策分析</w:t>
          </w:r>
          <w:r>
            <w:rPr>
              <w:highlight w:val="none"/>
            </w:rPr>
            <w:tab/>
          </w:r>
          <w:r>
            <w:rPr>
              <w:highlight w:val="none"/>
            </w:rPr>
            <w:fldChar w:fldCharType="begin"/>
          </w:r>
          <w:r>
            <w:rPr>
              <w:highlight w:val="none"/>
            </w:rPr>
            <w:instrText xml:space="preserve"> PAGEREF _Toc5787 </w:instrText>
          </w:r>
          <w:r>
            <w:rPr>
              <w:highlight w:val="none"/>
            </w:rPr>
            <w:fldChar w:fldCharType="separate"/>
          </w:r>
          <w:r>
            <w:rPr>
              <w:highlight w:val="none"/>
            </w:rPr>
            <w:t>12</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_Toc5610 </w:instrText>
          </w:r>
          <w:r>
            <w:rPr>
              <w:bCs w:val="0"/>
              <w:szCs w:val="24"/>
              <w:highlight w:val="none"/>
            </w:rPr>
            <w:fldChar w:fldCharType="separate"/>
          </w:r>
          <w:r>
            <w:rPr>
              <w:rFonts w:hint="eastAsia" w:ascii="仿宋_GB2312" w:hAnsi="仿宋" w:eastAsia="仿宋_GB2312" w:cs="宋体"/>
              <w:bCs/>
              <w:szCs w:val="32"/>
              <w:highlight w:val="none"/>
            </w:rPr>
            <w:t>（二）项目管理</w:t>
          </w:r>
          <w:r>
            <w:rPr>
              <w:rFonts w:hint="eastAsia" w:ascii="仿宋_GB2312" w:hAnsi="仿宋" w:eastAsia="仿宋_GB2312" w:cs="宋体"/>
              <w:bCs/>
              <w:szCs w:val="32"/>
              <w:highlight w:val="none"/>
              <w:lang w:val="en-US" w:eastAsia="zh-CN"/>
            </w:rPr>
            <w:t>过程</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_Toc5610 </w:instrText>
          </w:r>
          <w:r>
            <w:rPr>
              <w:highlight w:val="none"/>
            </w:rPr>
            <w:fldChar w:fldCharType="separate"/>
          </w:r>
          <w:r>
            <w:rPr>
              <w:highlight w:val="none"/>
            </w:rPr>
            <w:t>14</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_Toc31015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三</w:t>
          </w:r>
          <w:r>
            <w:rPr>
              <w:rFonts w:hint="eastAsia" w:ascii="仿宋_GB2312" w:hAnsi="仿宋" w:eastAsia="仿宋_GB2312" w:cs="宋体"/>
              <w:bCs/>
              <w:szCs w:val="32"/>
              <w:highlight w:val="none"/>
            </w:rPr>
            <w:t>）项目</w:t>
          </w:r>
          <w:r>
            <w:rPr>
              <w:rFonts w:hint="eastAsia" w:ascii="仿宋_GB2312" w:hAnsi="仿宋" w:eastAsia="仿宋_GB2312" w:cs="宋体"/>
              <w:bCs/>
              <w:szCs w:val="32"/>
              <w:highlight w:val="none"/>
              <w:lang w:val="en-US" w:eastAsia="zh-CN"/>
            </w:rPr>
            <w:t>产出</w:t>
          </w:r>
          <w:r>
            <w:rPr>
              <w:rFonts w:hint="eastAsia" w:ascii="仿宋_GB2312" w:hAnsi="仿宋" w:eastAsia="仿宋_GB2312" w:cs="宋体"/>
              <w:bCs/>
              <w:szCs w:val="32"/>
              <w:highlight w:val="none"/>
            </w:rPr>
            <w:t>情况分析</w:t>
          </w:r>
          <w:r>
            <w:rPr>
              <w:highlight w:val="none"/>
            </w:rPr>
            <w:tab/>
          </w:r>
          <w:r>
            <w:rPr>
              <w:highlight w:val="none"/>
            </w:rPr>
            <w:fldChar w:fldCharType="begin"/>
          </w:r>
          <w:r>
            <w:rPr>
              <w:highlight w:val="none"/>
            </w:rPr>
            <w:instrText xml:space="preserve"> PAGEREF _Toc31015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_Toc3708 </w:instrText>
          </w:r>
          <w:r>
            <w:rPr>
              <w:bCs w:val="0"/>
              <w:szCs w:val="24"/>
              <w:highlight w:val="none"/>
            </w:rPr>
            <w:fldChar w:fldCharType="separate"/>
          </w:r>
          <w:r>
            <w:rPr>
              <w:rFonts w:hint="eastAsia" w:ascii="仿宋_GB2312" w:hAnsi="仿宋" w:eastAsia="仿宋_GB2312" w:cs="宋体"/>
              <w:bCs/>
              <w:szCs w:val="32"/>
              <w:highlight w:val="none"/>
              <w:lang w:val="en-US" w:eastAsia="zh-CN"/>
            </w:rPr>
            <w:t>（四）项目效益评价分析</w:t>
          </w:r>
          <w:r>
            <w:rPr>
              <w:highlight w:val="none"/>
            </w:rPr>
            <w:tab/>
          </w:r>
          <w:r>
            <w:rPr>
              <w:highlight w:val="none"/>
            </w:rPr>
            <w:fldChar w:fldCharType="begin"/>
          </w:r>
          <w:r>
            <w:rPr>
              <w:highlight w:val="none"/>
            </w:rPr>
            <w:instrText xml:space="preserve"> PAGEREF _Toc3708 </w:instrText>
          </w:r>
          <w:r>
            <w:rPr>
              <w:highlight w:val="none"/>
            </w:rPr>
            <w:fldChar w:fldCharType="separate"/>
          </w:r>
          <w:r>
            <w:rPr>
              <w:highlight w:val="none"/>
            </w:rPr>
            <w:t>16</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_Toc6584 </w:instrText>
          </w:r>
          <w:r>
            <w:rPr>
              <w:bCs w:val="0"/>
              <w:szCs w:val="24"/>
              <w:highlight w:val="none"/>
            </w:rPr>
            <w:fldChar w:fldCharType="separate"/>
          </w:r>
          <w:r>
            <w:rPr>
              <w:rFonts w:hint="eastAsia" w:ascii="黑体" w:hAnsi="黑体" w:eastAsia="黑体" w:cs="宋体"/>
              <w:szCs w:val="32"/>
              <w:highlight w:val="none"/>
              <w:lang w:val="en-US" w:eastAsia="zh-CN"/>
            </w:rPr>
            <w:t>四、</w:t>
          </w:r>
          <w:r>
            <w:rPr>
              <w:rFonts w:hint="eastAsia" w:ascii="黑体" w:hAnsi="黑体" w:eastAsia="黑体" w:cs="宋体"/>
              <w:szCs w:val="32"/>
              <w:highlight w:val="none"/>
            </w:rPr>
            <w:t>评价结论</w:t>
          </w:r>
          <w:r>
            <w:rPr>
              <w:highlight w:val="none"/>
            </w:rPr>
            <w:tab/>
          </w:r>
          <w:r>
            <w:rPr>
              <w:highlight w:val="none"/>
            </w:rPr>
            <w:fldChar w:fldCharType="begin"/>
          </w:r>
          <w:r>
            <w:rPr>
              <w:highlight w:val="none"/>
            </w:rPr>
            <w:instrText xml:space="preserve"> PAGEREF _Toc6584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_Toc13481 </w:instrText>
          </w:r>
          <w:r>
            <w:rPr>
              <w:bCs w:val="0"/>
              <w:szCs w:val="24"/>
              <w:highlight w:val="none"/>
            </w:rPr>
            <w:fldChar w:fldCharType="separate"/>
          </w:r>
          <w:r>
            <w:rPr>
              <w:rFonts w:hint="eastAsia" w:ascii="仿宋_GB2312" w:hAnsi="仿宋" w:eastAsia="仿宋_GB2312" w:cs="宋体"/>
              <w:bCs/>
              <w:szCs w:val="32"/>
              <w:highlight w:val="none"/>
            </w:rPr>
            <w:t>（一）评分结果</w:t>
          </w:r>
          <w:r>
            <w:rPr>
              <w:highlight w:val="none"/>
            </w:rPr>
            <w:tab/>
          </w:r>
          <w:r>
            <w:rPr>
              <w:highlight w:val="none"/>
            </w:rPr>
            <w:fldChar w:fldCharType="begin"/>
          </w:r>
          <w:r>
            <w:rPr>
              <w:highlight w:val="none"/>
            </w:rPr>
            <w:instrText xml:space="preserve"> PAGEREF _Toc13481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_Toc3803 </w:instrText>
          </w:r>
          <w:r>
            <w:rPr>
              <w:bCs w:val="0"/>
              <w:szCs w:val="24"/>
              <w:highlight w:val="none"/>
            </w:rPr>
            <w:fldChar w:fldCharType="separate"/>
          </w:r>
          <w:r>
            <w:rPr>
              <w:rFonts w:hint="eastAsia" w:ascii="仿宋_GB2312" w:hAnsi="仿宋" w:eastAsia="仿宋_GB2312" w:cs="宋体"/>
              <w:bCs/>
              <w:szCs w:val="32"/>
              <w:highlight w:val="none"/>
            </w:rPr>
            <w:t>（二）项目总体评价结论</w:t>
          </w:r>
          <w:r>
            <w:rPr>
              <w:highlight w:val="none"/>
            </w:rPr>
            <w:tab/>
          </w:r>
          <w:r>
            <w:rPr>
              <w:highlight w:val="none"/>
            </w:rPr>
            <w:fldChar w:fldCharType="begin"/>
          </w:r>
          <w:r>
            <w:rPr>
              <w:highlight w:val="none"/>
            </w:rPr>
            <w:instrText xml:space="preserve"> PAGEREF _Toc3803 </w:instrText>
          </w:r>
          <w:r>
            <w:rPr>
              <w:highlight w:val="none"/>
            </w:rPr>
            <w:fldChar w:fldCharType="separate"/>
          </w:r>
          <w:r>
            <w:rPr>
              <w:highlight w:val="none"/>
            </w:rPr>
            <w:t>17</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_Toc7267 </w:instrText>
          </w:r>
          <w:r>
            <w:rPr>
              <w:bCs w:val="0"/>
              <w:szCs w:val="24"/>
              <w:highlight w:val="none"/>
            </w:rPr>
            <w:fldChar w:fldCharType="separate"/>
          </w:r>
          <w:r>
            <w:rPr>
              <w:rFonts w:hint="eastAsia" w:ascii="黑体" w:hAnsi="黑体" w:eastAsia="黑体" w:cs="宋体"/>
              <w:szCs w:val="32"/>
              <w:highlight w:val="none"/>
            </w:rPr>
            <w:t>五、问题</w:t>
          </w:r>
          <w:r>
            <w:rPr>
              <w:rFonts w:hint="eastAsia" w:ascii="黑体" w:hAnsi="黑体" w:eastAsia="黑体" w:cs="宋体"/>
              <w:szCs w:val="32"/>
              <w:highlight w:val="none"/>
              <w:lang w:val="en-US" w:eastAsia="zh-CN"/>
            </w:rPr>
            <w:t>及建议</w:t>
          </w:r>
          <w:r>
            <w:rPr>
              <w:highlight w:val="none"/>
            </w:rPr>
            <w:tab/>
          </w:r>
          <w:r>
            <w:rPr>
              <w:highlight w:val="none"/>
            </w:rPr>
            <w:fldChar w:fldCharType="begin"/>
          </w:r>
          <w:r>
            <w:rPr>
              <w:highlight w:val="none"/>
            </w:rPr>
            <w:instrText xml:space="preserve"> PAGEREF _Toc7267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_Toc2013 </w:instrText>
          </w:r>
          <w:r>
            <w:rPr>
              <w:bCs w:val="0"/>
              <w:szCs w:val="24"/>
              <w:highlight w:val="none"/>
            </w:rPr>
            <w:fldChar w:fldCharType="separate"/>
          </w:r>
          <w:r>
            <w:rPr>
              <w:rFonts w:hint="eastAsia" w:ascii="仿宋_GB2312" w:hAnsi="仿宋" w:eastAsia="仿宋_GB2312" w:cs="宋体"/>
              <w:bCs/>
              <w:szCs w:val="32"/>
              <w:highlight w:val="none"/>
            </w:rPr>
            <w:t>（一）问题</w:t>
          </w:r>
          <w:r>
            <w:rPr>
              <w:highlight w:val="none"/>
            </w:rPr>
            <w:tab/>
          </w:r>
          <w:r>
            <w:rPr>
              <w:highlight w:val="none"/>
            </w:rPr>
            <w:fldChar w:fldCharType="begin"/>
          </w:r>
          <w:r>
            <w:rPr>
              <w:highlight w:val="none"/>
            </w:rPr>
            <w:instrText xml:space="preserve"> PAGEREF _Toc2013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_Toc4075 </w:instrText>
          </w:r>
          <w:r>
            <w:rPr>
              <w:bCs w:val="0"/>
              <w:szCs w:val="24"/>
              <w:highlight w:val="none"/>
            </w:rPr>
            <w:fldChar w:fldCharType="separate"/>
          </w:r>
          <w:r>
            <w:rPr>
              <w:rFonts w:hint="eastAsia" w:ascii="仿宋_GB2312" w:hAnsi="仿宋" w:eastAsia="仿宋_GB2312" w:cs="宋体"/>
              <w:bCs/>
              <w:szCs w:val="32"/>
              <w:highlight w:val="none"/>
            </w:rPr>
            <w:t>（</w:t>
          </w:r>
          <w:r>
            <w:rPr>
              <w:rFonts w:hint="eastAsia" w:ascii="仿宋_GB2312" w:hAnsi="仿宋" w:eastAsia="仿宋_GB2312" w:cs="宋体"/>
              <w:bCs/>
              <w:szCs w:val="32"/>
              <w:highlight w:val="none"/>
              <w:lang w:val="en-US" w:eastAsia="zh-CN"/>
            </w:rPr>
            <w:t>二</w:t>
          </w:r>
          <w:r>
            <w:rPr>
              <w:rFonts w:hint="eastAsia" w:ascii="仿宋_GB2312" w:hAnsi="仿宋" w:eastAsia="仿宋_GB2312" w:cs="宋体"/>
              <w:bCs/>
              <w:szCs w:val="32"/>
              <w:highlight w:val="none"/>
            </w:rPr>
            <w:t>）意见和建议</w:t>
          </w:r>
          <w:r>
            <w:rPr>
              <w:highlight w:val="none"/>
            </w:rPr>
            <w:tab/>
          </w:r>
          <w:r>
            <w:rPr>
              <w:highlight w:val="none"/>
            </w:rPr>
            <w:fldChar w:fldCharType="begin"/>
          </w:r>
          <w:r>
            <w:rPr>
              <w:highlight w:val="none"/>
            </w:rPr>
            <w:instrText xml:space="preserve"> PAGEREF _Toc4075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_Toc17475 </w:instrText>
          </w:r>
          <w:r>
            <w:rPr>
              <w:bCs w:val="0"/>
              <w:szCs w:val="24"/>
              <w:highlight w:val="none"/>
            </w:rPr>
            <w:fldChar w:fldCharType="separate"/>
          </w:r>
          <w:r>
            <w:rPr>
              <w:rFonts w:hint="eastAsia" w:ascii="黑体" w:hAnsi="黑体" w:eastAsia="黑体" w:cs="宋体"/>
              <w:szCs w:val="32"/>
              <w:highlight w:val="none"/>
            </w:rPr>
            <w:t>六、主要经验及做法</w:t>
          </w:r>
          <w:r>
            <w:rPr>
              <w:highlight w:val="none"/>
            </w:rPr>
            <w:tab/>
          </w:r>
          <w:r>
            <w:rPr>
              <w:highlight w:val="none"/>
            </w:rPr>
            <w:fldChar w:fldCharType="begin"/>
          </w:r>
          <w:r>
            <w:rPr>
              <w:highlight w:val="none"/>
            </w:rPr>
            <w:instrText xml:space="preserve"> PAGEREF _Toc17475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_Toc32230 </w:instrText>
          </w:r>
          <w:r>
            <w:rPr>
              <w:bCs w:val="0"/>
              <w:szCs w:val="24"/>
              <w:highlight w:val="none"/>
            </w:rPr>
            <w:fldChar w:fldCharType="separate"/>
          </w:r>
          <w:r>
            <w:rPr>
              <w:rFonts w:hint="eastAsia" w:ascii="仿宋_GB2312" w:hAnsi="仿宋" w:eastAsia="仿宋_GB2312" w:cs="宋体"/>
              <w:bCs/>
              <w:szCs w:val="32"/>
              <w:highlight w:val="none"/>
            </w:rPr>
            <w:t>（一）项目实施过程有效监控</w:t>
          </w:r>
          <w:r>
            <w:rPr>
              <w:highlight w:val="none"/>
            </w:rPr>
            <w:tab/>
          </w:r>
          <w:r>
            <w:rPr>
              <w:highlight w:val="none"/>
            </w:rPr>
            <w:fldChar w:fldCharType="begin"/>
          </w:r>
          <w:r>
            <w:rPr>
              <w:highlight w:val="none"/>
            </w:rPr>
            <w:instrText xml:space="preserve"> PAGEREF _Toc32230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_Toc22631 </w:instrText>
          </w:r>
          <w:r>
            <w:rPr>
              <w:bCs w:val="0"/>
              <w:szCs w:val="24"/>
              <w:highlight w:val="none"/>
            </w:rPr>
            <w:fldChar w:fldCharType="separate"/>
          </w:r>
          <w:r>
            <w:rPr>
              <w:rFonts w:hint="eastAsia" w:ascii="仿宋_GB2312" w:hAnsi="仿宋" w:eastAsia="仿宋_GB2312" w:cs="宋体"/>
              <w:bCs/>
              <w:szCs w:val="32"/>
              <w:highlight w:val="none"/>
            </w:rPr>
            <w:t>（二）强化领导，明确职责，合理安排使用资金</w:t>
          </w:r>
          <w:r>
            <w:rPr>
              <w:highlight w:val="none"/>
            </w:rPr>
            <w:tab/>
          </w:r>
          <w:r>
            <w:rPr>
              <w:highlight w:val="none"/>
            </w:rPr>
            <w:fldChar w:fldCharType="begin"/>
          </w:r>
          <w:r>
            <w:rPr>
              <w:highlight w:val="none"/>
            </w:rPr>
            <w:instrText xml:space="preserve"> PAGEREF _Toc22631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_Toc14650 </w:instrText>
          </w:r>
          <w:r>
            <w:rPr>
              <w:bCs w:val="0"/>
              <w:szCs w:val="24"/>
              <w:highlight w:val="none"/>
            </w:rPr>
            <w:fldChar w:fldCharType="separate"/>
          </w:r>
          <w:r>
            <w:rPr>
              <w:rFonts w:hint="eastAsia" w:ascii="黑体" w:hAnsi="黑体" w:eastAsia="黑体" w:cs="宋体"/>
              <w:szCs w:val="32"/>
              <w:highlight w:val="none"/>
            </w:rPr>
            <w:t>七、评价结果应用建议</w:t>
          </w:r>
          <w:r>
            <w:rPr>
              <w:highlight w:val="none"/>
            </w:rPr>
            <w:tab/>
          </w:r>
          <w:r>
            <w:rPr>
              <w:highlight w:val="none"/>
            </w:rPr>
            <w:fldChar w:fldCharType="begin"/>
          </w:r>
          <w:r>
            <w:rPr>
              <w:highlight w:val="none"/>
            </w:rPr>
            <w:instrText xml:space="preserve"> PAGEREF _Toc14650 </w:instrText>
          </w:r>
          <w:r>
            <w:rPr>
              <w:highlight w:val="none"/>
            </w:rPr>
            <w:fldChar w:fldCharType="separate"/>
          </w:r>
          <w:r>
            <w:rPr>
              <w:highlight w:val="none"/>
            </w:rPr>
            <w:t>18</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_Toc6072 </w:instrText>
          </w:r>
          <w:r>
            <w:rPr>
              <w:bCs w:val="0"/>
              <w:szCs w:val="24"/>
              <w:highlight w:val="none"/>
            </w:rPr>
            <w:fldChar w:fldCharType="separate"/>
          </w:r>
          <w:r>
            <w:rPr>
              <w:rFonts w:hint="eastAsia" w:ascii="仿宋_GB2312" w:hAnsi="黑体" w:eastAsia="仿宋_GB2312" w:cs="Times New Roman"/>
              <w:bCs/>
              <w:szCs w:val="32"/>
              <w:highlight w:val="none"/>
            </w:rPr>
            <w:t>（一）及时对发现的问题进行整改</w:t>
          </w:r>
          <w:r>
            <w:rPr>
              <w:highlight w:val="none"/>
            </w:rPr>
            <w:tab/>
          </w:r>
          <w:r>
            <w:rPr>
              <w:highlight w:val="none"/>
            </w:rPr>
            <w:fldChar w:fldCharType="begin"/>
          </w:r>
          <w:r>
            <w:rPr>
              <w:highlight w:val="none"/>
            </w:rPr>
            <w:instrText xml:space="preserve"> PAGEREF _Toc6072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_Toc20240 </w:instrText>
          </w:r>
          <w:r>
            <w:rPr>
              <w:bCs w:val="0"/>
              <w:szCs w:val="24"/>
              <w:highlight w:val="none"/>
            </w:rPr>
            <w:fldChar w:fldCharType="separate"/>
          </w:r>
          <w:r>
            <w:rPr>
              <w:rFonts w:hint="eastAsia" w:ascii="仿宋_GB2312" w:hAnsi="黑体" w:eastAsia="仿宋_GB2312" w:cs="Times New Roman"/>
              <w:bCs/>
              <w:szCs w:val="32"/>
              <w:highlight w:val="none"/>
            </w:rPr>
            <w:t>（二） 建立绩效评价结果应用制度</w:t>
          </w:r>
          <w:r>
            <w:rPr>
              <w:highlight w:val="none"/>
            </w:rPr>
            <w:tab/>
          </w:r>
          <w:r>
            <w:rPr>
              <w:highlight w:val="none"/>
            </w:rPr>
            <w:fldChar w:fldCharType="begin"/>
          </w:r>
          <w:r>
            <w:rPr>
              <w:highlight w:val="none"/>
            </w:rPr>
            <w:instrText xml:space="preserve"> PAGEREF _Toc20240 </w:instrText>
          </w:r>
          <w:r>
            <w:rPr>
              <w:highlight w:val="none"/>
            </w:rPr>
            <w:fldChar w:fldCharType="separate"/>
          </w:r>
          <w:r>
            <w:rPr>
              <w:highlight w:val="none"/>
            </w:rPr>
            <w:t>19</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_Toc5443 </w:instrText>
          </w:r>
          <w:r>
            <w:rPr>
              <w:bCs w:val="0"/>
              <w:szCs w:val="24"/>
              <w:highlight w:val="none"/>
            </w:rPr>
            <w:fldChar w:fldCharType="separate"/>
          </w:r>
          <w:r>
            <w:rPr>
              <w:rFonts w:hint="eastAsia" w:ascii="仿宋_GB2312" w:hAnsi="黑体" w:eastAsia="仿宋_GB2312" w:cs="Times New Roman"/>
              <w:bCs/>
              <w:szCs w:val="32"/>
              <w:highlight w:val="none"/>
            </w:rPr>
            <w:t>（三）</w:t>
          </w:r>
          <w:r>
            <w:rPr>
              <w:rFonts w:hint="eastAsia" w:ascii="仿宋_GB2312" w:hAnsi="黑体" w:eastAsia="仿宋_GB2312" w:cs="Times New Roman"/>
              <w:bCs/>
              <w:szCs w:val="32"/>
              <w:highlight w:val="none"/>
              <w:lang w:val="en-US" w:eastAsia="zh-CN"/>
            </w:rPr>
            <w:t>强化</w:t>
          </w:r>
          <w:r>
            <w:rPr>
              <w:rFonts w:hint="eastAsia" w:ascii="仿宋_GB2312" w:hAnsi="黑体" w:eastAsia="仿宋_GB2312" w:cs="Times New Roman"/>
              <w:bCs/>
              <w:szCs w:val="32"/>
              <w:highlight w:val="none"/>
            </w:rPr>
            <w:t>绩效评价结果应用</w:t>
          </w:r>
          <w:r>
            <w:rPr>
              <w:highlight w:val="none"/>
            </w:rPr>
            <w:tab/>
          </w:r>
          <w:r>
            <w:rPr>
              <w:highlight w:val="none"/>
            </w:rPr>
            <w:fldChar w:fldCharType="begin"/>
          </w:r>
          <w:r>
            <w:rPr>
              <w:highlight w:val="none"/>
            </w:rPr>
            <w:instrText xml:space="preserve"> PAGEREF _Toc5443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5"/>
            <w:tabs>
              <w:tab w:val="right" w:leader="dot" w:pos="8306"/>
            </w:tabs>
            <w:rPr>
              <w:highlight w:val="none"/>
            </w:rPr>
          </w:pPr>
          <w:r>
            <w:rPr>
              <w:bCs w:val="0"/>
              <w:szCs w:val="24"/>
              <w:highlight w:val="none"/>
            </w:rPr>
            <w:fldChar w:fldCharType="begin"/>
          </w:r>
          <w:r>
            <w:rPr>
              <w:bCs w:val="0"/>
              <w:szCs w:val="24"/>
              <w:highlight w:val="none"/>
            </w:rPr>
            <w:instrText xml:space="preserve"> HYPERLINK \l _Toc4069 </w:instrText>
          </w:r>
          <w:r>
            <w:rPr>
              <w:bCs w:val="0"/>
              <w:szCs w:val="24"/>
              <w:highlight w:val="none"/>
            </w:rPr>
            <w:fldChar w:fldCharType="separate"/>
          </w:r>
          <w:r>
            <w:rPr>
              <w:rFonts w:hint="eastAsia" w:ascii="仿宋_GB2312" w:hAnsi="黑体" w:eastAsia="仿宋_GB2312" w:cs="Times New Roman"/>
              <w:bCs/>
              <w:szCs w:val="32"/>
              <w:highlight w:val="none"/>
            </w:rPr>
            <w:t>（四）评价结果公开</w:t>
          </w:r>
          <w:r>
            <w:rPr>
              <w:highlight w:val="none"/>
            </w:rPr>
            <w:tab/>
          </w:r>
          <w:r>
            <w:rPr>
              <w:highlight w:val="none"/>
            </w:rPr>
            <w:fldChar w:fldCharType="begin"/>
          </w:r>
          <w:r>
            <w:rPr>
              <w:highlight w:val="none"/>
            </w:rPr>
            <w:instrText xml:space="preserve"> PAGEREF _Toc4069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4"/>
            <w:tabs>
              <w:tab w:val="right" w:leader="dot" w:pos="8306"/>
            </w:tabs>
            <w:rPr>
              <w:highlight w:val="none"/>
            </w:rPr>
          </w:pPr>
          <w:r>
            <w:rPr>
              <w:bCs w:val="0"/>
              <w:szCs w:val="24"/>
              <w:highlight w:val="none"/>
            </w:rPr>
            <w:fldChar w:fldCharType="begin"/>
          </w:r>
          <w:r>
            <w:rPr>
              <w:bCs w:val="0"/>
              <w:szCs w:val="24"/>
              <w:highlight w:val="none"/>
            </w:rPr>
            <w:instrText xml:space="preserve"> HYPERLINK \l _Toc17018 </w:instrText>
          </w:r>
          <w:r>
            <w:rPr>
              <w:bCs w:val="0"/>
              <w:szCs w:val="24"/>
              <w:highlight w:val="none"/>
            </w:rPr>
            <w:fldChar w:fldCharType="separate"/>
          </w:r>
          <w:r>
            <w:rPr>
              <w:rFonts w:hint="eastAsia" w:ascii="黑体" w:hAnsi="黑体" w:eastAsia="黑体" w:cs="宋体"/>
              <w:szCs w:val="32"/>
              <w:highlight w:val="none"/>
              <w:lang w:val="en-US" w:eastAsia="zh-CN"/>
            </w:rPr>
            <w:t>八、</w:t>
          </w:r>
          <w:r>
            <w:rPr>
              <w:rFonts w:hint="eastAsia" w:ascii="黑体" w:hAnsi="黑体" w:eastAsia="黑体" w:cs="宋体"/>
              <w:szCs w:val="32"/>
              <w:highlight w:val="none"/>
            </w:rPr>
            <w:t>其他需说明的问题</w:t>
          </w:r>
          <w:r>
            <w:rPr>
              <w:highlight w:val="none"/>
            </w:rPr>
            <w:tab/>
          </w:r>
          <w:r>
            <w:rPr>
              <w:highlight w:val="none"/>
            </w:rPr>
            <w:fldChar w:fldCharType="begin"/>
          </w:r>
          <w:r>
            <w:rPr>
              <w:highlight w:val="none"/>
            </w:rPr>
            <w:instrText xml:space="preserve"> PAGEREF _Toc17018 </w:instrText>
          </w:r>
          <w:r>
            <w:rPr>
              <w:highlight w:val="none"/>
            </w:rPr>
            <w:fldChar w:fldCharType="separate"/>
          </w:r>
          <w:r>
            <w:rPr>
              <w:highlight w:val="none"/>
            </w:rPr>
            <w:t>20</w:t>
          </w:r>
          <w:r>
            <w:rPr>
              <w:highlight w:val="none"/>
            </w:rPr>
            <w:fldChar w:fldCharType="end"/>
          </w:r>
          <w:r>
            <w:rPr>
              <w:bCs w:val="0"/>
              <w:szCs w:val="24"/>
              <w:highlight w:val="none"/>
            </w:rPr>
            <w:fldChar w:fldCharType="end"/>
          </w:r>
        </w:p>
        <w:p>
          <w:pPr>
            <w:pStyle w:val="14"/>
            <w:tabs>
              <w:tab w:val="right" w:leader="dot" w:pos="8306"/>
            </w:tabs>
          </w:pPr>
          <w:r>
            <w:rPr>
              <w:bCs w:val="0"/>
              <w:szCs w:val="24"/>
              <w:highlight w:val="none"/>
            </w:rPr>
            <w:fldChar w:fldCharType="begin"/>
          </w:r>
          <w:r>
            <w:rPr>
              <w:bCs w:val="0"/>
              <w:szCs w:val="24"/>
              <w:highlight w:val="none"/>
            </w:rPr>
            <w:instrText xml:space="preserve"> HYPERLINK \l _Toc25791 </w:instrText>
          </w:r>
          <w:r>
            <w:rPr>
              <w:bCs w:val="0"/>
              <w:szCs w:val="24"/>
              <w:highlight w:val="none"/>
            </w:rPr>
            <w:fldChar w:fldCharType="separate"/>
          </w:r>
          <w:r>
            <w:rPr>
              <w:rFonts w:hint="eastAsia" w:ascii="黑体" w:hAnsi="黑体" w:eastAsia="黑体" w:cs="宋体"/>
              <w:szCs w:val="32"/>
              <w:highlight w:val="none"/>
            </w:rPr>
            <w:t>九、附件</w:t>
          </w:r>
          <w:r>
            <w:rPr>
              <w:highlight w:val="none"/>
            </w:rPr>
            <w:tab/>
          </w:r>
          <w:r>
            <w:rPr>
              <w:highlight w:val="none"/>
            </w:rPr>
            <w:fldChar w:fldCharType="begin"/>
          </w:r>
          <w:r>
            <w:rPr>
              <w:highlight w:val="none"/>
            </w:rPr>
            <w:instrText xml:space="preserve"> PAGEREF _Toc25791 </w:instrText>
          </w:r>
          <w:r>
            <w:rPr>
              <w:highlight w:val="none"/>
            </w:rPr>
            <w:fldChar w:fldCharType="separate"/>
          </w:r>
          <w:r>
            <w:rPr>
              <w:highlight w:val="none"/>
            </w:rPr>
            <w:t>21</w:t>
          </w:r>
          <w:r>
            <w:rPr>
              <w:highlight w:val="none"/>
            </w:rPr>
            <w:fldChar w:fldCharType="end"/>
          </w:r>
          <w:r>
            <w:rPr>
              <w:bCs w:val="0"/>
              <w:szCs w:val="24"/>
              <w:highlight w:val="none"/>
            </w:rPr>
            <w:fldChar w:fldCharType="end"/>
          </w:r>
        </w:p>
        <w:p>
          <w:pPr>
            <w:spacing w:before="0" w:beforeLines="0" w:after="0" w:afterLines="0" w:line="240" w:lineRule="auto"/>
            <w:ind w:left="0" w:leftChars="0" w:right="0" w:rightChars="0" w:firstLine="0" w:firstLineChars="0"/>
            <w:jc w:val="center"/>
            <w:rPr>
              <w:b w:val="0"/>
              <w:bCs w:val="0"/>
              <w:highlight w:val="none"/>
            </w:rPr>
          </w:pPr>
          <w:r>
            <w:rPr>
              <w:b w:val="0"/>
              <w:bCs w:val="0"/>
              <w:sz w:val="24"/>
              <w:szCs w:val="24"/>
              <w:highlight w:val="none"/>
            </w:rPr>
            <w:fldChar w:fldCharType="end"/>
          </w:r>
        </w:p>
      </w:sdtContent>
    </w:sdt>
    <w:p>
      <w:pPr>
        <w:pStyle w:val="14"/>
        <w:tabs>
          <w:tab w:val="right" w:leader="dot" w:pos="8302"/>
        </w:tabs>
        <w:spacing w:line="340" w:lineRule="exact"/>
        <w:rPr>
          <w:rFonts w:ascii="黑体" w:hAnsi="黑体" w:eastAsia="黑体" w:cs="宋体"/>
          <w:sz w:val="32"/>
          <w:szCs w:val="32"/>
        </w:rPr>
      </w:pPr>
    </w:p>
    <w:p>
      <w:pPr>
        <w:spacing w:line="600" w:lineRule="exact"/>
        <w:jc w:val="center"/>
        <w:outlineLvl w:val="9"/>
        <w:rPr>
          <w:rFonts w:ascii="方正小标宋_GBK" w:hAnsi="黑体" w:eastAsia="方正小标宋_GBK" w:cs="宋体"/>
          <w:sz w:val="40"/>
          <w:szCs w:val="40"/>
        </w:rPr>
        <w:sectPr>
          <w:pgSz w:w="11906" w:h="16838"/>
          <w:pgMar w:top="1440" w:right="1800" w:bottom="1440" w:left="1800" w:header="851" w:footer="992" w:gutter="0"/>
          <w:pgBorders>
            <w:top w:val="none" w:sz="0" w:space="0"/>
            <w:left w:val="none" w:sz="0" w:space="0"/>
            <w:bottom w:val="none" w:sz="0" w:space="0"/>
            <w:right w:val="none" w:sz="0" w:space="0"/>
          </w:pgBorders>
          <w:pgNumType w:fmt="numberInDash" w:start="48"/>
          <w:cols w:space="425" w:num="1"/>
          <w:docGrid w:type="lines" w:linePitch="312" w:charSpace="0"/>
        </w:sectPr>
      </w:pPr>
      <w:bookmarkStart w:id="18" w:name="_Toc18687"/>
    </w:p>
    <w:p>
      <w:pPr>
        <w:spacing w:line="600" w:lineRule="exact"/>
        <w:jc w:val="center"/>
        <w:outlineLvl w:val="9"/>
        <w:rPr>
          <w:rFonts w:ascii="方正小标宋_GBK" w:hAnsi="黑体" w:eastAsia="方正小标宋_GBK" w:cs="宋体"/>
          <w:sz w:val="44"/>
          <w:szCs w:val="44"/>
        </w:rPr>
      </w:pPr>
      <w:bookmarkStart w:id="19" w:name="_Toc31819"/>
      <w:bookmarkStart w:id="20" w:name="_Toc24347"/>
      <w:bookmarkStart w:id="21" w:name="_Toc29218"/>
      <w:bookmarkStart w:id="22" w:name="_Toc14725"/>
      <w:bookmarkStart w:id="23" w:name="_Toc16603"/>
      <w:bookmarkStart w:id="24" w:name="_Toc1397"/>
      <w:bookmarkStart w:id="25" w:name="_Toc28273"/>
      <w:bookmarkStart w:id="26" w:name="_Toc12923"/>
      <w:bookmarkStart w:id="27" w:name="_Toc7636"/>
      <w:bookmarkStart w:id="28" w:name="_Toc19311"/>
      <w:r>
        <w:rPr>
          <w:rFonts w:hint="eastAsia" w:ascii="方正小标宋_GBK" w:hAnsi="黑体" w:eastAsia="方正小标宋_GBK" w:cs="宋体"/>
          <w:b w:val="0"/>
          <w:bCs w:val="0"/>
          <w:sz w:val="44"/>
          <w:szCs w:val="44"/>
          <w:lang w:eastAsia="zh-CN"/>
        </w:rPr>
        <w:t>洛浦县人居环境整治项目</w:t>
      </w:r>
      <w:r>
        <w:rPr>
          <w:rFonts w:hint="eastAsia" w:ascii="方正小标宋_GBK" w:hAnsi="黑体" w:eastAsia="方正小标宋_GBK" w:cs="宋体"/>
          <w:sz w:val="44"/>
          <w:szCs w:val="44"/>
        </w:rPr>
        <w:t>绩效评价报告</w:t>
      </w:r>
      <w:bookmarkEnd w:id="18"/>
      <w:bookmarkEnd w:id="19"/>
      <w:bookmarkEnd w:id="20"/>
      <w:bookmarkEnd w:id="21"/>
      <w:bookmarkEnd w:id="22"/>
      <w:bookmarkEnd w:id="23"/>
      <w:bookmarkEnd w:id="24"/>
      <w:bookmarkEnd w:id="25"/>
      <w:bookmarkEnd w:id="26"/>
      <w:bookmarkEnd w:id="27"/>
      <w:bookmarkEnd w:id="28"/>
    </w:p>
    <w:p>
      <w:pPr>
        <w:adjustRightInd w:val="0"/>
        <w:snapToGrid w:val="0"/>
        <w:spacing w:line="560" w:lineRule="exact"/>
        <w:ind w:firstLine="640" w:firstLineChars="200"/>
        <w:jc w:val="left"/>
        <w:outlineLvl w:val="9"/>
        <w:rPr>
          <w:rFonts w:hint="eastAsia" w:ascii="黑体" w:hAnsi="黑体" w:eastAsia="黑体" w:cs="宋体"/>
          <w:sz w:val="32"/>
          <w:szCs w:val="32"/>
        </w:rPr>
      </w:pPr>
    </w:p>
    <w:p>
      <w:pPr>
        <w:adjustRightInd w:val="0"/>
        <w:snapToGrid w:val="0"/>
        <w:spacing w:line="560" w:lineRule="exact"/>
        <w:ind w:firstLine="640" w:firstLineChars="200"/>
        <w:jc w:val="left"/>
        <w:outlineLvl w:val="0"/>
        <w:rPr>
          <w:rFonts w:ascii="黑体" w:hAnsi="黑体" w:eastAsia="黑体" w:cs="宋体"/>
          <w:sz w:val="32"/>
          <w:szCs w:val="32"/>
        </w:rPr>
      </w:pPr>
      <w:bookmarkStart w:id="29" w:name="_Toc28183"/>
      <w:r>
        <w:rPr>
          <w:rFonts w:hint="eastAsia" w:ascii="黑体" w:hAnsi="黑体" w:eastAsia="黑体" w:cs="宋体"/>
          <w:sz w:val="32"/>
          <w:szCs w:val="32"/>
        </w:rPr>
        <w:t>一、项目概述</w:t>
      </w:r>
      <w:bookmarkEnd w:id="29"/>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bookmarkStart w:id="30" w:name="_Hlk24028365"/>
      <w:r>
        <w:rPr>
          <w:rFonts w:hint="eastAsia" w:ascii="仿宋_GB2312" w:hAnsi="仿宋" w:eastAsia="仿宋_GB2312" w:cs="宋体"/>
          <w:b/>
          <w:bCs/>
          <w:vanish/>
          <w:sz w:val="32"/>
          <w:szCs w:val="32"/>
        </w:rPr>
        <w:t>项目概述</w:t>
      </w:r>
    </w:p>
    <w:p>
      <w:pPr>
        <w:pStyle w:val="34"/>
        <w:adjustRightInd w:val="0"/>
        <w:snapToGrid w:val="0"/>
        <w:spacing w:line="560" w:lineRule="exact"/>
        <w:ind w:left="0" w:leftChars="0" w:firstLine="321" w:firstLineChars="100"/>
        <w:outlineLvl w:val="1"/>
        <w:rPr>
          <w:rFonts w:ascii="仿宋_GB2312" w:hAnsi="仿宋" w:eastAsia="仿宋_GB2312" w:cs="宋体"/>
          <w:b/>
          <w:bCs/>
          <w:sz w:val="32"/>
          <w:szCs w:val="32"/>
        </w:rPr>
      </w:pPr>
      <w:bookmarkStart w:id="31" w:name="_Toc27345"/>
      <w:r>
        <w:rPr>
          <w:rFonts w:hint="eastAsia" w:ascii="仿宋_GB2312" w:hAnsi="仿宋" w:eastAsia="仿宋_GB2312" w:cs="宋体"/>
          <w:b/>
          <w:bCs/>
          <w:sz w:val="32"/>
          <w:szCs w:val="32"/>
        </w:rPr>
        <w:t>（一）项目基本情况</w:t>
      </w:r>
      <w:bookmarkEnd w:id="31"/>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1.项目背景</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bCs/>
          <w:sz w:val="32"/>
          <w:szCs w:val="32"/>
          <w:lang w:eastAsia="zh-CN"/>
        </w:rPr>
      </w:pPr>
      <w:r>
        <w:rPr>
          <w:rFonts w:hint="eastAsia" w:ascii="仿宋_GB2312" w:hAnsi="仿宋_GB2312" w:eastAsia="仿宋_GB2312" w:cs="仿宋_GB2312"/>
          <w:bCs/>
          <w:sz w:val="32"/>
          <w:szCs w:val="32"/>
        </w:rPr>
        <w:t>改善农村人居环境，建设美丽宜居乡村，是建设社会主义新农村的主要内容，是实施乡村振兴战略的一项重要任务，事关全面建成小康社会，事关广大农民根本福祉，事关农村社会文明和谐。为深入贯彻落实《中共中央办公厅国务院办公厅关于印发&lt;农村人居环境整治三年行动方案&gt;的通知》(中办发(2018]5号)</w:t>
      </w:r>
      <w:r>
        <w:rPr>
          <w:rFonts w:hint="eastAsia" w:ascii="仿宋_GB2312" w:hAnsi="仿宋_GB2312" w:eastAsia="仿宋_GB2312" w:cs="仿宋_GB2312"/>
          <w:bCs/>
          <w:sz w:val="32"/>
          <w:szCs w:val="32"/>
          <w:lang w:val="en-US" w:eastAsia="zh-CN"/>
        </w:rPr>
        <w:t>文件以及</w:t>
      </w:r>
      <w:r>
        <w:rPr>
          <w:rFonts w:hint="eastAsia" w:ascii="仿宋_GB2312" w:hAnsi="仿宋_GB2312" w:eastAsia="仿宋_GB2312" w:cs="仿宋_GB2312"/>
          <w:bCs/>
          <w:sz w:val="32"/>
          <w:szCs w:val="32"/>
        </w:rPr>
        <w:t>党的十九大精神，以习近平新时代中国特色社会主义思想为指导，按照实施乡村振兴战略“二十字”方针总体要求，强化党对农村人居环境整治工作的领导，坚持稳中求进工作总基调，牢固树立和贯彻落实新发展理念，落实高质量发展的要求，统筹推进“五位一体”总体布局和协调推进“四个全面”战略布局，深化实施乡村振兴战略部署，坚持农业农村优先发展，坚持改善农村人居环境质量，提高农民根本福祉，统筹城乡发展，统筹生产生活生态，以建设美丽宜居村庄为导向，以农村垃圾污水治理、户厕改造和村容村貌提升为主攻方向，动员各方力量，整合各种资源，采取有效措施，加快补齐农村人居环境突出短板，重点支持贫困乡(镇、街道)农村人居环境整治，为全县如期实现全面建成小康社会目标提供有力保障</w:t>
      </w:r>
      <w:r>
        <w:rPr>
          <w:rFonts w:hint="eastAsia" w:ascii="仿宋_GB2312" w:hAnsi="仿宋_GB2312" w:eastAsia="仿宋_GB2312" w:cs="仿宋_GB2312"/>
          <w:bCs/>
          <w:sz w:val="32"/>
          <w:szCs w:val="32"/>
          <w:lang w:eastAsia="zh-CN"/>
        </w:rPr>
        <w:t>。</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bCs/>
          <w:sz w:val="32"/>
          <w:szCs w:val="32"/>
          <w:lang w:val="en-US" w:eastAsia="zh-CN"/>
        </w:rPr>
      </w:pPr>
      <w:r>
        <w:rPr>
          <w:rFonts w:hint="eastAsia" w:ascii="仿宋_GB2312" w:hAnsi="仿宋_GB2312" w:eastAsia="仿宋_GB2312" w:cs="仿宋_GB2312"/>
          <w:bCs/>
          <w:sz w:val="32"/>
          <w:szCs w:val="32"/>
          <w:lang w:eastAsia="zh-CN"/>
        </w:rPr>
        <w:t>开展农村人居环境整治是实现“农村美”的应有之意。当前, 生活污水、生活垃圾是影响农村人居环境质量的两大因素。农村生活污水排放总量大, 收集困难, 处理率低;生活垃圾的处理方式对经济条件存在依赖性以及明显的区域局限性, 特别是对广大山区、丘陵地区的适应性不足。在中国农村经济日益繁荣的同时, 农村人居环境问题也越来越突出, 特别是农村生活污水、生活垃圾已成为环境整治中的难点。到2020年, 是我国全面建成小康社会的决胜期, 凸显了农村人居环境整治的紧迫性和艰巨性。开展农村人居环境整治是实现“农村美”的应有之意, 正如指出的:“良好生态环境是最公平的公共产品, 是最普惠的民生福祉。”2018年2月, 中共中央办公厅、国务院办公厅印发《农村人居环境整治三年行动方案》明确提出, 改善农村人居环境, 建设美丽宜居乡村, 是实施乡村振兴战略的一项重要任务, 事关全面建成小康社会, 事关广大农民根本福祉, 事关农村社会文明和谐。因此,</w:t>
      </w:r>
      <w:r>
        <w:rPr>
          <w:rFonts w:hint="eastAsia" w:ascii="仿宋_GB2312" w:hAnsi="仿宋_GB2312" w:eastAsia="仿宋_GB2312" w:cs="仿宋_GB2312"/>
          <w:bCs/>
          <w:sz w:val="32"/>
          <w:szCs w:val="32"/>
          <w:lang w:val="en-US" w:eastAsia="zh-CN"/>
        </w:rPr>
        <w:t>洛浦县农业农村局根据《关于做好2021年自治区农村人居环境整治资金预算的通知》(新财农2020 121 号)，《关于提前下达2021年自治区农村人居环境整治资金预算的通知》(和地财农2020 68号)，《关于提前下达2021年自治区农村人居环境整治资金预算的通知》（洛财农〔2021〕012号）等文件精神开始实施该项目，该项目主要是对9个乡镇6000户实施2021年农村人居环境整治“厕所革命”工程,按照“三防两有”标准通过验收后发放补助，补助标准为600元/户。</w:t>
      </w:r>
    </w:p>
    <w:p>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rPr>
        <w:t>2.项目实施主体</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该项目由洛浦县农业农村局负责实施，主要职能是：</w:t>
      </w:r>
    </w:p>
    <w:p>
      <w:pPr>
        <w:keepNext w:val="0"/>
        <w:keepLines w:val="0"/>
        <w:pageBreakBefore w:val="0"/>
        <w:widowControl w:val="0"/>
        <w:kinsoku/>
        <w:wordWrap/>
        <w:overflowPunct/>
        <w:topLinePunct w:val="0"/>
        <w:autoSpaceDE/>
        <w:autoSpaceDN/>
        <w:bidi w:val="0"/>
        <w:adjustRightInd/>
        <w:snapToGrid w:val="0"/>
        <w:spacing w:line="560" w:lineRule="exact"/>
        <w:ind w:firstLine="640" w:firstLineChars="200"/>
        <w:textAlignment w:val="auto"/>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1</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组织实施县“三农”工作的发展战略、中长期规划、重大政策。贯彻落实农业农村有关地方性法规和政府规章，指导监督农牧业综合执法。参与涉农、涉牧的财税、价格、收储、金融保险等政策研究。</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2</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统筹推动发展农村社会事业、农村公共服务、农村文化、农村基础设施和乡村治理。牵头组织改善农村人居环境。指导农村精神文明和优秀农耕文化建设。指导农业行业安全生产工作。</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3</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贯彻深化农村经济体制改革和巩固完善农村基本经营制度的政策。负责农民承包地、农村宅基地改革和管理有关工作。负责农村集体产权制度改革，指导农村集体经济组织发展和集体资产管理工作。指导农民合作经济组织、农业社会化服务体系、新型农业经营主体建设与发展。</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4</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指导乡村特色产业、农产品加工业、休闲农业和乡镇企业发展工作。提出促进大宗农产品流通的建议，培育、保护农业品牌。发布农业农村经济信息，监督分析农业农村经济运行。承担农业统计和农业农村信息化有关工作。</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5</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负责种植业、畜牧业、地方国有农场、农业机械化等农牧业各产业的监督管理。指导农牧业产业化发展。指导农产品生产、畜禽养殖工作。组织构建现代农牧业产业体系、生产体系、经营体系，指导农牧业标准化生产。负责渔业监督管理。</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6</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负责农产品、畜禽产品质量安全监督管理。组织开展农产品、畜禽产品质量安全监测、追溯、风险评估。参与制定农产品、畜禽产品质量安全地方标准并会同有关部门组织实施。指导农产品、畜禽产品检验检测体系建设。</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7</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组织农业资源区划工作。指导农用地、农业生物物种资源的保护与管理，负责耕地及永久基本农田质量保护工作。指导农产品产地环境管理和农业清洁生产。指导设施农业、生态循环农业、节水农业发展以及农村可再生能源综合开发利用、农业生物质产业发展。承担外来物种相关管理工作。</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8</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负责县有关农牧业生产资料和农牧业投入品的监督管理。组织农业生产资料市场体系建设，参与有关农业生产资料地方标准拟订并监督实施。</w:t>
      </w:r>
    </w:p>
    <w:p>
      <w:pPr>
        <w:snapToGrid w:val="0"/>
        <w:spacing w:line="560" w:lineRule="exact"/>
        <w:ind w:firstLine="640" w:firstLineChars="200"/>
        <w:rPr>
          <w:rFonts w:hint="eastAsia" w:ascii="仿宋_GB2312" w:hAnsi="仿宋_GB2312" w:eastAsia="仿宋_GB2312" w:cs="仿宋_GB2312"/>
          <w:color w:val="000000" w:themeColor="text1"/>
          <w:sz w:val="32"/>
          <w:szCs w:val="32"/>
          <w:highlight w:val="none"/>
          <w14:textFill>
            <w14:solidFill>
              <w14:schemeClr w14:val="tx1"/>
            </w14:solidFill>
          </w14:textFill>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9</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负责农牧业防灾减灾、农作物重大病虫害防治、畜牧重大疫病防控工作。指导植物、畜禽防疫检疫体系建设，组织、监督区内植物、畜禽防疫检疫工作。发布疫情并组织扑灭。</w:t>
      </w:r>
    </w:p>
    <w:p>
      <w:pPr>
        <w:snapToGrid w:val="0"/>
        <w:spacing w:line="560" w:lineRule="exact"/>
        <w:ind w:firstLine="640" w:firstLineChars="200"/>
        <w:rPr>
          <w:rFonts w:hint="eastAsia"/>
          <w:lang w:val="en-US" w:eastAsia="zh-CN"/>
        </w:rPr>
      </w:pP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lang w:val="en-US" w:eastAsia="zh-CN"/>
          <w14:textFill>
            <w14:solidFill>
              <w14:schemeClr w14:val="tx1"/>
            </w14:solidFill>
          </w14:textFill>
        </w:rPr>
        <w:t>10</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w:t>
      </w:r>
      <w:r>
        <w:rPr>
          <w:rFonts w:hint="eastAsia" w:ascii="仿宋_GB2312" w:hAnsi="仿宋_GB2312" w:eastAsia="仿宋_GB2312" w:cs="仿宋_GB2312"/>
          <w:color w:val="000000" w:themeColor="text1"/>
          <w:sz w:val="32"/>
          <w:szCs w:val="32"/>
          <w:highlight w:val="none"/>
          <w14:textFill>
            <w14:solidFill>
              <w14:schemeClr w14:val="tx1"/>
            </w14:solidFill>
          </w14:textFill>
        </w:rPr>
        <w:t>负责农牧业投资管理。提出农牧业投融资体制机制改革建议。编制</w:t>
      </w:r>
      <w:r>
        <w:rPr>
          <w:rFonts w:hint="eastAsia" w:ascii="仿宋_GB2312" w:hAnsi="仿宋_GB2312" w:eastAsia="仿宋_GB2312" w:cs="仿宋_GB2312"/>
          <w:color w:val="000000" w:themeColor="text1"/>
          <w:sz w:val="32"/>
          <w:szCs w:val="32"/>
          <w:highlight w:val="none"/>
          <w:lang w:eastAsia="zh-CN"/>
          <w14:textFill>
            <w14:solidFill>
              <w14:schemeClr w14:val="tx1"/>
            </w14:solidFill>
          </w14:textFill>
        </w:rPr>
        <w:t>自治区</w:t>
      </w:r>
      <w:r>
        <w:rPr>
          <w:rFonts w:hint="eastAsia" w:ascii="仿宋_GB2312" w:hAnsi="仿宋_GB2312" w:eastAsia="仿宋_GB2312" w:cs="仿宋_GB2312"/>
          <w:color w:val="000000" w:themeColor="text1"/>
          <w:sz w:val="32"/>
          <w:szCs w:val="32"/>
          <w:highlight w:val="none"/>
          <w14:textFill>
            <w14:solidFill>
              <w14:schemeClr w14:val="tx1"/>
            </w14:solidFill>
          </w14:textFill>
        </w:rPr>
        <w:t>、自治区、地区和县投资安排的农牧业投资项目建设规划，提出农牧业投资规模和方向、扶持农业农村发展财政项目的建议，按规定权限审批农业投资项目，负责农业投资项目资金安排和监督管理。</w:t>
      </w:r>
    </w:p>
    <w:p>
      <w:pPr>
        <w:adjustRightInd w:val="0"/>
        <w:snapToGrid w:val="0"/>
        <w:spacing w:line="560" w:lineRule="exact"/>
        <w:ind w:firstLine="640" w:firstLineChars="200"/>
        <w:jc w:val="left"/>
        <w:outlineLvl w:val="0"/>
        <w:rPr>
          <w:rFonts w:ascii="楷体" w:hAnsi="楷体" w:eastAsia="楷体" w:cs="楷体"/>
          <w:bCs/>
          <w:sz w:val="32"/>
          <w:szCs w:val="32"/>
        </w:rPr>
      </w:pPr>
      <w:r>
        <w:rPr>
          <w:rFonts w:hint="eastAsia" w:ascii="楷体" w:hAnsi="楷体" w:eastAsia="楷体" w:cs="楷体"/>
          <w:bCs/>
          <w:sz w:val="32"/>
          <w:szCs w:val="32"/>
        </w:rPr>
        <w:t>3.项目内容</w:t>
      </w:r>
    </w:p>
    <w:p>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对9个乡镇6000户实施2021年农村人居环境整治“厕所革命”工程,按照“三防两有”标准通过验收后发放补助，补助标准为600元/户。</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rPr>
      </w:pPr>
      <w:r>
        <w:rPr>
          <w:rFonts w:hint="eastAsia" w:ascii="楷体" w:hAnsi="楷体" w:eastAsia="楷体" w:cs="楷体"/>
          <w:bCs/>
          <w:sz w:val="32"/>
          <w:szCs w:val="32"/>
          <w:highlight w:val="none"/>
          <w:lang w:val="en-US" w:eastAsia="zh-CN"/>
        </w:rPr>
        <w:t>4</w:t>
      </w:r>
      <w:r>
        <w:rPr>
          <w:rFonts w:hint="eastAsia" w:ascii="楷体" w:hAnsi="楷体" w:eastAsia="楷体" w:cs="楷体"/>
          <w:bCs/>
          <w:sz w:val="32"/>
          <w:szCs w:val="32"/>
          <w:highlight w:val="none"/>
        </w:rPr>
        <w:t>.立项依据</w:t>
      </w:r>
    </w:p>
    <w:p>
      <w:pPr>
        <w:pStyle w:val="34"/>
        <w:tabs>
          <w:tab w:val="left" w:pos="1559"/>
        </w:tabs>
        <w:adjustRightInd w:val="0"/>
        <w:snapToGrid w:val="0"/>
        <w:spacing w:line="560" w:lineRule="exact"/>
        <w:ind w:firstLine="640"/>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根据自治区党委农办《关于做好2021年自治区农村人居环境整治资金预算的通知》（新财农〔2020〕121号）文件精神，以及地区财政局，自然资源局，扶贫办和农业农村局四部门联合下发的《关于提前下达2021年自治区农村人居环境整治资金预算的通知》（和地财农〔2020〕68号）</w:t>
      </w:r>
      <w:r>
        <w:rPr>
          <w:rStyle w:val="23"/>
          <w:rFonts w:hint="eastAsia" w:ascii="仿宋_GB2312" w:hAnsi="仿宋_GB2312" w:eastAsia="仿宋_GB2312" w:cs="仿宋_GB2312"/>
          <w:b w:val="0"/>
          <w:bCs w:val="0"/>
          <w:color w:val="auto"/>
          <w:spacing w:val="-4"/>
          <w:sz w:val="32"/>
          <w:szCs w:val="32"/>
          <w:highlight w:val="none"/>
          <w:lang w:val="en-US" w:eastAsia="zh-CN"/>
        </w:rPr>
        <w:t>文件精神以及相关会议纪要立项并开始实施。</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32" w:name="_Toc30597"/>
      <w:r>
        <w:rPr>
          <w:rFonts w:hint="eastAsia" w:ascii="仿宋_GB2312" w:hAnsi="仿宋" w:eastAsia="仿宋_GB2312" w:cs="宋体"/>
          <w:b/>
          <w:bCs/>
          <w:sz w:val="32"/>
          <w:szCs w:val="32"/>
          <w:highlight w:val="none"/>
        </w:rPr>
        <w:t>（二）项目资金情况</w:t>
      </w:r>
      <w:bookmarkEnd w:id="32"/>
    </w:p>
    <w:p>
      <w:pPr>
        <w:pStyle w:val="34"/>
        <w:tabs>
          <w:tab w:val="left" w:pos="1559"/>
        </w:tabs>
        <w:adjustRightInd w:val="0"/>
        <w:snapToGrid w:val="0"/>
        <w:spacing w:line="560" w:lineRule="exact"/>
        <w:ind w:firstLine="640"/>
        <w:outlineLvl w:val="2"/>
        <w:rPr>
          <w:rFonts w:ascii="楷体" w:hAnsi="楷体" w:eastAsia="楷体" w:cs="楷体"/>
          <w:bCs/>
          <w:sz w:val="32"/>
          <w:szCs w:val="32"/>
          <w:highlight w:val="none"/>
        </w:rPr>
      </w:pPr>
      <w:r>
        <w:rPr>
          <w:rFonts w:hint="eastAsia" w:ascii="楷体" w:hAnsi="楷体" w:eastAsia="楷体" w:cs="楷体"/>
          <w:bCs/>
          <w:sz w:val="32"/>
          <w:szCs w:val="32"/>
        </w:rPr>
        <w:t>1.项目资金预算及来源</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该项目预算资金为360.00万元，资金来源为自治区专项资金，截止12月31日，到位资金为360.00万元，资金到位率100%。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rPr>
      </w:pPr>
      <w:r>
        <w:rPr>
          <w:rFonts w:hint="eastAsia" w:ascii="楷体" w:hAnsi="楷体" w:eastAsia="楷体" w:cs="楷体"/>
          <w:bCs/>
          <w:sz w:val="32"/>
          <w:szCs w:val="32"/>
        </w:rPr>
        <w:t>2.预算执行及结果</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绩效评价日，项目预算资金360.00万元，实际到位资金360.00万元，资金到位率100%。总支出360.00万元，预算执行率100%，该项目资金主要用于对9个乡镇6000户实施2021年农村人居环境整治“厕所革命”工程,按照“三防两有”标准通过验收后按照600元/户的标准发放补助，通过实施农村人居环境整治“厕所革命”工程，改善了农村环境和卫生条件，提高了农民健康水平，提高了农村文明化程度，养成了良好的生活习惯。</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33" w:name="_Toc4656"/>
      <w:r>
        <w:rPr>
          <w:rFonts w:hint="eastAsia" w:ascii="仿宋_GB2312" w:hAnsi="仿宋" w:eastAsia="仿宋_GB2312" w:cs="宋体"/>
          <w:b/>
          <w:bCs/>
          <w:sz w:val="32"/>
          <w:szCs w:val="32"/>
        </w:rPr>
        <w:t>（三）绩效目标设置情况</w:t>
      </w:r>
      <w:bookmarkEnd w:id="3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color w:val="auto"/>
          <w:sz w:val="32"/>
          <w:szCs w:val="32"/>
          <w:lang w:val="en-US" w:eastAsia="zh-CN"/>
        </w:rPr>
      </w:pPr>
      <w:bookmarkStart w:id="34" w:name="_Toc8400"/>
      <w:bookmarkStart w:id="35" w:name="_Toc1757"/>
      <w:bookmarkStart w:id="36" w:name="_Toc26467"/>
      <w:bookmarkStart w:id="37" w:name="_Toc25486"/>
      <w:r>
        <w:rPr>
          <w:rFonts w:hint="eastAsia" w:ascii="仿宋_GB2312" w:hAnsi="仿宋_GB2312" w:eastAsia="仿宋_GB2312" w:cs="仿宋_GB2312"/>
          <w:color w:val="auto"/>
          <w:sz w:val="32"/>
          <w:szCs w:val="32"/>
        </w:rPr>
        <w:t>该项目共设立一级指标3个，二级指标</w:t>
      </w:r>
      <w:r>
        <w:rPr>
          <w:rFonts w:hint="eastAsia" w:ascii="仿宋_GB2312" w:hAnsi="仿宋_GB2312" w:eastAsia="仿宋_GB2312" w:cs="仿宋_GB2312"/>
          <w:color w:val="auto"/>
          <w:sz w:val="32"/>
          <w:szCs w:val="32"/>
          <w:lang w:val="en-US" w:eastAsia="zh-CN"/>
        </w:rPr>
        <w:t>8</w:t>
      </w:r>
      <w:r>
        <w:rPr>
          <w:rFonts w:hint="eastAsia" w:ascii="仿宋_GB2312" w:hAnsi="仿宋_GB2312" w:eastAsia="仿宋_GB2312" w:cs="仿宋_GB2312"/>
          <w:color w:val="auto"/>
          <w:sz w:val="32"/>
          <w:szCs w:val="32"/>
        </w:rPr>
        <w:t>个，三级指标</w:t>
      </w:r>
      <w:r>
        <w:rPr>
          <w:rFonts w:hint="eastAsia" w:ascii="仿宋_GB2312" w:hAnsi="仿宋_GB2312" w:eastAsia="仿宋_GB2312" w:cs="仿宋_GB2312"/>
          <w:color w:val="auto"/>
          <w:sz w:val="32"/>
          <w:szCs w:val="32"/>
          <w:lang w:val="en-US" w:eastAsia="zh-CN"/>
        </w:rPr>
        <w:t>13</w:t>
      </w:r>
      <w:r>
        <w:rPr>
          <w:rFonts w:hint="eastAsia" w:ascii="仿宋_GB2312" w:hAnsi="仿宋_GB2312" w:eastAsia="仿宋_GB2312" w:cs="仿宋_GB2312"/>
          <w:color w:val="auto"/>
          <w:sz w:val="32"/>
          <w:szCs w:val="32"/>
        </w:rPr>
        <w:t>个，指标量化</w:t>
      </w:r>
      <w:r>
        <w:rPr>
          <w:rFonts w:hint="eastAsia" w:ascii="仿宋_GB2312" w:hAnsi="仿宋_GB2312" w:eastAsia="仿宋_GB2312" w:cs="仿宋_GB2312"/>
          <w:color w:val="auto"/>
          <w:sz w:val="32"/>
          <w:szCs w:val="32"/>
          <w:highlight w:val="none"/>
        </w:rPr>
        <w:t>率</w:t>
      </w:r>
      <w:r>
        <w:rPr>
          <w:rFonts w:hint="eastAsia" w:ascii="仿宋_GB2312" w:hAnsi="仿宋_GB2312" w:eastAsia="仿宋_GB2312" w:cs="仿宋_GB2312"/>
          <w:color w:val="auto"/>
          <w:sz w:val="32"/>
          <w:szCs w:val="32"/>
          <w:highlight w:val="none"/>
          <w:lang w:val="en-US" w:eastAsia="zh-CN"/>
        </w:rPr>
        <w:t>76.92</w:t>
      </w:r>
      <w:r>
        <w:rPr>
          <w:rFonts w:hint="eastAsia" w:ascii="仿宋_GB2312" w:hAnsi="仿宋_GB2312" w:eastAsia="仿宋_GB2312" w:cs="仿宋_GB2312"/>
          <w:color w:val="auto"/>
          <w:sz w:val="32"/>
          <w:szCs w:val="32"/>
          <w:highlight w:val="none"/>
        </w:rPr>
        <w:t>%。绩效</w:t>
      </w:r>
      <w:r>
        <w:rPr>
          <w:rFonts w:hint="eastAsia" w:ascii="仿宋_GB2312" w:hAnsi="仿宋_GB2312" w:eastAsia="仿宋_GB2312" w:cs="仿宋_GB2312"/>
          <w:color w:val="auto"/>
          <w:sz w:val="32"/>
          <w:szCs w:val="32"/>
        </w:rPr>
        <w:t>目标明确了项目产出数量和预期达到的效果，绩效目标指标制定明确、细化、量化。整体来看，目标设立合理清晰</w:t>
      </w:r>
      <w:r>
        <w:rPr>
          <w:rFonts w:hint="eastAsia" w:ascii="仿宋_GB2312" w:hAnsi="仿宋_GB2312" w:eastAsia="仿宋_GB2312" w:cs="仿宋_GB2312"/>
          <w:color w:val="auto"/>
          <w:sz w:val="32"/>
          <w:szCs w:val="32"/>
          <w:lang w:val="en-US" w:eastAsia="zh-CN"/>
        </w:rPr>
        <w:t>：</w:t>
      </w:r>
      <w:bookmarkEnd w:id="34"/>
      <w:bookmarkEnd w:id="35"/>
      <w:bookmarkEnd w:id="36"/>
    </w:p>
    <w:p>
      <w:pPr>
        <w:pStyle w:val="34"/>
        <w:tabs>
          <w:tab w:val="left" w:pos="1559"/>
        </w:tabs>
        <w:adjustRightInd w:val="0"/>
        <w:snapToGrid w:val="0"/>
        <w:spacing w:line="560" w:lineRule="exact"/>
        <w:ind w:firstLine="640"/>
        <w:outlineLvl w:val="2"/>
        <w:rPr>
          <w:rFonts w:hint="eastAsia"/>
          <w:lang w:val="en-US" w:eastAsia="zh-CN"/>
        </w:rPr>
      </w:pPr>
      <w:r>
        <w:rPr>
          <w:rFonts w:hint="eastAsia" w:ascii="楷体" w:hAnsi="楷体" w:eastAsia="楷体" w:cs="楷体"/>
          <w:bCs/>
          <w:color w:val="auto"/>
          <w:sz w:val="32"/>
          <w:szCs w:val="32"/>
          <w:highlight w:val="none"/>
          <w:lang w:val="en-US" w:eastAsia="zh-CN"/>
        </w:rPr>
        <w:t>1.</w:t>
      </w:r>
      <w:r>
        <w:rPr>
          <w:rFonts w:hint="eastAsia" w:ascii="楷体" w:hAnsi="楷体" w:eastAsia="楷体" w:cs="楷体"/>
          <w:bCs/>
          <w:color w:val="auto"/>
          <w:sz w:val="32"/>
          <w:szCs w:val="32"/>
          <w:highlight w:val="none"/>
        </w:rPr>
        <w:t>年度总目标</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color w:val="auto"/>
          <w:sz w:val="32"/>
          <w:szCs w:val="32"/>
          <w:highlight w:val="none"/>
          <w:lang w:val="en-US" w:eastAsia="zh-CN"/>
        </w:rPr>
      </w:pPr>
      <w:r>
        <w:rPr>
          <w:rFonts w:hint="eastAsia" w:ascii="仿宋_GB2312" w:eastAsia="仿宋_GB2312" w:cs="宋体"/>
          <w:color w:val="auto"/>
          <w:sz w:val="32"/>
          <w:szCs w:val="32"/>
          <w:highlight w:val="none"/>
          <w:lang w:val="en-US" w:eastAsia="zh-CN"/>
        </w:rPr>
        <w:t>该项目对9个乡镇6000户实施2021年农村人居环境整治“厕所革命”工程,按照“三防两有”标准通过验收后发放补助，补助标准为600元/户。通过实施农村人居环境整治“厕所革命”工程，改善农村环境和卫生条件提高农民健康水平，提高农村文明化程度，养成良好的生活习惯。</w:t>
      </w:r>
    </w:p>
    <w:p>
      <w:pPr>
        <w:keepNext w:val="0"/>
        <w:keepLines w:val="0"/>
        <w:pageBreakBefore w:val="0"/>
        <w:widowControl w:val="0"/>
        <w:numPr>
          <w:ilvl w:val="0"/>
          <w:numId w:val="0"/>
        </w:numPr>
        <w:kinsoku/>
        <w:wordWrap/>
        <w:overflowPunct/>
        <w:topLinePunct w:val="0"/>
        <w:autoSpaceDE/>
        <w:autoSpaceDN/>
        <w:bidi w:val="0"/>
        <w:adjustRightInd w:val="0"/>
        <w:snapToGrid w:val="0"/>
        <w:spacing w:line="560" w:lineRule="exact"/>
        <w:ind w:firstLine="320" w:firstLineChars="100"/>
        <w:textAlignment w:val="auto"/>
        <w:rPr>
          <w:rFonts w:hint="eastAsia" w:ascii="楷体" w:hAnsi="楷体" w:eastAsia="楷体" w:cs="楷体"/>
          <w:bCs/>
          <w:color w:val="auto"/>
          <w:sz w:val="32"/>
          <w:szCs w:val="32"/>
          <w:highlight w:val="none"/>
          <w:lang w:val="en-US" w:eastAsia="zh-CN"/>
        </w:rPr>
      </w:pPr>
      <w:r>
        <w:rPr>
          <w:rFonts w:hint="eastAsia" w:ascii="仿宋_GB2312" w:eastAsia="仿宋_GB2312" w:cs="宋体"/>
          <w:color w:val="auto"/>
          <w:sz w:val="32"/>
          <w:szCs w:val="32"/>
          <w:lang w:val="en-US" w:eastAsia="zh-CN"/>
        </w:rPr>
        <w:t>2.</w:t>
      </w:r>
      <w:r>
        <w:rPr>
          <w:rFonts w:hint="eastAsia" w:ascii="楷体" w:hAnsi="楷体" w:eastAsia="楷体" w:cs="楷体"/>
          <w:bCs/>
          <w:color w:val="auto"/>
          <w:sz w:val="32"/>
          <w:szCs w:val="32"/>
          <w:highlight w:val="none"/>
          <w:lang w:val="en-US" w:eastAsia="zh-CN"/>
        </w:rPr>
        <w:t>阶段性绩效目标</w:t>
      </w:r>
    </w:p>
    <w:p>
      <w:pPr>
        <w:pStyle w:val="34"/>
        <w:numPr>
          <w:ilvl w:val="0"/>
          <w:numId w:val="0"/>
        </w:numPr>
        <w:tabs>
          <w:tab w:val="left" w:pos="1559"/>
        </w:tabs>
        <w:adjustRightInd w:val="0"/>
        <w:snapToGrid w:val="0"/>
        <w:spacing w:line="560" w:lineRule="exact"/>
        <w:ind w:firstLine="640" w:firstLineChars="200"/>
        <w:outlineLvl w:val="2"/>
        <w:rPr>
          <w:rFonts w:hint="eastAsia" w:ascii="仿宋_GB2312" w:eastAsia="仿宋_GB2312" w:cs="宋体"/>
          <w:color w:val="auto"/>
          <w:kern w:val="2"/>
          <w:sz w:val="32"/>
          <w:szCs w:val="32"/>
          <w:lang w:val="en-US" w:eastAsia="zh-CN" w:bidi="ar-SA"/>
        </w:rPr>
      </w:pPr>
      <w:r>
        <w:rPr>
          <w:rFonts w:hint="eastAsia" w:ascii="仿宋_GB2312" w:hAnsi="仿宋_GB2312" w:eastAsia="仿宋_GB2312" w:cs="仿宋_GB2312"/>
          <w:kern w:val="2"/>
          <w:sz w:val="32"/>
          <w:szCs w:val="32"/>
          <w:highlight w:val="none"/>
          <w:lang w:val="en-US" w:eastAsia="zh-CN" w:bidi="ar-SA"/>
        </w:rPr>
        <w:t>根据自治区党委农办《关于做好2021年自治区农村人居环境整治资金预算的通知》（新财农〔2020〕121号）文件精神，以及地区财政局，自然资源局，扶贫办和农业农村局四部门联合下发的《关于提前下达2021年自治区农村人居环境整治资金预算的通知》（和地财农〔2020〕68号）</w:t>
      </w:r>
      <w:r>
        <w:rPr>
          <w:rStyle w:val="23"/>
          <w:rFonts w:hint="eastAsia" w:ascii="仿宋_GB2312" w:hAnsi="仿宋_GB2312" w:eastAsia="仿宋_GB2312" w:cs="仿宋_GB2312"/>
          <w:b w:val="0"/>
          <w:bCs w:val="0"/>
          <w:color w:val="auto"/>
          <w:spacing w:val="-4"/>
          <w:sz w:val="32"/>
          <w:szCs w:val="32"/>
          <w:highlight w:val="none"/>
          <w:lang w:val="en-US" w:eastAsia="zh-CN"/>
        </w:rPr>
        <w:t>文件精神以及相关会议纪要立项并开始实施，人居环境整治项目总投资360.00</w:t>
      </w:r>
      <w:r>
        <w:rPr>
          <w:rFonts w:hint="eastAsia" w:ascii="仿宋_GB2312" w:hAnsi="仿宋_GB2312" w:eastAsia="仿宋_GB2312" w:cs="仿宋_GB2312"/>
          <w:sz w:val="32"/>
          <w:szCs w:val="32"/>
          <w:highlight w:val="none"/>
          <w:lang w:val="en-US" w:eastAsia="zh-CN"/>
        </w:rPr>
        <w:t>万元资金，</w:t>
      </w:r>
      <w:r>
        <w:rPr>
          <w:rFonts w:hint="eastAsia" w:ascii="仿宋_GB2312" w:eastAsia="仿宋_GB2312" w:cs="宋体" w:hAnsiTheme="minorHAnsi"/>
          <w:color w:val="auto"/>
          <w:kern w:val="2"/>
          <w:sz w:val="32"/>
          <w:szCs w:val="32"/>
          <w:lang w:val="en-US" w:eastAsia="zh-CN" w:bidi="ar-SA"/>
        </w:rPr>
        <w:t>设置了三个一级指标</w:t>
      </w:r>
      <w:r>
        <w:rPr>
          <w:rFonts w:hint="eastAsia" w:ascii="仿宋_GB2312" w:eastAsia="仿宋_GB2312" w:cs="宋体"/>
          <w:color w:val="auto"/>
          <w:kern w:val="2"/>
          <w:sz w:val="32"/>
          <w:szCs w:val="32"/>
          <w:lang w:val="en-US" w:eastAsia="zh-CN" w:bidi="ar-SA"/>
        </w:rPr>
        <w:t>，8个二级指标，13个三级指标</w:t>
      </w:r>
      <w:r>
        <w:rPr>
          <w:rFonts w:hint="eastAsia" w:ascii="仿宋_GB2312" w:eastAsia="仿宋_GB2312" w:cs="宋体" w:hAnsiTheme="minorHAnsi"/>
          <w:color w:val="auto"/>
          <w:kern w:val="2"/>
          <w:sz w:val="32"/>
          <w:szCs w:val="32"/>
          <w:lang w:val="en-US" w:eastAsia="zh-CN" w:bidi="ar-SA"/>
        </w:rPr>
        <w:t>，其中</w:t>
      </w:r>
      <w:r>
        <w:rPr>
          <w:rFonts w:hint="eastAsia" w:ascii="仿宋_GB2312" w:eastAsia="仿宋_GB2312" w:cs="宋体"/>
          <w:color w:val="auto"/>
          <w:kern w:val="2"/>
          <w:sz w:val="32"/>
          <w:szCs w:val="32"/>
          <w:lang w:val="en-US" w:eastAsia="zh-CN" w:bidi="ar-SA"/>
        </w:rPr>
        <w:t>：</w:t>
      </w:r>
    </w:p>
    <w:p>
      <w:pPr>
        <w:pStyle w:val="34"/>
        <w:numPr>
          <w:ilvl w:val="0"/>
          <w:numId w:val="4"/>
        </w:numPr>
        <w:tabs>
          <w:tab w:val="left" w:pos="1559"/>
        </w:tabs>
        <w:adjustRightInd w:val="0"/>
        <w:snapToGrid w:val="0"/>
        <w:spacing w:line="560" w:lineRule="exact"/>
        <w:ind w:firstLine="640"/>
        <w:outlineLvl w:val="2"/>
        <w:rPr>
          <w:rFonts w:hint="eastAsia"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产出指标</w:t>
      </w:r>
    </w:p>
    <w:p>
      <w:pPr>
        <w:pStyle w:val="34"/>
        <w:numPr>
          <w:ilvl w:val="0"/>
          <w:numId w:val="0"/>
        </w:numPr>
        <w:tabs>
          <w:tab w:val="left" w:pos="1559"/>
        </w:tabs>
        <w:adjustRightInd w:val="0"/>
        <w:snapToGrid w:val="0"/>
        <w:spacing w:line="560" w:lineRule="exact"/>
        <w:outlineLvl w:val="2"/>
        <w:rPr>
          <w:rFonts w:hint="default" w:ascii="仿宋_GB2312" w:hAnsi="仿宋_GB2312" w:eastAsia="仿宋_GB2312" w:cs="仿宋_GB2312"/>
          <w:b w:val="0"/>
          <w:bCs/>
          <w:color w:val="auto"/>
          <w:sz w:val="32"/>
          <w:szCs w:val="32"/>
          <w:highlight w:val="none"/>
          <w:lang w:val="en-US" w:eastAsia="zh-CN"/>
        </w:rPr>
      </w:pPr>
      <w:r>
        <w:rPr>
          <w:rFonts w:hint="eastAsia" w:ascii="仿宋_GB2312" w:hAnsi="仿宋_GB2312" w:eastAsia="仿宋_GB2312" w:cs="仿宋_GB2312"/>
          <w:b w:val="0"/>
          <w:bCs/>
          <w:color w:val="auto"/>
          <w:sz w:val="32"/>
          <w:szCs w:val="32"/>
          <w:highlight w:val="none"/>
          <w:lang w:val="en-US" w:eastAsia="zh-CN"/>
        </w:rPr>
        <w:t xml:space="preserve">    产出数量指标: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改厕农户数量指标，预期值大于等于6000户</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改厕乡镇数量</w:t>
      </w:r>
      <w:r>
        <w:rPr>
          <w:rFonts w:hint="eastAsia" w:ascii="仿宋_GB2312" w:hAnsi="仿宋_GB2312" w:eastAsia="仿宋_GB2312" w:cs="仿宋_GB2312"/>
          <w:b w:val="0"/>
          <w:bCs w:val="0"/>
          <w:color w:val="auto"/>
          <w:kern w:val="2"/>
          <w:sz w:val="32"/>
          <w:szCs w:val="32"/>
          <w:lang w:val="en-US" w:eastAsia="zh-CN" w:bidi="ar-SA"/>
        </w:rPr>
        <w:t>指标，预期值大于等于9个</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产出质量指标: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改厕设施合格率</w:t>
      </w:r>
      <w:r>
        <w:rPr>
          <w:rFonts w:hint="eastAsia" w:ascii="仿宋_GB2312" w:hAnsi="仿宋_GB2312" w:eastAsia="仿宋_GB2312" w:cs="仿宋_GB2312"/>
          <w:b w:val="0"/>
          <w:bCs w:val="0"/>
          <w:color w:val="auto"/>
          <w:kern w:val="2"/>
          <w:sz w:val="32"/>
          <w:szCs w:val="32"/>
          <w:lang w:val="en-US" w:eastAsia="zh-CN" w:bidi="ar-SA"/>
        </w:rPr>
        <w:t>指标，预期值大于等于90%</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达标的卫生厕所覆盖率</w:t>
      </w:r>
      <w:r>
        <w:rPr>
          <w:rFonts w:hint="eastAsia" w:ascii="仿宋_GB2312" w:hAnsi="仿宋_GB2312" w:eastAsia="仿宋_GB2312" w:cs="仿宋_GB2312"/>
          <w:b w:val="0"/>
          <w:bCs w:val="0"/>
          <w:color w:val="auto"/>
          <w:kern w:val="2"/>
          <w:sz w:val="32"/>
          <w:szCs w:val="32"/>
          <w:lang w:val="en-US" w:eastAsia="zh-CN" w:bidi="ar-SA"/>
        </w:rPr>
        <w:t>指标，预期值大于等于85%</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资金拨付率</w:t>
      </w:r>
      <w:r>
        <w:rPr>
          <w:rFonts w:hint="eastAsia" w:ascii="仿宋_GB2312" w:hAnsi="仿宋_GB2312" w:eastAsia="仿宋_GB2312" w:cs="仿宋_GB2312"/>
          <w:b w:val="0"/>
          <w:bCs w:val="0"/>
          <w:color w:val="auto"/>
          <w:kern w:val="2"/>
          <w:sz w:val="32"/>
          <w:szCs w:val="32"/>
          <w:lang w:val="en-US" w:eastAsia="zh-CN" w:bidi="ar-SA"/>
        </w:rPr>
        <w:t>指标，预期值大于等于85%</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产出时效指标: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补助发放及时性</w:t>
      </w:r>
      <w:r>
        <w:rPr>
          <w:rFonts w:hint="eastAsia" w:ascii="仿宋_GB2312" w:hAnsi="仿宋_GB2312" w:eastAsia="仿宋_GB2312" w:cs="仿宋_GB2312"/>
          <w:b w:val="0"/>
          <w:bCs w:val="0"/>
          <w:color w:val="auto"/>
          <w:kern w:val="2"/>
          <w:sz w:val="32"/>
          <w:szCs w:val="32"/>
          <w:lang w:val="en-US" w:eastAsia="zh-CN" w:bidi="ar-SA"/>
        </w:rPr>
        <w:t>指标，预期值等于100%</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项目截止时间</w:t>
      </w:r>
      <w:r>
        <w:rPr>
          <w:rFonts w:hint="eastAsia" w:ascii="仿宋_GB2312" w:hAnsi="仿宋_GB2312" w:eastAsia="仿宋_GB2312" w:cs="仿宋_GB2312"/>
          <w:b w:val="0"/>
          <w:bCs w:val="0"/>
          <w:color w:val="auto"/>
          <w:kern w:val="2"/>
          <w:sz w:val="32"/>
          <w:szCs w:val="32"/>
          <w:lang w:val="en-US" w:eastAsia="zh-CN" w:bidi="ar-SA"/>
        </w:rPr>
        <w:t>指标，预期值2021年12月</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产出成本指标：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每户补助标准</w:t>
      </w:r>
      <w:r>
        <w:rPr>
          <w:rFonts w:hint="eastAsia" w:ascii="仿宋_GB2312" w:hAnsi="仿宋_GB2312" w:eastAsia="仿宋_GB2312" w:cs="仿宋_GB2312"/>
          <w:b w:val="0"/>
          <w:bCs w:val="0"/>
          <w:color w:val="auto"/>
          <w:kern w:val="2"/>
          <w:sz w:val="32"/>
          <w:szCs w:val="32"/>
          <w:lang w:val="en-US" w:eastAsia="zh-CN" w:bidi="ar-SA"/>
        </w:rPr>
        <w:t>指标，预期值小于等于600元</w:t>
      </w:r>
    </w:p>
    <w:p>
      <w:pPr>
        <w:numPr>
          <w:ilvl w:val="0"/>
          <w:numId w:val="5"/>
        </w:numPr>
        <w:ind w:firstLine="640" w:firstLineChars="200"/>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经济效益指标：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社会效益指标：</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推进行整村的卫生厕所普及率指标，预期值有效推进</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生态效益指标</w:t>
      </w:r>
      <w:r>
        <w:rPr>
          <w:rFonts w:hint="eastAsia" w:ascii="仿宋_GB2312" w:hAnsi="仿宋_GB2312" w:eastAsia="仿宋_GB2312" w:cs="仿宋_GB2312"/>
          <w:b w:val="0"/>
          <w:bCs w:val="0"/>
          <w:color w:val="auto"/>
          <w:kern w:val="2"/>
          <w:sz w:val="32"/>
          <w:szCs w:val="32"/>
          <w:lang w:val="en-US" w:eastAsia="zh-CN" w:bidi="ar-SA"/>
        </w:rPr>
        <w:t>：</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逐步完成“厕所革命”整村推进行整村的粪污卫生处理和资源化利用</w:t>
      </w:r>
      <w:r>
        <w:rPr>
          <w:rFonts w:hint="eastAsia" w:ascii="仿宋_GB2312" w:hAnsi="仿宋_GB2312" w:eastAsia="仿宋_GB2312" w:cs="仿宋_GB2312"/>
          <w:b w:val="0"/>
          <w:bCs w:val="0"/>
          <w:color w:val="auto"/>
          <w:kern w:val="2"/>
          <w:sz w:val="32"/>
          <w:szCs w:val="32"/>
          <w:lang w:val="en-US" w:eastAsia="zh-CN" w:bidi="ar-SA"/>
        </w:rPr>
        <w:t>指标，预期值效果显著</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eastAsia"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可持续影响指标</w:t>
      </w:r>
      <w:r>
        <w:rPr>
          <w:rFonts w:hint="eastAsia" w:ascii="仿宋_GB2312" w:hAnsi="仿宋_GB2312" w:eastAsia="仿宋_GB2312" w:cs="仿宋_GB2312"/>
          <w:b w:val="0"/>
          <w:bCs w:val="0"/>
          <w:color w:val="auto"/>
          <w:kern w:val="2"/>
          <w:sz w:val="32"/>
          <w:szCs w:val="32"/>
          <w:lang w:val="en-US" w:eastAsia="zh-CN" w:bidi="ar-SA"/>
        </w:rPr>
        <w:t>：</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default" w:ascii="仿宋_GB2312" w:hAnsi="仿宋_GB2312" w:eastAsia="仿宋_GB2312" w:cs="仿宋_GB2312"/>
          <w:b w:val="0"/>
          <w:bCs w:val="0"/>
          <w:color w:val="auto"/>
          <w:kern w:val="2"/>
          <w:sz w:val="32"/>
          <w:szCs w:val="32"/>
          <w:lang w:val="en-US" w:eastAsia="zh-CN" w:bidi="ar-SA"/>
        </w:rPr>
        <w:t>项目保障时间</w:t>
      </w:r>
      <w:r>
        <w:rPr>
          <w:rFonts w:hint="eastAsia" w:ascii="仿宋_GB2312" w:hAnsi="仿宋_GB2312" w:eastAsia="仿宋_GB2312" w:cs="仿宋_GB2312"/>
          <w:b w:val="0"/>
          <w:bCs w:val="0"/>
          <w:color w:val="auto"/>
          <w:kern w:val="2"/>
          <w:sz w:val="32"/>
          <w:szCs w:val="32"/>
          <w:lang w:val="en-US" w:eastAsia="zh-CN" w:bidi="ar-SA"/>
        </w:rPr>
        <w:t>指标，预期值1年</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Autospacing="0" w:line="560" w:lineRule="exact"/>
        <w:ind w:leftChars="200"/>
        <w:textAlignment w:val="auto"/>
        <w:outlineLvl w:val="9"/>
        <w:rPr>
          <w:rStyle w:val="23"/>
          <w:rFonts w:hint="eastAsia" w:ascii="仿宋_GB2312" w:hAnsi="仿宋" w:eastAsia="仿宋_GB2312"/>
          <w:b w:val="0"/>
          <w:bCs w:val="0"/>
          <w:spacing w:val="-4"/>
          <w:sz w:val="32"/>
          <w:szCs w:val="32"/>
          <w:lang w:eastAsia="zh-CN"/>
        </w:rPr>
      </w:pPr>
      <w:r>
        <w:rPr>
          <w:rStyle w:val="23"/>
          <w:rFonts w:hint="eastAsia" w:ascii="仿宋_GB2312" w:hAnsi="仿宋" w:eastAsia="仿宋_GB2312"/>
          <w:b w:val="0"/>
          <w:bCs w:val="0"/>
          <w:spacing w:val="-4"/>
          <w:sz w:val="32"/>
          <w:szCs w:val="32"/>
          <w:lang w:eastAsia="zh-CN"/>
        </w:rPr>
        <w:t>（</w:t>
      </w:r>
      <w:r>
        <w:rPr>
          <w:rStyle w:val="23"/>
          <w:rFonts w:hint="eastAsia" w:ascii="仿宋_GB2312" w:hAnsi="仿宋" w:eastAsia="仿宋_GB2312"/>
          <w:b w:val="0"/>
          <w:bCs w:val="0"/>
          <w:spacing w:val="-4"/>
          <w:sz w:val="32"/>
          <w:szCs w:val="32"/>
          <w:lang w:val="en-US" w:eastAsia="zh-CN"/>
        </w:rPr>
        <w:t>3</w:t>
      </w:r>
      <w:r>
        <w:rPr>
          <w:rStyle w:val="23"/>
          <w:rFonts w:hint="eastAsia" w:ascii="仿宋_GB2312" w:hAnsi="仿宋" w:eastAsia="仿宋_GB2312"/>
          <w:b w:val="0"/>
          <w:bCs w:val="0"/>
          <w:spacing w:val="-4"/>
          <w:sz w:val="32"/>
          <w:szCs w:val="32"/>
          <w:lang w:eastAsia="zh-CN"/>
        </w:rPr>
        <w:t>）满意度指标：</w:t>
      </w:r>
    </w:p>
    <w:p>
      <w:pPr>
        <w:numPr>
          <w:ilvl w:val="0"/>
          <w:numId w:val="0"/>
        </w:numPr>
        <w:ind w:firstLine="640" w:firstLineChars="200"/>
        <w:rPr>
          <w:rFonts w:hint="eastAsia" w:ascii="仿宋" w:hAnsi="仿宋" w:eastAsia="仿宋"/>
          <w:color w:val="000000" w:themeColor="text1"/>
          <w:sz w:val="32"/>
          <w:szCs w:val="32"/>
          <w:highlight w:val="none"/>
          <w14:textFill>
            <w14:solidFill>
              <w14:schemeClr w14:val="tx1"/>
            </w14:solidFill>
          </w14:textFill>
        </w:rPr>
      </w:pPr>
      <w:r>
        <w:rPr>
          <w:rFonts w:hint="eastAsia" w:ascii="仿宋_GB2312" w:hAnsi="仿宋_GB2312" w:eastAsia="仿宋_GB2312" w:cs="仿宋_GB2312"/>
          <w:b w:val="0"/>
          <w:bCs w:val="0"/>
          <w:color w:val="auto"/>
          <w:kern w:val="2"/>
          <w:sz w:val="32"/>
          <w:szCs w:val="32"/>
          <w:lang w:val="en-US" w:eastAsia="zh-CN" w:bidi="ar-SA"/>
        </w:rPr>
        <w:t>项目区农民满意度指标，预期值</w:t>
      </w:r>
      <w:r>
        <w:rPr>
          <w:rFonts w:hint="eastAsia" w:ascii="仿宋" w:hAnsi="仿宋" w:eastAsia="仿宋"/>
          <w:color w:val="000000" w:themeColor="text1"/>
          <w:sz w:val="32"/>
          <w:szCs w:val="32"/>
          <w:highlight w:val="none"/>
          <w:lang w:val="en-US" w:eastAsia="zh-CN"/>
          <w14:textFill>
            <w14:solidFill>
              <w14:schemeClr w14:val="tx1"/>
            </w14:solidFill>
          </w14:textFill>
        </w:rPr>
        <w:t>大于等于95</w:t>
      </w:r>
      <w:r>
        <w:rPr>
          <w:rFonts w:hint="eastAsia" w:ascii="仿宋" w:hAnsi="仿宋" w:eastAsia="仿宋"/>
          <w:color w:val="000000" w:themeColor="text1"/>
          <w:sz w:val="32"/>
          <w:szCs w:val="32"/>
          <w:highlight w:val="none"/>
          <w14:textFill>
            <w14:solidFill>
              <w14:schemeClr w14:val="tx1"/>
            </w14:solidFill>
          </w14:textFill>
        </w:rPr>
        <w:t>%</w:t>
      </w:r>
    </w:p>
    <w:p>
      <w:pPr>
        <w:pStyle w:val="34"/>
        <w:keepNext w:val="0"/>
        <w:keepLines w:val="0"/>
        <w:pageBreakBefore w:val="0"/>
        <w:widowControl w:val="0"/>
        <w:numPr>
          <w:ilvl w:val="0"/>
          <w:numId w:val="0"/>
        </w:numPr>
        <w:tabs>
          <w:tab w:val="left" w:pos="1559"/>
        </w:tabs>
        <w:kinsoku/>
        <w:wordWrap/>
        <w:overflowPunct/>
        <w:topLinePunct w:val="0"/>
        <w:autoSpaceDE/>
        <w:autoSpaceDN/>
        <w:bidi w:val="0"/>
        <w:adjustRightInd w:val="0"/>
        <w:snapToGrid w:val="0"/>
        <w:spacing w:line="560" w:lineRule="exact"/>
        <w:ind w:firstLine="640" w:firstLineChars="200"/>
        <w:textAlignment w:val="auto"/>
        <w:outlineLvl w:val="2"/>
        <w:rPr>
          <w:rFonts w:hint="default" w:ascii="仿宋_GB2312" w:hAnsi="仿宋_GB2312" w:eastAsia="仿宋_GB2312" w:cs="仿宋_GB2312"/>
          <w:b w:val="0"/>
          <w:bCs w:val="0"/>
          <w:color w:val="auto"/>
          <w:kern w:val="2"/>
          <w:sz w:val="32"/>
          <w:szCs w:val="32"/>
          <w:lang w:val="en-US" w:eastAsia="zh-CN" w:bidi="ar-SA"/>
        </w:rPr>
      </w:pPr>
      <w:r>
        <w:rPr>
          <w:rFonts w:hint="eastAsia" w:ascii="仿宋_GB2312" w:hAnsi="仿宋_GB2312" w:eastAsia="仿宋_GB2312" w:cs="仿宋_GB2312"/>
          <w:b w:val="0"/>
          <w:bCs w:val="0"/>
          <w:color w:val="auto"/>
          <w:kern w:val="2"/>
          <w:sz w:val="32"/>
          <w:szCs w:val="32"/>
          <w:lang w:val="en-US" w:eastAsia="zh-CN" w:bidi="ar-SA"/>
        </w:rPr>
        <w:t>项目区基层干部满意度指标，预期值大于等于95%</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二、评价工作简述</w:t>
      </w:r>
      <w:bookmarkEnd w:id="37"/>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lang w:val="en-US" w:eastAsia="zh-CN" w:bidi="ar-SA"/>
        </w:rPr>
      </w:pPr>
      <w:bookmarkStart w:id="38" w:name="_Toc7630"/>
      <w:bookmarkStart w:id="39" w:name="_Toc3416"/>
      <w:bookmarkStart w:id="40" w:name="_Toc19614"/>
      <w:r>
        <w:rPr>
          <w:rFonts w:hint="eastAsia" w:ascii="仿宋_GB2312" w:eastAsia="仿宋_GB2312" w:cs="宋体" w:hAnsiTheme="minorHAnsi"/>
          <w:color w:val="auto"/>
          <w:kern w:val="2"/>
          <w:sz w:val="32"/>
          <w:szCs w:val="32"/>
          <w:lang w:val="en-US" w:eastAsia="zh-CN" w:bidi="ar-SA"/>
        </w:rPr>
        <w:t>受</w:t>
      </w:r>
      <w:r>
        <w:rPr>
          <w:rFonts w:hint="eastAsia" w:ascii="仿宋_GB2312" w:eastAsia="仿宋_GB2312" w:cs="宋体"/>
          <w:color w:val="auto"/>
          <w:kern w:val="2"/>
          <w:sz w:val="32"/>
          <w:szCs w:val="32"/>
          <w:lang w:val="en-US" w:eastAsia="zh-CN" w:bidi="ar-SA"/>
        </w:rPr>
        <w:t>洛浦</w:t>
      </w:r>
      <w:r>
        <w:rPr>
          <w:rFonts w:hint="eastAsia" w:ascii="仿宋_GB2312" w:eastAsia="仿宋_GB2312" w:cs="宋体" w:hAnsiTheme="minorHAnsi"/>
          <w:color w:val="auto"/>
          <w:kern w:val="2"/>
          <w:sz w:val="32"/>
          <w:szCs w:val="32"/>
          <w:lang w:val="en-US" w:eastAsia="zh-CN" w:bidi="ar-SA"/>
        </w:rPr>
        <w:t>县财政局委托，中瑞诚会计师事务所（特殊普通合伙）喀什分所承担</w:t>
      </w:r>
      <w:r>
        <w:rPr>
          <w:rFonts w:hint="eastAsia" w:ascii="仿宋_GB2312" w:eastAsia="仿宋_GB2312" w:cs="宋体"/>
          <w:color w:val="auto"/>
          <w:kern w:val="2"/>
          <w:sz w:val="32"/>
          <w:szCs w:val="32"/>
          <w:lang w:val="en-US" w:eastAsia="zh-CN" w:bidi="ar-SA"/>
        </w:rPr>
        <w:t>人居环境整治</w:t>
      </w:r>
      <w:r>
        <w:rPr>
          <w:rFonts w:hint="eastAsia" w:ascii="仿宋_GB2312" w:eastAsia="仿宋_GB2312" w:cs="宋体" w:hAnsiTheme="minorHAnsi"/>
          <w:color w:val="auto"/>
          <w:kern w:val="2"/>
          <w:sz w:val="32"/>
          <w:szCs w:val="32"/>
          <w:lang w:val="en-US" w:eastAsia="zh-CN" w:bidi="ar-SA"/>
        </w:rPr>
        <w:t>项目支出的绩效评价工作。为更好地保障绩效评价工作的顺利实施，根据财政部颁发的《项目支出绩效评价管理办法》（财预〔2020〕10号）、新疆维吾尔自治区财政厅颁发的《自治区财政支出绩效评价管理暂行办法》（新财预〔2018〕189号）等文件规定，评价机构成立绩效评价工作组</w:t>
      </w:r>
      <w:r>
        <w:rPr>
          <w:rFonts w:hint="eastAsia" w:ascii="仿宋_GB2312" w:eastAsia="仿宋_GB2312" w:cs="宋体" w:hAnsiTheme="minorHAnsi"/>
          <w:color w:val="auto"/>
          <w:kern w:val="2"/>
          <w:sz w:val="32"/>
          <w:szCs w:val="32"/>
          <w:highlight w:val="none"/>
          <w:lang w:val="en-US" w:eastAsia="zh-CN" w:bidi="ar-SA"/>
        </w:rPr>
        <w:t>对专项</w:t>
      </w:r>
      <w:r>
        <w:rPr>
          <w:rFonts w:hint="eastAsia" w:ascii="仿宋_GB2312" w:eastAsia="仿宋_GB2312" w:cs="宋体" w:hAnsiTheme="minorHAnsi"/>
          <w:color w:val="auto"/>
          <w:kern w:val="2"/>
          <w:sz w:val="32"/>
          <w:szCs w:val="32"/>
          <w:lang w:val="en-US" w:eastAsia="zh-CN" w:bidi="ar-SA"/>
        </w:rPr>
        <w:t>资金投入、资金使用和资金使用效益等方面进行了绩效评价。</w:t>
      </w:r>
      <w:bookmarkEnd w:id="38"/>
      <w:bookmarkEnd w:id="39"/>
      <w:bookmarkEnd w:id="40"/>
    </w:p>
    <w:p>
      <w:pPr>
        <w:pStyle w:val="34"/>
        <w:numPr>
          <w:ilvl w:val="0"/>
          <w:numId w:val="3"/>
        </w:numPr>
        <w:adjustRightInd w:val="0"/>
        <w:snapToGrid w:val="0"/>
        <w:spacing w:line="560" w:lineRule="exact"/>
        <w:ind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评价工作简述</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1" w:name="_Toc8259"/>
      <w:r>
        <w:rPr>
          <w:rFonts w:hint="eastAsia" w:ascii="仿宋_GB2312" w:hAnsi="仿宋" w:eastAsia="仿宋_GB2312" w:cs="宋体"/>
          <w:b/>
          <w:bCs/>
          <w:sz w:val="32"/>
          <w:szCs w:val="32"/>
        </w:rPr>
        <w:t>（一）评价目的</w:t>
      </w:r>
      <w:bookmarkEnd w:id="4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bookmarkStart w:id="42" w:name="_Toc18186"/>
      <w:bookmarkStart w:id="43" w:name="_Toc22761"/>
      <w:r>
        <w:rPr>
          <w:rFonts w:hint="eastAsia" w:ascii="仿宋_GB2312" w:hAnsi="仿宋_GB2312" w:eastAsia="仿宋_GB2312" w:cs="仿宋_GB2312"/>
          <w:sz w:val="32"/>
          <w:szCs w:val="32"/>
        </w:rPr>
        <w:t>按照新疆自治区财政厅和</w:t>
      </w:r>
      <w:r>
        <w:rPr>
          <w:rFonts w:hint="eastAsia" w:ascii="仿宋_GB2312" w:hAnsi="仿宋_GB2312" w:eastAsia="仿宋_GB2312" w:cs="仿宋_GB2312"/>
          <w:sz w:val="32"/>
          <w:szCs w:val="32"/>
          <w:lang w:val="en-US" w:eastAsia="zh-CN"/>
        </w:rPr>
        <w:t>洛浦县</w:t>
      </w:r>
      <w:r>
        <w:rPr>
          <w:rFonts w:hint="eastAsia" w:ascii="仿宋_GB2312" w:hAnsi="仿宋_GB2312" w:eastAsia="仿宋_GB2312" w:cs="仿宋_GB2312"/>
          <w:sz w:val="32"/>
          <w:szCs w:val="32"/>
        </w:rPr>
        <w:t>财政局“加强财政支出管理，强化支出责任，建立科学、合理的财政支出绩效评价管理体系，提高财政资金使用效益”的要求，通过</w:t>
      </w:r>
      <w:r>
        <w:rPr>
          <w:rFonts w:hint="eastAsia" w:ascii="仿宋_GB2312" w:hAnsi="仿宋_GB2312" w:eastAsia="仿宋_GB2312" w:cs="仿宋_GB2312"/>
          <w:sz w:val="32"/>
          <w:szCs w:val="32"/>
          <w:lang w:eastAsia="zh-CN"/>
        </w:rPr>
        <w:t>项目</w:t>
      </w:r>
      <w:r>
        <w:rPr>
          <w:rFonts w:hint="eastAsia" w:ascii="仿宋_GB2312" w:hAnsi="仿宋_GB2312" w:eastAsia="仿宋_GB2312" w:cs="仿宋_GB2312"/>
          <w:sz w:val="32"/>
          <w:szCs w:val="32"/>
        </w:rPr>
        <w:t>决策、过程、产出、效益的全过程梳理、评价，客观公正反映项目立项的科学性、项目实施的规范性、项目管理的有效性和项目效果</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总结项目实施经验，发现存在</w:t>
      </w:r>
      <w:r>
        <w:rPr>
          <w:rFonts w:hint="eastAsia" w:ascii="仿宋_GB2312" w:hAnsi="仿宋_GB2312" w:eastAsia="仿宋_GB2312" w:cs="仿宋_GB2312"/>
          <w:sz w:val="32"/>
          <w:szCs w:val="32"/>
          <w:lang w:eastAsia="zh-CN"/>
        </w:rPr>
        <w:t>的</w:t>
      </w:r>
      <w:r>
        <w:rPr>
          <w:rFonts w:hint="eastAsia" w:ascii="仿宋_GB2312" w:hAnsi="仿宋_GB2312" w:eastAsia="仿宋_GB2312" w:cs="仿宋_GB2312"/>
          <w:sz w:val="32"/>
          <w:szCs w:val="32"/>
        </w:rPr>
        <w:t>问题，提出针对性建议</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为</w:t>
      </w:r>
      <w:r>
        <w:rPr>
          <w:rFonts w:hint="eastAsia" w:ascii="仿宋_GB2312" w:hAnsi="仿宋_GB2312" w:eastAsia="仿宋_GB2312" w:cs="仿宋_GB2312"/>
          <w:sz w:val="32"/>
          <w:szCs w:val="32"/>
          <w:lang w:val="en-US" w:eastAsia="zh-CN"/>
        </w:rPr>
        <w:t>后年度</w:t>
      </w:r>
      <w:r>
        <w:rPr>
          <w:rFonts w:hint="eastAsia" w:ascii="仿宋_GB2312" w:hAnsi="仿宋_GB2312" w:eastAsia="仿宋_GB2312" w:cs="仿宋_GB2312"/>
          <w:sz w:val="32"/>
          <w:szCs w:val="32"/>
          <w:highlight w:val="none"/>
          <w:lang w:val="en-US" w:eastAsia="zh-CN"/>
        </w:rPr>
        <w:t>专项资金</w:t>
      </w:r>
      <w:r>
        <w:rPr>
          <w:rFonts w:hint="eastAsia" w:ascii="仿宋_GB2312" w:hAnsi="仿宋_GB2312" w:eastAsia="仿宋_GB2312" w:cs="仿宋_GB2312"/>
          <w:sz w:val="32"/>
          <w:szCs w:val="32"/>
          <w:lang w:eastAsia="zh-CN"/>
        </w:rPr>
        <w:t>项目的绩效</w:t>
      </w:r>
      <w:r>
        <w:rPr>
          <w:rFonts w:hint="eastAsia" w:ascii="仿宋_GB2312" w:hAnsi="仿宋_GB2312" w:eastAsia="仿宋_GB2312" w:cs="仿宋_GB2312"/>
          <w:sz w:val="32"/>
          <w:szCs w:val="32"/>
        </w:rPr>
        <w:t>管理提供参考依据。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（二）绩效评价工作</w:t>
      </w:r>
      <w:r>
        <w:rPr>
          <w:rFonts w:hint="eastAsia" w:ascii="仿宋_GB2312" w:hAnsi="仿宋" w:eastAsia="仿宋_GB2312" w:cs="宋体"/>
          <w:b/>
          <w:bCs/>
          <w:sz w:val="32"/>
          <w:szCs w:val="32"/>
          <w:highlight w:val="none"/>
          <w:lang w:val="en-US" w:eastAsia="zh-CN"/>
        </w:rPr>
        <w:t>的基本</w:t>
      </w:r>
      <w:r>
        <w:rPr>
          <w:rFonts w:hint="eastAsia" w:ascii="仿宋_GB2312" w:hAnsi="仿宋" w:eastAsia="仿宋_GB2312" w:cs="宋体"/>
          <w:b/>
          <w:bCs/>
          <w:sz w:val="32"/>
          <w:szCs w:val="32"/>
          <w:highlight w:val="none"/>
        </w:rPr>
        <w:t>思路</w:t>
      </w:r>
      <w:bookmarkEnd w:id="42"/>
      <w:bookmarkEnd w:id="43"/>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eastAsia="仿宋_GB2312" w:cs="宋体" w:hAnsiTheme="minorHAnsi"/>
          <w:color w:val="auto"/>
          <w:kern w:val="2"/>
          <w:sz w:val="32"/>
          <w:szCs w:val="32"/>
          <w:highlight w:val="none"/>
          <w:lang w:val="en-US" w:eastAsia="zh-CN" w:bidi="ar-SA"/>
        </w:rPr>
      </w:pPr>
      <w:bookmarkStart w:id="44" w:name="_Toc27648031"/>
      <w:bookmarkStart w:id="45" w:name="_Toc7209"/>
      <w:bookmarkStart w:id="46" w:name="_Toc27493321"/>
      <w:bookmarkStart w:id="47" w:name="_Toc14072"/>
      <w:bookmarkStart w:id="48" w:name="_Toc27651416"/>
      <w:r>
        <w:rPr>
          <w:rFonts w:hint="eastAsia" w:ascii="仿宋_GB2312" w:eastAsia="仿宋_GB2312" w:cs="宋体" w:hAnsiTheme="minorHAnsi"/>
          <w:color w:val="auto"/>
          <w:kern w:val="2"/>
          <w:sz w:val="32"/>
          <w:szCs w:val="32"/>
          <w:lang w:val="en-US" w:eastAsia="zh-CN" w:bidi="ar-SA"/>
        </w:rPr>
        <w:t>本次评价从项目决策（包括项目立项依据的充分性和立项程序的规范性、绩效目标的合理性和绩效指标的明确性、预算编制的科学性和资金分配的合理性）、项目过程（包括项目资金中的资金到位、预算执行、资金使用的合规性、管理制度的健全性和制度执行的有效性）、项目产出（包括项目产出中的产出数量、产出质量、产出时效、产出成本）和项目效益（包括项目效果中的经济效益、社会效益、生态效益、可持续影响、服务对象满意度）四个维度进</w:t>
      </w:r>
      <w:r>
        <w:rPr>
          <w:rFonts w:hint="eastAsia" w:ascii="仿宋_GB2312" w:eastAsia="仿宋_GB2312" w:cs="宋体" w:hAnsiTheme="minorHAnsi"/>
          <w:color w:val="auto"/>
          <w:kern w:val="2"/>
          <w:sz w:val="32"/>
          <w:szCs w:val="32"/>
          <w:highlight w:val="none"/>
          <w:lang w:val="en-US" w:eastAsia="zh-CN" w:bidi="ar-SA"/>
        </w:rPr>
        <w:t>行评价。评价对象为</w:t>
      </w:r>
      <w:r>
        <w:rPr>
          <w:rFonts w:hint="eastAsia" w:ascii="仿宋_GB2312" w:eastAsia="仿宋_GB2312" w:cs="宋体"/>
          <w:color w:val="auto"/>
          <w:kern w:val="2"/>
          <w:sz w:val="32"/>
          <w:szCs w:val="32"/>
          <w:highlight w:val="none"/>
          <w:lang w:val="en-US" w:eastAsia="zh-CN" w:bidi="ar-SA"/>
        </w:rPr>
        <w:t>自治区专项资金</w:t>
      </w:r>
      <w:r>
        <w:rPr>
          <w:rFonts w:hint="eastAsia" w:ascii="仿宋_GB2312" w:eastAsia="仿宋_GB2312" w:cs="宋体" w:hAnsiTheme="minorHAnsi"/>
          <w:color w:val="auto"/>
          <w:kern w:val="2"/>
          <w:sz w:val="32"/>
          <w:szCs w:val="32"/>
          <w:highlight w:val="none"/>
          <w:lang w:val="en-US" w:eastAsia="zh-CN" w:bidi="ar-SA"/>
        </w:rPr>
        <w:t>，评价核心为</w:t>
      </w:r>
      <w:r>
        <w:rPr>
          <w:rFonts w:hint="eastAsia" w:ascii="仿宋_GB2312" w:eastAsia="仿宋_GB2312" w:cs="宋体"/>
          <w:color w:val="auto"/>
          <w:kern w:val="2"/>
          <w:sz w:val="32"/>
          <w:szCs w:val="32"/>
          <w:highlight w:val="none"/>
          <w:lang w:val="en-US" w:eastAsia="zh-CN" w:bidi="ar-SA"/>
        </w:rPr>
        <w:t>自治区</w:t>
      </w:r>
      <w:r>
        <w:rPr>
          <w:rFonts w:hint="eastAsia" w:ascii="仿宋_GB2312" w:eastAsia="仿宋_GB2312" w:cs="宋体" w:hAnsiTheme="minorHAnsi"/>
          <w:color w:val="auto"/>
          <w:kern w:val="2"/>
          <w:sz w:val="32"/>
          <w:szCs w:val="32"/>
          <w:highlight w:val="none"/>
          <w:lang w:val="en-US" w:eastAsia="zh-CN" w:bidi="ar-SA"/>
        </w:rPr>
        <w:t>专项资金的支出完成情况和效果。</w:t>
      </w:r>
      <w:bookmarkEnd w:id="44"/>
      <w:bookmarkEnd w:id="45"/>
      <w:bookmarkEnd w:id="46"/>
      <w:bookmarkEnd w:id="47"/>
      <w:bookmarkEnd w:id="48"/>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49" w:name="_Toc7962"/>
      <w:r>
        <w:rPr>
          <w:rFonts w:hint="eastAsia" w:ascii="仿宋_GB2312" w:hAnsi="仿宋" w:eastAsia="仿宋_GB2312" w:cs="宋体"/>
          <w:b/>
          <w:bCs/>
          <w:sz w:val="32"/>
          <w:szCs w:val="32"/>
        </w:rPr>
        <w:t>（三）评价原则</w:t>
      </w:r>
      <w:bookmarkEnd w:id="49"/>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bookmarkStart w:id="50" w:name="_Toc1742"/>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rPr>
        <w:t>相关性原则。绩效评价指标与绩效目标有直接的联系，能够恰当反映目标的实现程度。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2.</w:t>
      </w:r>
      <w:r>
        <w:rPr>
          <w:rFonts w:hint="eastAsia" w:ascii="仿宋_GB2312" w:hAnsi="仿宋_GB2312" w:eastAsia="仿宋_GB2312" w:cs="仿宋_GB2312"/>
          <w:sz w:val="32"/>
          <w:szCs w:val="32"/>
        </w:rPr>
        <w:t>重要性原则。优先使用最具评价对象代表性、最能反映评价要求的核心指标。</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3.</w:t>
      </w:r>
      <w:r>
        <w:rPr>
          <w:rFonts w:hint="eastAsia" w:ascii="仿宋_GB2312" w:hAnsi="仿宋_GB2312" w:eastAsia="仿宋_GB2312" w:cs="仿宋_GB2312"/>
          <w:sz w:val="32"/>
          <w:szCs w:val="32"/>
        </w:rPr>
        <w:t>可比性原则。对同类评价对象设定共性的绩效评价指标，以便于评价标准的规范和评价结果可相互比较。</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4.</w:t>
      </w:r>
      <w:r>
        <w:rPr>
          <w:rFonts w:hint="eastAsia" w:ascii="仿宋_GB2312" w:hAnsi="仿宋_GB2312" w:eastAsia="仿宋_GB2312" w:cs="仿宋_GB2312"/>
          <w:sz w:val="32"/>
          <w:szCs w:val="32"/>
        </w:rPr>
        <w:t>系统性原则。将定量指标与定性指标相结合，定量指标量化，定性指标可衡量，系统反映财政支出所产生的社会效益</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经济效益、环境效益和可持续影响等。</w:t>
      </w:r>
    </w:p>
    <w:p>
      <w:pPr>
        <w:pStyle w:val="34"/>
        <w:keepNext w:val="0"/>
        <w:keepLines w:val="0"/>
        <w:pageBreakBefore w:val="0"/>
        <w:widowControl w:val="0"/>
        <w:kinsoku/>
        <w:wordWrap/>
        <w:overflowPunct/>
        <w:topLinePunct w:val="0"/>
        <w:autoSpaceDE/>
        <w:autoSpaceDN/>
        <w:bidi w:val="0"/>
        <w:adjustRightInd w:val="0"/>
        <w:snapToGrid w:val="0"/>
        <w:spacing w:line="560" w:lineRule="exact"/>
        <w:textAlignment w:val="auto"/>
        <w:outlineLvl w:val="1"/>
        <w:rPr>
          <w:rFonts w:hint="eastAsia" w:ascii="仿宋_GB2312" w:hAnsi="仿宋_GB2312" w:eastAsia="仿宋_GB2312" w:cs="仿宋_GB2312"/>
          <w:sz w:val="32"/>
          <w:szCs w:val="32"/>
        </w:rPr>
      </w:pPr>
      <w:r>
        <w:rPr>
          <w:rFonts w:hint="eastAsia" w:ascii="仿宋_GB2312" w:hAnsi="仿宋_GB2312" w:eastAsia="仿宋_GB2312" w:cs="仿宋_GB2312"/>
          <w:sz w:val="32"/>
          <w:szCs w:val="32"/>
          <w:lang w:val="en-US" w:eastAsia="zh-CN"/>
        </w:rPr>
        <w:t>5.</w:t>
      </w:r>
      <w:r>
        <w:rPr>
          <w:rFonts w:hint="eastAsia" w:ascii="仿宋_GB2312" w:hAnsi="仿宋_GB2312" w:eastAsia="仿宋_GB2312" w:cs="仿宋_GB2312"/>
          <w:sz w:val="32"/>
          <w:szCs w:val="32"/>
        </w:rPr>
        <w:t>经济性原则。通俗易懂、简便易行，数据的获得考虑现实条件和可操作性，符合成本效益原则。</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（四）评价方法</w:t>
      </w:r>
      <w:bookmarkEnd w:id="50"/>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bookmarkStart w:id="51" w:name="_Toc16588"/>
      <w:r>
        <w:rPr>
          <w:rFonts w:hint="eastAsia" w:ascii="仿宋_GB2312" w:hAnsi="仿宋_GB2312" w:eastAsia="仿宋_GB2312" w:cs="仿宋_GB2312"/>
          <w:sz w:val="32"/>
          <w:szCs w:val="32"/>
          <w:lang w:val="en-US" w:eastAsia="zh-CN"/>
        </w:rPr>
        <w:t>本次绩效评价主要采用以下评价方法：</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1.比较法，通过对绩效目标与实施效果、历史与当期情况、不同部门和地区同类支出的比较，综合分析绩效目标实现程度。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2.因素分析法，通过综合分析影响绩效目标实现、实施效果的内外因素，评价绩效目标实现程度。</w:t>
      </w:r>
    </w:p>
    <w:p>
      <w:pPr>
        <w:pStyle w:val="34"/>
        <w:keepNext w:val="0"/>
        <w:keepLines w:val="0"/>
        <w:pageBreakBefore w:val="0"/>
        <w:widowControl w:val="0"/>
        <w:kinsoku/>
        <w:wordWrap/>
        <w:overflowPunct/>
        <w:topLinePunct w:val="0"/>
        <w:autoSpaceDE/>
        <w:autoSpaceDN/>
        <w:bidi w:val="0"/>
        <w:adjustRightInd w:val="0"/>
        <w:snapToGrid w:val="0"/>
        <w:spacing w:line="560" w:lineRule="exact"/>
        <w:ind w:left="0" w:leftChars="0" w:firstLine="640" w:firstLineChars="200"/>
        <w:textAlignment w:val="auto"/>
        <w:outlineLvl w:val="1"/>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t>3.公众评判法，通过专家评估、公众问卷及抽样调查等对财政支出效果进行评判，评价绩效目标实现程度。</w:t>
      </w:r>
    </w:p>
    <w:p>
      <w:pPr>
        <w:pStyle w:val="34"/>
        <w:numPr>
          <w:ilvl w:val="0"/>
          <w:numId w:val="6"/>
        </w:numPr>
        <w:adjustRightInd w:val="0"/>
        <w:snapToGrid w:val="0"/>
        <w:spacing w:line="560" w:lineRule="exact"/>
        <w:ind w:left="420" w:leftChars="200" w:firstLine="321" w:firstLineChars="100"/>
        <w:outlineLvl w:val="1"/>
        <w:rPr>
          <w:rFonts w:hint="eastAsia" w:ascii="仿宋_GB2312" w:hAnsi="仿宋" w:eastAsia="仿宋_GB2312" w:cs="宋体"/>
          <w:b/>
          <w:bCs/>
          <w:sz w:val="32"/>
          <w:szCs w:val="32"/>
        </w:rPr>
      </w:pPr>
      <w:r>
        <w:rPr>
          <w:rFonts w:hint="eastAsia" w:ascii="仿宋_GB2312" w:hAnsi="仿宋" w:eastAsia="仿宋_GB2312" w:cs="宋体"/>
          <w:b/>
          <w:bCs/>
          <w:sz w:val="32"/>
          <w:szCs w:val="32"/>
        </w:rPr>
        <w:t>指标体系</w:t>
      </w:r>
      <w:bookmarkEnd w:id="51"/>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52" w:name="_Toc8115"/>
      <w:bookmarkStart w:id="53" w:name="_Toc10934"/>
      <w:bookmarkStart w:id="54" w:name="_Toc986"/>
      <w:bookmarkStart w:id="55" w:name="_Toc22089"/>
      <w:bookmarkStart w:id="56" w:name="_Toc32612"/>
      <w:bookmarkStart w:id="57" w:name="_Toc16677"/>
      <w:bookmarkStart w:id="58" w:name="_Toc31692"/>
      <w:bookmarkStart w:id="59" w:name="_Toc16367"/>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结合重点项目特点，在与专家组、项目单位充分协商的基础上，评价工作组细化了该专项的绩效评价指标体系，详见附件一。</w:t>
      </w:r>
      <w:bookmarkEnd w:id="52"/>
      <w:bookmarkEnd w:id="53"/>
      <w:bookmarkEnd w:id="54"/>
      <w:bookmarkEnd w:id="55"/>
      <w:bookmarkEnd w:id="56"/>
      <w:bookmarkEnd w:id="57"/>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r>
        <w:rPr>
          <w:rFonts w:hint="eastAsia" w:ascii="仿宋_GB2312" w:hAnsi="仿宋" w:eastAsia="仿宋_GB2312" w:cs="宋体"/>
          <w:b/>
          <w:bCs/>
          <w:sz w:val="32"/>
          <w:szCs w:val="32"/>
          <w:highlight w:val="none"/>
        </w:rPr>
        <w:t>（六）评价等级划分</w:t>
      </w:r>
      <w:bookmarkEnd w:id="58"/>
      <w:bookmarkEnd w:id="59"/>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根据财政部颁发的《项目支出绩效评价管理办法》（财预〔2020〕10号）等相关文件精神，本次绩效评价结果主要采取评分和评级相结合的方式，具体分值和等级可根据不同评价的内容设定。总分一般设置为100分，其中项目决策20分、项目过程20分、项目产出30分、项目效益30分。评价结果分为优、良、中、差四个等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优（90分（含）—100分）；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良（80分（含）—90分）；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中（60分（含）—80分）；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差（0分—60分）。</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rPr>
      </w:pPr>
      <w:r>
        <w:rPr>
          <w:rFonts w:hint="eastAsia" w:ascii="仿宋_GB2312" w:hAnsi="仿宋_GB2312" w:eastAsia="仿宋_GB2312" w:cs="仿宋_GB2312"/>
          <w:sz w:val="32"/>
          <w:szCs w:val="32"/>
          <w:highlight w:val="none"/>
          <w:lang w:val="en-US" w:eastAsia="zh-CN"/>
        </w:rPr>
        <w:t>对在项目进行绩效评价的过程中，如果实施单位有弄虚作假、瞒报谎报情况之行为，绩效评价组将如实上报至洛浦县农业农村局、洛浦县财政局，并予以通报批评；情节严重的，绩效评价结果将直接判定为不合格等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60" w:name="_Toc24267"/>
      <w:r>
        <w:rPr>
          <w:rFonts w:hint="eastAsia" w:ascii="仿宋_GB2312" w:hAnsi="仿宋" w:eastAsia="仿宋_GB2312" w:cs="宋体"/>
          <w:b/>
          <w:bCs/>
          <w:sz w:val="32"/>
          <w:szCs w:val="32"/>
        </w:rPr>
        <w:t>（七）评价工作实施情况</w:t>
      </w:r>
      <w:bookmarkEnd w:id="60"/>
    </w:p>
    <w:p>
      <w:pPr>
        <w:pStyle w:val="34"/>
        <w:tabs>
          <w:tab w:val="left" w:pos="1559"/>
        </w:tabs>
        <w:adjustRightInd w:val="0"/>
        <w:snapToGrid w:val="0"/>
        <w:spacing w:line="560" w:lineRule="exact"/>
        <w:ind w:firstLine="640"/>
        <w:outlineLvl w:val="2"/>
        <w:rPr>
          <w:rFonts w:ascii="楷体" w:hAnsi="楷体" w:eastAsia="楷体" w:cs="楷体"/>
          <w:bCs/>
          <w:sz w:val="32"/>
          <w:szCs w:val="32"/>
        </w:rPr>
      </w:pPr>
      <w:bookmarkStart w:id="61" w:name="_Toc12973"/>
      <w:bookmarkStart w:id="62" w:name="_Toc8898"/>
      <w:r>
        <w:rPr>
          <w:rFonts w:hint="eastAsia" w:ascii="楷体" w:hAnsi="楷体" w:eastAsia="楷体" w:cs="楷体"/>
          <w:bCs/>
          <w:sz w:val="32"/>
          <w:szCs w:val="32"/>
        </w:rPr>
        <w:t>1.评价工作程序和时间安排</w:t>
      </w:r>
      <w:bookmarkEnd w:id="61"/>
      <w:bookmarkEnd w:id="62"/>
    </w:p>
    <w:p>
      <w:pPr>
        <w:adjustRightInd w:val="0"/>
        <w:snapToGrid w:val="0"/>
        <w:spacing w:line="560" w:lineRule="exact"/>
        <w:ind w:firstLine="640" w:firstLineChars="200"/>
        <w:rPr>
          <w:rFonts w:hint="eastAsia" w:ascii="仿宋" w:hAnsi="仿宋" w:eastAsia="仿宋" w:cs="仿宋"/>
          <w:sz w:val="32"/>
          <w:szCs w:val="32"/>
        </w:rPr>
      </w:pPr>
      <w:r>
        <w:rPr>
          <w:rFonts w:hint="eastAsia" w:ascii="仿宋_GB2312" w:hAnsi="仿宋_GB2312" w:eastAsia="仿宋_GB2312" w:cs="仿宋_GB2312"/>
          <w:sz w:val="32"/>
          <w:szCs w:val="32"/>
          <w:highlight w:val="none"/>
          <w:lang w:val="en-US" w:eastAsia="zh-CN"/>
        </w:rPr>
        <w:t>本次绩效评价各阶段具体工作内容及时间进度安排详见</w:t>
      </w:r>
      <w:r>
        <w:rPr>
          <w:rFonts w:hint="eastAsia" w:ascii="仿宋" w:hAnsi="仿宋" w:eastAsia="仿宋" w:cs="仿宋"/>
          <w:sz w:val="32"/>
          <w:szCs w:val="32"/>
        </w:rPr>
        <w:t>下表：</w:t>
      </w:r>
    </w:p>
    <w:p>
      <w:pPr>
        <w:pStyle w:val="2"/>
        <w:rPr>
          <w:rFonts w:hint="eastAsia" w:ascii="仿宋" w:hAnsi="仿宋" w:eastAsia="仿宋" w:cs="仿宋"/>
          <w:sz w:val="32"/>
          <w:szCs w:val="32"/>
        </w:rPr>
      </w:pPr>
    </w:p>
    <w:p>
      <w:pPr>
        <w:pStyle w:val="2"/>
        <w:rPr>
          <w:rFonts w:hint="eastAsia" w:ascii="仿宋" w:hAnsi="仿宋" w:eastAsia="仿宋" w:cs="仿宋"/>
          <w:sz w:val="32"/>
          <w:szCs w:val="32"/>
        </w:rPr>
      </w:pPr>
    </w:p>
    <w:p>
      <w:pPr>
        <w:pStyle w:val="2"/>
        <w:rPr>
          <w:rFonts w:hint="eastAsia" w:ascii="仿宋" w:hAnsi="仿宋" w:eastAsia="仿宋" w:cs="仿宋"/>
          <w:sz w:val="32"/>
          <w:szCs w:val="32"/>
        </w:rPr>
      </w:pPr>
    </w:p>
    <w:p>
      <w:pPr>
        <w:spacing w:after="156" w:afterLines="50" w:line="560" w:lineRule="exact"/>
        <w:jc w:val="center"/>
        <w:rPr>
          <w:rFonts w:ascii="Times New Roman" w:hAnsi="Times New Roman" w:eastAsia="黑体" w:cs="Times New Roman"/>
          <w:sz w:val="32"/>
          <w:szCs w:val="32"/>
          <w:highlight w:val="none"/>
        </w:rPr>
      </w:pPr>
      <w:bookmarkStart w:id="63" w:name="_Toc3615"/>
      <w:bookmarkStart w:id="64" w:name="_Toc28992"/>
      <w:r>
        <w:rPr>
          <w:rFonts w:ascii="Times New Roman" w:hAnsi="Times New Roman" w:eastAsia="黑体" w:cs="Times New Roman"/>
          <w:sz w:val="32"/>
          <w:szCs w:val="32"/>
          <w:highlight w:val="none"/>
        </w:rPr>
        <w:t>绩效评价工作程序和时间安排表</w:t>
      </w:r>
    </w:p>
    <w:tbl>
      <w:tblPr>
        <w:tblStyle w:val="20"/>
        <w:tblW w:w="850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8"/>
        <w:gridCol w:w="534"/>
        <w:gridCol w:w="4293"/>
        <w:gridCol w:w="1814"/>
        <w:gridCol w:w="11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688" w:type="dxa"/>
            <w:shd w:val="clear" w:color="auto" w:fill="C0C0C0"/>
            <w:vAlign w:val="center"/>
          </w:tcPr>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阶段</w:t>
            </w:r>
          </w:p>
          <w:p>
            <w:pPr>
              <w:adjustRightInd w:val="0"/>
              <w:snapToGrid w:val="0"/>
              <w:jc w:val="distribute"/>
              <w:rPr>
                <w:rFonts w:hint="eastAsia" w:ascii="仿宋" w:hAnsi="仿宋" w:eastAsia="仿宋" w:cs="仿宋"/>
                <w:b/>
                <w:bCs/>
                <w:sz w:val="20"/>
                <w:szCs w:val="20"/>
              </w:rPr>
            </w:pPr>
            <w:r>
              <w:rPr>
                <w:rFonts w:hint="eastAsia" w:ascii="仿宋" w:hAnsi="仿宋" w:eastAsia="仿宋" w:cs="仿宋"/>
                <w:b/>
                <w:bCs/>
                <w:sz w:val="20"/>
                <w:szCs w:val="20"/>
              </w:rPr>
              <w:t>安排</w:t>
            </w:r>
          </w:p>
        </w:tc>
        <w:tc>
          <w:tcPr>
            <w:tcW w:w="4827" w:type="dxa"/>
            <w:gridSpan w:val="2"/>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工作内容</w:t>
            </w:r>
          </w:p>
        </w:tc>
        <w:tc>
          <w:tcPr>
            <w:tcW w:w="1814"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进度安排</w:t>
            </w:r>
          </w:p>
        </w:tc>
        <w:tc>
          <w:tcPr>
            <w:tcW w:w="1175" w:type="dxa"/>
            <w:shd w:val="clear" w:color="auto" w:fill="C0C0C0"/>
            <w:vAlign w:val="center"/>
          </w:tcPr>
          <w:p>
            <w:pPr>
              <w:adjustRightInd w:val="0"/>
              <w:snapToGrid w:val="0"/>
              <w:jc w:val="center"/>
              <w:rPr>
                <w:rFonts w:hint="eastAsia" w:ascii="仿宋" w:hAnsi="仿宋" w:eastAsia="仿宋" w:cs="仿宋"/>
                <w:b/>
                <w:bCs/>
                <w:sz w:val="20"/>
                <w:szCs w:val="20"/>
              </w:rPr>
            </w:pPr>
            <w:r>
              <w:rPr>
                <w:rFonts w:hint="eastAsia" w:ascii="仿宋" w:hAnsi="仿宋" w:eastAsia="仿宋" w:cs="仿宋"/>
                <w:b/>
                <w:bCs/>
                <w:sz w:val="20"/>
                <w:szCs w:val="20"/>
              </w:rPr>
              <w:t>参与方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8" w:hRule="atLeast"/>
          <w:jc w:val="center"/>
        </w:trPr>
        <w:tc>
          <w:tcPr>
            <w:tcW w:w="688" w:type="dxa"/>
            <w:vMerge w:val="restart"/>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b/>
                <w:bCs/>
                <w:spacing w:val="40"/>
                <w:sz w:val="20"/>
                <w:szCs w:val="20"/>
              </w:rPr>
              <w:t>评价准备阶段</w:t>
            </w: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制定《项目实施工作方案》，收集并研究分析项目政策资料，编制指标评价体系和资料清单，并发送被评价单位准备资料。</w:t>
            </w:r>
          </w:p>
        </w:tc>
        <w:tc>
          <w:tcPr>
            <w:tcW w:w="1814" w:type="dxa"/>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01</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b/>
                <w:bCs/>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3"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restart"/>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编写相关文本</w:t>
            </w:r>
          </w:p>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准备资料</w:t>
            </w: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首轮提交文本及资料：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1.项目单位提交自评绩效报告；</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2.项目单位按照资料清单要求准备相关资料，提交评价工作组。</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vMerge w:val="restart"/>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0"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jc w:val="left"/>
              <w:rPr>
                <w:rFonts w:hint="eastAsia" w:ascii="仿宋" w:hAnsi="仿宋" w:eastAsia="仿宋" w:cs="仿宋"/>
                <w:sz w:val="20"/>
                <w:szCs w:val="20"/>
              </w:rPr>
            </w:pPr>
          </w:p>
        </w:tc>
        <w:tc>
          <w:tcPr>
            <w:tcW w:w="4293" w:type="dxa"/>
            <w:tcBorders>
              <w:bottom w:val="single" w:color="auto" w:sz="4" w:space="0"/>
            </w:tcBorders>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修改文本及补充资料：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1.评价工作组提出绩效报告修改意见，并反馈项目单位进行修改；</w:t>
            </w:r>
          </w:p>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sz w:val="20"/>
                <w:szCs w:val="20"/>
              </w:rPr>
              <w:t>2.评价工作组对资料进行审核，提出补充修改意见。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20</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7" w:hRule="atLeast"/>
          <w:jc w:val="center"/>
        </w:trPr>
        <w:tc>
          <w:tcPr>
            <w:tcW w:w="688" w:type="dxa"/>
            <w:vMerge w:val="continue"/>
            <w:shd w:val="clear" w:color="auto" w:fill="auto"/>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534" w:type="dxa"/>
            <w:vMerge w:val="continue"/>
            <w:shd w:val="clear" w:color="auto" w:fill="auto"/>
            <w:vAlign w:val="center"/>
          </w:tcPr>
          <w:p>
            <w:pPr>
              <w:adjustRightInd w:val="0"/>
              <w:snapToGrid w:val="0"/>
              <w:spacing w:after="120"/>
              <w:jc w:val="left"/>
              <w:rPr>
                <w:rFonts w:hint="eastAsia" w:ascii="仿宋" w:hAnsi="仿宋" w:eastAsia="仿宋" w:cs="仿宋"/>
                <w:b/>
                <w:bCs/>
                <w:sz w:val="20"/>
                <w:szCs w:val="20"/>
              </w:rPr>
            </w:pPr>
          </w:p>
        </w:tc>
        <w:tc>
          <w:tcPr>
            <w:tcW w:w="4293" w:type="dxa"/>
            <w:shd w:val="clear" w:color="auto" w:fill="auto"/>
            <w:vAlign w:val="center"/>
          </w:tcPr>
          <w:p>
            <w:pPr>
              <w:adjustRightInd w:val="0"/>
              <w:snapToGrid w:val="0"/>
              <w:jc w:val="left"/>
              <w:rPr>
                <w:rFonts w:hint="eastAsia" w:ascii="Times New Roman" w:hAnsi="Times New Roman" w:eastAsia="仿宋_GB2312" w:cs="仿宋"/>
                <w:b/>
                <w:bCs/>
                <w:sz w:val="20"/>
                <w:szCs w:val="20"/>
              </w:rPr>
            </w:pPr>
            <w:r>
              <w:rPr>
                <w:rFonts w:hint="eastAsia" w:ascii="Times New Roman" w:hAnsi="Times New Roman" w:eastAsia="仿宋_GB2312" w:cs="仿宋"/>
                <w:b/>
                <w:bCs/>
                <w:sz w:val="20"/>
                <w:szCs w:val="20"/>
              </w:rPr>
              <w:t>确定终版文本及资料：</w:t>
            </w:r>
          </w:p>
          <w:p>
            <w:pPr>
              <w:adjustRightInd w:val="0"/>
              <w:snapToGrid w:val="0"/>
              <w:jc w:val="left"/>
              <w:rPr>
                <w:rFonts w:hint="eastAsia" w:ascii="Times New Roman" w:hAnsi="Times New Roman" w:eastAsia="仿宋_GB2312" w:cs="仿宋"/>
                <w:sz w:val="20"/>
                <w:szCs w:val="20"/>
              </w:rPr>
            </w:pPr>
            <w:r>
              <w:rPr>
                <w:rFonts w:hint="eastAsia" w:ascii="Times New Roman" w:hAnsi="Times New Roman" w:eastAsia="仿宋_GB2312" w:cs="仿宋"/>
                <w:sz w:val="20"/>
                <w:szCs w:val="20"/>
              </w:rPr>
              <w:t>1.评价工作组再次审核绩效报告，项目单位参照修改意见进行修改并定稿；</w:t>
            </w:r>
          </w:p>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sz w:val="20"/>
                <w:szCs w:val="20"/>
              </w:rPr>
              <w:t>2.项目单位按照补充修改意见完善资料，并将终版资料提交评价工作组，并签署资料确认单。</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03</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22</w:t>
            </w:r>
            <w:r>
              <w:rPr>
                <w:rFonts w:hint="eastAsia" w:ascii="Times New Roman" w:hAnsi="Times New Roman" w:eastAsia="仿宋_GB2312" w:cs="仿宋"/>
                <w:sz w:val="20"/>
                <w:szCs w:val="20"/>
              </w:rPr>
              <w:t>日</w:t>
            </w:r>
          </w:p>
        </w:tc>
        <w:tc>
          <w:tcPr>
            <w:tcW w:w="1175" w:type="dxa"/>
            <w:vMerge w:val="continue"/>
            <w:shd w:val="clear" w:color="auto" w:fill="auto"/>
            <w:vAlign w:val="center"/>
          </w:tcPr>
          <w:p>
            <w:pPr>
              <w:adjustRightInd w:val="0"/>
              <w:snapToGrid w:val="0"/>
              <w:jc w:val="center"/>
              <w:rPr>
                <w:rFonts w:hint="eastAsia" w:ascii="仿宋" w:hAnsi="仿宋" w:eastAsia="仿宋" w:cs="仿宋"/>
                <w:sz w:val="20"/>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8" w:hRule="atLeast"/>
          <w:jc w:val="center"/>
        </w:trPr>
        <w:tc>
          <w:tcPr>
            <w:tcW w:w="688" w:type="dxa"/>
            <w:vMerge w:val="continue"/>
            <w:shd w:val="clear" w:color="auto" w:fill="auto"/>
            <w:textDirection w:val="tbRlV"/>
            <w:vAlign w:val="center"/>
          </w:tcPr>
          <w:p>
            <w:pPr>
              <w:adjustRightInd w:val="0"/>
              <w:snapToGrid w:val="0"/>
              <w:ind w:firstLine="560" w:firstLineChars="200"/>
              <w:jc w:val="center"/>
              <w:rPr>
                <w:rFonts w:hint="eastAsia" w:ascii="仿宋" w:hAnsi="仿宋" w:eastAsia="仿宋" w:cs="仿宋"/>
                <w:spacing w:val="40"/>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整理、分析资料：</w:t>
            </w:r>
            <w:r>
              <w:rPr>
                <w:rFonts w:hint="eastAsia" w:ascii="Times New Roman" w:hAnsi="Times New Roman" w:eastAsia="仿宋_GB2312" w:cs="仿宋"/>
                <w:sz w:val="20"/>
                <w:szCs w:val="20"/>
              </w:rPr>
              <w:t>评价工作组对所收集资料进行整理、对资金支出情况进行分析，就有关问题与项目单位核实。</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项目单位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0" w:hRule="atLeast"/>
          <w:jc w:val="center"/>
        </w:trPr>
        <w:tc>
          <w:tcPr>
            <w:tcW w:w="688" w:type="dxa"/>
            <w:vMerge w:val="continue"/>
            <w:shd w:val="clear" w:color="auto" w:fill="auto"/>
            <w:textDirection w:val="tbRlV"/>
            <w:vAlign w:val="center"/>
          </w:tcPr>
          <w:p>
            <w:pPr>
              <w:adjustRightInd w:val="0"/>
              <w:snapToGrid w:val="0"/>
              <w:ind w:left="113" w:leftChars="0" w:firstLine="560" w:firstLineChars="200"/>
              <w:jc w:val="center"/>
              <w:rPr>
                <w:rFonts w:hint="eastAsia" w:ascii="仿宋" w:hAnsi="仿宋" w:eastAsia="仿宋" w:cs="仿宋"/>
                <w:spacing w:val="40"/>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成立评价工作小组：</w:t>
            </w:r>
            <w:r>
              <w:rPr>
                <w:rFonts w:hint="eastAsia" w:ascii="Times New Roman" w:hAnsi="Times New Roman" w:eastAsia="仿宋_GB2312" w:cs="仿宋"/>
                <w:sz w:val="20"/>
                <w:szCs w:val="20"/>
              </w:rPr>
              <w:t>遴选相关业务、财务、管理等组成评价工作小组，并对小组成员进行培训。</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04</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4</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4" w:hRule="atLeast"/>
          <w:jc w:val="center"/>
        </w:trPr>
        <w:tc>
          <w:tcPr>
            <w:tcW w:w="688" w:type="dxa"/>
            <w:vMerge w:val="restart"/>
            <w:shd w:val="clear" w:color="auto" w:fill="auto"/>
            <w:textDirection w:val="tbRlV"/>
            <w:vAlign w:val="center"/>
          </w:tcPr>
          <w:p>
            <w:pPr>
              <w:adjustRightInd w:val="0"/>
              <w:snapToGrid w:val="0"/>
              <w:ind w:firstLine="281" w:firstLineChars="100"/>
              <w:rPr>
                <w:rFonts w:hint="eastAsia" w:ascii="仿宋" w:hAnsi="仿宋" w:eastAsia="仿宋" w:cs="仿宋"/>
                <w:spacing w:val="40"/>
                <w:sz w:val="20"/>
                <w:szCs w:val="20"/>
              </w:rPr>
            </w:pPr>
            <w:r>
              <w:rPr>
                <w:rFonts w:hint="eastAsia" w:ascii="Times New Roman" w:hAnsi="Times New Roman" w:eastAsia="仿宋_GB2312" w:cs="仿宋"/>
                <w:b/>
                <w:bCs/>
                <w:spacing w:val="40"/>
                <w:sz w:val="20"/>
                <w:szCs w:val="20"/>
              </w:rPr>
              <w:t>评价实施阶段</w:t>
            </w: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现场调研：</w:t>
            </w:r>
            <w:r>
              <w:rPr>
                <w:rFonts w:hint="eastAsia" w:ascii="Times New Roman" w:hAnsi="Times New Roman" w:eastAsia="仿宋_GB2312" w:cs="仿宋"/>
                <w:sz w:val="20"/>
                <w:szCs w:val="20"/>
              </w:rPr>
              <w:t>根据项目情况，评价工作组对项目现场进行调研，核实项目完成情况及效益实现情况。</w:t>
            </w:r>
          </w:p>
        </w:tc>
        <w:tc>
          <w:tcPr>
            <w:tcW w:w="1814" w:type="dxa"/>
            <w:tcBorders>
              <w:bottom w:val="single" w:color="auto" w:sz="4" w:space="0"/>
            </w:tcBorders>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10</w:t>
            </w:r>
            <w:r>
              <w:rPr>
                <w:rFonts w:hint="eastAsia" w:ascii="Times New Roman" w:hAnsi="Times New Roman" w:eastAsia="仿宋_GB2312" w:cs="仿宋"/>
                <w:sz w:val="20"/>
                <w:szCs w:val="20"/>
              </w:rPr>
              <w:t>日</w:t>
            </w:r>
          </w:p>
        </w:tc>
        <w:tc>
          <w:tcPr>
            <w:tcW w:w="1175" w:type="dxa"/>
            <w:tcBorders>
              <w:bottom w:val="single" w:color="auto" w:sz="4" w:space="0"/>
            </w:tcBorders>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rPr>
                <w:rFonts w:hint="eastAsia" w:ascii="仿宋" w:hAnsi="仿宋" w:eastAsia="仿宋" w:cs="仿宋"/>
                <w:b/>
                <w:bCs/>
                <w:sz w:val="20"/>
                <w:szCs w:val="20"/>
              </w:rPr>
            </w:pPr>
            <w:r>
              <w:rPr>
                <w:rFonts w:hint="eastAsia" w:ascii="Times New Roman" w:hAnsi="Times New Roman" w:eastAsia="仿宋_GB2312" w:cs="仿宋"/>
                <w:b/>
                <w:bCs/>
                <w:sz w:val="20"/>
                <w:szCs w:val="20"/>
              </w:rPr>
              <w:t>组织针对性培训：</w:t>
            </w:r>
            <w:r>
              <w:rPr>
                <w:rFonts w:hint="eastAsia" w:ascii="Times New Roman" w:hAnsi="Times New Roman" w:eastAsia="仿宋_GB2312" w:cs="仿宋"/>
                <w:sz w:val="20"/>
                <w:szCs w:val="20"/>
              </w:rPr>
              <w:t>评价工作组根据预算部门（单位）的不同需求，开展有针对性的培训工作。</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05</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12</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688" w:type="dxa"/>
            <w:vMerge w:val="continue"/>
            <w:shd w:val="clear" w:color="auto" w:fill="auto"/>
            <w:textDirection w:val="tbRlV"/>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b/>
                <w:bCs/>
                <w:sz w:val="20"/>
                <w:szCs w:val="20"/>
              </w:rPr>
            </w:pPr>
            <w:r>
              <w:rPr>
                <w:rFonts w:hint="eastAsia" w:ascii="Times New Roman" w:hAnsi="Times New Roman" w:eastAsia="仿宋_GB2312" w:cs="仿宋"/>
                <w:b/>
                <w:bCs/>
                <w:sz w:val="20"/>
                <w:szCs w:val="20"/>
              </w:rPr>
              <w:t>现场评价会：</w:t>
            </w:r>
            <w:r>
              <w:rPr>
                <w:rFonts w:hint="eastAsia" w:ascii="Times New Roman" w:hAnsi="Times New Roman" w:eastAsia="仿宋_GB2312" w:cs="仿宋"/>
                <w:sz w:val="20"/>
                <w:szCs w:val="20"/>
              </w:rPr>
              <w:t>召开现场评价会议，核实项目执行情况，出具评价意见。</w:t>
            </w:r>
          </w:p>
        </w:tc>
        <w:tc>
          <w:tcPr>
            <w:tcW w:w="1814" w:type="dxa"/>
            <w:shd w:val="clear" w:color="auto" w:fill="auto"/>
            <w:vAlign w:val="center"/>
          </w:tcPr>
          <w:p>
            <w:pPr>
              <w:adjustRightInd w:val="0"/>
              <w:snapToGrid w:val="0"/>
              <w:spacing w:before="120"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8" w:hRule="atLeast"/>
          <w:jc w:val="center"/>
        </w:trPr>
        <w:tc>
          <w:tcPr>
            <w:tcW w:w="688" w:type="dxa"/>
            <w:vMerge w:val="restart"/>
            <w:shd w:val="clear" w:color="auto" w:fill="auto"/>
            <w:textDirection w:val="tbRlV"/>
            <w:vAlign w:val="center"/>
          </w:tcPr>
          <w:p>
            <w:pPr>
              <w:adjustRightInd w:val="0"/>
              <w:snapToGrid w:val="0"/>
              <w:ind w:firstLine="120" w:firstLineChars="50"/>
              <w:rPr>
                <w:rFonts w:hint="eastAsia" w:ascii="仿宋" w:hAnsi="仿宋" w:eastAsia="仿宋" w:cs="仿宋"/>
                <w:spacing w:val="20"/>
                <w:sz w:val="20"/>
                <w:szCs w:val="20"/>
              </w:rPr>
            </w:pPr>
            <w:r>
              <w:rPr>
                <w:rFonts w:hint="eastAsia" w:ascii="Times New Roman" w:hAnsi="Times New Roman" w:eastAsia="仿宋_GB2312" w:cs="仿宋"/>
                <w:b/>
                <w:bCs/>
                <w:spacing w:val="20"/>
                <w:sz w:val="20"/>
                <w:szCs w:val="20"/>
              </w:rPr>
              <w:t>形成报告阶段</w:t>
            </w: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撰写报告：</w:t>
            </w:r>
            <w:r>
              <w:rPr>
                <w:rFonts w:hint="eastAsia" w:ascii="Times New Roman" w:hAnsi="Times New Roman" w:eastAsia="仿宋_GB2312" w:cs="仿宋"/>
                <w:sz w:val="20"/>
                <w:szCs w:val="20"/>
              </w:rPr>
              <w:t>评价工作组撰写项目绩效评价报告。</w:t>
            </w:r>
          </w:p>
        </w:tc>
        <w:tc>
          <w:tcPr>
            <w:tcW w:w="1814"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16</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评价机构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0"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tcBorders>
              <w:bottom w:val="single" w:color="auto" w:sz="4" w:space="0"/>
            </w:tcBorders>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报告征求意见：</w:t>
            </w:r>
            <w:r>
              <w:rPr>
                <w:rFonts w:hint="eastAsia" w:ascii="Times New Roman" w:hAnsi="Times New Roman" w:eastAsia="仿宋_GB2312" w:cs="仿宋"/>
                <w:sz w:val="20"/>
                <w:szCs w:val="20"/>
              </w:rPr>
              <w:t>评价报告经评价机构三级审核后，送交委托方及项目单位征求意见。</w:t>
            </w:r>
          </w:p>
        </w:tc>
        <w:tc>
          <w:tcPr>
            <w:tcW w:w="1814" w:type="dxa"/>
            <w:tcBorders>
              <w:bottom w:val="single" w:color="auto" w:sz="4" w:space="0"/>
            </w:tcBorders>
            <w:shd w:val="clear" w:color="auto" w:fill="auto"/>
            <w:vAlign w:val="center"/>
          </w:tcPr>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lang w:val="en-US" w:eastAsia="zh-CN"/>
              </w:rPr>
              <w:t>23</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38" w:hRule="atLeast"/>
          <w:jc w:val="center"/>
        </w:trPr>
        <w:tc>
          <w:tcPr>
            <w:tcW w:w="688" w:type="dxa"/>
            <w:vMerge w:val="continue"/>
            <w:shd w:val="clear" w:color="auto" w:fill="auto"/>
            <w:vAlign w:val="center"/>
          </w:tcPr>
          <w:p>
            <w:pPr>
              <w:adjustRightInd w:val="0"/>
              <w:snapToGrid w:val="0"/>
              <w:ind w:firstLine="400" w:firstLineChars="200"/>
              <w:jc w:val="center"/>
              <w:rPr>
                <w:rFonts w:hint="eastAsia" w:ascii="仿宋" w:hAnsi="仿宋" w:eastAsia="仿宋" w:cs="仿宋"/>
                <w:sz w:val="20"/>
                <w:szCs w:val="20"/>
              </w:rPr>
            </w:pPr>
          </w:p>
        </w:tc>
        <w:tc>
          <w:tcPr>
            <w:tcW w:w="4827" w:type="dxa"/>
            <w:gridSpan w:val="2"/>
            <w:shd w:val="clear" w:color="auto" w:fill="auto"/>
            <w:vAlign w:val="center"/>
          </w:tcPr>
          <w:p>
            <w:pPr>
              <w:adjustRightInd w:val="0"/>
              <w:snapToGrid w:val="0"/>
              <w:jc w:val="left"/>
              <w:rPr>
                <w:rFonts w:hint="eastAsia" w:ascii="仿宋" w:hAnsi="仿宋" w:eastAsia="仿宋" w:cs="仿宋"/>
                <w:sz w:val="20"/>
                <w:szCs w:val="20"/>
              </w:rPr>
            </w:pPr>
            <w:r>
              <w:rPr>
                <w:rFonts w:hint="eastAsia" w:ascii="Times New Roman" w:hAnsi="Times New Roman" w:eastAsia="仿宋_GB2312" w:cs="仿宋"/>
                <w:b/>
                <w:bCs/>
                <w:sz w:val="20"/>
                <w:szCs w:val="20"/>
              </w:rPr>
              <w:t>报送报告：</w:t>
            </w:r>
            <w:r>
              <w:rPr>
                <w:rFonts w:hint="eastAsia" w:ascii="Times New Roman" w:hAnsi="Times New Roman" w:eastAsia="仿宋_GB2312" w:cs="仿宋"/>
                <w:sz w:val="20"/>
                <w:szCs w:val="20"/>
              </w:rPr>
              <w:t>根据委托方意见修改报告，在规定时间内正式向委托方报送绩效评价报告。</w:t>
            </w:r>
          </w:p>
        </w:tc>
        <w:tc>
          <w:tcPr>
            <w:tcW w:w="1814" w:type="dxa"/>
            <w:shd w:val="clear" w:color="auto" w:fill="auto"/>
            <w:vAlign w:val="center"/>
          </w:tcPr>
          <w:p>
            <w:pPr>
              <w:adjustRightInd w:val="0"/>
              <w:snapToGrid w:val="0"/>
              <w:spacing w:after="120"/>
              <w:jc w:val="center"/>
              <w:rPr>
                <w:rFonts w:hint="eastAsia" w:ascii="仿宋" w:hAnsi="仿宋" w:eastAsia="仿宋" w:cs="仿宋"/>
                <w:sz w:val="20"/>
                <w:szCs w:val="20"/>
              </w:rPr>
            </w:pPr>
            <w:r>
              <w:rPr>
                <w:rFonts w:hint="eastAsia" w:ascii="Times New Roman" w:hAnsi="Times New Roman" w:eastAsia="仿宋_GB2312" w:cs="仿宋"/>
                <w:sz w:val="20"/>
                <w:szCs w:val="20"/>
                <w:lang w:eastAsia="zh-CN"/>
              </w:rPr>
              <w:t>202</w:t>
            </w:r>
            <w:r>
              <w:rPr>
                <w:rFonts w:hint="eastAsia" w:ascii="Times New Roman" w:hAnsi="Times New Roman" w:eastAsia="仿宋_GB2312" w:cs="仿宋"/>
                <w:sz w:val="20"/>
                <w:szCs w:val="20"/>
                <w:lang w:val="en-US" w:eastAsia="zh-CN"/>
              </w:rPr>
              <w:t>2</w:t>
            </w:r>
            <w:r>
              <w:rPr>
                <w:rFonts w:hint="eastAsia" w:ascii="Times New Roman" w:hAnsi="Times New Roman" w:eastAsia="仿宋_GB2312" w:cs="仿宋"/>
                <w:sz w:val="20"/>
                <w:szCs w:val="20"/>
              </w:rPr>
              <w:t>年</w:t>
            </w:r>
            <w:r>
              <w:rPr>
                <w:rFonts w:hint="eastAsia" w:ascii="Times New Roman" w:hAnsi="Times New Roman" w:eastAsia="仿宋_GB2312" w:cs="仿宋"/>
                <w:sz w:val="20"/>
                <w:szCs w:val="20"/>
                <w:lang w:val="en-US" w:eastAsia="zh-CN"/>
              </w:rPr>
              <w:t>06</w:t>
            </w:r>
            <w:r>
              <w:rPr>
                <w:rFonts w:hint="eastAsia" w:ascii="Times New Roman" w:hAnsi="Times New Roman" w:eastAsia="仿宋_GB2312" w:cs="仿宋"/>
                <w:sz w:val="20"/>
                <w:szCs w:val="20"/>
              </w:rPr>
              <w:t>月</w:t>
            </w:r>
            <w:r>
              <w:rPr>
                <w:rFonts w:hint="eastAsia" w:ascii="Times New Roman" w:hAnsi="Times New Roman" w:eastAsia="仿宋_GB2312" w:cs="仿宋"/>
                <w:sz w:val="20"/>
                <w:szCs w:val="20"/>
                <w:highlight w:val="none"/>
                <w:lang w:val="en-US" w:eastAsia="zh-CN"/>
              </w:rPr>
              <w:t>30</w:t>
            </w:r>
            <w:r>
              <w:rPr>
                <w:rFonts w:hint="eastAsia" w:ascii="Times New Roman" w:hAnsi="Times New Roman" w:eastAsia="仿宋_GB2312" w:cs="仿宋"/>
                <w:sz w:val="20"/>
                <w:szCs w:val="20"/>
              </w:rPr>
              <w:t>日</w:t>
            </w:r>
          </w:p>
        </w:tc>
        <w:tc>
          <w:tcPr>
            <w:tcW w:w="1175" w:type="dxa"/>
            <w:shd w:val="clear" w:color="auto" w:fill="auto"/>
            <w:vAlign w:val="center"/>
          </w:tcPr>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评价机构</w:t>
            </w:r>
          </w:p>
          <w:p>
            <w:pPr>
              <w:adjustRightInd w:val="0"/>
              <w:snapToGrid w:val="0"/>
              <w:jc w:val="center"/>
              <w:rPr>
                <w:rFonts w:hint="eastAsia" w:ascii="Times New Roman" w:hAnsi="Times New Roman" w:eastAsia="仿宋_GB2312" w:cs="仿宋"/>
                <w:sz w:val="20"/>
                <w:szCs w:val="20"/>
              </w:rPr>
            </w:pPr>
            <w:r>
              <w:rPr>
                <w:rFonts w:hint="eastAsia" w:ascii="Times New Roman" w:hAnsi="Times New Roman" w:eastAsia="仿宋_GB2312" w:cs="仿宋"/>
                <w:sz w:val="20"/>
                <w:szCs w:val="20"/>
              </w:rPr>
              <w:t>项目单位</w:t>
            </w:r>
          </w:p>
          <w:p>
            <w:pPr>
              <w:adjustRightInd w:val="0"/>
              <w:snapToGrid w:val="0"/>
              <w:jc w:val="center"/>
              <w:rPr>
                <w:rFonts w:hint="eastAsia" w:ascii="仿宋" w:hAnsi="仿宋" w:eastAsia="仿宋" w:cs="仿宋"/>
                <w:sz w:val="20"/>
                <w:szCs w:val="20"/>
              </w:rPr>
            </w:pPr>
            <w:r>
              <w:rPr>
                <w:rFonts w:hint="eastAsia" w:ascii="Times New Roman" w:hAnsi="Times New Roman" w:eastAsia="仿宋_GB2312" w:cs="仿宋"/>
                <w:sz w:val="20"/>
                <w:szCs w:val="20"/>
              </w:rPr>
              <w:t>委托单位</w:t>
            </w:r>
          </w:p>
        </w:tc>
      </w:tr>
    </w:tbl>
    <w:p>
      <w:pPr>
        <w:pStyle w:val="34"/>
        <w:tabs>
          <w:tab w:val="left" w:pos="1559"/>
        </w:tabs>
        <w:adjustRightInd w:val="0"/>
        <w:snapToGrid w:val="0"/>
        <w:spacing w:line="560" w:lineRule="exact"/>
        <w:ind w:left="0" w:leftChars="0" w:firstLine="640" w:firstLineChars="200"/>
        <w:outlineLvl w:val="2"/>
        <w:rPr>
          <w:rFonts w:ascii="楷体" w:hAnsi="楷体" w:eastAsia="楷体" w:cs="楷体"/>
          <w:bCs/>
          <w:sz w:val="32"/>
          <w:szCs w:val="32"/>
        </w:rPr>
      </w:pPr>
      <w:r>
        <w:rPr>
          <w:rFonts w:hint="eastAsia" w:ascii="楷体" w:hAnsi="楷体" w:eastAsia="楷体" w:cs="楷体"/>
          <w:bCs/>
          <w:sz w:val="32"/>
          <w:szCs w:val="32"/>
        </w:rPr>
        <w:t>2.实地调研概况</w:t>
      </w:r>
      <w:bookmarkEnd w:id="63"/>
      <w:bookmarkEnd w:id="64"/>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走访调查：采取现场走访调查的形式，了解项目实际情况。到项目实施单位及实施现场，深入实地进行调研和分析，严格按照项目实施方案进行管理，了解前期工作及项目实施情况。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研读文件：通过检查实施单位自评（总结）报告、研读相关制度文件等，了解在项目实施过程中，作为项目主管单位，是否对项目实施进行协调监督管理，是否制定相关、有效的监督管理制度，是否监督落实项目建设质量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审阅项目财务收支情况：审阅该项目实施单位记录资金收支的凭证、后附单据及相关文件，审阅该项目的相关规定，审核资金收支是否合规等。</w:t>
      </w:r>
    </w:p>
    <w:p>
      <w:pPr>
        <w:adjustRightInd w:val="0"/>
        <w:snapToGrid w:val="0"/>
        <w:spacing w:line="560" w:lineRule="exact"/>
        <w:ind w:firstLine="640" w:firstLineChars="200"/>
        <w:jc w:val="left"/>
        <w:outlineLvl w:val="0"/>
        <w:rPr>
          <w:rFonts w:ascii="黑体" w:hAnsi="黑体" w:eastAsia="黑体" w:cs="宋体"/>
          <w:sz w:val="32"/>
          <w:szCs w:val="32"/>
        </w:rPr>
      </w:pPr>
      <w:bookmarkStart w:id="65" w:name="_Toc27359"/>
      <w:r>
        <w:rPr>
          <w:rFonts w:hint="eastAsia" w:ascii="黑体" w:hAnsi="黑体" w:eastAsia="黑体" w:cs="宋体"/>
          <w:sz w:val="32"/>
          <w:szCs w:val="32"/>
        </w:rPr>
        <w:t>三、绩效评价分析</w:t>
      </w:r>
      <w:bookmarkEnd w:id="65"/>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绩效评价分析</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highlight w:val="none"/>
        </w:rPr>
      </w:pPr>
      <w:bookmarkStart w:id="66" w:name="_Toc5787"/>
      <w:r>
        <w:rPr>
          <w:rFonts w:hint="eastAsia" w:ascii="仿宋_GB2312" w:hAnsi="仿宋" w:eastAsia="仿宋_GB2312" w:cs="宋体"/>
          <w:b/>
          <w:bCs/>
          <w:sz w:val="32"/>
          <w:szCs w:val="32"/>
          <w:highlight w:val="none"/>
        </w:rPr>
        <w:t>（一）项目决策分析</w:t>
      </w:r>
      <w:bookmarkEnd w:id="66"/>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bookmarkStart w:id="67" w:name="_Toc27861"/>
      <w:r>
        <w:rPr>
          <w:rFonts w:hint="eastAsia" w:ascii="楷体" w:hAnsi="楷体" w:eastAsia="楷体" w:cs="楷体"/>
          <w:bCs/>
          <w:sz w:val="32"/>
          <w:szCs w:val="32"/>
          <w:highlight w:val="none"/>
        </w:rPr>
        <w:t>1.</w:t>
      </w:r>
      <w:r>
        <w:rPr>
          <w:rFonts w:hint="eastAsia" w:ascii="楷体" w:hAnsi="楷体" w:eastAsia="楷体" w:cs="楷体"/>
          <w:bCs/>
          <w:sz w:val="32"/>
          <w:szCs w:val="32"/>
          <w:highlight w:val="none"/>
          <w:lang w:val="en-US" w:eastAsia="zh-CN"/>
        </w:rPr>
        <w:t xml:space="preserve">项目立项情况  </w:t>
      </w:r>
    </w:p>
    <w:p>
      <w:pPr>
        <w:adjustRightInd w:val="0"/>
        <w:snapToGrid w:val="0"/>
        <w:spacing w:line="560" w:lineRule="exact"/>
        <w:ind w:firstLine="640" w:firstLineChars="200"/>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1</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立项依据的充分性</w:t>
      </w:r>
    </w:p>
    <w:p>
      <w:pPr>
        <w:pStyle w:val="42"/>
        <w:keepNext w:val="0"/>
        <w:keepLines w:val="0"/>
        <w:pageBreakBefore w:val="0"/>
        <w:widowControl w:val="0"/>
        <w:kinsoku/>
        <w:wordWrap/>
        <w:overflowPunct/>
        <w:topLinePunct w:val="0"/>
        <w:autoSpaceDE/>
        <w:autoSpaceDN/>
        <w:bidi w:val="0"/>
        <w:adjustRightInd/>
        <w:snapToGrid/>
        <w:spacing w:line="560" w:lineRule="exact"/>
        <w:ind w:left="0" w:firstLine="56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符合《财政部、农业农村部关于开展农村“厕所革命”整村推进财政奖补工作的通知》（财农〔2019〕19号），《推进农村“厕所革命”专项行动的实施意见》等文件内容，项目的立项符合相关法规政策及部门职责，依据充分；项目是按照规定的程序申请设立；审批文件、材料符合相关要求，项目前期是已经过必要的集体决策。</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（2）立项程序规范性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决策依据情况：项目符合经济社会发展规划和部门年度工作计划，为全面贯彻落实自治区、自治区、地区关于实现“农村美”的决策部署，制定《洛浦县人居环境整治项目实施方案》，并</w:t>
      </w:r>
      <w:r>
        <w:rPr>
          <w:rFonts w:hint="eastAsia" w:ascii="仿宋_GB2312" w:hAnsi="仿宋_GB2312" w:eastAsia="仿宋_GB2312" w:cs="仿宋_GB2312"/>
          <w:bCs/>
          <w:sz w:val="32"/>
          <w:szCs w:val="32"/>
          <w:lang w:val="en-US" w:eastAsia="zh-CN"/>
        </w:rPr>
        <w:t>根据《关于做好2021年自治区农村人居环境整治资金预算的通知》(新财农2020 121 号)，《关于提前下达2021年自治区农村人居环境整治资金预算的通知》(和地财农2020 68号)，《关于提前下达2021年自治区农村人居环境整治资金预算的通知》（洛财农〔2021〕012号）等文件精神开始实施该项目</w:t>
      </w:r>
      <w:r>
        <w:rPr>
          <w:rFonts w:hint="eastAsia" w:ascii="仿宋_GB2312" w:hAnsi="仿宋_GB2312" w:eastAsia="仿宋_GB2312" w:cs="仿宋_GB2312"/>
          <w:sz w:val="32"/>
          <w:szCs w:val="32"/>
          <w:highlight w:val="none"/>
          <w:lang w:val="en-US" w:eastAsia="zh-CN"/>
        </w:rPr>
        <w:t>。</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楷体" w:hAnsi="楷体" w:eastAsia="楷体" w:cs="楷体"/>
          <w:bCs/>
          <w:sz w:val="32"/>
          <w:szCs w:val="32"/>
          <w:highlight w:val="cyan"/>
          <w:lang w:val="en-US"/>
        </w:rPr>
      </w:pPr>
      <w:r>
        <w:rPr>
          <w:rFonts w:hint="eastAsia" w:ascii="仿宋_GB2312" w:hAnsi="仿宋_GB2312" w:eastAsia="仿宋_GB2312" w:cs="仿宋_GB2312"/>
          <w:sz w:val="32"/>
          <w:szCs w:val="32"/>
          <w:highlight w:val="none"/>
          <w:lang w:val="en-US" w:eastAsia="zh-CN"/>
        </w:rPr>
        <w:t>决策程序情况：按照地区印发的实施方案，由农业农村局牵头编辑实施方案并报人民政府审批，相关乡镇人民政府负责登记符合条件的收益户信息，核定受益户名单，负责监管监督项目具体实施情况及进度、并做好项目验收，落实及资金发放到户工作及报农业农村局,农业农村局通过开会再次对受益户信息进行核定，无异议后报给财政局并申请拨付补奖资金，相关乡镇人民政府按照核定的名单发放资金</w:t>
      </w:r>
      <w:bookmarkEnd w:id="67"/>
      <w:r>
        <w:rPr>
          <w:rFonts w:hint="eastAsia" w:ascii="仿宋_GB2312" w:hAnsi="仿宋_GB2312" w:eastAsia="仿宋_GB2312" w:cs="仿宋_GB2312"/>
          <w:sz w:val="32"/>
          <w:szCs w:val="32"/>
          <w:highlight w:val="none"/>
          <w:lang w:val="en-US" w:eastAsia="zh-CN"/>
        </w:rPr>
        <w:t>；由此可见</w:t>
      </w:r>
      <w:r>
        <w:rPr>
          <w:rFonts w:hint="eastAsia" w:ascii="仿宋" w:hAnsi="仿宋" w:eastAsia="仿宋" w:cs="仿宋"/>
          <w:sz w:val="32"/>
          <w:szCs w:val="32"/>
          <w:highlight w:val="none"/>
          <w:lang w:val="en-US" w:eastAsia="zh-CN"/>
        </w:rPr>
        <w:t>项目立项程序简洁规范。</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2.绩效目标设立情况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（1）绩效目标合理性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绩效目标的内涵明确、具体、可衡量。所设立的绩效目标可以考核并能够指导洛浦县农业农村局人居环境整治项目的业务工作。指标与评价对象密切相关，全面反映项目实施内容及项目预期绩效情况，绩效目标设立符合洛浦县农业农村局2021年工作计划，明确了项目产出数量和预期达到的效果。整体来看，绩效目标设立比较明确。</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（2）绩效指标明确性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该项目所设置绩效目标是：一级指标3条，二级指标8条，三级指标13条，可量化指标10条，指标量化率76.92%，该项目总体绩效目标明确，符合绩效目标明确、细化、量化条件。</w:t>
      </w:r>
    </w:p>
    <w:p>
      <w:pPr>
        <w:adjustRightInd w:val="0"/>
        <w:snapToGrid w:val="0"/>
        <w:spacing w:line="560" w:lineRule="exact"/>
        <w:ind w:firstLine="640" w:firstLineChars="200"/>
        <w:outlineLvl w:val="2"/>
        <w:rPr>
          <w:rFonts w:hint="default" w:ascii="楷体" w:hAnsi="楷体" w:eastAsia="楷体" w:cs="楷体"/>
          <w:bCs/>
          <w:kern w:val="2"/>
          <w:sz w:val="32"/>
          <w:szCs w:val="32"/>
          <w:lang w:val="en-US" w:eastAsia="zh-CN" w:bidi="ar-SA"/>
        </w:rPr>
      </w:pPr>
      <w:r>
        <w:rPr>
          <w:rFonts w:hint="eastAsia" w:ascii="楷体" w:hAnsi="楷体" w:eastAsia="楷体" w:cs="楷体"/>
          <w:bCs/>
          <w:kern w:val="2"/>
          <w:sz w:val="32"/>
          <w:szCs w:val="32"/>
          <w:lang w:val="en-US" w:eastAsia="zh-CN" w:bidi="ar-SA"/>
        </w:rPr>
        <w:t>3.资金投入情况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（1）预算编制科学性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该项目主要是对9个乡镇6000户实施2021年农村人居环境整治“厕所革命”工程,按照“三防两有”标准通过验收后按照600元/人的标准发放补助。通过实施农村人居环境整治“厕所革命”工程，改善农村环境和卫生条件提高农民健康水平，提高农村文明化程度，养成良好的生活习惯。</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yellow"/>
          <w:lang w:val="en-US" w:eastAsia="zh-CN"/>
        </w:rPr>
      </w:pPr>
      <w:r>
        <w:rPr>
          <w:rFonts w:hint="eastAsia" w:ascii="仿宋_GB2312" w:hAnsi="仿宋_GB2312" w:eastAsia="仿宋_GB2312" w:cs="仿宋_GB2312"/>
          <w:sz w:val="32"/>
          <w:szCs w:val="32"/>
          <w:highlight w:val="none"/>
          <w:lang w:val="en-US" w:eastAsia="zh-CN"/>
        </w:rPr>
        <w:t>洛浦县农业农村局根据项目情况进行预算编制，使项目的资金额度与年度目标相适应，制定了明确详细的项目资金支出计划和进度，该项目预算编制比较科学合理。</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（2）资金分配合理性</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eastAsia" w:ascii="仿宋_GB2312" w:hAnsi="仿宋_GB2312" w:eastAsia="仿宋_GB2312" w:cs="仿宋_GB2312"/>
          <w:sz w:val="32"/>
          <w:szCs w:val="32"/>
          <w:highlight w:val="none"/>
          <w:lang w:val="en-US" w:eastAsia="zh-CN"/>
        </w:rPr>
      </w:pPr>
      <w:bookmarkStart w:id="68" w:name="_Toc5610"/>
      <w:r>
        <w:rPr>
          <w:rFonts w:hint="eastAsia" w:ascii="仿宋_GB2312" w:hAnsi="仿宋_GB2312" w:eastAsia="仿宋_GB2312" w:cs="仿宋_GB2312"/>
          <w:sz w:val="32"/>
          <w:szCs w:val="32"/>
          <w:highlight w:val="none"/>
          <w:lang w:val="en-US" w:eastAsia="zh-CN"/>
        </w:rPr>
        <w:t>项目预算资金分配具有测算依据，分配额度合理，与补助单位或地方实际相适应，与工作任务相匹配，充分体现了资金分配的合理性。</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（二）项目管理</w:t>
      </w:r>
      <w:r>
        <w:rPr>
          <w:rFonts w:hint="eastAsia" w:ascii="仿宋_GB2312" w:hAnsi="仿宋" w:eastAsia="仿宋_GB2312" w:cs="宋体"/>
          <w:b/>
          <w:bCs/>
          <w:sz w:val="32"/>
          <w:szCs w:val="32"/>
          <w:lang w:val="en-US" w:eastAsia="zh-CN"/>
        </w:rPr>
        <w:t>过程</w:t>
      </w:r>
      <w:r>
        <w:rPr>
          <w:rFonts w:hint="eastAsia" w:ascii="仿宋_GB2312" w:hAnsi="仿宋" w:eastAsia="仿宋_GB2312" w:cs="宋体"/>
          <w:b/>
          <w:bCs/>
          <w:sz w:val="32"/>
          <w:szCs w:val="32"/>
        </w:rPr>
        <w:t>情况分析</w:t>
      </w:r>
      <w:bookmarkEnd w:id="68"/>
    </w:p>
    <w:p>
      <w:pPr>
        <w:pStyle w:val="34"/>
        <w:tabs>
          <w:tab w:val="left" w:pos="1559"/>
        </w:tabs>
        <w:adjustRightInd w:val="0"/>
        <w:snapToGrid w:val="0"/>
        <w:spacing w:line="560" w:lineRule="exact"/>
        <w:ind w:firstLine="640"/>
        <w:outlineLvl w:val="2"/>
        <w:rPr>
          <w:rFonts w:hint="eastAsia" w:ascii="楷体" w:hAnsi="楷体" w:eastAsia="楷体" w:cs="楷体"/>
          <w:bCs/>
          <w:color w:val="auto"/>
          <w:sz w:val="32"/>
          <w:szCs w:val="32"/>
          <w:lang w:val="en-US" w:eastAsia="zh-CN"/>
        </w:rPr>
      </w:pPr>
      <w:bookmarkStart w:id="69" w:name="_Toc11398"/>
      <w:r>
        <w:rPr>
          <w:rFonts w:hint="eastAsia" w:ascii="楷体" w:hAnsi="楷体" w:eastAsia="楷体" w:cs="楷体"/>
          <w:bCs/>
          <w:color w:val="auto"/>
          <w:sz w:val="32"/>
          <w:szCs w:val="32"/>
        </w:rPr>
        <w:t>1.项目资金</w:t>
      </w:r>
      <w:bookmarkEnd w:id="69"/>
      <w:r>
        <w:rPr>
          <w:rFonts w:hint="eastAsia" w:ascii="楷体" w:hAnsi="楷体" w:eastAsia="楷体" w:cs="楷体"/>
          <w:bCs/>
          <w:color w:val="auto"/>
          <w:sz w:val="32"/>
          <w:szCs w:val="32"/>
          <w:lang w:val="en-US" w:eastAsia="zh-CN"/>
        </w:rPr>
        <w:t>情况</w:t>
      </w:r>
    </w:p>
    <w:p>
      <w:pPr>
        <w:adjustRightInd w:val="0"/>
        <w:snapToGrid w:val="0"/>
        <w:spacing w:line="560" w:lineRule="exact"/>
        <w:ind w:firstLine="640" w:firstLineChars="200"/>
        <w:rPr>
          <w:rFonts w:hint="eastAsia" w:ascii="仿宋_GB2312" w:hAnsi="仿宋_GB2312" w:eastAsia="仿宋_GB2312" w:cs="仿宋_GB2312"/>
          <w:color w:val="auto"/>
          <w:sz w:val="32"/>
          <w:szCs w:val="32"/>
        </w:rPr>
      </w:pPr>
      <w:r>
        <w:rPr>
          <w:rFonts w:hint="eastAsia" w:ascii="仿宋_GB2312" w:hAnsi="仿宋_GB2312" w:eastAsia="仿宋_GB2312" w:cs="仿宋_GB2312"/>
          <w:color w:val="auto"/>
          <w:sz w:val="32"/>
          <w:szCs w:val="32"/>
        </w:rPr>
        <w:t>（</w:t>
      </w:r>
      <w:r>
        <w:rPr>
          <w:rFonts w:hint="eastAsia" w:ascii="仿宋_GB2312" w:hAnsi="仿宋_GB2312" w:eastAsia="仿宋_GB2312" w:cs="仿宋_GB2312"/>
          <w:color w:val="auto"/>
          <w:sz w:val="32"/>
          <w:szCs w:val="32"/>
          <w:lang w:val="en-US" w:eastAsia="zh-CN"/>
        </w:rPr>
        <w:t>1</w:t>
      </w:r>
      <w:r>
        <w:rPr>
          <w:rFonts w:hint="eastAsia" w:ascii="仿宋_GB2312" w:hAnsi="仿宋_GB2312" w:eastAsia="仿宋_GB2312" w:cs="仿宋_GB2312"/>
          <w:color w:val="auto"/>
          <w:sz w:val="32"/>
          <w:szCs w:val="32"/>
        </w:rPr>
        <w:t>）资金到位情况</w:t>
      </w:r>
    </w:p>
    <w:p>
      <w:pPr>
        <w:pStyle w:val="42"/>
        <w:keepNext w:val="0"/>
        <w:keepLines w:val="0"/>
        <w:pageBreakBefore w:val="0"/>
        <w:widowControl w:val="0"/>
        <w:kinsoku/>
        <w:wordWrap/>
        <w:overflowPunct/>
        <w:topLinePunct w:val="0"/>
        <w:autoSpaceDE/>
        <w:autoSpaceDN/>
        <w:bidi w:val="0"/>
        <w:adjustRightInd/>
        <w:snapToGrid/>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color w:val="auto"/>
          <w:sz w:val="32"/>
          <w:szCs w:val="32"/>
          <w:highlight w:val="none"/>
          <w:lang w:val="en-US" w:eastAsia="zh-CN"/>
        </w:rPr>
        <w:t>该项目预算资金为360.00万元，实际到位资金为360.00万元；资金来源为自治区专项资金</w:t>
      </w:r>
      <w:r>
        <w:rPr>
          <w:rFonts w:hint="eastAsia" w:ascii="仿宋_GB2312" w:hAnsi="仿宋_GB2312" w:eastAsia="仿宋_GB2312" w:cs="仿宋_GB2312"/>
          <w:color w:val="auto"/>
          <w:kern w:val="2"/>
          <w:sz w:val="32"/>
          <w:szCs w:val="32"/>
          <w:highlight w:val="none"/>
          <w:lang w:val="en-US" w:eastAsia="zh-CN" w:bidi="ar-SA"/>
        </w:rPr>
        <w:t>。</w:t>
      </w:r>
      <w:r>
        <w:rPr>
          <w:rFonts w:hint="eastAsia" w:ascii="仿宋_GB2312" w:hAnsi="仿宋_GB2312" w:eastAsia="仿宋_GB2312" w:cs="仿宋_GB2312"/>
          <w:color w:val="auto"/>
          <w:sz w:val="32"/>
          <w:szCs w:val="32"/>
          <w:highlight w:val="none"/>
          <w:lang w:val="en-US" w:eastAsia="zh-CN"/>
        </w:rPr>
        <w:t>资金</w:t>
      </w:r>
      <w:r>
        <w:rPr>
          <w:rFonts w:hint="eastAsia" w:ascii="仿宋_GB2312" w:hAnsi="仿宋_GB2312" w:eastAsia="仿宋_GB2312" w:cs="仿宋_GB2312"/>
          <w:sz w:val="32"/>
          <w:szCs w:val="32"/>
          <w:highlight w:val="none"/>
          <w:lang w:val="en-US" w:eastAsia="zh-CN"/>
        </w:rPr>
        <w:t>到位率100%。</w:t>
      </w:r>
    </w:p>
    <w:p>
      <w:pPr>
        <w:pStyle w:val="42"/>
        <w:keepNext w:val="0"/>
        <w:keepLines w:val="0"/>
        <w:pageBreakBefore w:val="0"/>
        <w:widowControl w:val="0"/>
        <w:kinsoku/>
        <w:wordWrap/>
        <w:overflowPunct/>
        <w:topLinePunct w:val="0"/>
        <w:autoSpaceDE/>
        <w:autoSpaceDN/>
        <w:bidi w:val="0"/>
        <w:spacing w:line="560" w:lineRule="exact"/>
        <w:ind w:firstLine="560"/>
        <w:textAlignment w:val="auto"/>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（2）预算管理情况</w:t>
      </w:r>
    </w:p>
    <w:p>
      <w:pPr>
        <w:keepNext w:val="0"/>
        <w:keepLines w:val="0"/>
        <w:pageBreakBefore w:val="0"/>
        <w:widowControl w:val="0"/>
        <w:kinsoku/>
        <w:wordWrap/>
        <w:overflowPunct/>
        <w:topLinePunct w:val="0"/>
        <w:autoSpaceDE/>
        <w:autoSpaceDN/>
        <w:bidi w:val="0"/>
        <w:adjustRightInd w:val="0"/>
        <w:snapToGrid w:val="0"/>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预算执行与预算编制基本一致，项目预算360.00万元，实际支出360.00万元，预算执行率100%。</w:t>
      </w:r>
    </w:p>
    <w:p>
      <w:pPr>
        <w:numPr>
          <w:ilvl w:val="0"/>
          <w:numId w:val="7"/>
        </w:numPr>
        <w:adjustRightInd w:val="0"/>
        <w:snapToGrid w:val="0"/>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sz w:val="32"/>
          <w:szCs w:val="32"/>
        </w:rPr>
        <w:t>资金使用合规性</w:t>
      </w:r>
    </w:p>
    <w:p>
      <w:pPr>
        <w:pStyle w:val="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资金严格按照《农村环境整治资金管理办法》的通知（财资环〔2021〕43号）文件要求支付资金；资金的支付有完整的审批程序和手续，符合制度要求；项目资金进行单独核算，财务手续基本合理、完整，资金支付是按照自治区和洛浦县自治区专项资金管理办法规定执行，资金使用规范合理。未发现专项资金有截留、挤占、挪用、虚列开支等情况。</w:t>
      </w:r>
    </w:p>
    <w:p>
      <w:pPr>
        <w:pStyle w:val="34"/>
        <w:tabs>
          <w:tab w:val="left" w:pos="1559"/>
        </w:tabs>
        <w:adjustRightInd w:val="0"/>
        <w:snapToGrid w:val="0"/>
        <w:spacing w:line="560" w:lineRule="exact"/>
        <w:ind w:firstLine="640"/>
        <w:outlineLvl w:val="2"/>
        <w:rPr>
          <w:rFonts w:hint="default" w:ascii="楷体" w:hAnsi="楷体" w:eastAsia="楷体" w:cs="楷体"/>
          <w:bCs/>
          <w:sz w:val="32"/>
          <w:szCs w:val="32"/>
          <w:lang w:val="en-US" w:eastAsia="zh-CN"/>
        </w:rPr>
      </w:pPr>
      <w:r>
        <w:rPr>
          <w:rFonts w:hint="eastAsia" w:ascii="楷体" w:hAnsi="楷体" w:eastAsia="楷体" w:cs="楷体"/>
          <w:bCs/>
          <w:sz w:val="32"/>
          <w:szCs w:val="32"/>
          <w:lang w:val="en-US" w:eastAsia="zh-CN"/>
        </w:rPr>
        <w:t>2</w:t>
      </w:r>
      <w:r>
        <w:rPr>
          <w:rFonts w:hint="eastAsia" w:ascii="楷体" w:hAnsi="楷体" w:eastAsia="楷体" w:cs="楷体"/>
          <w:bCs/>
          <w:sz w:val="32"/>
          <w:szCs w:val="32"/>
        </w:rPr>
        <w:t>.</w:t>
      </w:r>
      <w:r>
        <w:rPr>
          <w:rFonts w:hint="eastAsia" w:ascii="楷体" w:hAnsi="楷体" w:eastAsia="楷体" w:cs="楷体"/>
          <w:bCs/>
          <w:sz w:val="32"/>
          <w:szCs w:val="32"/>
          <w:lang w:val="en-US" w:eastAsia="zh-CN"/>
        </w:rPr>
        <w:t>组织实施情况</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（1）管理制度健全性</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洛浦县农业农村局项目资金管理参照《农村环境整治资金管理办法》的通知（财资环〔2021〕43号）等文件，规范了项目资金使用标准，确保项目实施单位的资金预算申请、资金执行、资金调整、监督检查、验收等过程在相关制度和流程的有效监督管控之下。项目单位建立《项目管理制度》，制度涵盖了项目的设立、质量管理、安全管理、成本控制、项目验收等流程管理制度，项目管理制度健全。</w:t>
      </w:r>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（2）制度执行有效性</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default" w:ascii="仿宋_GB2312" w:hAnsi="仿宋_GB2312" w:eastAsia="仿宋_GB2312" w:cs="仿宋_GB2312"/>
          <w:sz w:val="32"/>
          <w:szCs w:val="32"/>
          <w:highlight w:val="none"/>
          <w:lang w:val="en-US" w:eastAsia="zh-CN"/>
        </w:rPr>
      </w:pPr>
      <w:r>
        <w:rPr>
          <w:rFonts w:hint="eastAsia" w:ascii="仿宋_GB2312" w:hAnsi="仿宋_GB2312" w:eastAsia="仿宋_GB2312" w:cs="仿宋_GB2312"/>
          <w:sz w:val="32"/>
          <w:szCs w:val="32"/>
          <w:highlight w:val="none"/>
          <w:lang w:val="en-US" w:eastAsia="zh-CN"/>
        </w:rPr>
        <w:t>项目资金支出严格按照自治区、地区（市）、县专项资金管理办法运行，项目启动实施后，为了加快该项目的实施，项目严格按照有关管理制度和资金管理制度实施。单位不定期下项目现场进行视察，督促项目进度，把控项目质量，要求按时按标准完成项目。按照合同约定提出资金拨付申请，按程序审批后报账。</w:t>
      </w:r>
      <w:r>
        <w:rPr>
          <w:rFonts w:hint="eastAsia" w:ascii="仿宋_GB2312" w:hAnsi="仿宋_GB2312" w:eastAsia="仿宋_GB2312" w:cs="仿宋_GB2312"/>
          <w:kern w:val="2"/>
          <w:sz w:val="32"/>
          <w:szCs w:val="32"/>
          <w:lang w:val="en-US" w:eastAsia="zh-CN" w:bidi="ar-SA"/>
        </w:rPr>
        <w:t>建立健全财务管理制度，健全</w:t>
      </w:r>
      <w:r>
        <w:rPr>
          <w:rFonts w:hint="eastAsia" w:ascii="仿宋_GB2312" w:hAnsi="仿宋_GB2312" w:eastAsia="仿宋_GB2312" w:cs="仿宋_GB2312"/>
          <w:kern w:val="2"/>
          <w:sz w:val="32"/>
          <w:szCs w:val="32"/>
          <w:highlight w:val="none"/>
          <w:lang w:val="en-US" w:eastAsia="zh-CN" w:bidi="ar-SA"/>
        </w:rPr>
        <w:t>民政专项资金发放台账，</w:t>
      </w:r>
      <w:r>
        <w:rPr>
          <w:rFonts w:hint="eastAsia" w:ascii="仿宋_GB2312" w:hAnsi="仿宋_GB2312" w:eastAsia="仿宋_GB2312" w:cs="仿宋_GB2312"/>
          <w:kern w:val="2"/>
          <w:sz w:val="32"/>
          <w:szCs w:val="32"/>
          <w:lang w:val="en-US" w:eastAsia="zh-CN" w:bidi="ar-SA"/>
        </w:rPr>
        <w:t>做好与金融机构的定期对账工作，确保项目专项资金安全使用，</w:t>
      </w:r>
      <w:r>
        <w:rPr>
          <w:rFonts w:hint="eastAsia" w:ascii="仿宋_GB2312" w:hAnsi="仿宋_GB2312" w:eastAsia="仿宋_GB2312" w:cs="仿宋_GB2312"/>
          <w:sz w:val="32"/>
          <w:szCs w:val="32"/>
          <w:lang w:val="en-US" w:eastAsia="zh-CN"/>
        </w:rPr>
        <w:t>资金的支付有完整的审批程序和手续，符合制度要求；项目资金进行单独核算，财务手续基本合理、完整，未发现专项资金有截留、挤占、挪用、虚列开支等情况。但是，资料归档不规范，缺失各乡镇项目最终验收报告，会议纪要及项目现场照片。</w:t>
      </w:r>
    </w:p>
    <w:p>
      <w:pPr>
        <w:pStyle w:val="34"/>
        <w:adjustRightInd w:val="0"/>
        <w:snapToGrid w:val="0"/>
        <w:spacing w:line="560" w:lineRule="exact"/>
        <w:ind w:left="420" w:leftChars="200" w:firstLine="321" w:firstLineChars="100"/>
        <w:outlineLvl w:val="1"/>
        <w:rPr>
          <w:rFonts w:hint="eastAsia" w:ascii="楷体" w:hAnsi="楷体" w:eastAsia="楷体" w:cs="楷体"/>
          <w:bCs/>
          <w:sz w:val="32"/>
          <w:szCs w:val="32"/>
          <w:highlight w:val="none"/>
          <w:lang w:val="en-US" w:eastAsia="zh-CN"/>
        </w:rPr>
      </w:pPr>
      <w:bookmarkStart w:id="70" w:name="_Toc31015"/>
      <w:r>
        <w:rPr>
          <w:rFonts w:hint="eastAsia" w:ascii="仿宋_GB2312" w:hAnsi="仿宋" w:eastAsia="仿宋_GB2312" w:cs="宋体"/>
          <w:b/>
          <w:bCs/>
          <w:sz w:val="32"/>
          <w:szCs w:val="32"/>
          <w:highlight w:val="none"/>
        </w:rPr>
        <w:t>（</w:t>
      </w:r>
      <w:r>
        <w:rPr>
          <w:rFonts w:hint="eastAsia" w:ascii="仿宋_GB2312" w:hAnsi="仿宋" w:eastAsia="仿宋_GB2312" w:cs="宋体"/>
          <w:b/>
          <w:bCs/>
          <w:sz w:val="32"/>
          <w:szCs w:val="32"/>
          <w:highlight w:val="none"/>
          <w:lang w:val="en-US" w:eastAsia="zh-CN"/>
        </w:rPr>
        <w:t>三</w:t>
      </w:r>
      <w:r>
        <w:rPr>
          <w:rFonts w:hint="eastAsia" w:ascii="仿宋_GB2312" w:hAnsi="仿宋" w:eastAsia="仿宋_GB2312" w:cs="宋体"/>
          <w:b/>
          <w:bCs/>
          <w:sz w:val="32"/>
          <w:szCs w:val="32"/>
          <w:highlight w:val="none"/>
        </w:rPr>
        <w:t>）项目</w:t>
      </w:r>
      <w:r>
        <w:rPr>
          <w:rFonts w:hint="eastAsia" w:ascii="仿宋_GB2312" w:hAnsi="仿宋" w:eastAsia="仿宋_GB2312" w:cs="宋体"/>
          <w:b/>
          <w:bCs/>
          <w:sz w:val="32"/>
          <w:szCs w:val="32"/>
          <w:highlight w:val="none"/>
          <w:lang w:val="en-US" w:eastAsia="zh-CN"/>
        </w:rPr>
        <w:t>产出</w:t>
      </w:r>
      <w:r>
        <w:rPr>
          <w:rFonts w:hint="eastAsia" w:ascii="仿宋_GB2312" w:hAnsi="仿宋" w:eastAsia="仿宋_GB2312" w:cs="宋体"/>
          <w:b/>
          <w:bCs/>
          <w:sz w:val="32"/>
          <w:szCs w:val="32"/>
          <w:highlight w:val="none"/>
        </w:rPr>
        <w:t>情况分析</w:t>
      </w:r>
      <w:bookmarkEnd w:id="70"/>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1.产出数量情况</w:t>
      </w:r>
    </w:p>
    <w:p>
      <w:pPr>
        <w:pStyle w:val="34"/>
        <w:tabs>
          <w:tab w:val="left" w:pos="1559"/>
        </w:tabs>
        <w:adjustRightInd w:val="0"/>
        <w:snapToGrid w:val="0"/>
        <w:spacing w:line="560" w:lineRule="exact"/>
        <w:ind w:firstLine="640"/>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截止评价日，该项目已完成对9个乡镇6000户实施2021年农村人居环境整治“厕所革命”工程,按照“三防两有”标准通过验收后发放补助，达到了年初预期指标。</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2.产出质量情况</w:t>
      </w:r>
    </w:p>
    <w:p>
      <w:pPr>
        <w:pStyle w:val="34"/>
        <w:tabs>
          <w:tab w:val="left" w:pos="1559"/>
        </w:tabs>
        <w:adjustRightInd w:val="0"/>
        <w:snapToGrid w:val="0"/>
        <w:spacing w:line="560" w:lineRule="exact"/>
        <w:ind w:firstLine="640"/>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改厕实际设施合格率为大于等于90%，达标的卫生厕所覆盖率大于等于85%，达到了年初预期指标。</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3.产出时效情况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人居环境整治项目享受户数6000户，补助标准为小于等于600元，截止8月30日，按照600元/人的标准已发放补助，补助资金发放及时率达到了100%。</w:t>
      </w:r>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highlight w:val="yellow"/>
          <w:lang w:val="en-US" w:eastAsia="zh-CN"/>
        </w:rPr>
      </w:pPr>
      <w:r>
        <w:rPr>
          <w:rFonts w:hint="eastAsia" w:ascii="楷体" w:hAnsi="楷体" w:eastAsia="楷体" w:cs="楷体"/>
          <w:bCs/>
          <w:sz w:val="32"/>
          <w:szCs w:val="32"/>
          <w:highlight w:val="none"/>
          <w:lang w:val="en-US" w:eastAsia="zh-CN"/>
        </w:rPr>
        <w:t>4.产出成本情况</w:t>
      </w:r>
    </w:p>
    <w:p>
      <w:pPr>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bookmarkStart w:id="71" w:name="_Toc3708"/>
      <w:r>
        <w:rPr>
          <w:rFonts w:hint="eastAsia" w:ascii="仿宋_GB2312" w:hAnsi="仿宋_GB2312" w:eastAsia="仿宋_GB2312" w:cs="仿宋_GB2312"/>
          <w:kern w:val="2"/>
          <w:sz w:val="32"/>
          <w:szCs w:val="32"/>
          <w:highlight w:val="none"/>
          <w:lang w:val="en-US" w:eastAsia="zh-CN" w:bidi="ar-SA"/>
        </w:rPr>
        <w:t>项目受益户6000户，截止8月30日，按照600元/人的标准已发放补助项目实际支出金额为360.00万元，项目支出有效控制在预算范围内。</w:t>
      </w:r>
    </w:p>
    <w:p>
      <w:pPr>
        <w:pStyle w:val="7"/>
        <w:ind w:firstLine="321" w:firstLineChars="100"/>
        <w:rPr>
          <w:rFonts w:hint="eastAsia" w:ascii="仿宋_GB2312" w:hAnsi="仿宋" w:eastAsia="仿宋_GB2312" w:cs="宋体"/>
          <w:b/>
          <w:bCs/>
          <w:sz w:val="32"/>
          <w:szCs w:val="32"/>
          <w:lang w:val="en-US" w:eastAsia="zh-CN"/>
        </w:rPr>
      </w:pPr>
      <w:r>
        <w:rPr>
          <w:rFonts w:hint="eastAsia" w:ascii="仿宋_GB2312" w:hAnsi="仿宋" w:eastAsia="仿宋_GB2312" w:cs="宋体"/>
          <w:b/>
          <w:bCs/>
          <w:sz w:val="32"/>
          <w:szCs w:val="32"/>
          <w:lang w:val="en-US" w:eastAsia="zh-CN"/>
        </w:rPr>
        <w:t>（四）项目效益评价分析</w:t>
      </w:r>
      <w:bookmarkEnd w:id="71"/>
    </w:p>
    <w:p>
      <w:pPr>
        <w:pStyle w:val="34"/>
        <w:tabs>
          <w:tab w:val="left" w:pos="1559"/>
        </w:tabs>
        <w:adjustRightInd w:val="0"/>
        <w:snapToGrid w:val="0"/>
        <w:spacing w:line="560" w:lineRule="exact"/>
        <w:ind w:firstLine="640"/>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1.经济效益情况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该项目未涉及经济效益。</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2.社会效益情况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通过实施农村人居环境整治“厕所革命”工程，改善了农村环境和卫生条件提高农民健康水平，提高了农村文明化程度，养成了良好的生活习惯。</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楷体" w:hAnsi="楷体" w:eastAsia="楷体" w:cs="楷体"/>
          <w:bCs/>
          <w:sz w:val="32"/>
          <w:szCs w:val="32"/>
          <w:highlight w:val="none"/>
          <w:lang w:val="en-US" w:eastAsia="zh-CN"/>
        </w:rPr>
      </w:pPr>
      <w:r>
        <w:rPr>
          <w:rFonts w:hint="eastAsia" w:ascii="楷体" w:hAnsi="楷体" w:eastAsia="楷体" w:cs="楷体"/>
          <w:bCs/>
          <w:sz w:val="32"/>
          <w:szCs w:val="32"/>
          <w:highlight w:val="none"/>
          <w:lang w:val="en-US" w:eastAsia="zh-CN"/>
        </w:rPr>
        <w:t>3.生态效益情况</w:t>
      </w:r>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sz w:val="32"/>
          <w:szCs w:val="32"/>
          <w:highlight w:val="none"/>
        </w:rPr>
      </w:pPr>
      <w:r>
        <w:rPr>
          <w:rFonts w:hint="eastAsia" w:ascii="仿宋_GB2312" w:hAnsi="仿宋_GB2312" w:eastAsia="仿宋_GB2312" w:cs="仿宋_GB2312"/>
          <w:sz w:val="32"/>
          <w:szCs w:val="32"/>
          <w:highlight w:val="none"/>
        </w:rPr>
        <w:t>逐步完成“厕所革命”整村推进行整村的粪污卫生处理和资源化利用</w:t>
      </w:r>
      <w:r>
        <w:rPr>
          <w:rFonts w:hint="eastAsia" w:ascii="仿宋_GB2312" w:hAnsi="仿宋_GB2312" w:eastAsia="仿宋_GB2312" w:cs="仿宋_GB2312"/>
          <w:sz w:val="32"/>
          <w:szCs w:val="32"/>
          <w:highlight w:val="none"/>
          <w:lang w:val="en-US" w:eastAsia="zh-CN"/>
        </w:rPr>
        <w:t>效益效果显著</w:t>
      </w:r>
      <w:r>
        <w:rPr>
          <w:rFonts w:hint="eastAsia" w:ascii="仿宋_GB2312" w:hAnsi="仿宋_GB2312" w:eastAsia="仿宋_GB2312" w:cs="仿宋_GB2312"/>
          <w:sz w:val="32"/>
          <w:szCs w:val="32"/>
          <w:highlight w:val="none"/>
        </w:rPr>
        <w:t>。</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4.可持续影响情况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default"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该项目保障时间为1年。</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楷体" w:hAnsi="楷体" w:eastAsia="楷体" w:cs="楷体"/>
          <w:bCs/>
          <w:sz w:val="32"/>
          <w:szCs w:val="32"/>
          <w:lang w:val="en-US" w:eastAsia="zh-CN"/>
        </w:rPr>
      </w:pPr>
      <w:r>
        <w:rPr>
          <w:rFonts w:hint="eastAsia" w:ascii="楷体" w:hAnsi="楷体" w:eastAsia="楷体" w:cs="楷体"/>
          <w:bCs/>
          <w:sz w:val="32"/>
          <w:szCs w:val="32"/>
          <w:lang w:val="en-US" w:eastAsia="zh-CN"/>
        </w:rPr>
        <w:t>5.服务对象满意度情况</w:t>
      </w:r>
    </w:p>
    <w:p>
      <w:pPr>
        <w:pStyle w:val="34"/>
        <w:keepNext w:val="0"/>
        <w:keepLines w:val="0"/>
        <w:pageBreakBefore w:val="0"/>
        <w:widowControl w:val="0"/>
        <w:tabs>
          <w:tab w:val="left" w:pos="1559"/>
        </w:tabs>
        <w:kinsoku/>
        <w:wordWrap/>
        <w:overflowPunct/>
        <w:topLinePunct w:val="0"/>
        <w:autoSpaceDE/>
        <w:autoSpaceDN/>
        <w:bidi w:val="0"/>
        <w:adjustRightInd w:val="0"/>
        <w:snapToGrid w:val="0"/>
        <w:spacing w:line="560" w:lineRule="exact"/>
        <w:ind w:firstLine="640"/>
        <w:textAlignment w:val="auto"/>
        <w:outlineLvl w:val="2"/>
        <w:rPr>
          <w:rFonts w:hint="eastAsia" w:ascii="仿宋_GB2312" w:hAnsi="仿宋_GB2312" w:eastAsia="仿宋_GB2312" w:cs="仿宋_GB2312"/>
          <w:kern w:val="2"/>
          <w:sz w:val="32"/>
          <w:szCs w:val="32"/>
          <w:highlight w:val="none"/>
          <w:lang w:val="en-US" w:eastAsia="zh-CN" w:bidi="ar-SA"/>
        </w:rPr>
      </w:pPr>
      <w:bookmarkStart w:id="72" w:name="_Toc6584"/>
      <w:r>
        <w:rPr>
          <w:rFonts w:hint="eastAsia" w:ascii="仿宋_GB2312" w:hAnsi="仿宋_GB2312" w:eastAsia="仿宋_GB2312" w:cs="仿宋_GB2312"/>
          <w:kern w:val="2"/>
          <w:sz w:val="32"/>
          <w:szCs w:val="32"/>
          <w:highlight w:val="none"/>
          <w:lang w:val="en-US" w:eastAsia="zh-CN" w:bidi="ar-SA"/>
        </w:rPr>
        <w:t>通过走访受益对象，发放调查问卷一共600份，回收有效问卷共计600份，按照调查问卷来看，服务对象对项目实施效果的满意程度达100%。</w:t>
      </w:r>
    </w:p>
    <w:p>
      <w:pPr>
        <w:numPr>
          <w:ilvl w:val="0"/>
          <w:numId w:val="0"/>
        </w:num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lang w:val="en-US" w:eastAsia="zh-CN"/>
        </w:rPr>
        <w:t>四、</w:t>
      </w:r>
      <w:r>
        <w:rPr>
          <w:rFonts w:hint="eastAsia" w:ascii="黑体" w:hAnsi="黑体" w:eastAsia="黑体" w:cs="宋体"/>
          <w:sz w:val="32"/>
          <w:szCs w:val="32"/>
          <w:highlight w:val="none"/>
        </w:rPr>
        <w:t>评价结论</w:t>
      </w:r>
      <w:bookmarkEnd w:id="72"/>
    </w:p>
    <w:p>
      <w:pPr>
        <w:pStyle w:val="34"/>
        <w:adjustRightInd w:val="0"/>
        <w:snapToGrid w:val="0"/>
        <w:spacing w:line="560" w:lineRule="exact"/>
        <w:ind w:firstLine="643"/>
        <w:outlineLvl w:val="1"/>
        <w:rPr>
          <w:rFonts w:ascii="仿宋_GB2312" w:hAnsi="仿宋" w:eastAsia="仿宋_GB2312" w:cs="宋体"/>
          <w:b/>
          <w:bCs/>
          <w:sz w:val="32"/>
          <w:szCs w:val="32"/>
        </w:rPr>
      </w:pPr>
      <w:bookmarkStart w:id="73" w:name="_Toc13481"/>
      <w:r>
        <w:rPr>
          <w:rFonts w:hint="eastAsia" w:ascii="仿宋_GB2312" w:hAnsi="仿宋" w:eastAsia="仿宋_GB2312" w:cs="宋体"/>
          <w:b/>
          <w:bCs/>
          <w:sz w:val="32"/>
          <w:szCs w:val="32"/>
        </w:rPr>
        <w:t>（一）评分结果</w:t>
      </w:r>
      <w:bookmarkEnd w:id="73"/>
    </w:p>
    <w:p>
      <w:pPr>
        <w:spacing w:line="560" w:lineRule="exact"/>
        <w:ind w:firstLine="640" w:firstLineChars="200"/>
        <w:rPr>
          <w:rFonts w:ascii="仿宋" w:hAnsi="仿宋" w:eastAsia="仿宋" w:cs="仿宋_GB2312"/>
          <w:sz w:val="32"/>
          <w:szCs w:val="32"/>
          <w:highlight w:val="yellow"/>
        </w:rPr>
      </w:pPr>
      <w:r>
        <w:rPr>
          <w:rFonts w:hint="eastAsia" w:ascii="仿宋_GB2312" w:hAnsi="仿宋_GB2312" w:eastAsia="仿宋_GB2312" w:cs="仿宋_GB2312"/>
          <w:kern w:val="2"/>
          <w:sz w:val="32"/>
          <w:szCs w:val="32"/>
          <w:highlight w:val="none"/>
          <w:lang w:val="en-US" w:eastAsia="zh-CN" w:bidi="ar-SA"/>
        </w:rPr>
        <w:t>经综合评价，项目得分为93分，评价等级为优，一级指标各项得分情况见下表：</w:t>
      </w:r>
    </w:p>
    <w:p>
      <w:pPr>
        <w:pStyle w:val="41"/>
      </w:pPr>
      <w:r>
        <w:rPr>
          <w:rFonts w:hint="eastAsia"/>
          <w:lang w:eastAsia="zh-CN"/>
        </w:rPr>
        <w:t>202</w:t>
      </w:r>
      <w:r>
        <w:rPr>
          <w:rFonts w:hint="eastAsia"/>
          <w:lang w:val="en-US" w:eastAsia="zh-CN"/>
        </w:rPr>
        <w:t>1</w:t>
      </w:r>
      <w:r>
        <w:rPr>
          <w:rFonts w:hint="eastAsia"/>
        </w:rPr>
        <w:t>年度该项目绩效评价</w:t>
      </w:r>
      <w:r>
        <w:t>得分情况表</w:t>
      </w:r>
    </w:p>
    <w:tbl>
      <w:tblPr>
        <w:tblStyle w:val="20"/>
        <w:tblW w:w="830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17"/>
        <w:gridCol w:w="1543"/>
        <w:gridCol w:w="1413"/>
        <w:gridCol w:w="1152"/>
        <w:gridCol w:w="1290"/>
        <w:gridCol w:w="13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6" w:hRule="atLeast"/>
          <w:jc w:val="center"/>
        </w:trPr>
        <w:tc>
          <w:tcPr>
            <w:tcW w:w="1517"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指标</w:t>
            </w:r>
          </w:p>
        </w:tc>
        <w:tc>
          <w:tcPr>
            <w:tcW w:w="1543"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项目决策</w:t>
            </w:r>
          </w:p>
        </w:tc>
        <w:tc>
          <w:tcPr>
            <w:tcW w:w="1413"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过程</w:t>
            </w:r>
          </w:p>
        </w:tc>
        <w:tc>
          <w:tcPr>
            <w:tcW w:w="1152" w:type="dxa"/>
            <w:tcBorders>
              <w:bottom w:val="single" w:color="auto" w:sz="4" w:space="0"/>
            </w:tcBorders>
            <w:shd w:val="clear" w:color="auto" w:fill="A6A6A6"/>
            <w:vAlign w:val="center"/>
          </w:tcPr>
          <w:p>
            <w:pPr>
              <w:pStyle w:val="41"/>
              <w:rPr>
                <w:rFonts w:hint="default" w:ascii="仿宋" w:hAnsi="仿宋" w:eastAsia="仿宋" w:cs="仿宋"/>
                <w:sz w:val="21"/>
                <w:szCs w:val="21"/>
                <w:highlight w:val="none"/>
                <w:lang w:val="en-US" w:eastAsia="zh-CN"/>
              </w:rPr>
            </w:pPr>
            <w:r>
              <w:rPr>
                <w:rFonts w:hint="eastAsia" w:ascii="仿宋" w:hAnsi="仿宋" w:eastAsia="仿宋" w:cs="仿宋"/>
                <w:sz w:val="21"/>
                <w:szCs w:val="21"/>
                <w:highlight w:val="none"/>
                <w:lang w:val="en-US" w:eastAsia="zh-CN"/>
              </w:rPr>
              <w:t>项目产出</w:t>
            </w:r>
          </w:p>
        </w:tc>
        <w:tc>
          <w:tcPr>
            <w:tcW w:w="1290" w:type="dxa"/>
            <w:tcBorders>
              <w:bottom w:val="single" w:color="auto" w:sz="4" w:space="0"/>
            </w:tcBorders>
            <w:shd w:val="clear" w:color="auto" w:fill="A6A6A6"/>
            <w:vAlign w:val="center"/>
          </w:tcPr>
          <w:p>
            <w:pPr>
              <w:pStyle w:val="41"/>
              <w:rPr>
                <w:rFonts w:hint="eastAsia" w:ascii="仿宋" w:hAnsi="仿宋" w:eastAsia="仿宋" w:cs="仿宋"/>
                <w:sz w:val="21"/>
                <w:szCs w:val="21"/>
                <w:highlight w:val="none"/>
                <w:lang w:eastAsia="zh-CN"/>
              </w:rPr>
            </w:pPr>
            <w:r>
              <w:rPr>
                <w:rFonts w:hint="eastAsia" w:ascii="仿宋" w:hAnsi="仿宋" w:eastAsia="仿宋" w:cs="仿宋"/>
                <w:sz w:val="21"/>
                <w:szCs w:val="21"/>
                <w:highlight w:val="none"/>
              </w:rPr>
              <w:t>项目</w:t>
            </w:r>
            <w:r>
              <w:rPr>
                <w:rFonts w:hint="eastAsia" w:ascii="仿宋" w:hAnsi="仿宋" w:eastAsia="仿宋" w:cs="仿宋"/>
                <w:sz w:val="21"/>
                <w:szCs w:val="21"/>
                <w:highlight w:val="none"/>
                <w:lang w:val="en-US" w:eastAsia="zh-CN"/>
              </w:rPr>
              <w:t>效益</w:t>
            </w:r>
          </w:p>
        </w:tc>
        <w:tc>
          <w:tcPr>
            <w:tcW w:w="1388" w:type="dxa"/>
            <w:tcBorders>
              <w:bottom w:val="single" w:color="auto" w:sz="4" w:space="0"/>
            </w:tcBorders>
            <w:shd w:val="clear" w:color="auto" w:fill="A6A6A6"/>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合计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权重</w:t>
            </w:r>
          </w:p>
        </w:tc>
        <w:tc>
          <w:tcPr>
            <w:tcW w:w="1543" w:type="dxa"/>
            <w:vAlign w:val="center"/>
          </w:tcPr>
          <w:p>
            <w:pPr>
              <w:pStyle w:val="41"/>
              <w:rPr>
                <w:rFonts w:hint="eastAsia" w:ascii="仿宋" w:hAnsi="仿宋" w:eastAsia="仿宋" w:cs="仿宋"/>
                <w:b w:val="0"/>
                <w:sz w:val="21"/>
                <w:szCs w:val="21"/>
                <w:highlight w:val="none"/>
                <w:lang w:eastAsia="zh-CN"/>
              </w:rPr>
            </w:pPr>
            <w:r>
              <w:rPr>
                <w:rFonts w:hint="eastAsia" w:ascii="仿宋" w:hAnsi="仿宋" w:eastAsia="仿宋" w:cs="仿宋"/>
                <w:b w:val="0"/>
                <w:sz w:val="21"/>
                <w:szCs w:val="21"/>
                <w:highlight w:val="none"/>
              </w:rPr>
              <w:t>2</w:t>
            </w:r>
            <w:r>
              <w:rPr>
                <w:rFonts w:hint="eastAsia" w:ascii="仿宋" w:hAnsi="仿宋" w:eastAsia="仿宋" w:cs="仿宋"/>
                <w:b w:val="0"/>
                <w:sz w:val="21"/>
                <w:szCs w:val="21"/>
                <w:highlight w:val="none"/>
                <w:lang w:val="en-US" w:eastAsia="zh-CN"/>
              </w:rPr>
              <w:t>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分值</w:t>
            </w:r>
          </w:p>
        </w:tc>
        <w:tc>
          <w:tcPr>
            <w:tcW w:w="154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20</w:t>
            </w:r>
          </w:p>
        </w:tc>
        <w:tc>
          <w:tcPr>
            <w:tcW w:w="1413"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18</w:t>
            </w:r>
          </w:p>
        </w:tc>
        <w:tc>
          <w:tcPr>
            <w:tcW w:w="1152"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24</w:t>
            </w:r>
          </w:p>
        </w:tc>
        <w:tc>
          <w:tcPr>
            <w:tcW w:w="1290"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30</w:t>
            </w:r>
          </w:p>
        </w:tc>
        <w:tc>
          <w:tcPr>
            <w:tcW w:w="1388" w:type="dxa"/>
            <w:vAlign w:val="center"/>
          </w:tcPr>
          <w:p>
            <w:pPr>
              <w:pStyle w:val="41"/>
              <w:rPr>
                <w:rFonts w:hint="default" w:ascii="仿宋" w:hAnsi="仿宋" w:eastAsia="仿宋" w:cs="仿宋"/>
                <w:b w:val="0"/>
                <w:sz w:val="21"/>
                <w:szCs w:val="21"/>
                <w:highlight w:val="none"/>
                <w:lang w:val="en-US" w:eastAsia="zh-CN"/>
              </w:rPr>
            </w:pPr>
            <w:r>
              <w:rPr>
                <w:rFonts w:hint="eastAsia" w:ascii="仿宋" w:hAnsi="仿宋" w:eastAsia="仿宋" w:cs="仿宋"/>
                <w:b w:val="0"/>
                <w:sz w:val="21"/>
                <w:szCs w:val="21"/>
                <w:highlight w:val="none"/>
                <w:lang w:val="en-US" w:eastAsia="zh-CN"/>
              </w:rPr>
              <w:t>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1517" w:type="dxa"/>
            <w:vAlign w:val="center"/>
          </w:tcPr>
          <w:p>
            <w:pPr>
              <w:pStyle w:val="41"/>
              <w:rPr>
                <w:rFonts w:ascii="仿宋" w:hAnsi="仿宋" w:eastAsia="仿宋" w:cs="仿宋"/>
                <w:sz w:val="21"/>
                <w:szCs w:val="21"/>
                <w:highlight w:val="none"/>
              </w:rPr>
            </w:pPr>
            <w:r>
              <w:rPr>
                <w:rFonts w:hint="eastAsia" w:ascii="仿宋" w:hAnsi="仿宋" w:eastAsia="仿宋" w:cs="仿宋"/>
                <w:sz w:val="21"/>
                <w:szCs w:val="21"/>
                <w:highlight w:val="none"/>
              </w:rPr>
              <w:t>得分率</w:t>
            </w:r>
          </w:p>
        </w:tc>
        <w:tc>
          <w:tcPr>
            <w:tcW w:w="154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413"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90</w:t>
            </w:r>
            <w:r>
              <w:rPr>
                <w:rFonts w:hint="eastAsia" w:ascii="仿宋" w:hAnsi="仿宋" w:eastAsia="仿宋" w:cs="仿宋"/>
                <w:b w:val="0"/>
                <w:sz w:val="21"/>
                <w:szCs w:val="21"/>
                <w:highlight w:val="none"/>
              </w:rPr>
              <w:t>%</w:t>
            </w:r>
          </w:p>
        </w:tc>
        <w:tc>
          <w:tcPr>
            <w:tcW w:w="1152" w:type="dxa"/>
            <w:vAlign w:val="center"/>
          </w:tcPr>
          <w:p>
            <w:pPr>
              <w:pStyle w:val="41"/>
              <w:rPr>
                <w:rFonts w:hint="eastAsia"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80</w:t>
            </w:r>
            <w:r>
              <w:rPr>
                <w:rFonts w:hint="eastAsia" w:ascii="仿宋" w:hAnsi="仿宋" w:eastAsia="仿宋" w:cs="仿宋"/>
                <w:b w:val="0"/>
                <w:sz w:val="21"/>
                <w:szCs w:val="21"/>
                <w:highlight w:val="none"/>
              </w:rPr>
              <w:t>%</w:t>
            </w:r>
          </w:p>
        </w:tc>
        <w:tc>
          <w:tcPr>
            <w:tcW w:w="1290"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100</w:t>
            </w:r>
            <w:r>
              <w:rPr>
                <w:rFonts w:hint="eastAsia" w:ascii="仿宋" w:hAnsi="仿宋" w:eastAsia="仿宋" w:cs="仿宋"/>
                <w:b w:val="0"/>
                <w:sz w:val="21"/>
                <w:szCs w:val="21"/>
                <w:highlight w:val="none"/>
              </w:rPr>
              <w:t>%</w:t>
            </w:r>
          </w:p>
        </w:tc>
        <w:tc>
          <w:tcPr>
            <w:tcW w:w="1388" w:type="dxa"/>
            <w:vAlign w:val="center"/>
          </w:tcPr>
          <w:p>
            <w:pPr>
              <w:pStyle w:val="41"/>
              <w:rPr>
                <w:rFonts w:ascii="仿宋" w:hAnsi="仿宋" w:eastAsia="仿宋" w:cs="仿宋"/>
                <w:b w:val="0"/>
                <w:sz w:val="21"/>
                <w:szCs w:val="21"/>
                <w:highlight w:val="none"/>
              </w:rPr>
            </w:pPr>
            <w:r>
              <w:rPr>
                <w:rFonts w:hint="eastAsia" w:ascii="仿宋" w:hAnsi="仿宋" w:eastAsia="仿宋" w:cs="仿宋"/>
                <w:b w:val="0"/>
                <w:sz w:val="21"/>
                <w:szCs w:val="21"/>
                <w:highlight w:val="none"/>
                <w:lang w:val="en-US" w:eastAsia="zh-CN"/>
              </w:rPr>
              <w:t>93</w:t>
            </w:r>
            <w:r>
              <w:rPr>
                <w:rFonts w:hint="eastAsia" w:ascii="仿宋" w:hAnsi="仿宋" w:eastAsia="仿宋" w:cs="仿宋"/>
                <w:b w:val="0"/>
                <w:sz w:val="21"/>
                <w:szCs w:val="21"/>
                <w:highlight w:val="none"/>
              </w:rPr>
              <w:t>%</w:t>
            </w:r>
          </w:p>
        </w:tc>
      </w:tr>
    </w:tbl>
    <w:p>
      <w:pPr>
        <w:pStyle w:val="18"/>
        <w:ind w:firstLine="0" w:firstLineChars="0"/>
        <w:rPr>
          <w:highlight w:val="none"/>
        </w:rPr>
      </w:pPr>
    </w:p>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highlight w:val="none"/>
        </w:rPr>
      </w:pPr>
      <w:r>
        <w:rPr>
          <w:rFonts w:hint="eastAsia" w:ascii="仿宋_GB2312" w:hAnsi="仿宋" w:eastAsia="仿宋_GB2312" w:cs="宋体"/>
          <w:b/>
          <w:bCs/>
          <w:vanish/>
          <w:sz w:val="32"/>
          <w:szCs w:val="32"/>
          <w:highlight w:val="none"/>
        </w:rPr>
        <w:t>评价结论</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4" w:name="_Toc3803"/>
      <w:r>
        <w:rPr>
          <w:rFonts w:hint="eastAsia" w:ascii="仿宋_GB2312" w:hAnsi="仿宋" w:eastAsia="仿宋_GB2312" w:cs="宋体"/>
          <w:b/>
          <w:bCs/>
          <w:sz w:val="32"/>
          <w:szCs w:val="32"/>
          <w:highlight w:val="none"/>
        </w:rPr>
        <w:t>（二）项目总体评价结论</w:t>
      </w:r>
      <w:bookmarkEnd w:id="74"/>
    </w:p>
    <w:p>
      <w:pPr>
        <w:keepNext w:val="0"/>
        <w:keepLines w:val="0"/>
        <w:pageBreakBefore w:val="0"/>
        <w:widowControl w:val="0"/>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yellow"/>
          <w:lang w:val="en-US" w:eastAsia="zh-CN" w:bidi="ar-SA"/>
        </w:rPr>
      </w:pPr>
      <w:r>
        <w:rPr>
          <w:rFonts w:hint="eastAsia" w:ascii="仿宋_GB2312" w:hAnsi="仿宋_GB2312" w:eastAsia="仿宋_GB2312" w:cs="仿宋_GB2312"/>
          <w:kern w:val="2"/>
          <w:sz w:val="32"/>
          <w:szCs w:val="32"/>
          <w:highlight w:val="none"/>
          <w:lang w:val="en-US" w:eastAsia="zh-CN" w:bidi="ar-SA"/>
        </w:rPr>
        <w:t>项目立项较规范，绩效目标合理，绩效指标明确，项目管理制度较健全，制度建设基本有效执行。项目总投资360.00万元，财政资金到位率100%，实际支出360.00万元，预算资金执行率100%。资金使用程序较规范，能够做到专项资金专款专用，未发现截留、挤占、挪用、虚列支出等情况。项目实施后，改善了农村环境和卫生条件提高农民健康水平，提高了农村文明化程度，养成了良好的生活习惯。</w:t>
      </w:r>
    </w:p>
    <w:p>
      <w:pPr>
        <w:adjustRightInd w:val="0"/>
        <w:snapToGrid w:val="0"/>
        <w:spacing w:line="560" w:lineRule="exact"/>
        <w:ind w:firstLine="640" w:firstLineChars="200"/>
        <w:jc w:val="left"/>
        <w:outlineLvl w:val="0"/>
        <w:rPr>
          <w:rFonts w:hint="default" w:ascii="黑体" w:hAnsi="黑体" w:eastAsia="黑体" w:cs="宋体"/>
          <w:sz w:val="32"/>
          <w:szCs w:val="32"/>
          <w:highlight w:val="none"/>
          <w:lang w:val="en-US" w:eastAsia="zh-CN"/>
        </w:rPr>
      </w:pPr>
      <w:bookmarkStart w:id="75" w:name="_Toc7267"/>
      <w:r>
        <w:rPr>
          <w:rFonts w:hint="eastAsia" w:ascii="黑体" w:hAnsi="黑体" w:eastAsia="黑体" w:cs="宋体"/>
          <w:sz w:val="32"/>
          <w:szCs w:val="32"/>
          <w:highlight w:val="none"/>
        </w:rPr>
        <w:t>五、问题</w:t>
      </w:r>
      <w:bookmarkEnd w:id="75"/>
      <w:r>
        <w:rPr>
          <w:rFonts w:hint="eastAsia" w:ascii="黑体" w:hAnsi="黑体" w:eastAsia="黑体" w:cs="宋体"/>
          <w:sz w:val="32"/>
          <w:szCs w:val="32"/>
          <w:highlight w:val="none"/>
          <w:lang w:val="en-US" w:eastAsia="zh-CN"/>
        </w:rPr>
        <w:t>及建议</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bookmarkStart w:id="76" w:name="_Toc2013"/>
      <w:bookmarkStart w:id="77" w:name="_Toc14039"/>
      <w:r>
        <w:rPr>
          <w:rFonts w:hint="eastAsia" w:ascii="仿宋_GB2312" w:hAnsi="仿宋" w:eastAsia="仿宋_GB2312" w:cs="宋体"/>
          <w:b/>
          <w:bCs/>
          <w:sz w:val="32"/>
          <w:szCs w:val="32"/>
        </w:rPr>
        <w:t>（一）问题</w:t>
      </w:r>
      <w:bookmarkEnd w:id="76"/>
    </w:p>
    <w:p>
      <w:pPr>
        <w:pStyle w:val="34"/>
        <w:adjustRightInd w:val="0"/>
        <w:snapToGrid w:val="0"/>
        <w:spacing w:line="560" w:lineRule="exact"/>
        <w:ind w:left="420" w:leftChars="200" w:firstLine="320" w:firstLineChars="100"/>
        <w:outlineLvl w:val="1"/>
        <w:rPr>
          <w:rFonts w:hint="eastAsia" w:ascii="仿宋_GB2312" w:hAnsi="仿宋_GB2312" w:eastAsia="仿宋_GB2312" w:cs="仿宋_GB2312"/>
          <w:kern w:val="2"/>
          <w:sz w:val="32"/>
          <w:szCs w:val="32"/>
          <w:highlight w:val="none"/>
          <w:lang w:val="en-US" w:eastAsia="zh-CN" w:bidi="ar-SA"/>
        </w:rPr>
      </w:pPr>
      <w:bookmarkStart w:id="78" w:name="_Toc4075"/>
      <w:r>
        <w:rPr>
          <w:rFonts w:hint="eastAsia" w:ascii="仿宋_GB2312" w:hAnsi="仿宋_GB2312" w:eastAsia="仿宋_GB2312" w:cs="仿宋_GB2312"/>
          <w:kern w:val="2"/>
          <w:sz w:val="32"/>
          <w:szCs w:val="32"/>
          <w:highlight w:val="none"/>
          <w:lang w:val="en-US" w:eastAsia="zh-CN" w:bidi="ar-SA"/>
        </w:rPr>
        <w:t>资料归档不规范，缺失各乡镇项目最终验收报告，会议纪要及项目现场照片。</w:t>
      </w:r>
    </w:p>
    <w:p>
      <w:pPr>
        <w:pStyle w:val="34"/>
        <w:adjustRightInd w:val="0"/>
        <w:snapToGrid w:val="0"/>
        <w:spacing w:line="560" w:lineRule="exact"/>
        <w:ind w:left="420" w:leftChars="200" w:firstLine="321" w:firstLineChars="100"/>
        <w:outlineLvl w:val="1"/>
        <w:rPr>
          <w:rFonts w:ascii="仿宋_GB2312" w:hAnsi="仿宋" w:eastAsia="仿宋_GB2312" w:cs="宋体"/>
          <w:b/>
          <w:bCs/>
          <w:sz w:val="32"/>
          <w:szCs w:val="32"/>
        </w:rPr>
      </w:pPr>
      <w:r>
        <w:rPr>
          <w:rFonts w:hint="eastAsia" w:ascii="仿宋_GB2312" w:hAnsi="仿宋" w:eastAsia="仿宋_GB2312" w:cs="宋体"/>
          <w:b/>
          <w:bCs/>
          <w:sz w:val="32"/>
          <w:szCs w:val="32"/>
        </w:rPr>
        <w:t>（</w:t>
      </w:r>
      <w:r>
        <w:rPr>
          <w:rFonts w:hint="eastAsia" w:ascii="仿宋_GB2312" w:hAnsi="仿宋" w:eastAsia="仿宋_GB2312" w:cs="宋体"/>
          <w:b/>
          <w:bCs/>
          <w:sz w:val="32"/>
          <w:szCs w:val="32"/>
          <w:lang w:val="en-US" w:eastAsia="zh-CN"/>
        </w:rPr>
        <w:t>二</w:t>
      </w:r>
      <w:r>
        <w:rPr>
          <w:rFonts w:hint="eastAsia" w:ascii="仿宋_GB2312" w:hAnsi="仿宋" w:eastAsia="仿宋_GB2312" w:cs="宋体"/>
          <w:b/>
          <w:bCs/>
          <w:sz w:val="32"/>
          <w:szCs w:val="32"/>
        </w:rPr>
        <w:t>）意见和建议</w:t>
      </w:r>
      <w:bookmarkEnd w:id="78"/>
    </w:p>
    <w:p>
      <w:pPr>
        <w:adjustRightInd w:val="0"/>
        <w:snapToGrid w:val="0"/>
        <w:spacing w:line="560" w:lineRule="exact"/>
        <w:ind w:firstLine="640" w:firstLineChars="200"/>
        <w:jc w:val="left"/>
        <w:outlineLvl w:val="0"/>
        <w:rPr>
          <w:rFonts w:hint="eastAsia" w:ascii="仿宋_GB2312" w:hAnsi="仿宋_GB2312" w:eastAsia="仿宋_GB2312" w:cs="仿宋_GB2312"/>
          <w:kern w:val="2"/>
          <w:sz w:val="32"/>
          <w:szCs w:val="32"/>
          <w:highlight w:val="none"/>
          <w:lang w:val="en-US" w:eastAsia="zh-CN" w:bidi="ar-SA"/>
        </w:rPr>
      </w:pPr>
      <w:bookmarkStart w:id="79" w:name="_Toc17475"/>
      <w:r>
        <w:rPr>
          <w:rFonts w:hint="eastAsia" w:ascii="仿宋_GB2312" w:hAnsi="仿宋_GB2312" w:eastAsia="仿宋_GB2312" w:cs="仿宋_GB2312"/>
          <w:kern w:val="2"/>
          <w:sz w:val="32"/>
          <w:szCs w:val="32"/>
          <w:highlight w:val="none"/>
          <w:lang w:val="en-US" w:eastAsia="zh-CN" w:bidi="ar-SA"/>
        </w:rPr>
        <w:t>洛浦县农业农村局作为项目主管单位充分发挥牵头作用，结合项目管理制度及档案管理制度严格要求相关工作人员对各乡镇项目资料进行补充完善并收集好项目资料，为后期查阅项目资料提供便利条件。</w:t>
      </w:r>
    </w:p>
    <w:p>
      <w:pPr>
        <w:adjustRightInd w:val="0"/>
        <w:snapToGrid w:val="0"/>
        <w:spacing w:line="560" w:lineRule="exact"/>
        <w:ind w:firstLine="640" w:firstLineChars="200"/>
        <w:jc w:val="left"/>
        <w:outlineLvl w:val="0"/>
        <w:rPr>
          <w:rFonts w:ascii="黑体" w:hAnsi="黑体" w:eastAsia="黑体" w:cs="宋体"/>
          <w:sz w:val="32"/>
          <w:szCs w:val="32"/>
          <w:highlight w:val="none"/>
        </w:rPr>
      </w:pPr>
      <w:r>
        <w:rPr>
          <w:rFonts w:hint="eastAsia" w:ascii="黑体" w:hAnsi="黑体" w:eastAsia="黑体" w:cs="宋体"/>
          <w:sz w:val="32"/>
          <w:szCs w:val="32"/>
          <w:highlight w:val="none"/>
        </w:rPr>
        <w:t>六、主要经验及做法</w:t>
      </w:r>
      <w:bookmarkEnd w:id="77"/>
      <w:bookmarkEnd w:id="79"/>
    </w:p>
    <w:p>
      <w:pPr>
        <w:pStyle w:val="34"/>
        <w:adjustRightInd w:val="0"/>
        <w:snapToGrid w:val="0"/>
        <w:spacing w:line="560" w:lineRule="exact"/>
        <w:ind w:left="0" w:leftChars="0" w:firstLine="643" w:firstLineChars="200"/>
        <w:outlineLvl w:val="1"/>
        <w:rPr>
          <w:rFonts w:ascii="仿宋_GB2312" w:hAnsi="仿宋" w:eastAsia="仿宋_GB2312" w:cs="宋体"/>
          <w:b/>
          <w:bCs/>
          <w:sz w:val="32"/>
          <w:szCs w:val="32"/>
        </w:rPr>
      </w:pPr>
      <w:bookmarkStart w:id="80" w:name="_Toc25465"/>
      <w:bookmarkStart w:id="81" w:name="_Toc32230"/>
      <w:bookmarkStart w:id="82" w:name="_Toc16919"/>
      <w:r>
        <w:rPr>
          <w:rFonts w:hint="eastAsia" w:ascii="仿宋_GB2312" w:hAnsi="仿宋" w:eastAsia="仿宋_GB2312" w:cs="宋体"/>
          <w:b/>
          <w:bCs/>
          <w:sz w:val="32"/>
          <w:szCs w:val="32"/>
        </w:rPr>
        <w:t>（一）项目实施过程有效监控</w:t>
      </w:r>
      <w:bookmarkEnd w:id="80"/>
      <w:bookmarkEnd w:id="81"/>
    </w:p>
    <w:p>
      <w:pPr>
        <w:adjustRightInd w:val="0"/>
        <w:snapToGrid w:val="0"/>
        <w:spacing w:line="560" w:lineRule="exact"/>
        <w:ind w:firstLine="640" w:firstLineChars="200"/>
        <w:rPr>
          <w:rFonts w:hint="eastAsia" w:ascii="仿宋_GB2312" w:hAnsi="仿宋_GB2312" w:eastAsia="仿宋_GB2312" w:cs="仿宋_GB2312"/>
          <w:sz w:val="32"/>
          <w:szCs w:val="32"/>
          <w:highlight w:val="none"/>
        </w:rPr>
      </w:pPr>
      <w:bookmarkStart w:id="83" w:name="_Toc22631"/>
      <w:bookmarkStart w:id="84" w:name="_Toc191"/>
      <w:r>
        <w:rPr>
          <w:rFonts w:hint="eastAsia" w:ascii="仿宋_GB2312" w:hAnsi="仿宋_GB2312" w:eastAsia="仿宋_GB2312" w:cs="仿宋_GB2312"/>
          <w:sz w:val="32"/>
          <w:szCs w:val="32"/>
          <w:highlight w:val="none"/>
          <w:lang w:val="en-US" w:eastAsia="zh-CN"/>
        </w:rPr>
        <w:t>洛浦县</w:t>
      </w:r>
      <w:r>
        <w:rPr>
          <w:rFonts w:hint="eastAsia" w:ascii="仿宋_GB2312" w:hAnsi="仿宋_GB2312" w:eastAsia="仿宋_GB2312" w:cs="仿宋_GB2312"/>
          <w:sz w:val="32"/>
          <w:szCs w:val="32"/>
          <w:highlight w:val="none"/>
        </w:rPr>
        <w:t>财政局</w:t>
      </w:r>
      <w:r>
        <w:rPr>
          <w:rFonts w:hint="eastAsia" w:ascii="仿宋_GB2312" w:hAnsi="仿宋_GB2312" w:eastAsia="仿宋_GB2312" w:cs="仿宋_GB2312"/>
          <w:sz w:val="32"/>
          <w:szCs w:val="32"/>
          <w:highlight w:val="none"/>
          <w:lang w:val="en-US" w:eastAsia="zh-CN"/>
        </w:rPr>
        <w:t>针对项目</w:t>
      </w:r>
      <w:r>
        <w:rPr>
          <w:rFonts w:hint="eastAsia" w:ascii="仿宋_GB2312" w:hAnsi="仿宋_GB2312" w:eastAsia="仿宋_GB2312" w:cs="仿宋_GB2312"/>
          <w:sz w:val="32"/>
          <w:szCs w:val="32"/>
          <w:highlight w:val="none"/>
        </w:rPr>
        <w:t>实施全过程</w:t>
      </w:r>
      <w:r>
        <w:rPr>
          <w:rFonts w:hint="eastAsia" w:ascii="仿宋_GB2312" w:hAnsi="仿宋_GB2312" w:eastAsia="仿宋_GB2312" w:cs="仿宋_GB2312"/>
          <w:sz w:val="32"/>
          <w:szCs w:val="32"/>
          <w:highlight w:val="none"/>
          <w:lang w:val="en-US" w:eastAsia="zh-CN"/>
        </w:rPr>
        <w:t>进行</w:t>
      </w:r>
      <w:r>
        <w:rPr>
          <w:rFonts w:hint="eastAsia" w:ascii="仿宋_GB2312" w:hAnsi="仿宋_GB2312" w:eastAsia="仿宋_GB2312" w:cs="仿宋_GB2312"/>
          <w:sz w:val="32"/>
          <w:szCs w:val="32"/>
          <w:highlight w:val="none"/>
        </w:rPr>
        <w:t>绩效管理</w:t>
      </w:r>
      <w:r>
        <w:rPr>
          <w:rFonts w:hint="eastAsia" w:ascii="仿宋_GB2312" w:hAnsi="仿宋_GB2312" w:eastAsia="仿宋_GB2312" w:cs="仿宋_GB2312"/>
          <w:sz w:val="32"/>
          <w:szCs w:val="32"/>
          <w:highlight w:val="none"/>
          <w:lang w:eastAsia="zh-CN"/>
        </w:rPr>
        <w:t>；根据</w:t>
      </w:r>
      <w:r>
        <w:rPr>
          <w:rFonts w:hint="eastAsia" w:ascii="仿宋_GB2312" w:hAnsi="仿宋_GB2312" w:eastAsia="仿宋_GB2312" w:cs="仿宋_GB2312"/>
          <w:sz w:val="32"/>
          <w:szCs w:val="32"/>
          <w:highlight w:val="none"/>
          <w:lang w:val="en-US" w:eastAsia="zh-CN"/>
        </w:rPr>
        <w:t>专项</w:t>
      </w:r>
      <w:r>
        <w:rPr>
          <w:rFonts w:hint="eastAsia" w:ascii="仿宋_GB2312" w:hAnsi="仿宋_GB2312" w:eastAsia="仿宋_GB2312" w:cs="仿宋_GB2312"/>
          <w:sz w:val="32"/>
          <w:szCs w:val="32"/>
          <w:highlight w:val="none"/>
          <w:lang w:eastAsia="zh-CN"/>
        </w:rPr>
        <w:t>资金管理工作，于</w:t>
      </w:r>
      <w:r>
        <w:rPr>
          <w:rFonts w:hint="eastAsia" w:ascii="仿宋_GB2312" w:hAnsi="仿宋_GB2312" w:eastAsia="仿宋_GB2312" w:cs="仿宋_GB2312"/>
          <w:sz w:val="32"/>
          <w:szCs w:val="32"/>
          <w:highlight w:val="none"/>
          <w:lang w:val="en-US" w:eastAsia="zh-CN"/>
        </w:rPr>
        <w:t>5月、8月</w:t>
      </w:r>
      <w:r>
        <w:rPr>
          <w:rFonts w:hint="eastAsia" w:ascii="仿宋_GB2312" w:hAnsi="仿宋_GB2312" w:eastAsia="仿宋_GB2312" w:cs="仿宋_GB2312"/>
          <w:sz w:val="32"/>
          <w:szCs w:val="32"/>
          <w:highlight w:val="none"/>
        </w:rPr>
        <w:t>对</w:t>
      </w:r>
      <w:r>
        <w:rPr>
          <w:rFonts w:hint="eastAsia" w:ascii="仿宋_GB2312" w:hAnsi="仿宋_GB2312" w:eastAsia="仿宋_GB2312" w:cs="仿宋_GB2312"/>
          <w:sz w:val="32"/>
          <w:szCs w:val="32"/>
          <w:highlight w:val="none"/>
          <w:lang w:eastAsia="zh-CN"/>
        </w:rPr>
        <w:t>该</w:t>
      </w:r>
      <w:r>
        <w:rPr>
          <w:rFonts w:hint="eastAsia" w:ascii="仿宋_GB2312" w:hAnsi="仿宋_GB2312" w:eastAsia="仿宋_GB2312" w:cs="仿宋_GB2312"/>
          <w:sz w:val="32"/>
          <w:szCs w:val="32"/>
          <w:highlight w:val="none"/>
        </w:rPr>
        <w:t>项目开展绩效监控，实行项目</w:t>
      </w:r>
      <w:r>
        <w:rPr>
          <w:rFonts w:hint="eastAsia" w:ascii="仿宋_GB2312" w:hAnsi="仿宋_GB2312" w:eastAsia="仿宋_GB2312" w:cs="仿宋_GB2312"/>
          <w:sz w:val="32"/>
          <w:szCs w:val="32"/>
          <w:highlight w:val="none"/>
          <w:lang w:eastAsia="zh-CN"/>
        </w:rPr>
        <w:t>预算执行率与</w:t>
      </w:r>
      <w:r>
        <w:rPr>
          <w:rFonts w:hint="eastAsia" w:ascii="仿宋_GB2312" w:hAnsi="仿宋_GB2312" w:eastAsia="仿宋_GB2312" w:cs="仿宋_GB2312"/>
          <w:sz w:val="32"/>
          <w:szCs w:val="32"/>
          <w:highlight w:val="none"/>
        </w:rPr>
        <w:t>工作完成进度双监控</w:t>
      </w:r>
      <w:r>
        <w:rPr>
          <w:rFonts w:hint="eastAsia" w:ascii="仿宋_GB2312" w:hAnsi="仿宋_GB2312" w:eastAsia="仿宋_GB2312" w:cs="仿宋_GB2312"/>
          <w:sz w:val="32"/>
          <w:szCs w:val="32"/>
          <w:highlight w:val="none"/>
          <w:lang w:eastAsia="zh-CN"/>
        </w:rPr>
        <w:t>，并</w:t>
      </w:r>
      <w:r>
        <w:rPr>
          <w:rFonts w:hint="eastAsia" w:ascii="仿宋_GB2312" w:hAnsi="仿宋_GB2312" w:eastAsia="仿宋_GB2312" w:cs="仿宋_GB2312"/>
          <w:sz w:val="32"/>
          <w:szCs w:val="32"/>
          <w:highlight w:val="none"/>
        </w:rPr>
        <w:t>全面把握资金使用效率和项目实施开展进度，督促相关责任人按期保质完成工作。</w:t>
      </w:r>
    </w:p>
    <w:p>
      <w:pPr>
        <w:adjustRightInd w:val="0"/>
        <w:snapToGrid w:val="0"/>
        <w:spacing w:line="560" w:lineRule="exact"/>
        <w:ind w:firstLine="640"/>
        <w:outlineLvl w:val="1"/>
        <w:rPr>
          <w:rFonts w:ascii="仿宋_GB2312" w:hAnsi="仿宋" w:eastAsia="仿宋_GB2312" w:cs="宋体"/>
          <w:b/>
          <w:bCs/>
          <w:sz w:val="32"/>
          <w:szCs w:val="32"/>
        </w:rPr>
      </w:pPr>
      <w:r>
        <w:rPr>
          <w:rFonts w:hint="eastAsia" w:ascii="仿宋_GB2312" w:hAnsi="仿宋" w:eastAsia="仿宋_GB2312" w:cs="宋体"/>
          <w:b/>
          <w:bCs/>
          <w:sz w:val="32"/>
          <w:szCs w:val="32"/>
        </w:rPr>
        <w:t>（二）强化领导，明确职责，合理安排使用资金</w:t>
      </w:r>
      <w:bookmarkEnd w:id="83"/>
      <w:bookmarkEnd w:id="84"/>
    </w:p>
    <w:bookmarkEnd w:id="82"/>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85" w:name="_Toc20562"/>
      <w:bookmarkStart w:id="86" w:name="_Toc31915"/>
      <w:bookmarkStart w:id="87" w:name="_Toc13108"/>
      <w:bookmarkStart w:id="88" w:name="_Toc14650"/>
      <w:bookmarkStart w:id="89" w:name="_Toc30107"/>
      <w:bookmarkStart w:id="90" w:name="_Toc24288"/>
      <w:bookmarkStart w:id="91" w:name="_Toc7837"/>
      <w:bookmarkStart w:id="92" w:name="_Toc14723"/>
      <w:bookmarkStart w:id="93" w:name="_Toc22725"/>
      <w:r>
        <w:rPr>
          <w:rFonts w:hint="eastAsia" w:ascii="仿宋_GB2312" w:hAnsi="仿宋_GB2312" w:eastAsia="仿宋_GB2312" w:cs="仿宋_GB2312"/>
          <w:sz w:val="32"/>
          <w:szCs w:val="32"/>
          <w:highlight w:val="none"/>
          <w:lang w:val="en-US" w:eastAsia="zh-CN"/>
        </w:rPr>
        <w:t>项目管理单位按照财务管理制度，认真落实项目工作任务，资金安排、资金配套数额、项目监管制度等方面做出了相应的规定，并高度重视，提高政治站位，牢固树立“花钱必问效、无效必问责”的绩效理念，切实增强绩效管理工作的主动性、积极性，对项目资金进行监管，从而提高资金的效益。</w:t>
      </w:r>
      <w:bookmarkEnd w:id="85"/>
      <w:bookmarkEnd w:id="86"/>
      <w:bookmarkEnd w:id="87"/>
    </w:p>
    <w:p>
      <w:pPr>
        <w:tabs>
          <w:tab w:val="left" w:pos="938"/>
        </w:tabs>
        <w:spacing w:line="560" w:lineRule="exact"/>
        <w:ind w:firstLine="640" w:firstLineChars="200"/>
        <w:outlineLvl w:val="0"/>
        <w:rPr>
          <w:rFonts w:ascii="黑体" w:hAnsi="黑体" w:eastAsia="黑体" w:cs="宋体"/>
          <w:sz w:val="32"/>
          <w:szCs w:val="32"/>
        </w:rPr>
      </w:pPr>
      <w:r>
        <w:rPr>
          <w:rFonts w:hint="eastAsia" w:ascii="黑体" w:hAnsi="黑体" w:eastAsia="黑体" w:cs="宋体"/>
          <w:sz w:val="32"/>
          <w:szCs w:val="32"/>
        </w:rPr>
        <w:t>七、评价结果应用建议</w:t>
      </w:r>
      <w:bookmarkEnd w:id="88"/>
      <w:bookmarkEnd w:id="89"/>
    </w:p>
    <w:p>
      <w:pPr>
        <w:spacing w:line="560" w:lineRule="exact"/>
        <w:ind w:firstLine="643" w:firstLineChars="200"/>
        <w:outlineLvl w:val="1"/>
        <w:rPr>
          <w:rFonts w:ascii="仿宋_GB2312" w:hAnsi="黑体" w:eastAsia="仿宋_GB2312" w:cs="Times New Roman"/>
          <w:b/>
          <w:bCs/>
          <w:sz w:val="32"/>
          <w:szCs w:val="32"/>
        </w:rPr>
      </w:pPr>
      <w:bookmarkStart w:id="94" w:name="_Toc6072"/>
      <w:r>
        <w:rPr>
          <w:rFonts w:hint="eastAsia" w:ascii="仿宋_GB2312" w:hAnsi="黑体" w:eastAsia="仿宋_GB2312" w:cs="Times New Roman"/>
          <w:b/>
          <w:bCs/>
          <w:sz w:val="32"/>
          <w:szCs w:val="32"/>
        </w:rPr>
        <w:t>（一）及时对发现的问题进行整改</w:t>
      </w:r>
      <w:bookmarkEnd w:id="90"/>
      <w:bookmarkEnd w:id="94"/>
    </w:p>
    <w:p>
      <w:pPr>
        <w:adjustRightInd w:val="0"/>
        <w:snapToGrid w:val="0"/>
        <w:spacing w:line="560" w:lineRule="exact"/>
        <w:ind w:firstLine="640" w:firstLineChars="200"/>
        <w:rPr>
          <w:rFonts w:hint="eastAsia" w:ascii="仿宋_GB2312" w:hAnsi="仿宋_GB2312" w:eastAsia="仿宋_GB2312" w:cs="仿宋_GB2312"/>
          <w:sz w:val="32"/>
          <w:szCs w:val="32"/>
          <w:highlight w:val="none"/>
          <w:lang w:val="en-US" w:eastAsia="zh-CN"/>
        </w:rPr>
      </w:pPr>
      <w:bookmarkStart w:id="95" w:name="_Toc31513"/>
      <w:bookmarkStart w:id="96" w:name="_Toc20240"/>
      <w:r>
        <w:rPr>
          <w:rFonts w:hint="eastAsia" w:ascii="仿宋_GB2312" w:hAnsi="仿宋_GB2312" w:eastAsia="仿宋_GB2312" w:cs="仿宋_GB2312"/>
          <w:sz w:val="32"/>
          <w:szCs w:val="32"/>
          <w:highlight w:val="none"/>
          <w:lang w:val="en-US" w:eastAsia="zh-CN"/>
        </w:rPr>
        <w:t>在绩效管理工作中，针对绩效评价中发现的问题，建议项目管理单位进行梳理，对能够整改的问题及时进行整改，并将整改过程及佐证资料形成档案，提交财政局进行备案，不能整改的问题以后加强管理，切实提高财政资源配置效率和使用效益。</w:t>
      </w:r>
    </w:p>
    <w:p>
      <w:pPr>
        <w:numPr>
          <w:ilvl w:val="0"/>
          <w:numId w:val="8"/>
        </w:numPr>
        <w:spacing w:line="560" w:lineRule="exact"/>
        <w:ind w:firstLine="643" w:firstLineChars="200"/>
        <w:outlineLvl w:val="1"/>
        <w:rPr>
          <w:rFonts w:hint="eastAsia" w:ascii="仿宋_GB2312" w:hAnsi="黑体" w:eastAsia="仿宋_GB2312" w:cs="Times New Roman"/>
          <w:b/>
          <w:bCs/>
          <w:sz w:val="32"/>
          <w:szCs w:val="32"/>
        </w:rPr>
      </w:pPr>
      <w:r>
        <w:rPr>
          <w:rFonts w:hint="eastAsia" w:ascii="仿宋_GB2312" w:hAnsi="黑体" w:eastAsia="仿宋_GB2312" w:cs="Times New Roman"/>
          <w:b/>
          <w:bCs/>
          <w:sz w:val="32"/>
          <w:szCs w:val="32"/>
        </w:rPr>
        <w:t>建立绩效评价结果应用制度</w:t>
      </w:r>
      <w:bookmarkEnd w:id="95"/>
      <w:bookmarkEnd w:id="96"/>
    </w:p>
    <w:p>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绩效评价结果应用，既是开展绩效评价工作的基本前提，又是加强财政支出管理、增强资金绩效理念、合理配置公共资源、优化财政支出结构、强化资金管理水平、提高资金使用效益的重要手段。为使绩效评价结果得到合理应用，应将此次绩效评价结果作为以后年度建设资金分配的重要依据。应将此次绩效评价结果作为以后年度建设资金分配的重要依据。</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1.建议建立实施绩效评价结果公开制度（结果反馈制度、结果共享制度、结果报告制度、结果公示制度）；</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2.建议建立绩效评价结果通报、约谈和问责机制；</w:t>
      </w:r>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3.建议建立绩效评价结果在部门预算中激励与约束挂钩机制；</w:t>
      </w:r>
    </w:p>
    <w:p>
      <w:pPr>
        <w:tabs>
          <w:tab w:val="left" w:pos="938"/>
        </w:tabs>
        <w:spacing w:line="560" w:lineRule="exact"/>
        <w:ind w:firstLine="640" w:firstLineChars="200"/>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highlight w:val="none"/>
          <w:lang w:val="en-US" w:eastAsia="zh-CN" w:bidi="ar-SA"/>
        </w:rPr>
        <w:t>4.建议建立评价结果惩处机制。</w:t>
      </w:r>
    </w:p>
    <w:p>
      <w:pPr>
        <w:spacing w:line="560" w:lineRule="exact"/>
        <w:ind w:firstLine="643" w:firstLineChars="200"/>
        <w:outlineLvl w:val="1"/>
        <w:rPr>
          <w:rFonts w:ascii="仿宋_GB2312" w:hAnsi="黑体" w:eastAsia="仿宋_GB2312" w:cs="Times New Roman"/>
          <w:b/>
          <w:bCs/>
          <w:sz w:val="32"/>
          <w:szCs w:val="32"/>
        </w:rPr>
      </w:pPr>
      <w:bookmarkStart w:id="97" w:name="_Toc5443"/>
      <w:bookmarkStart w:id="98" w:name="_Toc10628"/>
      <w:r>
        <w:rPr>
          <w:rFonts w:hint="eastAsia" w:ascii="仿宋_GB2312" w:hAnsi="黑体" w:eastAsia="仿宋_GB2312" w:cs="Times New Roman"/>
          <w:b/>
          <w:bCs/>
          <w:sz w:val="32"/>
          <w:szCs w:val="32"/>
        </w:rPr>
        <w:t>（三）</w:t>
      </w:r>
      <w:r>
        <w:rPr>
          <w:rFonts w:hint="eastAsia" w:ascii="仿宋_GB2312" w:hAnsi="黑体" w:eastAsia="仿宋_GB2312" w:cs="Times New Roman"/>
          <w:b/>
          <w:bCs/>
          <w:sz w:val="32"/>
          <w:szCs w:val="32"/>
          <w:lang w:val="en-US" w:eastAsia="zh-CN"/>
        </w:rPr>
        <w:t>强化</w:t>
      </w:r>
      <w:r>
        <w:rPr>
          <w:rFonts w:hint="eastAsia" w:ascii="仿宋_GB2312" w:hAnsi="黑体" w:eastAsia="仿宋_GB2312" w:cs="Times New Roman"/>
          <w:b/>
          <w:bCs/>
          <w:sz w:val="32"/>
          <w:szCs w:val="32"/>
        </w:rPr>
        <w:t>绩效评价结果应用</w:t>
      </w:r>
      <w:bookmarkEnd w:id="97"/>
      <w:bookmarkEnd w:id="98"/>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一是严格落实评价结果与预算安排挂钩制度。要严格执行《洛浦县财政支出绩效评价结果应用暂行办法》文件规定，充分应用评价结果，对低效无效资金一律削减或取消。</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二是将此次评价工作开展情况及评价结果纳入洛浦县全面实施预算绩效管理年度综合评价考核范畴，年终形成总结报告，上报县政府、发改委和县人大。</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三是进一步加大对评价结果的应用，洛浦县2021年度项目绩效评价情况，可作为以后年度部门单位项目预算编制和安排财政资金的重要依据。</w:t>
      </w:r>
    </w:p>
    <w:p>
      <w:pPr>
        <w:spacing w:line="560" w:lineRule="exact"/>
        <w:ind w:firstLine="643" w:firstLineChars="200"/>
        <w:outlineLvl w:val="1"/>
        <w:rPr>
          <w:rFonts w:ascii="仿宋_GB2312" w:hAnsi="黑体" w:eastAsia="仿宋_GB2312" w:cs="Times New Roman"/>
          <w:b/>
          <w:bCs/>
          <w:sz w:val="32"/>
          <w:szCs w:val="32"/>
        </w:rPr>
      </w:pPr>
      <w:bookmarkStart w:id="99" w:name="_Toc13172"/>
      <w:bookmarkStart w:id="100" w:name="_Toc4069"/>
      <w:r>
        <w:rPr>
          <w:rFonts w:hint="eastAsia" w:ascii="仿宋_GB2312" w:hAnsi="黑体" w:eastAsia="仿宋_GB2312" w:cs="Times New Roman"/>
          <w:b/>
          <w:bCs/>
          <w:sz w:val="32"/>
          <w:szCs w:val="32"/>
        </w:rPr>
        <w:t>（四）评价结果公开</w:t>
      </w:r>
      <w:bookmarkEnd w:id="99"/>
      <w:bookmarkEnd w:id="100"/>
    </w:p>
    <w:p>
      <w:pPr>
        <w:tabs>
          <w:tab w:val="left" w:pos="938"/>
        </w:tabs>
        <w:spacing w:line="560" w:lineRule="exact"/>
        <w:ind w:firstLine="640" w:firstLineChars="200"/>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建议按照政府信息公开管理的相关规定将绩效评价结果（涉密信息除外）向社会公开评价结果，提高工作透明度，接受社会公众的监督。</w:t>
      </w:r>
      <w:bookmarkEnd w:id="91"/>
    </w:p>
    <w:p>
      <w:pPr>
        <w:tabs>
          <w:tab w:val="left" w:pos="938"/>
        </w:tabs>
        <w:spacing w:line="560" w:lineRule="exact"/>
        <w:ind w:firstLine="640" w:firstLineChars="200"/>
        <w:outlineLvl w:val="0"/>
        <w:rPr>
          <w:rFonts w:hint="eastAsia" w:ascii="黑体" w:hAnsi="黑体" w:eastAsia="黑体" w:cs="宋体"/>
          <w:sz w:val="32"/>
          <w:szCs w:val="32"/>
          <w:lang w:val="en-US" w:eastAsia="zh-CN"/>
        </w:rPr>
      </w:pPr>
      <w:bookmarkStart w:id="101" w:name="_Toc17018"/>
      <w:r>
        <w:rPr>
          <w:rFonts w:hint="eastAsia" w:ascii="黑体" w:hAnsi="黑体" w:eastAsia="黑体" w:cs="宋体"/>
          <w:sz w:val="32"/>
          <w:szCs w:val="32"/>
          <w:lang w:val="en-US" w:eastAsia="zh-CN"/>
        </w:rPr>
        <w:t>八、其他需说明的问题</w:t>
      </w:r>
      <w:bookmarkEnd w:id="92"/>
      <w:bookmarkEnd w:id="93"/>
      <w:bookmarkEnd w:id="101"/>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第一，该项目部分间接产生的效果无法准确在短期内衡量，因此很难认定项目产生的全部效果。通过指标来反映绩效，指标的科学性和全面性需要不断地完善和研究。</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第二，评价结果作为安排政府预算、完善政策和改进管理的重要依据。原则上，对评价等级为优、良的，根据情况予以支持；对评价等级为中、差的，要完善政策、改进管理，根据情况核减预算。</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第三，评价结果分别编入政府决算和部门预算，报送本级人民代表大会常务委员会，并依法予以公开。</w:t>
      </w:r>
    </w:p>
    <w:p>
      <w:pPr>
        <w:keepNext w:val="0"/>
        <w:keepLines w:val="0"/>
        <w:pageBreakBefore w:val="0"/>
        <w:widowControl w:val="0"/>
        <w:tabs>
          <w:tab w:val="left" w:pos="938"/>
        </w:tabs>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四，对使用财政资金严重低效无效并造成重大损失的责任人，要按照相关规定追责问责。对绩效评价过程中发现的资金使用单位和个人的财政违法行为，依照《中华人民共和国预算法》、《财政违法行为处罚处分条例》等有关规定追究责任；发现违纪违法问题线索的，应当及时移送纪检监察机关。</w:t>
      </w:r>
    </w:p>
    <w:p>
      <w:pPr>
        <w:pStyle w:val="18"/>
        <w:keepNext w:val="0"/>
        <w:keepLines w:val="0"/>
        <w:pageBreakBefore w:val="0"/>
        <w:widowControl w:val="0"/>
        <w:numPr>
          <w:ilvl w:val="0"/>
          <w:numId w:val="0"/>
        </w:numPr>
        <w:kinsoku/>
        <w:wordWrap/>
        <w:overflowPunct/>
        <w:topLinePunct w:val="0"/>
        <w:autoSpaceDE/>
        <w:autoSpaceDN/>
        <w:bidi w:val="0"/>
        <w:adjustRightInd/>
        <w:snapToGrid/>
        <w:spacing w:line="560" w:lineRule="exact"/>
        <w:ind w:firstLine="640" w:firstLineChars="200"/>
        <w:textAlignment w:val="auto"/>
        <w:rPr>
          <w:rFonts w:hint="eastAsia" w:ascii="仿宋_GB2312" w:hAnsi="仿宋_GB2312" w:eastAsia="仿宋_GB2312" w:cs="仿宋_GB2312"/>
          <w:kern w:val="2"/>
          <w:sz w:val="32"/>
          <w:szCs w:val="32"/>
          <w:highlight w:val="none"/>
          <w:lang w:val="en-US" w:eastAsia="zh-CN" w:bidi="ar-SA"/>
        </w:rPr>
      </w:pPr>
      <w:r>
        <w:rPr>
          <w:rFonts w:hint="eastAsia" w:ascii="仿宋_GB2312" w:hAnsi="仿宋_GB2312" w:eastAsia="仿宋_GB2312" w:cs="仿宋_GB2312"/>
          <w:kern w:val="2"/>
          <w:sz w:val="32"/>
          <w:szCs w:val="32"/>
          <w:highlight w:val="none"/>
          <w:lang w:val="en-US" w:eastAsia="zh-CN" w:bidi="ar-SA"/>
        </w:rPr>
        <w:t>第五，各级财政部门、预算部门和单位及其工作人员在绩效评价管理工作中存在违反《项目支出绩效评价管理办法》（财预〔2020〕10号）文件行为，以及其他滥用职权、玩忽职守、徇私舞弊等违法违纪行为的，依照《中华人民共和国预算法》、《中华人民共和国公务员法》、《中华人民共和国监察法》、《财政违法行为处罚处分条例》等国家有关规定追究相应责任；涉嫌犯罪的，依法移送司法机关处理。</w:t>
      </w:r>
    </w:p>
    <w:p>
      <w:pPr>
        <w:adjustRightInd w:val="0"/>
        <w:snapToGrid w:val="0"/>
        <w:spacing w:line="560" w:lineRule="exact"/>
        <w:ind w:firstLine="640" w:firstLineChars="200"/>
        <w:jc w:val="left"/>
        <w:outlineLvl w:val="0"/>
        <w:rPr>
          <w:rFonts w:hint="eastAsia" w:ascii="黑体" w:hAnsi="黑体" w:eastAsia="黑体" w:cs="宋体"/>
          <w:sz w:val="32"/>
          <w:szCs w:val="32"/>
        </w:rPr>
      </w:pPr>
      <w:bookmarkStart w:id="102" w:name="_Toc25791"/>
    </w:p>
    <w:p>
      <w:pPr>
        <w:adjustRightInd w:val="0"/>
        <w:snapToGrid w:val="0"/>
        <w:spacing w:line="560" w:lineRule="exact"/>
        <w:ind w:firstLine="640" w:firstLineChars="200"/>
        <w:jc w:val="left"/>
        <w:outlineLvl w:val="0"/>
        <w:rPr>
          <w:rFonts w:ascii="黑体" w:hAnsi="黑体" w:eastAsia="黑体" w:cs="宋体"/>
          <w:sz w:val="32"/>
          <w:szCs w:val="32"/>
        </w:rPr>
      </w:pPr>
      <w:r>
        <w:rPr>
          <w:rFonts w:hint="eastAsia" w:ascii="黑体" w:hAnsi="黑体" w:eastAsia="黑体" w:cs="宋体"/>
          <w:sz w:val="32"/>
          <w:szCs w:val="32"/>
        </w:rPr>
        <w:t>九、附件</w:t>
      </w:r>
      <w:bookmarkEnd w:id="102"/>
    </w:p>
    <w:bookmarkEnd w:id="30"/>
    <w:p>
      <w:pPr>
        <w:pStyle w:val="34"/>
        <w:numPr>
          <w:ilvl w:val="0"/>
          <w:numId w:val="3"/>
        </w:numPr>
        <w:adjustRightInd w:val="0"/>
        <w:snapToGrid w:val="0"/>
        <w:spacing w:line="560" w:lineRule="exact"/>
        <w:ind w:left="0" w:firstLine="643"/>
        <w:rPr>
          <w:rFonts w:ascii="仿宋_GB2312" w:hAnsi="仿宋" w:eastAsia="仿宋_GB2312" w:cs="宋体"/>
          <w:b/>
          <w:bCs/>
          <w:vanish/>
          <w:sz w:val="32"/>
          <w:szCs w:val="32"/>
        </w:rPr>
      </w:pPr>
      <w:r>
        <w:rPr>
          <w:rFonts w:hint="eastAsia" w:ascii="仿宋_GB2312" w:hAnsi="仿宋" w:eastAsia="仿宋_GB2312" w:cs="宋体"/>
          <w:b/>
          <w:bCs/>
          <w:vanish/>
          <w:sz w:val="32"/>
          <w:szCs w:val="32"/>
        </w:rPr>
        <w:t>附件</w:t>
      </w:r>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3" w:name="_Toc13969"/>
      <w:bookmarkStart w:id="104" w:name="_Toc5066"/>
      <w:bookmarkStart w:id="105" w:name="_Toc11156"/>
      <w:bookmarkStart w:id="106" w:name="_Toc9070"/>
      <w:bookmarkStart w:id="107" w:name="_Toc3379"/>
      <w:r>
        <w:rPr>
          <w:rFonts w:hint="eastAsia" w:ascii="仿宋_GB2312" w:hAnsi="仿宋_GB2312" w:eastAsia="仿宋_GB2312" w:cs="仿宋_GB2312"/>
          <w:kern w:val="2"/>
          <w:sz w:val="32"/>
          <w:szCs w:val="32"/>
          <w:highlight w:val="none"/>
          <w:lang w:val="en-US" w:eastAsia="zh-CN" w:bidi="ar-SA"/>
        </w:rPr>
        <w:t>附件一、人居环境整治项目支出绩效评价指标体系</w:t>
      </w:r>
      <w:bookmarkEnd w:id="103"/>
      <w:bookmarkEnd w:id="104"/>
      <w:bookmarkEnd w:id="105"/>
      <w:bookmarkEnd w:id="106"/>
      <w:bookmarkEnd w:id="107"/>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08" w:name="_Toc32762"/>
      <w:bookmarkStart w:id="109" w:name="_Toc31506"/>
      <w:bookmarkStart w:id="110" w:name="_Toc5753"/>
      <w:bookmarkStart w:id="111" w:name="_Toc17647"/>
      <w:bookmarkStart w:id="112" w:name="_Toc19426"/>
      <w:r>
        <w:rPr>
          <w:rFonts w:hint="eastAsia" w:ascii="仿宋_GB2312" w:hAnsi="仿宋_GB2312" w:eastAsia="仿宋_GB2312" w:cs="仿宋_GB2312"/>
          <w:kern w:val="2"/>
          <w:sz w:val="32"/>
          <w:szCs w:val="32"/>
          <w:highlight w:val="none"/>
          <w:lang w:val="en-US" w:eastAsia="zh-CN" w:bidi="ar-SA"/>
        </w:rPr>
        <w:t>附件二、人居环境整治项目资金使用明细表</w:t>
      </w:r>
      <w:bookmarkEnd w:id="108"/>
      <w:bookmarkEnd w:id="109"/>
      <w:bookmarkEnd w:id="110"/>
      <w:bookmarkEnd w:id="111"/>
      <w:bookmarkEnd w:id="112"/>
    </w:p>
    <w:p>
      <w:pPr>
        <w:pStyle w:val="34"/>
        <w:spacing w:line="560" w:lineRule="exact"/>
        <w:ind w:firstLine="640"/>
        <w:outlineLvl w:val="0"/>
        <w:rPr>
          <w:rFonts w:hint="eastAsia" w:ascii="仿宋_GB2312" w:hAnsi="仿宋_GB2312" w:eastAsia="仿宋_GB2312" w:cs="仿宋_GB2312"/>
          <w:kern w:val="2"/>
          <w:sz w:val="32"/>
          <w:szCs w:val="32"/>
          <w:highlight w:val="none"/>
          <w:lang w:val="en-US" w:eastAsia="zh-CN" w:bidi="ar-SA"/>
        </w:rPr>
      </w:pPr>
      <w:bookmarkStart w:id="113" w:name="_Toc21161"/>
      <w:bookmarkStart w:id="114" w:name="_Toc27332"/>
      <w:bookmarkStart w:id="115" w:name="_Toc27746"/>
      <w:bookmarkStart w:id="116" w:name="_Toc22995"/>
      <w:bookmarkStart w:id="117" w:name="_Toc16544"/>
      <w:r>
        <w:rPr>
          <w:rFonts w:hint="eastAsia" w:ascii="仿宋_GB2312" w:hAnsi="仿宋_GB2312" w:eastAsia="仿宋_GB2312" w:cs="仿宋_GB2312"/>
          <w:kern w:val="2"/>
          <w:sz w:val="32"/>
          <w:szCs w:val="32"/>
          <w:highlight w:val="none"/>
          <w:lang w:val="en-US" w:eastAsia="zh-CN" w:bidi="ar-SA"/>
        </w:rPr>
        <w:t>附件三、人居环境整治项目绩效评价工作记录单</w:t>
      </w:r>
      <w:bookmarkEnd w:id="113"/>
      <w:bookmarkEnd w:id="114"/>
      <w:bookmarkEnd w:id="115"/>
      <w:bookmarkEnd w:id="116"/>
      <w:bookmarkEnd w:id="117"/>
      <w:bookmarkStart w:id="118" w:name="_Toc20564"/>
      <w:bookmarkStart w:id="119" w:name="_Toc16822"/>
      <w:bookmarkStart w:id="120" w:name="_Toc18769"/>
    </w:p>
    <w:p>
      <w:pPr>
        <w:pStyle w:val="34"/>
        <w:spacing w:line="560" w:lineRule="exact"/>
        <w:ind w:firstLine="640"/>
        <w:outlineLvl w:val="0"/>
        <w:rPr>
          <w:rFonts w:hint="default" w:ascii="仿宋_GB2312" w:hAnsi="仿宋_GB2312" w:eastAsia="仿宋_GB2312" w:cs="仿宋_GB2312"/>
          <w:kern w:val="2"/>
          <w:sz w:val="32"/>
          <w:szCs w:val="32"/>
          <w:highlight w:val="none"/>
          <w:lang w:val="en-US" w:eastAsia="zh-CN" w:bidi="ar-SA"/>
        </w:rPr>
      </w:pPr>
      <w:bookmarkStart w:id="121" w:name="_Toc27218"/>
      <w:r>
        <w:rPr>
          <w:rFonts w:hint="eastAsia" w:ascii="仿宋_GB2312" w:hAnsi="仿宋_GB2312" w:eastAsia="仿宋_GB2312" w:cs="仿宋_GB2312"/>
          <w:kern w:val="2"/>
          <w:sz w:val="32"/>
          <w:szCs w:val="32"/>
          <w:highlight w:val="none"/>
          <w:lang w:val="en-US" w:eastAsia="zh-CN" w:bidi="ar-SA"/>
        </w:rPr>
        <w:t>附件四、人居环境整治项目调查问卷统计表</w:t>
      </w:r>
      <w:bookmarkEnd w:id="118"/>
      <w:bookmarkEnd w:id="119"/>
      <w:bookmarkEnd w:id="120"/>
      <w:bookmarkEnd w:id="121"/>
      <w:bookmarkStart w:id="122" w:name="_GoBack"/>
      <w:bookmarkEnd w:id="122"/>
    </w:p>
    <w:p>
      <w:pPr>
        <w:widowControl/>
        <w:adjustRightInd w:val="0"/>
        <w:snapToGrid w:val="0"/>
        <w:spacing w:line="560" w:lineRule="exact"/>
        <w:jc w:val="left"/>
        <w:rPr>
          <w:rFonts w:hint="default" w:ascii="仿宋_GB2312" w:hAnsi="仿宋_GB2312" w:eastAsia="仿宋_GB2312" w:cs="仿宋_GB2312"/>
          <w:kern w:val="2"/>
          <w:sz w:val="32"/>
          <w:szCs w:val="32"/>
          <w:highlight w:val="none"/>
          <w:lang w:val="en-US" w:eastAsia="zh-CN" w:bidi="ar-SA"/>
        </w:rPr>
      </w:pPr>
    </w:p>
    <w:p>
      <w:pPr>
        <w:pStyle w:val="5"/>
        <w:rPr>
          <w:rFonts w:hint="default"/>
          <w:lang w:val="en-US" w:eastAsia="zh-CN"/>
        </w:rPr>
      </w:pPr>
    </w:p>
    <w:p>
      <w:pPr>
        <w:spacing w:line="560" w:lineRule="exact"/>
        <w:ind w:firstLine="640" w:firstLineChars="200"/>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中瑞诚会计师事务所</w:t>
      </w:r>
      <w:r>
        <w:rPr>
          <w:rFonts w:hint="eastAsia" w:ascii="仿宋_GB2312" w:hAnsi="仿宋" w:eastAsia="仿宋_GB2312" w:cs="宋体"/>
          <w:sz w:val="32"/>
          <w:szCs w:val="32"/>
          <w:lang w:eastAsia="zh-CN" w:bidi="ar"/>
        </w:rPr>
        <w:t>（特殊普通合伙）</w:t>
      </w:r>
      <w:r>
        <w:rPr>
          <w:rFonts w:hint="eastAsia" w:ascii="仿宋_GB2312" w:hAnsi="仿宋" w:eastAsia="仿宋_GB2312" w:cs="宋体"/>
          <w:sz w:val="32"/>
          <w:szCs w:val="32"/>
          <w:lang w:bidi="ar"/>
        </w:rPr>
        <w:t>喀什分所</w:t>
      </w:r>
    </w:p>
    <w:p>
      <w:pPr>
        <w:spacing w:line="560" w:lineRule="exact"/>
        <w:ind w:firstLine="3827" w:firstLineChars="1196"/>
        <w:jc w:val="right"/>
        <w:rPr>
          <w:rFonts w:ascii="仿宋_GB2312" w:hAnsi="仿宋" w:eastAsia="仿宋_GB2312" w:cs="宋体"/>
          <w:sz w:val="32"/>
          <w:szCs w:val="32"/>
          <w:lang w:bidi="ar"/>
        </w:rPr>
      </w:pPr>
      <w:r>
        <w:rPr>
          <w:rFonts w:hint="eastAsia" w:ascii="仿宋_GB2312" w:hAnsi="仿宋" w:eastAsia="仿宋_GB2312" w:cs="宋体"/>
          <w:sz w:val="32"/>
          <w:szCs w:val="32"/>
          <w:lang w:bidi="ar"/>
        </w:rPr>
        <w:t xml:space="preserve">  </w:t>
      </w:r>
      <w:r>
        <w:rPr>
          <w:rFonts w:hint="eastAsia" w:ascii="仿宋_GB2312" w:hAnsi="仿宋" w:eastAsia="仿宋_GB2312" w:cs="宋体"/>
          <w:sz w:val="32"/>
          <w:szCs w:val="32"/>
          <w:lang w:eastAsia="zh-CN" w:bidi="ar"/>
        </w:rPr>
        <w:t>202</w:t>
      </w:r>
      <w:r>
        <w:rPr>
          <w:rFonts w:hint="eastAsia" w:ascii="仿宋_GB2312" w:hAnsi="仿宋" w:eastAsia="仿宋_GB2312" w:cs="宋体"/>
          <w:sz w:val="32"/>
          <w:szCs w:val="32"/>
          <w:lang w:val="en-US" w:eastAsia="zh-CN" w:bidi="ar"/>
        </w:rPr>
        <w:t>2</w:t>
      </w:r>
      <w:r>
        <w:rPr>
          <w:rFonts w:hint="eastAsia" w:ascii="仿宋_GB2312" w:hAnsi="仿宋" w:eastAsia="仿宋_GB2312" w:cs="宋体"/>
          <w:sz w:val="32"/>
          <w:szCs w:val="32"/>
          <w:highlight w:val="none"/>
          <w:lang w:bidi="ar"/>
        </w:rPr>
        <w:t>年</w:t>
      </w:r>
      <w:r>
        <w:rPr>
          <w:rFonts w:hint="eastAsia" w:ascii="仿宋_GB2312" w:hAnsi="仿宋" w:eastAsia="仿宋_GB2312" w:cs="宋体"/>
          <w:sz w:val="32"/>
          <w:szCs w:val="32"/>
          <w:highlight w:val="none"/>
          <w:lang w:val="en-US" w:eastAsia="zh-CN" w:bidi="ar"/>
        </w:rPr>
        <w:t>06</w:t>
      </w:r>
      <w:r>
        <w:rPr>
          <w:rFonts w:hint="eastAsia" w:ascii="仿宋_GB2312" w:hAnsi="仿宋" w:eastAsia="仿宋_GB2312" w:cs="宋体"/>
          <w:sz w:val="32"/>
          <w:szCs w:val="32"/>
          <w:lang w:bidi="ar"/>
        </w:rPr>
        <w:t>月</w:t>
      </w:r>
      <w:r>
        <w:rPr>
          <w:rFonts w:hint="eastAsia" w:ascii="仿宋_GB2312" w:hAnsi="仿宋" w:eastAsia="仿宋_GB2312" w:cs="宋体"/>
          <w:sz w:val="32"/>
          <w:szCs w:val="32"/>
          <w:lang w:val="en-US" w:eastAsia="zh-CN" w:bidi="ar"/>
        </w:rPr>
        <w:t>30</w:t>
      </w:r>
      <w:r>
        <w:rPr>
          <w:rFonts w:hint="eastAsia" w:ascii="仿宋_GB2312" w:hAnsi="仿宋" w:eastAsia="仿宋_GB2312" w:cs="宋体"/>
          <w:sz w:val="32"/>
          <w:szCs w:val="32"/>
          <w:lang w:bidi="ar"/>
        </w:rPr>
        <w:t>日</w:t>
      </w:r>
    </w:p>
    <w:sectPr>
      <w:footerReference r:id="rId3" w:type="default"/>
      <w:pgSz w:w="11906" w:h="16838"/>
      <w:pgMar w:top="1440" w:right="1700" w:bottom="1440" w:left="1800" w:header="851" w:footer="992" w:gutter="0"/>
      <w:pgBorders>
        <w:top w:val="none" w:sz="0" w:space="0"/>
        <w:left w:val="none" w:sz="0" w:space="0"/>
        <w:bottom w:val="none" w:sz="0" w:space="0"/>
        <w:right w:val="none" w:sz="0" w:space="0"/>
      </w:pgBorders>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2A7E3A36-C5CF-4FC3-9516-C032728A6F24}"/>
  </w:font>
  <w:font w:name="Arial">
    <w:panose1 w:val="020B0604020202020204"/>
    <w:charset w:val="01"/>
    <w:family w:val="swiss"/>
    <w:pitch w:val="default"/>
    <w:sig w:usb0="E0002EFF" w:usb1="C000785B" w:usb2="00000009" w:usb3="00000000" w:csb0="400001FF" w:csb1="FFFF0000"/>
    <w:embedRegular r:id="rId2" w:fontKey="{FE091FC2-33CF-4F37-B54B-2777D8A02E92}"/>
  </w:font>
  <w:font w:name="黑体">
    <w:panose1 w:val="02010609060101010101"/>
    <w:charset w:val="86"/>
    <w:family w:val="auto"/>
    <w:pitch w:val="default"/>
    <w:sig w:usb0="800002BF" w:usb1="38CF7CFA" w:usb2="00000016" w:usb3="00000000" w:csb0="00040001" w:csb1="00000000"/>
    <w:embedRegular r:id="rId3" w:fontKey="{68DA9009-6BEF-4125-AA41-D3FD396F4FB3}"/>
  </w:font>
  <w:font w:name="Courier New">
    <w:panose1 w:val="02070309020205020404"/>
    <w:charset w:val="01"/>
    <w:family w:val="modern"/>
    <w:pitch w:val="default"/>
    <w:sig w:usb0="E0002EFF" w:usb1="C0007843" w:usb2="00000009" w:usb3="00000000" w:csb0="400001FF" w:csb1="FFFF0000"/>
    <w:embedRegular r:id="rId4" w:fontKey="{BE8DB7EE-9119-45C8-9B4B-515D28F96523}"/>
  </w:font>
  <w:font w:name="Symbol">
    <w:panose1 w:val="05050102010706020507"/>
    <w:charset w:val="02"/>
    <w:family w:val="roman"/>
    <w:pitch w:val="default"/>
    <w:sig w:usb0="00000000" w:usb1="00000000" w:usb2="00000000" w:usb3="00000000" w:csb0="80000000" w:csb1="00000000"/>
    <w:embedRegular r:id="rId5" w:fontKey="{CD85B110-4FB2-40E9-97A1-C0C695616B37}"/>
  </w:font>
  <w:font w:name="Calibri">
    <w:panose1 w:val="020F0502020204030204"/>
    <w:charset w:val="00"/>
    <w:family w:val="swiss"/>
    <w:pitch w:val="default"/>
    <w:sig w:usb0="E4002EFF" w:usb1="C000247B" w:usb2="00000009" w:usb3="00000000" w:csb0="200001FF" w:csb1="00000000"/>
    <w:embedRegular r:id="rId6" w:fontKey="{D68413FC-231A-48E4-9DA2-C2392A1AEC8E}"/>
  </w:font>
  <w:font w:name="仿宋">
    <w:panose1 w:val="02010609060101010101"/>
    <w:charset w:val="86"/>
    <w:family w:val="modern"/>
    <w:pitch w:val="default"/>
    <w:sig w:usb0="800002BF" w:usb1="38CF7CFA" w:usb2="00000016" w:usb3="00000000" w:csb0="00040001" w:csb1="00000000"/>
    <w:embedRegular r:id="rId7" w:fontKey="{F38517EA-DEFB-4F3D-867B-9BE4EA03965C}"/>
  </w:font>
  <w:font w:name="Cambria">
    <w:panose1 w:val="02040503050406030204"/>
    <w:charset w:val="00"/>
    <w:family w:val="roman"/>
    <w:pitch w:val="default"/>
    <w:sig w:usb0="E00006FF" w:usb1="420024FF" w:usb2="02000000" w:usb3="00000000" w:csb0="2000019F" w:csb1="00000000"/>
    <w:embedRegular r:id="rId8" w:fontKey="{37E787E9-8B4F-477F-86A9-229B52F68AFF}"/>
  </w:font>
  <w:font w:name="HYb2gj">
    <w:altName w:val="宋体"/>
    <w:panose1 w:val="00000000000000000000"/>
    <w:charset w:val="86"/>
    <w:family w:val="modern"/>
    <w:pitch w:val="default"/>
    <w:sig w:usb0="00000000" w:usb1="00000000" w:usb2="00000010" w:usb3="00000000" w:csb0="00040000" w:csb1="00000000"/>
  </w:font>
  <w:font w:name="仿宋_GB2312">
    <w:panose1 w:val="02010609030101010101"/>
    <w:charset w:val="86"/>
    <w:family w:val="modern"/>
    <w:pitch w:val="default"/>
    <w:sig w:usb0="00000001" w:usb1="080E0000" w:usb2="00000000" w:usb3="00000000" w:csb0="00040000" w:csb1="00000000"/>
    <w:embedRegular r:id="rId9" w:fontKey="{5126981A-08B5-4D47-BAA3-403C38B45477}"/>
  </w:font>
  <w:font w:name="方正小标宋简体">
    <w:panose1 w:val="02010601030101010101"/>
    <w:charset w:val="86"/>
    <w:family w:val="auto"/>
    <w:pitch w:val="default"/>
    <w:sig w:usb0="00000001" w:usb1="080E0000" w:usb2="00000000" w:usb3="00000000" w:csb0="00040000" w:csb1="00000000"/>
  </w:font>
  <w:font w:name="方正小标宋_GBK">
    <w:panose1 w:val="03000509000000000000"/>
    <w:charset w:val="86"/>
    <w:family w:val="script"/>
    <w:pitch w:val="default"/>
    <w:sig w:usb0="00000001" w:usb1="080E0000" w:usb2="00000000" w:usb3="00000000" w:csb0="00040000" w:csb1="00000000"/>
    <w:embedRegular r:id="rId10" w:fontKey="{05616E2D-84BD-4229-9FFC-68B454E2716B}"/>
  </w:font>
  <w:font w:name="楷体">
    <w:panose1 w:val="02010609060101010101"/>
    <w:charset w:val="86"/>
    <w:family w:val="modern"/>
    <w:pitch w:val="default"/>
    <w:sig w:usb0="800002BF" w:usb1="38CF7CFA" w:usb2="00000016" w:usb3="00000000" w:csb0="00040001" w:csb1="00000000"/>
    <w:embedRegular r:id="rId11" w:fontKey="{A75170D1-70C6-43CD-8D19-AD0123276486}"/>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2"/>
                          </w:pPr>
                          <w:r>
                            <w:fldChar w:fldCharType="begin"/>
                          </w:r>
                          <w:r>
                            <w:instrText xml:space="preserve"> PAGE  \* MERGEFORMAT </w:instrText>
                          </w:r>
                          <w:r>
                            <w:fldChar w:fldCharType="separate"/>
                          </w:r>
                          <w:r>
                            <w:t>13</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pStyle w:val="12"/>
                    </w:pPr>
                    <w:r>
                      <w:fldChar w:fldCharType="begin"/>
                    </w:r>
                    <w:r>
                      <w:instrText xml:space="preserve"> PAGE  \* MERGEFORMAT </w:instrText>
                    </w:r>
                    <w:r>
                      <w:fldChar w:fldCharType="separate"/>
                    </w:r>
                    <w:r>
                      <w:t>13</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809717B"/>
    <w:multiLevelType w:val="singleLevel"/>
    <w:tmpl w:val="A809717B"/>
    <w:lvl w:ilvl="0" w:tentative="0">
      <w:start w:val="2"/>
      <w:numFmt w:val="chineseCounting"/>
      <w:suff w:val="nothing"/>
      <w:lvlText w:val="（%1）"/>
      <w:lvlJc w:val="left"/>
      <w:rPr>
        <w:rFonts w:hint="eastAsia"/>
      </w:rPr>
    </w:lvl>
  </w:abstractNum>
  <w:abstractNum w:abstractNumId="1">
    <w:nsid w:val="C3C38CFD"/>
    <w:multiLevelType w:val="singleLevel"/>
    <w:tmpl w:val="C3C38CFD"/>
    <w:lvl w:ilvl="0" w:tentative="0">
      <w:start w:val="3"/>
      <w:numFmt w:val="decimal"/>
      <w:suff w:val="nothing"/>
      <w:lvlText w:val="（%1）"/>
      <w:lvlJc w:val="left"/>
    </w:lvl>
  </w:abstractNum>
  <w:abstractNum w:abstractNumId="2">
    <w:nsid w:val="E8DA9C4C"/>
    <w:multiLevelType w:val="singleLevel"/>
    <w:tmpl w:val="E8DA9C4C"/>
    <w:lvl w:ilvl="0" w:tentative="0">
      <w:start w:val="5"/>
      <w:numFmt w:val="chineseCounting"/>
      <w:suff w:val="nothing"/>
      <w:lvlText w:val="（%1）"/>
      <w:lvlJc w:val="left"/>
      <w:rPr>
        <w:rFonts w:hint="eastAsia"/>
      </w:rPr>
    </w:lvl>
  </w:abstractNum>
  <w:abstractNum w:abstractNumId="3">
    <w:nsid w:val="ED537D19"/>
    <w:multiLevelType w:val="singleLevel"/>
    <w:tmpl w:val="ED537D19"/>
    <w:lvl w:ilvl="0" w:tentative="0">
      <w:start w:val="2"/>
      <w:numFmt w:val="decimal"/>
      <w:lvlText w:val="(%1)"/>
      <w:lvlJc w:val="left"/>
      <w:pPr>
        <w:tabs>
          <w:tab w:val="left" w:pos="312"/>
        </w:tabs>
      </w:pPr>
    </w:lvl>
  </w:abstractNum>
  <w:abstractNum w:abstractNumId="4">
    <w:nsid w:val="06830D9A"/>
    <w:multiLevelType w:val="multilevel"/>
    <w:tmpl w:val="06830D9A"/>
    <w:lvl w:ilvl="0" w:tentative="0">
      <w:start w:val="1"/>
      <w:numFmt w:val="decimal"/>
      <w:lvlText w:val="%1"/>
      <w:lvlJc w:val="left"/>
      <w:pPr>
        <w:ind w:left="425" w:hanging="425"/>
      </w:pPr>
      <w:rPr>
        <w:rFonts w:hint="eastAsia"/>
      </w:rPr>
    </w:lvl>
    <w:lvl w:ilvl="1" w:tentative="0">
      <w:start w:val="1"/>
      <w:numFmt w:val="decimal"/>
      <w:lvlText w:val="%1.%2"/>
      <w:lvlJc w:val="left"/>
      <w:pPr>
        <w:ind w:left="992" w:hanging="567"/>
      </w:pPr>
      <w:rPr>
        <w:rFonts w:hint="eastAsia"/>
      </w:rPr>
    </w:lvl>
    <w:lvl w:ilvl="2" w:tentative="0">
      <w:start w:val="1"/>
      <w:numFmt w:val="decimal"/>
      <w:lvlText w:val="%1.%2.%3"/>
      <w:lvlJc w:val="left"/>
      <w:pPr>
        <w:ind w:left="1702"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4BBB029A"/>
    <w:multiLevelType w:val="multilevel"/>
    <w:tmpl w:val="4BBB029A"/>
    <w:lvl w:ilvl="0" w:tentative="0">
      <w:start w:val="1"/>
      <w:numFmt w:val="decimal"/>
      <w:pStyle w:val="3"/>
      <w:lvlText w:val="%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86DE0EC"/>
    <w:multiLevelType w:val="singleLevel"/>
    <w:tmpl w:val="586DE0EC"/>
    <w:lvl w:ilvl="0" w:tentative="0">
      <w:start w:val="1"/>
      <w:numFmt w:val="decimal"/>
      <w:suff w:val="nothing"/>
      <w:lvlText w:val="（%1）"/>
      <w:lvlJc w:val="left"/>
    </w:lvl>
  </w:abstractNum>
  <w:abstractNum w:abstractNumId="7">
    <w:nsid w:val="6EA16E0C"/>
    <w:multiLevelType w:val="multilevel"/>
    <w:tmpl w:val="6EA16E0C"/>
    <w:lvl w:ilvl="0" w:tentative="0">
      <w:start w:val="1"/>
      <w:numFmt w:val="decimal"/>
      <w:pStyle w:val="4"/>
      <w:lvlText w:val="%1.1.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5"/>
  </w:num>
  <w:num w:numId="2">
    <w:abstractNumId w:val="7"/>
  </w:num>
  <w:num w:numId="3">
    <w:abstractNumId w:val="4"/>
  </w:num>
  <w:num w:numId="4">
    <w:abstractNumId w:val="6"/>
  </w:num>
  <w:num w:numId="5">
    <w:abstractNumId w:val="3"/>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QxYWQ0OWQxNDM3Y2IxYWFiMWMxZjMzN2QxNjEzZDUifQ=="/>
  </w:docVars>
  <w:rsids>
    <w:rsidRoot w:val="00414B7D"/>
    <w:rsid w:val="00016E08"/>
    <w:rsid w:val="00021851"/>
    <w:rsid w:val="00024B57"/>
    <w:rsid w:val="00036D0D"/>
    <w:rsid w:val="00036D41"/>
    <w:rsid w:val="00046D50"/>
    <w:rsid w:val="000475FC"/>
    <w:rsid w:val="00082C50"/>
    <w:rsid w:val="0008358D"/>
    <w:rsid w:val="00083F67"/>
    <w:rsid w:val="00087E49"/>
    <w:rsid w:val="000B0B81"/>
    <w:rsid w:val="000B1623"/>
    <w:rsid w:val="000B1CCE"/>
    <w:rsid w:val="000C3557"/>
    <w:rsid w:val="000C5082"/>
    <w:rsid w:val="000D57B9"/>
    <w:rsid w:val="000E1377"/>
    <w:rsid w:val="000F719E"/>
    <w:rsid w:val="00103F61"/>
    <w:rsid w:val="001040BC"/>
    <w:rsid w:val="00107A8F"/>
    <w:rsid w:val="00130F27"/>
    <w:rsid w:val="00136B2F"/>
    <w:rsid w:val="00160CDB"/>
    <w:rsid w:val="00161F5F"/>
    <w:rsid w:val="00162F2E"/>
    <w:rsid w:val="001764F0"/>
    <w:rsid w:val="00176DFF"/>
    <w:rsid w:val="001825A2"/>
    <w:rsid w:val="00186F45"/>
    <w:rsid w:val="00187575"/>
    <w:rsid w:val="001C1801"/>
    <w:rsid w:val="001C64B5"/>
    <w:rsid w:val="0020463E"/>
    <w:rsid w:val="0021140C"/>
    <w:rsid w:val="00230276"/>
    <w:rsid w:val="00230A7C"/>
    <w:rsid w:val="002358FA"/>
    <w:rsid w:val="0023779B"/>
    <w:rsid w:val="002443C4"/>
    <w:rsid w:val="0025623B"/>
    <w:rsid w:val="00257940"/>
    <w:rsid w:val="0027097D"/>
    <w:rsid w:val="00271E15"/>
    <w:rsid w:val="0027684A"/>
    <w:rsid w:val="00276A45"/>
    <w:rsid w:val="00282C28"/>
    <w:rsid w:val="0029663F"/>
    <w:rsid w:val="00297D3C"/>
    <w:rsid w:val="002A49E8"/>
    <w:rsid w:val="002A64D8"/>
    <w:rsid w:val="002A6ECE"/>
    <w:rsid w:val="002B2807"/>
    <w:rsid w:val="002C092D"/>
    <w:rsid w:val="002C1471"/>
    <w:rsid w:val="002C7301"/>
    <w:rsid w:val="002D239F"/>
    <w:rsid w:val="002D49A2"/>
    <w:rsid w:val="002E3475"/>
    <w:rsid w:val="002F2ABF"/>
    <w:rsid w:val="002F5C69"/>
    <w:rsid w:val="00300C5C"/>
    <w:rsid w:val="00334AA6"/>
    <w:rsid w:val="00335ABC"/>
    <w:rsid w:val="0035174C"/>
    <w:rsid w:val="00353891"/>
    <w:rsid w:val="00357062"/>
    <w:rsid w:val="003762B7"/>
    <w:rsid w:val="00377AB2"/>
    <w:rsid w:val="003963D0"/>
    <w:rsid w:val="003A243D"/>
    <w:rsid w:val="003A3F8A"/>
    <w:rsid w:val="003D3349"/>
    <w:rsid w:val="003F5B9B"/>
    <w:rsid w:val="003F5E87"/>
    <w:rsid w:val="003F7B44"/>
    <w:rsid w:val="00403605"/>
    <w:rsid w:val="00414B7D"/>
    <w:rsid w:val="00425B0B"/>
    <w:rsid w:val="00427588"/>
    <w:rsid w:val="0044086E"/>
    <w:rsid w:val="0044115C"/>
    <w:rsid w:val="004419BF"/>
    <w:rsid w:val="004446AF"/>
    <w:rsid w:val="00456D64"/>
    <w:rsid w:val="00461A03"/>
    <w:rsid w:val="00461C13"/>
    <w:rsid w:val="00466D62"/>
    <w:rsid w:val="00480EBB"/>
    <w:rsid w:val="004837BC"/>
    <w:rsid w:val="00491DC0"/>
    <w:rsid w:val="0049279D"/>
    <w:rsid w:val="004929DD"/>
    <w:rsid w:val="004A17A9"/>
    <w:rsid w:val="004A3BA3"/>
    <w:rsid w:val="004C27AA"/>
    <w:rsid w:val="004C4305"/>
    <w:rsid w:val="004C48B5"/>
    <w:rsid w:val="004D64A9"/>
    <w:rsid w:val="004F5174"/>
    <w:rsid w:val="004F7E0C"/>
    <w:rsid w:val="00505ACA"/>
    <w:rsid w:val="00520F1C"/>
    <w:rsid w:val="0052602D"/>
    <w:rsid w:val="00535343"/>
    <w:rsid w:val="0054358D"/>
    <w:rsid w:val="005510BE"/>
    <w:rsid w:val="0055540B"/>
    <w:rsid w:val="005674C1"/>
    <w:rsid w:val="005A11A3"/>
    <w:rsid w:val="005A299C"/>
    <w:rsid w:val="005B40F5"/>
    <w:rsid w:val="005B5C85"/>
    <w:rsid w:val="005D2E62"/>
    <w:rsid w:val="005D3B9D"/>
    <w:rsid w:val="00621D18"/>
    <w:rsid w:val="006264C5"/>
    <w:rsid w:val="006276D2"/>
    <w:rsid w:val="00633F43"/>
    <w:rsid w:val="00635FD4"/>
    <w:rsid w:val="006451C9"/>
    <w:rsid w:val="00682CC7"/>
    <w:rsid w:val="006838D1"/>
    <w:rsid w:val="00683B82"/>
    <w:rsid w:val="006A0C6F"/>
    <w:rsid w:val="006A530D"/>
    <w:rsid w:val="006B5D89"/>
    <w:rsid w:val="006E0F22"/>
    <w:rsid w:val="006F03CF"/>
    <w:rsid w:val="006F614A"/>
    <w:rsid w:val="00706A4E"/>
    <w:rsid w:val="007115C8"/>
    <w:rsid w:val="00722E10"/>
    <w:rsid w:val="00752CB5"/>
    <w:rsid w:val="00760C80"/>
    <w:rsid w:val="00765FA0"/>
    <w:rsid w:val="00770E0C"/>
    <w:rsid w:val="00776C05"/>
    <w:rsid w:val="00783B17"/>
    <w:rsid w:val="00796661"/>
    <w:rsid w:val="007A3C4B"/>
    <w:rsid w:val="007B38F5"/>
    <w:rsid w:val="007C462B"/>
    <w:rsid w:val="007C6866"/>
    <w:rsid w:val="007D1B86"/>
    <w:rsid w:val="007D58AE"/>
    <w:rsid w:val="007E49F4"/>
    <w:rsid w:val="007F5B60"/>
    <w:rsid w:val="00804413"/>
    <w:rsid w:val="0080484E"/>
    <w:rsid w:val="00807F37"/>
    <w:rsid w:val="00813205"/>
    <w:rsid w:val="00853D02"/>
    <w:rsid w:val="008726A9"/>
    <w:rsid w:val="00873B68"/>
    <w:rsid w:val="008741FC"/>
    <w:rsid w:val="008764E8"/>
    <w:rsid w:val="008B08D1"/>
    <w:rsid w:val="008C646A"/>
    <w:rsid w:val="008C6AA7"/>
    <w:rsid w:val="008D2C5C"/>
    <w:rsid w:val="008E0491"/>
    <w:rsid w:val="008E496C"/>
    <w:rsid w:val="009167F1"/>
    <w:rsid w:val="00932232"/>
    <w:rsid w:val="00942A28"/>
    <w:rsid w:val="00952F6D"/>
    <w:rsid w:val="00957616"/>
    <w:rsid w:val="00960A8B"/>
    <w:rsid w:val="00974DAE"/>
    <w:rsid w:val="00975A3A"/>
    <w:rsid w:val="00987C5A"/>
    <w:rsid w:val="0099597E"/>
    <w:rsid w:val="0099715E"/>
    <w:rsid w:val="009A4DCB"/>
    <w:rsid w:val="009A507D"/>
    <w:rsid w:val="009B213F"/>
    <w:rsid w:val="009B47A3"/>
    <w:rsid w:val="009B5649"/>
    <w:rsid w:val="009B56E1"/>
    <w:rsid w:val="009C110C"/>
    <w:rsid w:val="009C79C7"/>
    <w:rsid w:val="009D79E4"/>
    <w:rsid w:val="009E5C35"/>
    <w:rsid w:val="009F3991"/>
    <w:rsid w:val="009F3EFC"/>
    <w:rsid w:val="009F6B69"/>
    <w:rsid w:val="00A10B96"/>
    <w:rsid w:val="00A177CD"/>
    <w:rsid w:val="00A202D7"/>
    <w:rsid w:val="00A21618"/>
    <w:rsid w:val="00A21665"/>
    <w:rsid w:val="00A225EB"/>
    <w:rsid w:val="00A262B3"/>
    <w:rsid w:val="00A35141"/>
    <w:rsid w:val="00A35A5E"/>
    <w:rsid w:val="00A415E3"/>
    <w:rsid w:val="00A426D9"/>
    <w:rsid w:val="00A45F48"/>
    <w:rsid w:val="00A621B0"/>
    <w:rsid w:val="00A72180"/>
    <w:rsid w:val="00A74E49"/>
    <w:rsid w:val="00A773A3"/>
    <w:rsid w:val="00AA252A"/>
    <w:rsid w:val="00AA2C44"/>
    <w:rsid w:val="00AC2A90"/>
    <w:rsid w:val="00AD43E3"/>
    <w:rsid w:val="00AE34E7"/>
    <w:rsid w:val="00AF0AFB"/>
    <w:rsid w:val="00AF7214"/>
    <w:rsid w:val="00B03232"/>
    <w:rsid w:val="00B053C8"/>
    <w:rsid w:val="00B05937"/>
    <w:rsid w:val="00B10C7D"/>
    <w:rsid w:val="00B12A63"/>
    <w:rsid w:val="00B143E3"/>
    <w:rsid w:val="00B20D12"/>
    <w:rsid w:val="00B219EF"/>
    <w:rsid w:val="00B4360F"/>
    <w:rsid w:val="00B46B99"/>
    <w:rsid w:val="00B4775C"/>
    <w:rsid w:val="00B54402"/>
    <w:rsid w:val="00B6760A"/>
    <w:rsid w:val="00B83DC4"/>
    <w:rsid w:val="00BB7563"/>
    <w:rsid w:val="00BC0899"/>
    <w:rsid w:val="00BE28B4"/>
    <w:rsid w:val="00C0298E"/>
    <w:rsid w:val="00C13121"/>
    <w:rsid w:val="00C17077"/>
    <w:rsid w:val="00C1762E"/>
    <w:rsid w:val="00C20D59"/>
    <w:rsid w:val="00C37C3C"/>
    <w:rsid w:val="00C47601"/>
    <w:rsid w:val="00C53CE0"/>
    <w:rsid w:val="00C553E8"/>
    <w:rsid w:val="00C64B66"/>
    <w:rsid w:val="00C669C6"/>
    <w:rsid w:val="00C735FC"/>
    <w:rsid w:val="00C7792A"/>
    <w:rsid w:val="00C87D33"/>
    <w:rsid w:val="00C900CB"/>
    <w:rsid w:val="00C90434"/>
    <w:rsid w:val="00CA6ECC"/>
    <w:rsid w:val="00CB23FF"/>
    <w:rsid w:val="00CD5385"/>
    <w:rsid w:val="00CF007C"/>
    <w:rsid w:val="00CF08F6"/>
    <w:rsid w:val="00D02D71"/>
    <w:rsid w:val="00D21A15"/>
    <w:rsid w:val="00D51B3C"/>
    <w:rsid w:val="00D70DBE"/>
    <w:rsid w:val="00D85954"/>
    <w:rsid w:val="00D868FA"/>
    <w:rsid w:val="00D942D8"/>
    <w:rsid w:val="00DA1E6E"/>
    <w:rsid w:val="00DF6D58"/>
    <w:rsid w:val="00DF79A0"/>
    <w:rsid w:val="00E01285"/>
    <w:rsid w:val="00E06E72"/>
    <w:rsid w:val="00E101C5"/>
    <w:rsid w:val="00E14352"/>
    <w:rsid w:val="00E25CE9"/>
    <w:rsid w:val="00E25E58"/>
    <w:rsid w:val="00E274D7"/>
    <w:rsid w:val="00E35680"/>
    <w:rsid w:val="00E52AFF"/>
    <w:rsid w:val="00E54E41"/>
    <w:rsid w:val="00E77BFD"/>
    <w:rsid w:val="00EA4F02"/>
    <w:rsid w:val="00EA52D5"/>
    <w:rsid w:val="00EA62F4"/>
    <w:rsid w:val="00EE64AF"/>
    <w:rsid w:val="00EF0362"/>
    <w:rsid w:val="00EF7923"/>
    <w:rsid w:val="00F0169E"/>
    <w:rsid w:val="00F02ECD"/>
    <w:rsid w:val="00F03FEA"/>
    <w:rsid w:val="00F32F3A"/>
    <w:rsid w:val="00F3638E"/>
    <w:rsid w:val="00F37675"/>
    <w:rsid w:val="00F52189"/>
    <w:rsid w:val="00F843F0"/>
    <w:rsid w:val="00F845E1"/>
    <w:rsid w:val="00F87D7A"/>
    <w:rsid w:val="00F90E9A"/>
    <w:rsid w:val="00F9178B"/>
    <w:rsid w:val="00FA2D92"/>
    <w:rsid w:val="00FA79ED"/>
    <w:rsid w:val="00FB055D"/>
    <w:rsid w:val="00FB13FC"/>
    <w:rsid w:val="00FB20DA"/>
    <w:rsid w:val="00FB212B"/>
    <w:rsid w:val="00FC0C10"/>
    <w:rsid w:val="00FC1F1B"/>
    <w:rsid w:val="00FC312F"/>
    <w:rsid w:val="00FD336C"/>
    <w:rsid w:val="011C5968"/>
    <w:rsid w:val="017A1376"/>
    <w:rsid w:val="019C1042"/>
    <w:rsid w:val="01D976F9"/>
    <w:rsid w:val="01DB05CA"/>
    <w:rsid w:val="02C624B1"/>
    <w:rsid w:val="02E24B65"/>
    <w:rsid w:val="031B4FD7"/>
    <w:rsid w:val="03384BB1"/>
    <w:rsid w:val="033B3541"/>
    <w:rsid w:val="03685B95"/>
    <w:rsid w:val="03A17C2D"/>
    <w:rsid w:val="03C9420E"/>
    <w:rsid w:val="03EC6EBA"/>
    <w:rsid w:val="03EE2230"/>
    <w:rsid w:val="043F0DA3"/>
    <w:rsid w:val="045545F7"/>
    <w:rsid w:val="04A406D7"/>
    <w:rsid w:val="04BC5076"/>
    <w:rsid w:val="04DD3CEE"/>
    <w:rsid w:val="05403880"/>
    <w:rsid w:val="05466AD0"/>
    <w:rsid w:val="057D1D75"/>
    <w:rsid w:val="05AE6F6A"/>
    <w:rsid w:val="05E17CB4"/>
    <w:rsid w:val="063F521C"/>
    <w:rsid w:val="06766A33"/>
    <w:rsid w:val="068D2C76"/>
    <w:rsid w:val="06D21523"/>
    <w:rsid w:val="072D56D3"/>
    <w:rsid w:val="073076D9"/>
    <w:rsid w:val="07722B91"/>
    <w:rsid w:val="07867BF0"/>
    <w:rsid w:val="07E36243"/>
    <w:rsid w:val="0822779D"/>
    <w:rsid w:val="086039B5"/>
    <w:rsid w:val="089C44B6"/>
    <w:rsid w:val="08E806AC"/>
    <w:rsid w:val="09035DC8"/>
    <w:rsid w:val="092B1014"/>
    <w:rsid w:val="093A1BBD"/>
    <w:rsid w:val="09415222"/>
    <w:rsid w:val="09A37E69"/>
    <w:rsid w:val="09CA6A7A"/>
    <w:rsid w:val="09CB150A"/>
    <w:rsid w:val="09DC263D"/>
    <w:rsid w:val="09EC6DE6"/>
    <w:rsid w:val="0A037E2F"/>
    <w:rsid w:val="0A0402F4"/>
    <w:rsid w:val="0A5343BB"/>
    <w:rsid w:val="0A844F3D"/>
    <w:rsid w:val="0A870EFF"/>
    <w:rsid w:val="0A9224F0"/>
    <w:rsid w:val="0AA243BD"/>
    <w:rsid w:val="0AB358AB"/>
    <w:rsid w:val="0AC26F81"/>
    <w:rsid w:val="0AE64A4E"/>
    <w:rsid w:val="0B4777AE"/>
    <w:rsid w:val="0BC43BCA"/>
    <w:rsid w:val="0C1E6CF7"/>
    <w:rsid w:val="0C4C516B"/>
    <w:rsid w:val="0C5149F8"/>
    <w:rsid w:val="0C6100E9"/>
    <w:rsid w:val="0C9408B1"/>
    <w:rsid w:val="0CD12227"/>
    <w:rsid w:val="0D4A7C88"/>
    <w:rsid w:val="0D681993"/>
    <w:rsid w:val="0D9E1D21"/>
    <w:rsid w:val="0D9F2933"/>
    <w:rsid w:val="0DA94513"/>
    <w:rsid w:val="0DBD4354"/>
    <w:rsid w:val="0DC93204"/>
    <w:rsid w:val="0E020B6B"/>
    <w:rsid w:val="0E1D36E7"/>
    <w:rsid w:val="0E5C62A4"/>
    <w:rsid w:val="0EC72756"/>
    <w:rsid w:val="0EFF4355"/>
    <w:rsid w:val="0F397B92"/>
    <w:rsid w:val="0F4C711B"/>
    <w:rsid w:val="0F6B1F68"/>
    <w:rsid w:val="0F6F11AA"/>
    <w:rsid w:val="0F704B97"/>
    <w:rsid w:val="0FCC46EF"/>
    <w:rsid w:val="104D2185"/>
    <w:rsid w:val="107E409D"/>
    <w:rsid w:val="10F351D8"/>
    <w:rsid w:val="10F54453"/>
    <w:rsid w:val="10FE360A"/>
    <w:rsid w:val="110A197C"/>
    <w:rsid w:val="11542761"/>
    <w:rsid w:val="1188035B"/>
    <w:rsid w:val="11C16297"/>
    <w:rsid w:val="11C87659"/>
    <w:rsid w:val="11F87298"/>
    <w:rsid w:val="128D210B"/>
    <w:rsid w:val="12940E0B"/>
    <w:rsid w:val="12BC68F7"/>
    <w:rsid w:val="12EB67CB"/>
    <w:rsid w:val="131D1FC0"/>
    <w:rsid w:val="13200321"/>
    <w:rsid w:val="133E3F47"/>
    <w:rsid w:val="14530434"/>
    <w:rsid w:val="145D32C7"/>
    <w:rsid w:val="14FD2BB2"/>
    <w:rsid w:val="151547B8"/>
    <w:rsid w:val="15294C1C"/>
    <w:rsid w:val="154510DF"/>
    <w:rsid w:val="15CA28F9"/>
    <w:rsid w:val="16181B81"/>
    <w:rsid w:val="163E45AA"/>
    <w:rsid w:val="16453E27"/>
    <w:rsid w:val="16465A40"/>
    <w:rsid w:val="16AD702C"/>
    <w:rsid w:val="16DD6B31"/>
    <w:rsid w:val="17461C62"/>
    <w:rsid w:val="17AA48DE"/>
    <w:rsid w:val="17E62AA7"/>
    <w:rsid w:val="17EF2C21"/>
    <w:rsid w:val="17F4424E"/>
    <w:rsid w:val="189A61CB"/>
    <w:rsid w:val="18EF46F1"/>
    <w:rsid w:val="19022E3E"/>
    <w:rsid w:val="19165ED3"/>
    <w:rsid w:val="196116C8"/>
    <w:rsid w:val="19837757"/>
    <w:rsid w:val="1A2447D6"/>
    <w:rsid w:val="1A4F2ED7"/>
    <w:rsid w:val="1A6B70D6"/>
    <w:rsid w:val="1BDB434B"/>
    <w:rsid w:val="1BFF75B4"/>
    <w:rsid w:val="1CCD3ED3"/>
    <w:rsid w:val="1D0826D3"/>
    <w:rsid w:val="1D3C33F2"/>
    <w:rsid w:val="1D74030A"/>
    <w:rsid w:val="1E1910DF"/>
    <w:rsid w:val="1E765D9E"/>
    <w:rsid w:val="1E852558"/>
    <w:rsid w:val="1EA43555"/>
    <w:rsid w:val="1EC62B79"/>
    <w:rsid w:val="1F270062"/>
    <w:rsid w:val="1F3D026E"/>
    <w:rsid w:val="1F4024E6"/>
    <w:rsid w:val="1F8054F8"/>
    <w:rsid w:val="1FC90F95"/>
    <w:rsid w:val="201A26D0"/>
    <w:rsid w:val="20267953"/>
    <w:rsid w:val="20413C5F"/>
    <w:rsid w:val="209E1CA7"/>
    <w:rsid w:val="20B31AFE"/>
    <w:rsid w:val="20D47D98"/>
    <w:rsid w:val="21164FA2"/>
    <w:rsid w:val="21311EA5"/>
    <w:rsid w:val="213F555E"/>
    <w:rsid w:val="21832154"/>
    <w:rsid w:val="2183368C"/>
    <w:rsid w:val="21C25F7F"/>
    <w:rsid w:val="21C86D7A"/>
    <w:rsid w:val="21F148E9"/>
    <w:rsid w:val="21F9422C"/>
    <w:rsid w:val="21FA4D09"/>
    <w:rsid w:val="22A23A20"/>
    <w:rsid w:val="22F35566"/>
    <w:rsid w:val="23DE067B"/>
    <w:rsid w:val="2449672E"/>
    <w:rsid w:val="25177E64"/>
    <w:rsid w:val="25B12619"/>
    <w:rsid w:val="25BC2B1C"/>
    <w:rsid w:val="26311933"/>
    <w:rsid w:val="263521FC"/>
    <w:rsid w:val="26A02230"/>
    <w:rsid w:val="26A946F1"/>
    <w:rsid w:val="270F717E"/>
    <w:rsid w:val="27430DFA"/>
    <w:rsid w:val="27D23000"/>
    <w:rsid w:val="287F0225"/>
    <w:rsid w:val="2888633C"/>
    <w:rsid w:val="28967876"/>
    <w:rsid w:val="28DC6D8D"/>
    <w:rsid w:val="28E658A2"/>
    <w:rsid w:val="2934369F"/>
    <w:rsid w:val="293539E2"/>
    <w:rsid w:val="294806D3"/>
    <w:rsid w:val="29584F90"/>
    <w:rsid w:val="29601992"/>
    <w:rsid w:val="29700F10"/>
    <w:rsid w:val="29C75BF1"/>
    <w:rsid w:val="2A3537E9"/>
    <w:rsid w:val="2B116393"/>
    <w:rsid w:val="2B280230"/>
    <w:rsid w:val="2B2B6B34"/>
    <w:rsid w:val="2B3C1752"/>
    <w:rsid w:val="2B6407D7"/>
    <w:rsid w:val="2B68020E"/>
    <w:rsid w:val="2BAB04F0"/>
    <w:rsid w:val="2BC96FB4"/>
    <w:rsid w:val="2BCB1CCD"/>
    <w:rsid w:val="2BED42B0"/>
    <w:rsid w:val="2BF72439"/>
    <w:rsid w:val="2C120FBA"/>
    <w:rsid w:val="2C2926C2"/>
    <w:rsid w:val="2C2D516F"/>
    <w:rsid w:val="2CF23076"/>
    <w:rsid w:val="2D1550EE"/>
    <w:rsid w:val="2D270E95"/>
    <w:rsid w:val="2D3B7778"/>
    <w:rsid w:val="2DA43847"/>
    <w:rsid w:val="2DBF0548"/>
    <w:rsid w:val="2DDB109D"/>
    <w:rsid w:val="2DE67EA2"/>
    <w:rsid w:val="2E28596F"/>
    <w:rsid w:val="2E503645"/>
    <w:rsid w:val="2E8F6D9B"/>
    <w:rsid w:val="2E943024"/>
    <w:rsid w:val="2F545A81"/>
    <w:rsid w:val="2F676C11"/>
    <w:rsid w:val="2F6D2B41"/>
    <w:rsid w:val="301532EA"/>
    <w:rsid w:val="30377C0B"/>
    <w:rsid w:val="303C7515"/>
    <w:rsid w:val="30450F97"/>
    <w:rsid w:val="30592DBB"/>
    <w:rsid w:val="30752F10"/>
    <w:rsid w:val="309B5AA8"/>
    <w:rsid w:val="30D74F49"/>
    <w:rsid w:val="31032936"/>
    <w:rsid w:val="310E7A63"/>
    <w:rsid w:val="315F2B6B"/>
    <w:rsid w:val="31C75A19"/>
    <w:rsid w:val="31F65444"/>
    <w:rsid w:val="31FD2DFF"/>
    <w:rsid w:val="31FE1724"/>
    <w:rsid w:val="32393EA5"/>
    <w:rsid w:val="32505F18"/>
    <w:rsid w:val="325B5CA8"/>
    <w:rsid w:val="32844C58"/>
    <w:rsid w:val="32E57142"/>
    <w:rsid w:val="330149B7"/>
    <w:rsid w:val="33062B8C"/>
    <w:rsid w:val="3314415B"/>
    <w:rsid w:val="3373322C"/>
    <w:rsid w:val="343E2D93"/>
    <w:rsid w:val="345D70F2"/>
    <w:rsid w:val="347978E8"/>
    <w:rsid w:val="348A0827"/>
    <w:rsid w:val="34DF4479"/>
    <w:rsid w:val="353C2939"/>
    <w:rsid w:val="35956D0A"/>
    <w:rsid w:val="35AC7563"/>
    <w:rsid w:val="35C325F8"/>
    <w:rsid w:val="35E36877"/>
    <w:rsid w:val="35E55CD1"/>
    <w:rsid w:val="35EC1630"/>
    <w:rsid w:val="35EF4932"/>
    <w:rsid w:val="361653D4"/>
    <w:rsid w:val="36723A2B"/>
    <w:rsid w:val="3678556E"/>
    <w:rsid w:val="36C40E55"/>
    <w:rsid w:val="36EF37C9"/>
    <w:rsid w:val="37685E7A"/>
    <w:rsid w:val="37800460"/>
    <w:rsid w:val="37920AEE"/>
    <w:rsid w:val="37D556C3"/>
    <w:rsid w:val="384A7A41"/>
    <w:rsid w:val="385B2EF8"/>
    <w:rsid w:val="38905D39"/>
    <w:rsid w:val="38A774A1"/>
    <w:rsid w:val="38B2148E"/>
    <w:rsid w:val="38C068C5"/>
    <w:rsid w:val="38D94CED"/>
    <w:rsid w:val="391E1F52"/>
    <w:rsid w:val="39465DF3"/>
    <w:rsid w:val="394A5FF0"/>
    <w:rsid w:val="396B5391"/>
    <w:rsid w:val="3A593B03"/>
    <w:rsid w:val="3A7845C1"/>
    <w:rsid w:val="3A914A27"/>
    <w:rsid w:val="3B352BD2"/>
    <w:rsid w:val="3B43014D"/>
    <w:rsid w:val="3BB719E6"/>
    <w:rsid w:val="3BCC0025"/>
    <w:rsid w:val="3BCF17A7"/>
    <w:rsid w:val="3C052A44"/>
    <w:rsid w:val="3C3505F9"/>
    <w:rsid w:val="3C356645"/>
    <w:rsid w:val="3CAC15D2"/>
    <w:rsid w:val="3CB20F70"/>
    <w:rsid w:val="3D061283"/>
    <w:rsid w:val="3DD72468"/>
    <w:rsid w:val="3DDA79A5"/>
    <w:rsid w:val="3E054764"/>
    <w:rsid w:val="3E107CA2"/>
    <w:rsid w:val="3E4B02B0"/>
    <w:rsid w:val="3E504A51"/>
    <w:rsid w:val="3E5D7F6D"/>
    <w:rsid w:val="3E720BBD"/>
    <w:rsid w:val="3E7F0FD3"/>
    <w:rsid w:val="3F3A7B06"/>
    <w:rsid w:val="3F4E727B"/>
    <w:rsid w:val="3F4E7974"/>
    <w:rsid w:val="3F8F4793"/>
    <w:rsid w:val="3F9600B4"/>
    <w:rsid w:val="3F9E131B"/>
    <w:rsid w:val="40214590"/>
    <w:rsid w:val="402B7E3F"/>
    <w:rsid w:val="40575044"/>
    <w:rsid w:val="40A1781F"/>
    <w:rsid w:val="40A801E1"/>
    <w:rsid w:val="40AB238A"/>
    <w:rsid w:val="411F71B7"/>
    <w:rsid w:val="41322588"/>
    <w:rsid w:val="41B32333"/>
    <w:rsid w:val="41DD6993"/>
    <w:rsid w:val="421D2353"/>
    <w:rsid w:val="427A506E"/>
    <w:rsid w:val="4284303B"/>
    <w:rsid w:val="42847D13"/>
    <w:rsid w:val="42AA07D4"/>
    <w:rsid w:val="42AD7A50"/>
    <w:rsid w:val="42CE1FCF"/>
    <w:rsid w:val="431E58B7"/>
    <w:rsid w:val="432B278D"/>
    <w:rsid w:val="43825D54"/>
    <w:rsid w:val="4388488F"/>
    <w:rsid w:val="43A8521B"/>
    <w:rsid w:val="443326F0"/>
    <w:rsid w:val="444D3426"/>
    <w:rsid w:val="446737BF"/>
    <w:rsid w:val="447A6FA6"/>
    <w:rsid w:val="449E3F2F"/>
    <w:rsid w:val="4553243B"/>
    <w:rsid w:val="45834774"/>
    <w:rsid w:val="459C3C24"/>
    <w:rsid w:val="45A80E97"/>
    <w:rsid w:val="4605530A"/>
    <w:rsid w:val="462D0BBD"/>
    <w:rsid w:val="467C1E8C"/>
    <w:rsid w:val="46897314"/>
    <w:rsid w:val="46E84D4F"/>
    <w:rsid w:val="470343A1"/>
    <w:rsid w:val="4713714A"/>
    <w:rsid w:val="472B474E"/>
    <w:rsid w:val="47802038"/>
    <w:rsid w:val="478B6735"/>
    <w:rsid w:val="47B324DC"/>
    <w:rsid w:val="47EB03B5"/>
    <w:rsid w:val="47FB099F"/>
    <w:rsid w:val="483504F4"/>
    <w:rsid w:val="48394494"/>
    <w:rsid w:val="48A7564B"/>
    <w:rsid w:val="48BD099B"/>
    <w:rsid w:val="48F74ABF"/>
    <w:rsid w:val="4940640D"/>
    <w:rsid w:val="49497549"/>
    <w:rsid w:val="497E123A"/>
    <w:rsid w:val="4993326C"/>
    <w:rsid w:val="49BF66B8"/>
    <w:rsid w:val="4A432BA3"/>
    <w:rsid w:val="4A72756B"/>
    <w:rsid w:val="4A797541"/>
    <w:rsid w:val="4A7F5FCD"/>
    <w:rsid w:val="4B010B09"/>
    <w:rsid w:val="4BC149DF"/>
    <w:rsid w:val="4BE30283"/>
    <w:rsid w:val="4BF37B2C"/>
    <w:rsid w:val="4C38048C"/>
    <w:rsid w:val="4CF31CB8"/>
    <w:rsid w:val="4D1E0B50"/>
    <w:rsid w:val="4D917D31"/>
    <w:rsid w:val="4E002236"/>
    <w:rsid w:val="4E4179EE"/>
    <w:rsid w:val="4E470433"/>
    <w:rsid w:val="4E767DC2"/>
    <w:rsid w:val="4E8F6F3C"/>
    <w:rsid w:val="4ED57ECB"/>
    <w:rsid w:val="4EDA4E39"/>
    <w:rsid w:val="4F9F7B0F"/>
    <w:rsid w:val="4FCE03C2"/>
    <w:rsid w:val="50372AC6"/>
    <w:rsid w:val="50F66874"/>
    <w:rsid w:val="510711CE"/>
    <w:rsid w:val="512438F2"/>
    <w:rsid w:val="512B0AEB"/>
    <w:rsid w:val="51B24506"/>
    <w:rsid w:val="51C90B72"/>
    <w:rsid w:val="52414FCD"/>
    <w:rsid w:val="52603064"/>
    <w:rsid w:val="52677290"/>
    <w:rsid w:val="52803B80"/>
    <w:rsid w:val="52B27FA0"/>
    <w:rsid w:val="53434A68"/>
    <w:rsid w:val="534838B6"/>
    <w:rsid w:val="53D725CB"/>
    <w:rsid w:val="542B42CD"/>
    <w:rsid w:val="547140A9"/>
    <w:rsid w:val="54B21C9B"/>
    <w:rsid w:val="54C25001"/>
    <w:rsid w:val="54CB1C1C"/>
    <w:rsid w:val="55083AF1"/>
    <w:rsid w:val="55360C50"/>
    <w:rsid w:val="55AE5125"/>
    <w:rsid w:val="56443477"/>
    <w:rsid w:val="56686407"/>
    <w:rsid w:val="5670694D"/>
    <w:rsid w:val="568203C1"/>
    <w:rsid w:val="5692044B"/>
    <w:rsid w:val="570C6A4D"/>
    <w:rsid w:val="57200AAC"/>
    <w:rsid w:val="57400FAC"/>
    <w:rsid w:val="57FA77E0"/>
    <w:rsid w:val="588472F7"/>
    <w:rsid w:val="58E443C8"/>
    <w:rsid w:val="58F12371"/>
    <w:rsid w:val="590B4AF5"/>
    <w:rsid w:val="59255366"/>
    <w:rsid w:val="592E3D42"/>
    <w:rsid w:val="5957077D"/>
    <w:rsid w:val="59F8028A"/>
    <w:rsid w:val="5A0679B5"/>
    <w:rsid w:val="5A5F5703"/>
    <w:rsid w:val="5B10408B"/>
    <w:rsid w:val="5B614E05"/>
    <w:rsid w:val="5B9F729D"/>
    <w:rsid w:val="5BBB54FB"/>
    <w:rsid w:val="5C304108"/>
    <w:rsid w:val="5CD22B72"/>
    <w:rsid w:val="5CD37180"/>
    <w:rsid w:val="5D0D0413"/>
    <w:rsid w:val="5D226ACA"/>
    <w:rsid w:val="5D3778A4"/>
    <w:rsid w:val="5D684E59"/>
    <w:rsid w:val="5D6A02A3"/>
    <w:rsid w:val="5D76641B"/>
    <w:rsid w:val="5D873867"/>
    <w:rsid w:val="5D9D4B3C"/>
    <w:rsid w:val="5DAC0B5B"/>
    <w:rsid w:val="5DBA189E"/>
    <w:rsid w:val="5DEC3733"/>
    <w:rsid w:val="5E324CFB"/>
    <w:rsid w:val="5EAE580E"/>
    <w:rsid w:val="5F3351B1"/>
    <w:rsid w:val="5F373A61"/>
    <w:rsid w:val="5F6A0D11"/>
    <w:rsid w:val="5F6D6775"/>
    <w:rsid w:val="60091B2F"/>
    <w:rsid w:val="601B7887"/>
    <w:rsid w:val="60666BAE"/>
    <w:rsid w:val="60CB6295"/>
    <w:rsid w:val="60EF3577"/>
    <w:rsid w:val="612F2FC5"/>
    <w:rsid w:val="61810DAC"/>
    <w:rsid w:val="61BA34EB"/>
    <w:rsid w:val="61F64342"/>
    <w:rsid w:val="62361D20"/>
    <w:rsid w:val="624F1FFB"/>
    <w:rsid w:val="626838A5"/>
    <w:rsid w:val="62743A36"/>
    <w:rsid w:val="62B214F1"/>
    <w:rsid w:val="62BD4A25"/>
    <w:rsid w:val="63146D7E"/>
    <w:rsid w:val="63230500"/>
    <w:rsid w:val="63513D97"/>
    <w:rsid w:val="63920A42"/>
    <w:rsid w:val="64760EA5"/>
    <w:rsid w:val="64963F53"/>
    <w:rsid w:val="64C32216"/>
    <w:rsid w:val="64CC30EB"/>
    <w:rsid w:val="64D85CAF"/>
    <w:rsid w:val="64E67343"/>
    <w:rsid w:val="65240CFF"/>
    <w:rsid w:val="65611872"/>
    <w:rsid w:val="656C6C0C"/>
    <w:rsid w:val="663B0545"/>
    <w:rsid w:val="663C6FD7"/>
    <w:rsid w:val="664A1A6A"/>
    <w:rsid w:val="66690A9C"/>
    <w:rsid w:val="66846F63"/>
    <w:rsid w:val="66AE6963"/>
    <w:rsid w:val="66B5704E"/>
    <w:rsid w:val="66EF19E5"/>
    <w:rsid w:val="67695560"/>
    <w:rsid w:val="67F3262C"/>
    <w:rsid w:val="67F72DF6"/>
    <w:rsid w:val="6801064C"/>
    <w:rsid w:val="68083B50"/>
    <w:rsid w:val="680B3A79"/>
    <w:rsid w:val="686F0A84"/>
    <w:rsid w:val="688E629F"/>
    <w:rsid w:val="68917166"/>
    <w:rsid w:val="68CE2566"/>
    <w:rsid w:val="68DF4C87"/>
    <w:rsid w:val="69006B8C"/>
    <w:rsid w:val="69603B4A"/>
    <w:rsid w:val="696320E7"/>
    <w:rsid w:val="698A6289"/>
    <w:rsid w:val="69AB5865"/>
    <w:rsid w:val="6A295EBD"/>
    <w:rsid w:val="6A6352C7"/>
    <w:rsid w:val="6ACD7664"/>
    <w:rsid w:val="6B224577"/>
    <w:rsid w:val="6B3063AB"/>
    <w:rsid w:val="6B785364"/>
    <w:rsid w:val="6BC87F76"/>
    <w:rsid w:val="6C0A4E0D"/>
    <w:rsid w:val="6C2B0249"/>
    <w:rsid w:val="6D011978"/>
    <w:rsid w:val="6D4C7577"/>
    <w:rsid w:val="6D614BA0"/>
    <w:rsid w:val="6DF40034"/>
    <w:rsid w:val="6DFB3AAB"/>
    <w:rsid w:val="6E296577"/>
    <w:rsid w:val="6E2E7467"/>
    <w:rsid w:val="6E8B3828"/>
    <w:rsid w:val="6EE82A97"/>
    <w:rsid w:val="6F2548C9"/>
    <w:rsid w:val="6F65704C"/>
    <w:rsid w:val="6F670D3C"/>
    <w:rsid w:val="6F806D7A"/>
    <w:rsid w:val="6FB00B6F"/>
    <w:rsid w:val="705742C5"/>
    <w:rsid w:val="708519A6"/>
    <w:rsid w:val="70953AEF"/>
    <w:rsid w:val="70D84686"/>
    <w:rsid w:val="71103916"/>
    <w:rsid w:val="711B49BC"/>
    <w:rsid w:val="714C6B86"/>
    <w:rsid w:val="71697858"/>
    <w:rsid w:val="717C4FF8"/>
    <w:rsid w:val="718F2948"/>
    <w:rsid w:val="71C10EE3"/>
    <w:rsid w:val="71DA1C11"/>
    <w:rsid w:val="71F32CE0"/>
    <w:rsid w:val="721754DD"/>
    <w:rsid w:val="72D47A43"/>
    <w:rsid w:val="738144AE"/>
    <w:rsid w:val="73A94202"/>
    <w:rsid w:val="73D5303E"/>
    <w:rsid w:val="73F0565F"/>
    <w:rsid w:val="740E54B7"/>
    <w:rsid w:val="74557BA0"/>
    <w:rsid w:val="74667C0C"/>
    <w:rsid w:val="74750532"/>
    <w:rsid w:val="74A2489D"/>
    <w:rsid w:val="74DA6C11"/>
    <w:rsid w:val="750931DA"/>
    <w:rsid w:val="754427F8"/>
    <w:rsid w:val="75642364"/>
    <w:rsid w:val="756A176D"/>
    <w:rsid w:val="757B2EFF"/>
    <w:rsid w:val="757C60BA"/>
    <w:rsid w:val="75AC36CE"/>
    <w:rsid w:val="75B93025"/>
    <w:rsid w:val="75C31316"/>
    <w:rsid w:val="75CC3D65"/>
    <w:rsid w:val="75D14FF0"/>
    <w:rsid w:val="75FE6729"/>
    <w:rsid w:val="760E4EC1"/>
    <w:rsid w:val="76207A89"/>
    <w:rsid w:val="762F3558"/>
    <w:rsid w:val="763B1F21"/>
    <w:rsid w:val="76826103"/>
    <w:rsid w:val="770316D3"/>
    <w:rsid w:val="773548BB"/>
    <w:rsid w:val="77B67B5F"/>
    <w:rsid w:val="781D20DD"/>
    <w:rsid w:val="78306109"/>
    <w:rsid w:val="783B31FD"/>
    <w:rsid w:val="78497278"/>
    <w:rsid w:val="78AE2748"/>
    <w:rsid w:val="7925747B"/>
    <w:rsid w:val="792A33BB"/>
    <w:rsid w:val="7988615C"/>
    <w:rsid w:val="798F0E1C"/>
    <w:rsid w:val="79BB2739"/>
    <w:rsid w:val="79E43492"/>
    <w:rsid w:val="7A03359A"/>
    <w:rsid w:val="7A467F03"/>
    <w:rsid w:val="7A4915EA"/>
    <w:rsid w:val="7AA367B5"/>
    <w:rsid w:val="7AC55644"/>
    <w:rsid w:val="7B0E2083"/>
    <w:rsid w:val="7B8B1DF6"/>
    <w:rsid w:val="7B9A69BB"/>
    <w:rsid w:val="7BAC4808"/>
    <w:rsid w:val="7BE76D09"/>
    <w:rsid w:val="7C1169AE"/>
    <w:rsid w:val="7C616904"/>
    <w:rsid w:val="7C646F65"/>
    <w:rsid w:val="7C8A7419"/>
    <w:rsid w:val="7C9F4A04"/>
    <w:rsid w:val="7D5C5C78"/>
    <w:rsid w:val="7E0000DB"/>
    <w:rsid w:val="7E0D7ED1"/>
    <w:rsid w:val="7E5129C6"/>
    <w:rsid w:val="7E8B57D8"/>
    <w:rsid w:val="7F0510C2"/>
    <w:rsid w:val="7F0C4881"/>
    <w:rsid w:val="7F305838"/>
    <w:rsid w:val="7F3B73BA"/>
    <w:rsid w:val="7F5B0897"/>
    <w:rsid w:val="7F816964"/>
    <w:rsid w:val="7FCC0955"/>
    <w:rsid w:val="7FD5136B"/>
    <w:rsid w:val="7FFA4B2B"/>
    <w:rsid w:val="7FFD0EBB"/>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name="toc 2"/>
    <w:lsdException w:qFormat="1"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semiHidden="0" w:name="footnote text"/>
    <w:lsdException w:qFormat="1" w:uiPriority="99" w:name="annotation text"/>
    <w:lsdException w:qFormat="1"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qFormat="1" w:uiPriority="99" w:name="Body Text First Indent"/>
    <w:lsdException w:qFormat="1" w:unhideWhenUsed="0" w:uiPriority="0" w:semiHidden="0"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qFormat="1" w:uiPriority="99" w:name="FollowedHyperlink"/>
    <w:lsdException w:qFormat="1" w:unhideWhenUsed="0" w:uiPriority="0"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1"/>
    <w:basedOn w:val="1"/>
    <w:next w:val="1"/>
    <w:link w:val="32"/>
    <w:qFormat/>
    <w:uiPriority w:val="9"/>
    <w:pPr>
      <w:keepNext/>
      <w:keepLines/>
      <w:numPr>
        <w:ilvl w:val="0"/>
        <w:numId w:val="1"/>
      </w:numPr>
      <w:spacing w:before="340" w:after="330" w:line="578" w:lineRule="auto"/>
      <w:ind w:left="0" w:firstLine="0"/>
      <w:outlineLvl w:val="0"/>
    </w:pPr>
    <w:rPr>
      <w:rFonts w:eastAsia="仿宋"/>
      <w:b/>
      <w:bCs/>
      <w:kern w:val="44"/>
      <w:sz w:val="32"/>
      <w:szCs w:val="44"/>
    </w:rPr>
  </w:style>
  <w:style w:type="paragraph" w:styleId="4">
    <w:name w:val="heading 2"/>
    <w:basedOn w:val="1"/>
    <w:next w:val="1"/>
    <w:link w:val="33"/>
    <w:unhideWhenUsed/>
    <w:qFormat/>
    <w:uiPriority w:val="9"/>
    <w:pPr>
      <w:keepNext/>
      <w:keepLines/>
      <w:numPr>
        <w:ilvl w:val="0"/>
        <w:numId w:val="2"/>
      </w:numPr>
      <w:spacing w:before="260" w:after="260" w:line="416" w:lineRule="auto"/>
      <w:outlineLvl w:val="1"/>
    </w:pPr>
    <w:rPr>
      <w:rFonts w:eastAsia="仿宋" w:asciiTheme="majorHAnsi" w:hAnsiTheme="majorHAnsi" w:cstheme="majorBidi"/>
      <w:bCs/>
      <w:sz w:val="32"/>
      <w:szCs w:val="32"/>
    </w:rPr>
  </w:style>
  <w:style w:type="paragraph" w:styleId="5">
    <w:name w:val="heading 3"/>
    <w:basedOn w:val="1"/>
    <w:next w:val="1"/>
    <w:unhideWhenUsed/>
    <w:qFormat/>
    <w:uiPriority w:val="9"/>
    <w:pPr>
      <w:keepNext/>
      <w:widowControl/>
      <w:spacing w:before="240" w:after="60"/>
      <w:jc w:val="left"/>
      <w:outlineLvl w:val="2"/>
    </w:pPr>
    <w:rPr>
      <w:rFonts w:ascii="Cambria" w:hAnsi="Cambria" w:eastAsia="宋体"/>
      <w:b/>
      <w:bCs/>
      <w:kern w:val="0"/>
      <w:sz w:val="26"/>
      <w:szCs w:val="26"/>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2">
    <w:name w:val="footnote text"/>
    <w:basedOn w:val="1"/>
    <w:qFormat/>
    <w:uiPriority w:val="0"/>
    <w:pPr>
      <w:snapToGrid w:val="0"/>
      <w:jc w:val="left"/>
    </w:pPr>
    <w:rPr>
      <w:sz w:val="18"/>
      <w:szCs w:val="18"/>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annotation text"/>
    <w:basedOn w:val="1"/>
    <w:link w:val="39"/>
    <w:semiHidden/>
    <w:unhideWhenUsed/>
    <w:qFormat/>
    <w:uiPriority w:val="99"/>
    <w:pPr>
      <w:jc w:val="left"/>
    </w:pPr>
  </w:style>
  <w:style w:type="paragraph" w:styleId="8">
    <w:name w:val="Body Text"/>
    <w:basedOn w:val="1"/>
    <w:qFormat/>
    <w:uiPriority w:val="0"/>
  </w:style>
  <w:style w:type="paragraph" w:styleId="9">
    <w:name w:val="Body Text Indent"/>
    <w:basedOn w:val="1"/>
    <w:qFormat/>
    <w:uiPriority w:val="0"/>
    <w:pPr>
      <w:ind w:firstLine="660"/>
    </w:pPr>
    <w:rPr>
      <w:sz w:val="30"/>
    </w:rPr>
  </w:style>
  <w:style w:type="paragraph" w:styleId="10">
    <w:name w:val="toc 3"/>
    <w:basedOn w:val="1"/>
    <w:next w:val="1"/>
    <w:semiHidden/>
    <w:unhideWhenUsed/>
    <w:qFormat/>
    <w:uiPriority w:val="39"/>
    <w:pPr>
      <w:ind w:left="840" w:leftChars="400"/>
    </w:pPr>
  </w:style>
  <w:style w:type="paragraph" w:styleId="11">
    <w:name w:val="Balloon Text"/>
    <w:basedOn w:val="1"/>
    <w:link w:val="38"/>
    <w:semiHidden/>
    <w:unhideWhenUsed/>
    <w:qFormat/>
    <w:uiPriority w:val="99"/>
    <w:rPr>
      <w:sz w:val="18"/>
      <w:szCs w:val="18"/>
    </w:rPr>
  </w:style>
  <w:style w:type="paragraph" w:styleId="12">
    <w:name w:val="footer"/>
    <w:basedOn w:val="1"/>
    <w:link w:val="30"/>
    <w:unhideWhenUsed/>
    <w:qFormat/>
    <w:uiPriority w:val="99"/>
    <w:pPr>
      <w:tabs>
        <w:tab w:val="center" w:pos="4153"/>
        <w:tab w:val="right" w:pos="8306"/>
      </w:tabs>
      <w:snapToGrid w:val="0"/>
      <w:jc w:val="left"/>
    </w:pPr>
    <w:rPr>
      <w:sz w:val="18"/>
      <w:szCs w:val="18"/>
    </w:rPr>
  </w:style>
  <w:style w:type="paragraph" w:styleId="13">
    <w:name w:val="header"/>
    <w:basedOn w:val="1"/>
    <w:link w:val="29"/>
    <w:unhideWhenUsed/>
    <w:qFormat/>
    <w:uiPriority w:val="99"/>
    <w:pPr>
      <w:pBdr>
        <w:bottom w:val="single" w:color="auto" w:sz="6" w:space="1"/>
      </w:pBdr>
      <w:tabs>
        <w:tab w:val="center" w:pos="4153"/>
        <w:tab w:val="right" w:pos="8306"/>
      </w:tabs>
      <w:snapToGrid w:val="0"/>
      <w:jc w:val="center"/>
    </w:pPr>
    <w:rPr>
      <w:sz w:val="18"/>
      <w:szCs w:val="18"/>
    </w:rPr>
  </w:style>
  <w:style w:type="paragraph" w:styleId="14">
    <w:name w:val="toc 1"/>
    <w:basedOn w:val="1"/>
    <w:next w:val="1"/>
    <w:qFormat/>
    <w:uiPriority w:val="39"/>
    <w:rPr>
      <w:rFonts w:ascii="Times New Roman" w:hAnsi="Times New Roman" w:eastAsia="宋体" w:cs="Times New Roman"/>
    </w:rPr>
  </w:style>
  <w:style w:type="paragraph" w:styleId="15">
    <w:name w:val="toc 2"/>
    <w:basedOn w:val="1"/>
    <w:next w:val="1"/>
    <w:semiHidden/>
    <w:unhideWhenUsed/>
    <w:qFormat/>
    <w:uiPriority w:val="39"/>
    <w:pPr>
      <w:ind w:left="420" w:leftChars="200"/>
    </w:pPr>
  </w:style>
  <w:style w:type="paragraph" w:styleId="16">
    <w:name w:val="Normal (Web)"/>
    <w:basedOn w:val="1"/>
    <w:semiHidden/>
    <w:unhideWhenUsed/>
    <w:qFormat/>
    <w:uiPriority w:val="99"/>
    <w:pPr>
      <w:spacing w:before="0" w:beforeAutospacing="1" w:after="0" w:afterAutospacing="1"/>
      <w:ind w:left="0" w:right="0"/>
      <w:jc w:val="left"/>
    </w:pPr>
    <w:rPr>
      <w:kern w:val="0"/>
      <w:sz w:val="14"/>
      <w:szCs w:val="14"/>
      <w:lang w:val="en-US" w:eastAsia="zh-CN" w:bidi="ar"/>
    </w:rPr>
  </w:style>
  <w:style w:type="paragraph" w:styleId="17">
    <w:name w:val="annotation subject"/>
    <w:basedOn w:val="7"/>
    <w:next w:val="7"/>
    <w:link w:val="40"/>
    <w:semiHidden/>
    <w:unhideWhenUsed/>
    <w:qFormat/>
    <w:uiPriority w:val="99"/>
    <w:rPr>
      <w:b/>
      <w:bCs/>
    </w:rPr>
  </w:style>
  <w:style w:type="paragraph" w:styleId="18">
    <w:name w:val="Body Text First Indent"/>
    <w:basedOn w:val="8"/>
    <w:semiHidden/>
    <w:unhideWhenUsed/>
    <w:qFormat/>
    <w:uiPriority w:val="99"/>
    <w:pPr>
      <w:ind w:firstLine="420" w:firstLineChars="100"/>
    </w:pPr>
  </w:style>
  <w:style w:type="paragraph" w:styleId="19">
    <w:name w:val="Body Text First Indent 2"/>
    <w:basedOn w:val="9"/>
    <w:qFormat/>
    <w:uiPriority w:val="0"/>
    <w:pPr>
      <w:tabs>
        <w:tab w:val="left" w:pos="180"/>
        <w:tab w:val="left" w:pos="540"/>
      </w:tabs>
      <w:ind w:firstLine="420" w:firstLineChars="200"/>
    </w:pPr>
  </w:style>
  <w:style w:type="table" w:styleId="21">
    <w:name w:val="Table Grid"/>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3">
    <w:name w:val="Strong"/>
    <w:basedOn w:val="22"/>
    <w:qFormat/>
    <w:uiPriority w:val="0"/>
    <w:rPr>
      <w:b/>
      <w:bCs/>
    </w:rPr>
  </w:style>
  <w:style w:type="character" w:styleId="24">
    <w:name w:val="FollowedHyperlink"/>
    <w:basedOn w:val="22"/>
    <w:semiHidden/>
    <w:unhideWhenUsed/>
    <w:qFormat/>
    <w:uiPriority w:val="99"/>
    <w:rPr>
      <w:color w:val="000000"/>
      <w:u w:val="none"/>
    </w:rPr>
  </w:style>
  <w:style w:type="character" w:styleId="25">
    <w:name w:val="Emphasis"/>
    <w:basedOn w:val="22"/>
    <w:qFormat/>
    <w:uiPriority w:val="20"/>
  </w:style>
  <w:style w:type="character" w:styleId="26">
    <w:name w:val="Hyperlink"/>
    <w:basedOn w:val="22"/>
    <w:semiHidden/>
    <w:unhideWhenUsed/>
    <w:qFormat/>
    <w:uiPriority w:val="99"/>
    <w:rPr>
      <w:color w:val="000000"/>
      <w:u w:val="none"/>
    </w:rPr>
  </w:style>
  <w:style w:type="character" w:styleId="27">
    <w:name w:val="annotation reference"/>
    <w:basedOn w:val="22"/>
    <w:semiHidden/>
    <w:unhideWhenUsed/>
    <w:qFormat/>
    <w:uiPriority w:val="99"/>
    <w:rPr>
      <w:sz w:val="21"/>
      <w:szCs w:val="21"/>
    </w:rPr>
  </w:style>
  <w:style w:type="paragraph" w:customStyle="1" w:styleId="28">
    <w:name w:val="Default"/>
    <w:qFormat/>
    <w:uiPriority w:val="0"/>
    <w:pPr>
      <w:widowControl w:val="0"/>
      <w:autoSpaceDE w:val="0"/>
      <w:autoSpaceDN w:val="0"/>
      <w:adjustRightInd w:val="0"/>
    </w:pPr>
    <w:rPr>
      <w:rFonts w:ascii="HYb2gj" w:hAnsi="Times New Roman" w:eastAsia="HYb2gj" w:cs="HYb2gj"/>
      <w:color w:val="000000"/>
      <w:sz w:val="24"/>
      <w:szCs w:val="24"/>
      <w:lang w:val="en-US" w:eastAsia="zh-CN" w:bidi="ar-SA"/>
    </w:rPr>
  </w:style>
  <w:style w:type="character" w:customStyle="1" w:styleId="29">
    <w:name w:val="页眉 Char"/>
    <w:basedOn w:val="22"/>
    <w:link w:val="13"/>
    <w:qFormat/>
    <w:uiPriority w:val="99"/>
    <w:rPr>
      <w:sz w:val="18"/>
      <w:szCs w:val="18"/>
    </w:rPr>
  </w:style>
  <w:style w:type="character" w:customStyle="1" w:styleId="30">
    <w:name w:val="页脚 Char"/>
    <w:basedOn w:val="22"/>
    <w:link w:val="12"/>
    <w:qFormat/>
    <w:uiPriority w:val="99"/>
    <w:rPr>
      <w:sz w:val="18"/>
      <w:szCs w:val="18"/>
    </w:rPr>
  </w:style>
  <w:style w:type="character" w:customStyle="1" w:styleId="31">
    <w:name w:val="font41"/>
    <w:basedOn w:val="22"/>
    <w:qFormat/>
    <w:uiPriority w:val="0"/>
    <w:rPr>
      <w:rFonts w:ascii="仿宋_GB2312" w:eastAsia="仿宋_GB2312" w:cs="仿宋_GB2312"/>
      <w:color w:val="000000"/>
      <w:sz w:val="24"/>
      <w:szCs w:val="24"/>
      <w:u w:val="none"/>
    </w:rPr>
  </w:style>
  <w:style w:type="character" w:customStyle="1" w:styleId="32">
    <w:name w:val="标题 1 Char"/>
    <w:basedOn w:val="22"/>
    <w:link w:val="3"/>
    <w:qFormat/>
    <w:uiPriority w:val="9"/>
    <w:rPr>
      <w:rFonts w:eastAsia="仿宋"/>
      <w:b/>
      <w:bCs/>
      <w:kern w:val="44"/>
      <w:sz w:val="32"/>
      <w:szCs w:val="44"/>
    </w:rPr>
  </w:style>
  <w:style w:type="character" w:customStyle="1" w:styleId="33">
    <w:name w:val="标题 2 Char"/>
    <w:basedOn w:val="22"/>
    <w:link w:val="4"/>
    <w:qFormat/>
    <w:uiPriority w:val="9"/>
    <w:rPr>
      <w:rFonts w:eastAsia="仿宋" w:asciiTheme="majorHAnsi" w:hAnsiTheme="majorHAnsi" w:cstheme="majorBidi"/>
      <w:bCs/>
      <w:sz w:val="32"/>
      <w:szCs w:val="32"/>
    </w:rPr>
  </w:style>
  <w:style w:type="paragraph" w:styleId="34">
    <w:name w:val="List Paragraph"/>
    <w:basedOn w:val="1"/>
    <w:qFormat/>
    <w:uiPriority w:val="34"/>
    <w:pPr>
      <w:ind w:firstLine="420" w:firstLineChars="200"/>
    </w:pPr>
  </w:style>
  <w:style w:type="paragraph" w:customStyle="1" w:styleId="35">
    <w:name w:val="WPSOffice手动目录 1"/>
    <w:qFormat/>
    <w:uiPriority w:val="0"/>
    <w:rPr>
      <w:rFonts w:asciiTheme="minorHAnsi" w:hAnsiTheme="minorHAnsi" w:eastAsiaTheme="minorEastAsia" w:cstheme="minorBidi"/>
      <w:lang w:val="en-US" w:eastAsia="zh-CN" w:bidi="ar-SA"/>
    </w:rPr>
  </w:style>
  <w:style w:type="paragraph" w:customStyle="1" w:styleId="36">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37">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38">
    <w:name w:val="批注框文本 Char"/>
    <w:basedOn w:val="22"/>
    <w:link w:val="11"/>
    <w:semiHidden/>
    <w:qFormat/>
    <w:uiPriority w:val="99"/>
    <w:rPr>
      <w:kern w:val="2"/>
      <w:sz w:val="18"/>
      <w:szCs w:val="18"/>
    </w:rPr>
  </w:style>
  <w:style w:type="character" w:customStyle="1" w:styleId="39">
    <w:name w:val="批注文字 Char"/>
    <w:basedOn w:val="22"/>
    <w:link w:val="7"/>
    <w:semiHidden/>
    <w:qFormat/>
    <w:uiPriority w:val="99"/>
    <w:rPr>
      <w:kern w:val="2"/>
      <w:sz w:val="21"/>
      <w:szCs w:val="24"/>
    </w:rPr>
  </w:style>
  <w:style w:type="character" w:customStyle="1" w:styleId="40">
    <w:name w:val="批注主题 Char"/>
    <w:basedOn w:val="39"/>
    <w:link w:val="17"/>
    <w:semiHidden/>
    <w:qFormat/>
    <w:uiPriority w:val="99"/>
    <w:rPr>
      <w:b/>
      <w:bCs/>
      <w:kern w:val="2"/>
      <w:sz w:val="21"/>
      <w:szCs w:val="24"/>
    </w:rPr>
  </w:style>
  <w:style w:type="paragraph" w:customStyle="1" w:styleId="41">
    <w:name w:val="闻政表"/>
    <w:basedOn w:val="1"/>
    <w:qFormat/>
    <w:uiPriority w:val="99"/>
    <w:pPr>
      <w:spacing w:before="60" w:after="60"/>
      <w:jc w:val="center"/>
    </w:pPr>
    <w:rPr>
      <w:rFonts w:ascii="Times New Roman" w:hAnsi="Times New Roman" w:eastAsia="仿宋_GB2312"/>
      <w:b/>
      <w:kern w:val="0"/>
      <w:sz w:val="24"/>
      <w:szCs w:val="28"/>
    </w:rPr>
  </w:style>
  <w:style w:type="paragraph" w:customStyle="1" w:styleId="42">
    <w:name w:val="列表段落1"/>
    <w:basedOn w:val="1"/>
    <w:qFormat/>
    <w:uiPriority w:val="34"/>
    <w:pPr>
      <w:ind w:firstLine="420" w:firstLineChars="200"/>
    </w:pPr>
  </w:style>
  <w:style w:type="paragraph" w:customStyle="1" w:styleId="43">
    <w:name w:val="无间隔1"/>
    <w:basedOn w:val="1"/>
    <w:qFormat/>
    <w:uiPriority w:val="1"/>
  </w:style>
</w:style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7" Type="http://schemas.openxmlformats.org/officeDocument/2006/relationships/customXml" Target="../customXml/item2.xml"/><Relationship Id="rId6" Type="http://schemas.openxmlformats.org/officeDocument/2006/relationships/numbering" Target="numbering.xml"/><Relationship Id="rId5" Type="http://schemas.openxmlformats.org/officeDocument/2006/relationships/customXml" Target="../customXml/item1.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3F39DA-BB28-4752-A7CB-656F2CF4CE5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28</Pages>
  <Words>13200</Words>
  <Characters>13895</Characters>
  <Lines>79</Lines>
  <Paragraphs>22</Paragraphs>
  <TotalTime>23</TotalTime>
  <ScaleCrop>false</ScaleCrop>
  <LinksUpToDate>false</LinksUpToDate>
  <CharactersWithSpaces>14052</CharactersWithSpaces>
  <Application>WPS Office_11.1.0.12358_F1E327BC-269C-435d-A152-05C5408002CA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2019-11-07T05:25:00Z</dcterms:created>
  <dc:creator>jc</dc:creator>
  <cp:lastModifiedBy>@</cp:lastModifiedBy>
  <cp:lastPrinted>2021-07-28T10:34:00Z</cp:lastPrinted>
  <dcterms:modified xsi:type="dcterms:W3CDTF">2022-09-25T02:48:21Z</dcterms:modified>
  <cp:revision>182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2052-11.1.0.12358</vt:lpwstr>
  </property>
  <property fmtid="{D5CDD505-2E9C-101B-9397-08002B2CF9AE}" pid="3" name="ICV">
    <vt:lpwstr>A8312BA226C94F5A884B33DB13DDFAF3</vt:lpwstr>
  </property>
  <property fmtid="{D5CDD505-2E9C-101B-9397-08002B2CF9AE}" pid="4" name="KSOSaveFontToCloudKey">
    <vt:lpwstr>999270995_embed</vt:lpwstr>
  </property>
</Properties>
</file>