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F59A1AF">
      <w:pPr>
        <w:jc w:val="both"/>
        <w:rPr>
          <w:rFonts w:hint="eastAsia" w:asciiTheme="minorEastAsia" w:hAnsiTheme="minorEastAsia" w:eastAsiaTheme="minorEastAsia" w:cstheme="minorEastAsia"/>
          <w:kern w:val="0"/>
          <w:sz w:val="44"/>
          <w:szCs w:val="44"/>
        </w:rPr>
      </w:pPr>
      <w:bookmarkStart w:id="122" w:name="_GoBack"/>
      <w:bookmarkEnd w:id="122"/>
    </w:p>
    <w:p w14:paraId="64C2B17D">
      <w:pPr>
        <w:jc w:val="center"/>
        <w:rPr>
          <w:rFonts w:hint="eastAsia" w:ascii="微软雅黑" w:hAnsi="微软雅黑" w:eastAsia="微软雅黑" w:cs="微软雅黑"/>
          <w:b/>
          <w:bCs/>
          <w:kern w:val="0"/>
          <w:sz w:val="44"/>
          <w:szCs w:val="44"/>
          <w:lang w:eastAsia="zh-CN"/>
        </w:rPr>
      </w:pPr>
      <w:r>
        <w:rPr>
          <w:rFonts w:hint="eastAsia" w:ascii="微软雅黑" w:hAnsi="微软雅黑" w:eastAsia="微软雅黑" w:cs="微软雅黑"/>
          <w:b/>
          <w:bCs/>
          <w:kern w:val="0"/>
          <w:sz w:val="44"/>
          <w:szCs w:val="44"/>
          <w:lang w:eastAsia="zh-CN"/>
        </w:rPr>
        <w:t>中共洛浦县委宣传部</w:t>
      </w:r>
    </w:p>
    <w:p w14:paraId="6EA0510C">
      <w:pPr>
        <w:jc w:val="center"/>
        <w:rPr>
          <w:rFonts w:hint="eastAsia" w:ascii="微软雅黑" w:hAnsi="微软雅黑" w:eastAsia="微软雅黑" w:cs="微软雅黑"/>
          <w:b/>
          <w:bCs/>
          <w:kern w:val="0"/>
          <w:sz w:val="44"/>
          <w:szCs w:val="44"/>
          <w:highlight w:val="none"/>
          <w:lang w:val="en-US" w:eastAsia="zh-CN"/>
        </w:rPr>
      </w:pPr>
      <w:r>
        <w:rPr>
          <w:rFonts w:hint="eastAsia" w:ascii="微软雅黑" w:hAnsi="微软雅黑" w:eastAsia="微软雅黑" w:cs="微软雅黑"/>
          <w:b/>
          <w:bCs/>
          <w:kern w:val="0"/>
          <w:sz w:val="44"/>
          <w:szCs w:val="44"/>
          <w:lang w:eastAsia="zh-CN"/>
        </w:rPr>
        <w:t>文艺小分队工资补助项目</w:t>
      </w:r>
    </w:p>
    <w:p w14:paraId="32AC8C96">
      <w:pPr>
        <w:rPr>
          <w:rFonts w:hint="eastAsia" w:asciiTheme="minorEastAsia" w:hAnsiTheme="minorEastAsia" w:eastAsiaTheme="minorEastAsia" w:cstheme="minorEastAsia"/>
          <w:b/>
          <w:bCs/>
          <w:kern w:val="0"/>
          <w:sz w:val="24"/>
        </w:rPr>
      </w:pPr>
    </w:p>
    <w:p w14:paraId="4C17B30F">
      <w:pPr>
        <w:rPr>
          <w:rFonts w:hint="eastAsia" w:asciiTheme="minorEastAsia" w:hAnsiTheme="minorEastAsia" w:eastAsiaTheme="minorEastAsia" w:cstheme="minorEastAsia"/>
          <w:b/>
          <w:bCs/>
          <w:kern w:val="0"/>
          <w:sz w:val="24"/>
        </w:rPr>
      </w:pPr>
    </w:p>
    <w:p w14:paraId="4C88C39B">
      <w:pPr>
        <w:rPr>
          <w:rFonts w:hint="eastAsia" w:asciiTheme="minorEastAsia" w:hAnsiTheme="minorEastAsia" w:eastAsiaTheme="minorEastAsia" w:cstheme="minorEastAsia"/>
          <w:b/>
          <w:bCs/>
          <w:kern w:val="0"/>
          <w:sz w:val="24"/>
        </w:rPr>
      </w:pPr>
    </w:p>
    <w:p w14:paraId="61A36680">
      <w:pPr>
        <w:rPr>
          <w:rFonts w:hint="eastAsia" w:asciiTheme="minorEastAsia" w:hAnsiTheme="minorEastAsia" w:eastAsiaTheme="minorEastAsia" w:cstheme="minorEastAsia"/>
          <w:b/>
          <w:bCs/>
          <w:kern w:val="0"/>
          <w:sz w:val="24"/>
        </w:rPr>
      </w:pPr>
    </w:p>
    <w:p w14:paraId="3AD81B01">
      <w:pPr>
        <w:rPr>
          <w:rFonts w:hint="eastAsia" w:asciiTheme="minorEastAsia" w:hAnsiTheme="minorEastAsia" w:eastAsiaTheme="minorEastAsia" w:cstheme="minorEastAsia"/>
          <w:b/>
          <w:bCs/>
          <w:kern w:val="0"/>
          <w:sz w:val="24"/>
        </w:rPr>
      </w:pPr>
    </w:p>
    <w:p w14:paraId="5857F3DC">
      <w:pPr>
        <w:rPr>
          <w:rFonts w:hint="eastAsia" w:asciiTheme="minorEastAsia" w:hAnsiTheme="minorEastAsia" w:eastAsiaTheme="minorEastAsia" w:cstheme="minorEastAsia"/>
          <w:b/>
          <w:bCs/>
          <w:kern w:val="0"/>
          <w:sz w:val="24"/>
        </w:rPr>
      </w:pPr>
    </w:p>
    <w:p w14:paraId="65F591C9">
      <w:pPr>
        <w:rPr>
          <w:rFonts w:hint="eastAsia" w:asciiTheme="minorEastAsia" w:hAnsiTheme="minorEastAsia" w:eastAsiaTheme="minorEastAsia" w:cstheme="minorEastAsia"/>
          <w:b/>
          <w:bCs/>
          <w:kern w:val="0"/>
          <w:sz w:val="24"/>
        </w:rPr>
      </w:pPr>
    </w:p>
    <w:p w14:paraId="1901138B">
      <w:pPr>
        <w:jc w:val="center"/>
        <w:rPr>
          <w:rFonts w:hint="eastAsia" w:asciiTheme="minorEastAsia" w:hAnsiTheme="minorEastAsia" w:eastAsiaTheme="minorEastAsia" w:cstheme="minorEastAsia"/>
          <w:kern w:val="0"/>
          <w:sz w:val="72"/>
          <w:szCs w:val="72"/>
        </w:rPr>
      </w:pPr>
      <w:r>
        <w:rPr>
          <w:rFonts w:hint="eastAsia" w:asciiTheme="minorEastAsia" w:hAnsiTheme="minorEastAsia" w:eastAsiaTheme="minorEastAsia" w:cstheme="minorEastAsia"/>
          <w:b/>
          <w:bCs/>
          <w:kern w:val="0"/>
          <w:sz w:val="72"/>
          <w:szCs w:val="72"/>
        </w:rPr>
        <w:t>绩效评价报告</w:t>
      </w:r>
    </w:p>
    <w:p w14:paraId="7B55AEBF">
      <w:pPr>
        <w:rPr>
          <w:rFonts w:ascii="Times New Roman" w:hAnsi="黑体" w:eastAsia="黑体" w:cs="宋体"/>
          <w:kern w:val="0"/>
          <w:sz w:val="24"/>
        </w:rPr>
      </w:pPr>
    </w:p>
    <w:p w14:paraId="7DC7BB99">
      <w:pPr>
        <w:rPr>
          <w:rFonts w:ascii="Times New Roman" w:hAnsi="黑体" w:eastAsia="黑体" w:cs="宋体"/>
          <w:kern w:val="0"/>
          <w:sz w:val="24"/>
        </w:rPr>
      </w:pPr>
    </w:p>
    <w:p w14:paraId="69177F0E">
      <w:pPr>
        <w:rPr>
          <w:rFonts w:ascii="Times New Roman" w:hAnsi="黑体" w:eastAsia="黑体" w:cs="宋体"/>
          <w:kern w:val="0"/>
          <w:sz w:val="24"/>
        </w:rPr>
      </w:pPr>
    </w:p>
    <w:p w14:paraId="45DF348C">
      <w:pPr>
        <w:rPr>
          <w:rFonts w:ascii="Times New Roman" w:hAnsi="黑体" w:eastAsia="黑体" w:cs="宋体"/>
          <w:kern w:val="0"/>
          <w:sz w:val="24"/>
        </w:rPr>
      </w:pPr>
    </w:p>
    <w:p w14:paraId="1DFECE7B">
      <w:pPr>
        <w:rPr>
          <w:rFonts w:ascii="Times New Roman" w:hAnsi="黑体" w:eastAsia="黑体" w:cs="宋体"/>
          <w:kern w:val="0"/>
          <w:sz w:val="24"/>
        </w:rPr>
      </w:pPr>
    </w:p>
    <w:p w14:paraId="03114F78">
      <w:pPr>
        <w:rPr>
          <w:rFonts w:ascii="Times New Roman" w:hAnsi="黑体" w:eastAsia="黑体" w:cs="宋体"/>
          <w:kern w:val="0"/>
          <w:sz w:val="24"/>
        </w:rPr>
      </w:pPr>
    </w:p>
    <w:p w14:paraId="345ECFA2">
      <w:pPr>
        <w:rPr>
          <w:rFonts w:ascii="Times New Roman" w:hAnsi="黑体" w:eastAsia="黑体" w:cs="宋体"/>
          <w:kern w:val="0"/>
          <w:sz w:val="24"/>
        </w:rPr>
      </w:pPr>
    </w:p>
    <w:p w14:paraId="498F7269">
      <w:pPr>
        <w:rPr>
          <w:rFonts w:ascii="Times New Roman" w:hAnsi="黑体" w:eastAsia="黑体" w:cs="宋体"/>
          <w:kern w:val="0"/>
          <w:sz w:val="24"/>
        </w:rPr>
      </w:pPr>
    </w:p>
    <w:p w14:paraId="0169DD7A">
      <w:pPr>
        <w:pStyle w:val="4"/>
        <w:numPr>
          <w:ilvl w:val="0"/>
          <w:numId w:val="0"/>
        </w:numPr>
        <w:ind w:leftChars="0"/>
        <w:rPr>
          <w:rFonts w:ascii="Times New Roman" w:hAnsi="黑体" w:eastAsia="黑体" w:cs="宋体"/>
          <w:kern w:val="0"/>
          <w:sz w:val="24"/>
        </w:rPr>
      </w:pPr>
    </w:p>
    <w:p w14:paraId="60B7F4D4"/>
    <w:p w14:paraId="5E6ACBE9">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w:t>
      </w:r>
      <w:r>
        <w:rPr>
          <w:rFonts w:hint="eastAsia" w:ascii="黑体" w:hAnsi="黑体" w:eastAsia="黑体" w:cs="宋体"/>
          <w:kern w:val="0"/>
          <w:sz w:val="24"/>
          <w:highlight w:val="none"/>
          <w:lang w:val="en-US" w:eastAsia="zh-CN"/>
        </w:rPr>
        <w:t>2</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146</w:t>
      </w:r>
      <w:r>
        <w:rPr>
          <w:rFonts w:hint="eastAsia" w:ascii="黑体" w:hAnsi="黑体" w:eastAsia="黑体" w:cs="宋体"/>
          <w:kern w:val="0"/>
          <w:sz w:val="24"/>
          <w:highlight w:val="none"/>
        </w:rPr>
        <w:t>号</w:t>
      </w:r>
    </w:p>
    <w:p w14:paraId="140BFB93">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洛浦</w:t>
      </w:r>
      <w:r>
        <w:rPr>
          <w:rFonts w:hint="eastAsia" w:ascii="黑体" w:hAnsi="黑体" w:eastAsia="黑体" w:cs="宋体"/>
          <w:kern w:val="0"/>
          <w:sz w:val="24"/>
        </w:rPr>
        <w:t>县财政局</w:t>
      </w:r>
    </w:p>
    <w:p w14:paraId="7DFECC9D">
      <w:pPr>
        <w:spacing w:line="400" w:lineRule="exact"/>
        <w:ind w:firstLine="2040" w:firstLineChars="850"/>
        <w:jc w:val="left"/>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14:paraId="190E2B11">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tbl>
      <w:tblPr>
        <w:tblStyle w:val="20"/>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14:paraId="4AF5489B">
        <w:tblPrEx>
          <w:tblCellMar>
            <w:top w:w="15" w:type="dxa"/>
            <w:left w:w="15" w:type="dxa"/>
            <w:bottom w:w="15" w:type="dxa"/>
            <w:right w:w="15" w:type="dxa"/>
          </w:tblCellMar>
        </w:tblPrEx>
        <w:trPr>
          <w:trHeight w:val="301" w:hRule="atLeast"/>
        </w:trPr>
        <w:tc>
          <w:tcPr>
            <w:tcW w:w="8983" w:type="dxa"/>
            <w:gridSpan w:val="13"/>
            <w:shd w:val="clear" w:color="auto" w:fill="auto"/>
            <w:vAlign w:val="center"/>
          </w:tcPr>
          <w:p w14:paraId="324C644D">
            <w:pPr>
              <w:widowControl/>
              <w:jc w:val="left"/>
              <w:textAlignment w:val="center"/>
              <w:rPr>
                <w:rFonts w:hint="eastAsia" w:ascii="黑体" w:hAnsi="宋体" w:eastAsia="黑体" w:cs="黑体"/>
                <w:color w:val="000000"/>
                <w:sz w:val="24"/>
                <w:lang w:eastAsia="zh-CN"/>
              </w:rPr>
            </w:pPr>
            <w:r>
              <w:rPr>
                <w:rFonts w:hint="eastAsia" w:ascii="黑体" w:hAnsi="宋体" w:eastAsia="黑体" w:cs="黑体"/>
                <w:color w:val="000000"/>
                <w:kern w:val="0"/>
                <w:sz w:val="24"/>
              </w:rPr>
              <w:t>评价分值：</w:t>
            </w:r>
            <w:r>
              <w:rPr>
                <w:rFonts w:hint="eastAsia" w:ascii="黑体" w:hAnsi="宋体" w:eastAsia="黑体" w:cs="黑体"/>
                <w:color w:val="000000"/>
                <w:kern w:val="0"/>
                <w:sz w:val="24"/>
                <w:lang w:val="en-US" w:eastAsia="zh-CN"/>
              </w:rPr>
              <w:t>96.43</w:t>
            </w:r>
            <w:r>
              <w:rPr>
                <w:rStyle w:val="31"/>
                <w:rFonts w:hint="eastAsia" w:hAnsi="宋体"/>
              </w:rPr>
              <w:t xml:space="preserve">  </w:t>
            </w:r>
            <w:r>
              <w:rPr>
                <w:rFonts w:hint="eastAsia" w:ascii="黑体" w:hAnsi="宋体" w:eastAsia="黑体" w:cs="黑体"/>
                <w:color w:val="000000"/>
                <w:kern w:val="0"/>
                <w:sz w:val="24"/>
              </w:rPr>
              <w:t>评价等级：</w:t>
            </w:r>
            <w:r>
              <w:rPr>
                <w:rFonts w:hint="eastAsia" w:ascii="黑体" w:hAnsi="黑体" w:eastAsia="黑体" w:cs="黑体"/>
                <w:color w:val="000000"/>
                <w:sz w:val="20"/>
                <w:szCs w:val="20"/>
                <w:lang w:val="en-US" w:eastAsia="zh-CN"/>
              </w:rPr>
              <w:t>优</w:t>
            </w:r>
          </w:p>
        </w:tc>
      </w:tr>
      <w:tr w14:paraId="117E4642">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14:paraId="000F2943">
            <w:pPr>
              <w:widowControl/>
              <w:jc w:val="center"/>
              <w:textAlignment w:val="center"/>
              <w:rPr>
                <w:rFonts w:ascii="黑体" w:hAnsi="宋体" w:eastAsia="黑体" w:cs="黑体"/>
                <w:b/>
                <w:color w:val="000000"/>
                <w:sz w:val="36"/>
                <w:szCs w:val="36"/>
              </w:rPr>
            </w:pPr>
            <w:r>
              <w:rPr>
                <w:rFonts w:hint="eastAsia" w:ascii="黑体" w:hAnsi="宋体" w:eastAsia="黑体" w:cs="黑体"/>
                <w:b/>
                <w:color w:val="000000"/>
                <w:kern w:val="0"/>
                <w:sz w:val="36"/>
                <w:szCs w:val="36"/>
              </w:rPr>
              <w:t>概   要</w:t>
            </w:r>
          </w:p>
        </w:tc>
      </w:tr>
      <w:tr w14:paraId="228CADC8">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14:paraId="05DCB0FD">
            <w:pPr>
              <w:widowControl/>
              <w:jc w:val="left"/>
              <w:textAlignment w:val="center"/>
              <w:rPr>
                <w:rFonts w:ascii="黑体" w:hAnsi="黑体" w:eastAsia="黑体" w:cs="仿宋_GB2312"/>
                <w:color w:val="000000"/>
                <w:sz w:val="22"/>
              </w:rPr>
            </w:pPr>
            <w:r>
              <w:rPr>
                <w:rFonts w:hint="eastAsia" w:ascii="黑体" w:hAnsi="黑体" w:eastAsia="黑体" w:cs="仿宋_GB2312"/>
                <w:color w:val="000000"/>
                <w:kern w:val="0"/>
                <w:sz w:val="22"/>
              </w:rPr>
              <w:t>评价机构全称（盖章）：中瑞诚会计师事务所</w:t>
            </w:r>
            <w:r>
              <w:rPr>
                <w:rFonts w:hint="eastAsia" w:ascii="黑体" w:hAnsi="黑体" w:eastAsia="黑体" w:cs="仿宋_GB2312"/>
                <w:color w:val="000000"/>
                <w:kern w:val="0"/>
                <w:sz w:val="22"/>
                <w:lang w:eastAsia="zh-CN"/>
              </w:rPr>
              <w:t>（特殊普通合伙）</w:t>
            </w:r>
            <w:r>
              <w:rPr>
                <w:rFonts w:hint="eastAsia" w:ascii="黑体" w:hAnsi="黑体" w:eastAsia="黑体" w:cs="仿宋_GB2312"/>
                <w:color w:val="000000"/>
                <w:kern w:val="0"/>
                <w:sz w:val="22"/>
              </w:rPr>
              <w:t xml:space="preserve">喀什分所 </w:t>
            </w:r>
            <w:r>
              <w:rPr>
                <w:rFonts w:hint="eastAsia" w:ascii="黑体" w:hAnsi="黑体" w:eastAsia="黑体" w:cs="仿宋_GB2312"/>
                <w:color w:val="000000"/>
                <w:kern w:val="0"/>
                <w:sz w:val="22"/>
                <w:lang w:val="en-US" w:eastAsia="zh-CN"/>
              </w:rPr>
              <w:t xml:space="preserve">   </w:t>
            </w:r>
            <w:r>
              <w:rPr>
                <w:rFonts w:hint="eastAsia" w:ascii="黑体" w:hAnsi="黑体" w:eastAsia="黑体" w:cs="仿宋_GB2312"/>
                <w:color w:val="000000"/>
                <w:kern w:val="0"/>
                <w:sz w:val="22"/>
              </w:rPr>
              <w:t>单位：万元、类、个</w:t>
            </w:r>
          </w:p>
        </w:tc>
      </w:tr>
      <w:tr w14:paraId="21C271F0">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8EFC9">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32DB1517">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文艺小分队工资补助项目</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B17D5FA">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71EB2A">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202</w:t>
            </w:r>
            <w:r>
              <w:rPr>
                <w:rFonts w:hint="eastAsia" w:ascii="仿宋_GB2312" w:hAnsi="宋体" w:eastAsia="仿宋_GB2312" w:cs="仿宋_GB2312"/>
                <w:color w:val="000000"/>
                <w:sz w:val="20"/>
                <w:szCs w:val="20"/>
                <w:lang w:val="en-US" w:eastAsia="zh-CN"/>
              </w:rPr>
              <w:t>1</w:t>
            </w:r>
          </w:p>
        </w:tc>
      </w:tr>
      <w:tr w14:paraId="3E5529DC">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111368">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069ECBC1">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2D31787">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39635C0">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高月仙15713865046</w:t>
            </w:r>
          </w:p>
        </w:tc>
      </w:tr>
      <w:tr w14:paraId="1C3271B5">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A7E38">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4564E369">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中共洛浦县委宣传部</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39DE6815">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49324B9">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周娜15809032832</w:t>
            </w:r>
          </w:p>
        </w:tc>
      </w:tr>
      <w:tr w14:paraId="5D123B45">
        <w:tblPrEx>
          <w:tblCellMar>
            <w:top w:w="15" w:type="dxa"/>
            <w:left w:w="15" w:type="dxa"/>
            <w:bottom w:w="15" w:type="dxa"/>
            <w:right w:w="15" w:type="dxa"/>
          </w:tblCellMar>
        </w:tblPrEx>
        <w:trPr>
          <w:trHeight w:val="524"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ACF47">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890B6CF">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7132FE7">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5AA4AF94">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99.76</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C11FB8C">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29FD41">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优</w:t>
            </w:r>
          </w:p>
        </w:tc>
      </w:tr>
      <w:tr w14:paraId="3C04CF3B">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DF7493">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14:paraId="51DB2DAB">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9A8B6FB">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43.20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670D0AB">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DD06729">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42.18</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C48E302">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FC8C53">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97.64%</w:t>
            </w:r>
          </w:p>
        </w:tc>
      </w:tr>
      <w:tr w14:paraId="3CEBA3A6">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3124D2">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6F1A5C2D">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60F5AC4">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43.20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AA77C48">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3F4F3F74">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0CFB2F4">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42.18</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867202F">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中央财政资金</w:t>
            </w:r>
          </w:p>
          <w:p w14:paraId="356BAB77">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864409">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0%</w:t>
            </w:r>
          </w:p>
        </w:tc>
      </w:tr>
      <w:tr w14:paraId="25F139E9">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744803">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5BD4535">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补助类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F9903B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1F8D6B6">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补助类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30C9FFA">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9551D">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14:paraId="55539318">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FF1C2E">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B59D1D4">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635E76C">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30A96B6">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0696D19">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6501D7">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14:paraId="58903CA5">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7B4959F0">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14:paraId="570F704F">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04A75580">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232B5604">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14:paraId="2A780EA0">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2BF78FD0">
            <w:pPr>
              <w:widowControl/>
              <w:spacing w:line="240" w:lineRule="exact"/>
              <w:jc w:val="center"/>
              <w:textAlignment w:val="center"/>
              <w:rPr>
                <w:rFonts w:hint="default" w:ascii="黑体" w:hAnsi="宋体" w:eastAsia="仿宋_GB2312" w:cs="黑体"/>
                <w:color w:val="000000"/>
                <w:kern w:val="0"/>
                <w:sz w:val="20"/>
                <w:szCs w:val="20"/>
                <w:lang w:val="en-US" w:eastAsia="zh-CN"/>
              </w:rPr>
            </w:pPr>
            <w:r>
              <w:rPr>
                <w:rFonts w:hint="eastAsia" w:ascii="黑体" w:hAnsi="宋体" w:eastAsia="仿宋_GB2312" w:cs="黑体"/>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4D0450E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14:paraId="614034AA">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0A17C250">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洛浦县</w:t>
            </w:r>
          </w:p>
        </w:tc>
      </w:tr>
      <w:tr w14:paraId="276FB48E">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06795F43">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14:paraId="1ED8E068">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633F4A00">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15</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7989A540">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14:paraId="20BF328E">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752CD984">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15</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6005E33B">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14:paraId="557243B7">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4EEED2E6">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r>
      <w:tr w14:paraId="3ECADC9C">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3E5EC2C9">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14:paraId="552E3C4B">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14:paraId="3BFB2963">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截止到12月31日，该项目到位资金43.2万元，实际执行</w:t>
            </w:r>
            <w:r>
              <w:rPr>
                <w:rFonts w:hint="eastAsia" w:ascii="仿宋_GB2312" w:hAnsi="宋体" w:eastAsia="仿宋_GB2312" w:cs="仿宋_GB2312"/>
                <w:color w:val="000000"/>
                <w:sz w:val="20"/>
                <w:szCs w:val="20"/>
                <w:lang w:val="en-US" w:eastAsia="zh-CN"/>
              </w:rPr>
              <w:t>42.184</w:t>
            </w:r>
            <w:r>
              <w:rPr>
                <w:rFonts w:hint="eastAsia" w:ascii="仿宋_GB2312" w:hAnsi="宋体" w:eastAsia="仿宋_GB2312" w:cs="仿宋_GB2312"/>
                <w:color w:val="000000"/>
                <w:sz w:val="20"/>
                <w:szCs w:val="20"/>
              </w:rPr>
              <w:t>万元，为洛浦县文艺小分队25人按照1500元/月/人的标准支付了1</w:t>
            </w:r>
            <w:r>
              <w:rPr>
                <w:rFonts w:hint="eastAsia" w:ascii="仿宋_GB2312" w:hAnsi="宋体" w:eastAsia="仿宋_GB2312" w:cs="仿宋_GB2312"/>
                <w:color w:val="000000"/>
                <w:sz w:val="20"/>
                <w:szCs w:val="20"/>
                <w:lang w:val="en-US" w:eastAsia="zh-CN"/>
              </w:rPr>
              <w:t>1</w:t>
            </w:r>
            <w:r>
              <w:rPr>
                <w:rFonts w:hint="eastAsia" w:ascii="仿宋_GB2312" w:hAnsi="宋体" w:eastAsia="仿宋_GB2312" w:cs="仿宋_GB2312"/>
                <w:color w:val="000000"/>
                <w:sz w:val="20"/>
                <w:szCs w:val="20"/>
              </w:rPr>
              <w:t>个月的生活补助，完成了开展演出15场/月，资金到位率以及演出覆盖率均达到了100%。通过项目实施全方位、高角度、宽领域地传播</w:t>
            </w:r>
            <w:r>
              <w:rPr>
                <w:rFonts w:hint="eastAsia" w:ascii="仿宋_GB2312" w:hAnsi="宋体" w:eastAsia="仿宋_GB2312" w:cs="仿宋_GB2312"/>
                <w:color w:val="000000"/>
                <w:sz w:val="20"/>
                <w:szCs w:val="20"/>
                <w:lang w:val="en-US" w:eastAsia="zh-CN"/>
              </w:rPr>
              <w:t>了</w:t>
            </w:r>
            <w:r>
              <w:rPr>
                <w:rFonts w:hint="eastAsia" w:ascii="仿宋_GB2312" w:hAnsi="宋体" w:eastAsia="仿宋_GB2312" w:cs="仿宋_GB2312"/>
                <w:color w:val="000000"/>
                <w:sz w:val="20"/>
                <w:szCs w:val="20"/>
              </w:rPr>
              <w:t>洛浦正能量、展示</w:t>
            </w:r>
            <w:r>
              <w:rPr>
                <w:rFonts w:hint="eastAsia" w:ascii="仿宋_GB2312" w:hAnsi="宋体" w:eastAsia="仿宋_GB2312" w:cs="仿宋_GB2312"/>
                <w:color w:val="000000"/>
                <w:sz w:val="20"/>
                <w:szCs w:val="20"/>
                <w:lang w:val="en-US" w:eastAsia="zh-CN"/>
              </w:rPr>
              <w:t>了</w:t>
            </w:r>
            <w:r>
              <w:rPr>
                <w:rFonts w:hint="eastAsia" w:ascii="仿宋_GB2312" w:hAnsi="宋体" w:eastAsia="仿宋_GB2312" w:cs="仿宋_GB2312"/>
                <w:color w:val="000000"/>
                <w:sz w:val="20"/>
                <w:szCs w:val="20"/>
              </w:rPr>
              <w:t>洛浦好形象。　</w:t>
            </w:r>
          </w:p>
        </w:tc>
      </w:tr>
      <w:tr w14:paraId="644198AA">
        <w:tblPrEx>
          <w:tblCellMar>
            <w:top w:w="15" w:type="dxa"/>
            <w:left w:w="15" w:type="dxa"/>
            <w:bottom w:w="15" w:type="dxa"/>
            <w:right w:w="15" w:type="dxa"/>
          </w:tblCellMar>
        </w:tblPrEx>
        <w:trPr>
          <w:trHeight w:val="72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14:paraId="6B048FE9">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14:paraId="6AA322F7">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14:paraId="007BF730">
            <w:pPr>
              <w:pStyle w:val="34"/>
              <w:keepNext w:val="0"/>
              <w:keepLines w:val="0"/>
              <w:pageBreakBefore w:val="0"/>
              <w:widowControl w:val="0"/>
              <w:kinsoku/>
              <w:wordWrap/>
              <w:overflowPunct/>
              <w:topLinePunct w:val="0"/>
              <w:autoSpaceDE/>
              <w:autoSpaceDN/>
              <w:bidi w:val="0"/>
              <w:adjustRightInd w:val="0"/>
              <w:snapToGrid w:val="0"/>
              <w:spacing w:line="240" w:lineRule="exact"/>
              <w:ind w:left="0" w:leftChars="0" w:firstLine="0" w:firstLineChars="0"/>
              <w:textAlignment w:val="auto"/>
              <w:outlineLvl w:val="1"/>
              <w:rPr>
                <w:rFonts w:hint="eastAsia" w:ascii="仿宋_GB2312" w:hAnsi="仿宋_GB2312" w:eastAsia="仿宋_GB2312" w:cs="仿宋_GB2312"/>
                <w:kern w:val="2"/>
                <w:sz w:val="20"/>
                <w:szCs w:val="20"/>
                <w:highlight w:val="none"/>
                <w:lang w:val="en-US" w:eastAsia="zh-CN" w:bidi="ar-SA"/>
              </w:rPr>
            </w:pPr>
            <w:r>
              <w:rPr>
                <w:rFonts w:hint="eastAsia" w:ascii="仿宋_GB2312" w:hAnsi="仿宋_GB2312" w:eastAsia="仿宋_GB2312" w:cs="仿宋_GB2312"/>
                <w:kern w:val="2"/>
                <w:sz w:val="20"/>
                <w:szCs w:val="20"/>
                <w:highlight w:val="none"/>
                <w:lang w:val="en-US" w:eastAsia="zh-CN" w:bidi="ar-SA"/>
              </w:rPr>
              <w:t>1.未落实好《行政、事业单位会计制度》，由于扎帐原因，文艺演出人员12月份的工资均未发放。</w:t>
            </w:r>
          </w:p>
          <w:p w14:paraId="190732BA">
            <w:pPr>
              <w:pStyle w:val="34"/>
              <w:keepNext w:val="0"/>
              <w:keepLines w:val="0"/>
              <w:pageBreakBefore w:val="0"/>
              <w:widowControl w:val="0"/>
              <w:kinsoku/>
              <w:wordWrap/>
              <w:overflowPunct/>
              <w:topLinePunct w:val="0"/>
              <w:autoSpaceDE/>
              <w:autoSpaceDN/>
              <w:bidi w:val="0"/>
              <w:adjustRightInd w:val="0"/>
              <w:snapToGrid w:val="0"/>
              <w:spacing w:line="240" w:lineRule="exact"/>
              <w:ind w:left="0" w:leftChars="0" w:firstLine="0" w:firstLineChars="0"/>
              <w:textAlignment w:val="auto"/>
              <w:outlineLvl w:val="1"/>
              <w:rPr>
                <w:rFonts w:hint="default" w:ascii="仿宋_GB2312" w:hAnsi="宋体" w:eastAsia="仿宋_GB2312" w:cs="仿宋_GB2312"/>
                <w:color w:val="000000"/>
                <w:sz w:val="20"/>
                <w:szCs w:val="20"/>
                <w:highlight w:val="yellow"/>
                <w:lang w:val="en-US" w:eastAsia="zh-CN"/>
              </w:rPr>
            </w:pPr>
            <w:r>
              <w:rPr>
                <w:rFonts w:hint="eastAsia" w:ascii="仿宋_GB2312" w:hAnsi="仿宋_GB2312" w:eastAsia="仿宋_GB2312" w:cs="仿宋_GB2312"/>
                <w:kern w:val="2"/>
                <w:sz w:val="20"/>
                <w:szCs w:val="20"/>
                <w:highlight w:val="none"/>
                <w:lang w:val="en-US" w:eastAsia="zh-CN" w:bidi="ar-SA"/>
              </w:rPr>
              <w:t>2.项目资料归档不规范，缺少项目实施方案，相关会议纪要。</w:t>
            </w:r>
          </w:p>
        </w:tc>
      </w:tr>
      <w:tr w14:paraId="1B92B71D">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14:paraId="14659A52">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14:paraId="6B4FC463">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14:paraId="1F481CA6">
            <w:pPr>
              <w:keepNext w:val="0"/>
              <w:keepLines w:val="0"/>
              <w:pageBreakBefore w:val="0"/>
              <w:widowControl w:val="0"/>
              <w:kinsoku/>
              <w:wordWrap/>
              <w:overflowPunct/>
              <w:topLinePunct w:val="0"/>
              <w:autoSpaceDE/>
              <w:autoSpaceDN/>
              <w:bidi w:val="0"/>
              <w:spacing w:line="240" w:lineRule="exact"/>
              <w:jc w:val="left"/>
              <w:textAlignment w:val="auto"/>
              <w:rPr>
                <w:rFonts w:hint="eastAsia" w:ascii="仿宋_GB2312" w:hAnsi="仿宋_GB2312" w:eastAsia="仿宋_GB2312" w:cs="仿宋_GB2312"/>
                <w:kern w:val="2"/>
                <w:sz w:val="20"/>
                <w:szCs w:val="20"/>
                <w:highlight w:val="none"/>
                <w:lang w:val="en-US" w:eastAsia="zh-CN" w:bidi="ar-SA"/>
              </w:rPr>
            </w:pPr>
            <w:r>
              <w:rPr>
                <w:rFonts w:hint="eastAsia" w:ascii="仿宋_GB2312" w:hAnsi="仿宋_GB2312" w:eastAsia="仿宋_GB2312" w:cs="仿宋_GB2312"/>
                <w:kern w:val="2"/>
                <w:sz w:val="20"/>
                <w:szCs w:val="20"/>
                <w:highlight w:val="none"/>
                <w:lang w:val="en-US" w:eastAsia="zh-CN" w:bidi="ar-SA"/>
              </w:rPr>
              <w:t>1.认真落实各项资金管理制度，结合年度工作计划以及县财政工作安排，提前准备好相关支付材料，确保资金支付及时，足额。</w:t>
            </w:r>
          </w:p>
          <w:p w14:paraId="4E1ABB7A">
            <w:pPr>
              <w:keepNext w:val="0"/>
              <w:keepLines w:val="0"/>
              <w:pageBreakBefore w:val="0"/>
              <w:widowControl w:val="0"/>
              <w:kinsoku/>
              <w:wordWrap/>
              <w:overflowPunct/>
              <w:topLinePunct w:val="0"/>
              <w:autoSpaceDE/>
              <w:autoSpaceDN/>
              <w:bidi w:val="0"/>
              <w:spacing w:line="240" w:lineRule="exact"/>
              <w:jc w:val="left"/>
              <w:textAlignment w:val="auto"/>
              <w:rPr>
                <w:rFonts w:hint="eastAsia" w:ascii="仿宋_GB2312" w:hAnsi="宋体" w:eastAsia="仿宋_GB2312" w:cs="仿宋_GB2312"/>
                <w:color w:val="000000"/>
                <w:sz w:val="20"/>
                <w:szCs w:val="20"/>
                <w:lang w:eastAsia="zh-CN"/>
              </w:rPr>
            </w:pPr>
            <w:r>
              <w:rPr>
                <w:rFonts w:hint="eastAsia" w:ascii="仿宋_GB2312" w:hAnsi="仿宋_GB2312" w:eastAsia="仿宋_GB2312" w:cs="仿宋_GB2312"/>
                <w:kern w:val="2"/>
                <w:sz w:val="20"/>
                <w:szCs w:val="20"/>
                <w:highlight w:val="none"/>
                <w:lang w:val="en-US" w:eastAsia="zh-CN" w:bidi="ar-SA"/>
              </w:rPr>
              <w:t>2.建议项目实施单位严格遵守相关项目管理办法，在项目实施过程中，项目资料的归档与项目实施进度保持同步，避免项目资料漏失。</w:t>
            </w:r>
          </w:p>
        </w:tc>
      </w:tr>
      <w:tr w14:paraId="27866C08">
        <w:tblPrEx>
          <w:tblCellMar>
            <w:top w:w="15" w:type="dxa"/>
            <w:left w:w="15" w:type="dxa"/>
            <w:bottom w:w="15" w:type="dxa"/>
            <w:right w:w="15" w:type="dxa"/>
          </w:tblCellMar>
        </w:tblPrEx>
        <w:trPr>
          <w:trHeight w:val="962"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14:paraId="38F346A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14:paraId="51CA9B8C">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14:paraId="3C3228F7">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1.建议将此次绩效评价过程中发现的问题进行及时整改；</w:t>
            </w:r>
          </w:p>
          <w:p w14:paraId="037D8DF6">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2.建议加大对绩效评价结果的应用，此次绩效评价结果，可作为202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年各部门（单位）改进管理、调整财政支出方向、预算编制和安排财政资金的重要依据；</w:t>
            </w:r>
          </w:p>
          <w:p w14:paraId="54121566">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highlight w:val="none"/>
              </w:rPr>
              <w:t>3.建议建立绩效评价结果应用制度，将</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年绩效评价结果进行公示、公开。</w:t>
            </w:r>
          </w:p>
        </w:tc>
      </w:tr>
      <w:tr w14:paraId="6FD8DB60">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5FFAA9B1">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14:paraId="19C28923">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14:paraId="1C743B09">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244E228B">
            <w:pPr>
              <w:widowControl/>
              <w:spacing w:line="240" w:lineRule="exact"/>
              <w:jc w:val="center"/>
              <w:textAlignment w:val="center"/>
              <w:rPr>
                <w:rFonts w:hint="eastAsia" w:ascii="黑体" w:hAnsi="黑体" w:eastAsia="黑体" w:cs="仿宋_GB2312"/>
                <w:color w:val="000000"/>
                <w:sz w:val="20"/>
                <w:szCs w:val="20"/>
              </w:rPr>
            </w:pPr>
            <w:r>
              <w:rPr>
                <w:rFonts w:hint="eastAsia" w:ascii="黑体" w:hAnsi="黑体" w:eastAsia="黑体" w:cs="仿宋_GB2312"/>
                <w:color w:val="000000"/>
                <w:sz w:val="20"/>
                <w:szCs w:val="20"/>
              </w:rPr>
              <w:t>中瑞诚喀绩评字[202</w:t>
            </w:r>
            <w:r>
              <w:rPr>
                <w:rFonts w:hint="eastAsia" w:ascii="黑体" w:hAnsi="黑体" w:eastAsia="黑体" w:cs="仿宋_GB2312"/>
                <w:color w:val="000000"/>
                <w:sz w:val="20"/>
                <w:szCs w:val="20"/>
                <w:lang w:val="en-US" w:eastAsia="zh-CN"/>
              </w:rPr>
              <w:t>2</w:t>
            </w:r>
            <w:r>
              <w:rPr>
                <w:rFonts w:hint="eastAsia" w:ascii="黑体" w:hAnsi="黑体" w:eastAsia="黑体" w:cs="仿宋_GB2312"/>
                <w:color w:val="000000"/>
                <w:sz w:val="20"/>
                <w:szCs w:val="20"/>
              </w:rPr>
              <w:t>]</w:t>
            </w:r>
            <w:r>
              <w:rPr>
                <w:rFonts w:hint="eastAsia" w:ascii="黑体" w:hAnsi="黑体" w:eastAsia="黑体" w:cs="仿宋_GB2312"/>
                <w:color w:val="000000"/>
                <w:sz w:val="20"/>
                <w:szCs w:val="20"/>
                <w:lang w:val="en-US" w:eastAsia="zh-CN"/>
              </w:rPr>
              <w:t>146</w:t>
            </w:r>
            <w:r>
              <w:rPr>
                <w:rFonts w:hint="eastAsia" w:ascii="黑体" w:hAnsi="黑体" w:eastAsia="黑体" w:cs="仿宋_GB2312"/>
                <w:color w:val="000000"/>
                <w:sz w:val="20"/>
                <w:szCs w:val="20"/>
              </w:rPr>
              <w:t>号</w:t>
            </w:r>
          </w:p>
        </w:tc>
      </w:tr>
      <w:tr w14:paraId="56C5C14B">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042B7E2A">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项目负责人（签字）</w:t>
            </w:r>
          </w:p>
          <w:p w14:paraId="5CA07931">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14:paraId="2A5D6BBD">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14:paraId="7745363D">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法定代表人（签字）</w:t>
            </w:r>
          </w:p>
          <w:p w14:paraId="53BC1018">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2CEB84CA">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 13899129971</w:t>
            </w:r>
          </w:p>
        </w:tc>
      </w:tr>
    </w:tbl>
    <w:p w14:paraId="4EA00CB5">
      <w:pPr>
        <w:pStyle w:val="14"/>
        <w:tabs>
          <w:tab w:val="right" w:leader="dot" w:pos="8302"/>
        </w:tabs>
        <w:jc w:val="center"/>
        <w:rPr>
          <w:rFonts w:hint="eastAsia" w:ascii="微软雅黑" w:hAnsi="微软雅黑" w:eastAsia="微软雅黑" w:cs="微软雅黑"/>
          <w:sz w:val="44"/>
          <w:szCs w:val="44"/>
        </w:rPr>
      </w:pPr>
      <w:r>
        <w:rPr>
          <w:rFonts w:hint="eastAsia" w:ascii="微软雅黑" w:hAnsi="微软雅黑" w:eastAsia="微软雅黑" w:cs="微软雅黑"/>
          <w:sz w:val="44"/>
          <w:szCs w:val="44"/>
        </w:rPr>
        <w:t>摘   要</w:t>
      </w:r>
    </w:p>
    <w:p w14:paraId="53B5648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sz w:val="32"/>
          <w:szCs w:val="32"/>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，根据财政部《项目支出绩效评价管理办法》（财预〔2020〕10 号）</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《自治区财政支出绩效评价管理暂行办法》（新财预〔2018〕189号）</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受洛浦县财政局委托，中瑞诚会计师事务所（特殊普通合伙）喀什分所作为第三方评价机构于2021年01月01日至2022年06月30日对中共洛浦县委宣传部管理的文艺小分队工资补助项目开展了绩效评价，评价情况如下：</w:t>
      </w:r>
    </w:p>
    <w:p w14:paraId="3BFB2610">
      <w:pPr>
        <w:adjustRightInd w:val="0"/>
        <w:snapToGrid w:val="0"/>
        <w:spacing w:line="560" w:lineRule="exact"/>
        <w:ind w:firstLine="640" w:firstLineChars="200"/>
        <w:jc w:val="left"/>
        <w:outlineLvl w:val="0"/>
        <w:rPr>
          <w:rFonts w:hint="eastAsia" w:ascii="黑体" w:hAnsi="黑体" w:eastAsia="黑体" w:cs="宋体"/>
          <w:sz w:val="32"/>
          <w:szCs w:val="32"/>
        </w:rPr>
      </w:pPr>
      <w:bookmarkStart w:id="0" w:name="_Toc1784"/>
      <w:r>
        <w:rPr>
          <w:rFonts w:hint="eastAsia" w:ascii="黑体" w:hAnsi="黑体" w:eastAsia="黑体" w:cs="宋体"/>
          <w:sz w:val="32"/>
          <w:szCs w:val="32"/>
        </w:rPr>
        <w:t>一、项目概述</w:t>
      </w:r>
      <w:bookmarkEnd w:id="0"/>
    </w:p>
    <w:p w14:paraId="6BB77884">
      <w:pPr>
        <w:pStyle w:val="34"/>
        <w:pageBreakBefore w:val="0"/>
        <w:widowControl w:val="0"/>
        <w:numPr>
          <w:ilvl w:val="0"/>
          <w:numId w:val="0"/>
        </w:numPr>
        <w:kinsoku/>
        <w:wordWrap/>
        <w:overflowPunct/>
        <w:topLinePunct w:val="0"/>
        <w:autoSpaceDE/>
        <w:autoSpaceDN/>
        <w:bidi w:val="0"/>
        <w:adjustRightInd/>
        <w:snapToGrid/>
        <w:spacing w:line="560" w:lineRule="exact"/>
        <w:ind w:left="0" w:firstLine="640" w:firstLineChars="200"/>
        <w:textAlignment w:val="auto"/>
        <w:rPr>
          <w:rFonts w:hint="eastAsia" w:ascii="仿宋_GB2312" w:hAnsi="仿宋_GB2312" w:eastAsia="仿宋_GB2312" w:cs="仿宋_GB2312"/>
          <w:color w:val="000000"/>
          <w:kern w:val="0"/>
          <w:sz w:val="32"/>
          <w:szCs w:val="32"/>
          <w:lang w:val="en-US" w:eastAsia="zh-CN"/>
        </w:rPr>
      </w:pPr>
      <w:bookmarkStart w:id="1" w:name="_Toc4382"/>
      <w:r>
        <w:rPr>
          <w:rFonts w:hint="eastAsia" w:ascii="仿宋_GB2312" w:hAnsi="仿宋_GB2312" w:eastAsia="仿宋_GB2312" w:cs="仿宋_GB2312"/>
          <w:color w:val="000000"/>
          <w:kern w:val="0"/>
          <w:sz w:val="32"/>
          <w:szCs w:val="32"/>
          <w:lang w:val="en-US" w:eastAsia="zh-CN"/>
        </w:rPr>
        <w:t>为深入学习贯彻习近平新时代中国特色社会主义思想，贯彻落实党的十九大和十九届二中、三中、四中、五中全会精神和第三次中央新疆工作座谈会精神，牢牢把握满足人民群众对美好生活需要的目标要求，精准对接基层群众文化需求，广泛开展为老百姓服务、为基层服务的群众文艺活动，以高质量文化供给增强人民群众的文化获得感和幸福感。我单位开展文艺下乡和洛浦县文旅夜市文艺演出活动，全方位、高角度、宽领域地传播洛浦正能量、展示洛浦好形象。我单位实施该项目保障文艺小分队演出能正常开展。</w:t>
      </w:r>
    </w:p>
    <w:p w14:paraId="6567D24B">
      <w:pPr>
        <w:keepNext w:val="0"/>
        <w:keepLines w:val="0"/>
        <w:pageBreakBefore w:val="0"/>
        <w:widowControl w:val="0"/>
        <w:kinsoku/>
        <w:wordWrap/>
        <w:overflowPunct/>
        <w:topLinePunct w:val="0"/>
        <w:autoSpaceDE/>
        <w:autoSpaceDN/>
        <w:bidi w:val="0"/>
        <w:adjustRightInd/>
        <w:snapToGrid/>
        <w:spacing w:line="560" w:lineRule="exact"/>
        <w:ind w:left="0" w:firstLine="646"/>
        <w:textAlignment w:val="auto"/>
        <w:rPr>
          <w:rFonts w:hint="default"/>
          <w:lang w:val="en-US" w:eastAsia="zh-CN"/>
        </w:rPr>
      </w:pPr>
      <w:r>
        <w:rPr>
          <w:rFonts w:hint="eastAsia" w:ascii="仿宋_GB2312" w:hAnsi="仿宋" w:eastAsia="仿宋_GB2312" w:cs="宋体"/>
          <w:kern w:val="2"/>
          <w:sz w:val="32"/>
          <w:szCs w:val="32"/>
          <w:lang w:val="en-US" w:eastAsia="zh-CN" w:bidi="ar"/>
        </w:rPr>
        <w:t>项目实施前按照项目立项、预算管理、项目实施的分析路径，结合国家、自治区法律法规等进行充分调研，项目实施过程中严格按照《自治区全面实施预算绩效管理的工作方案》（新财预〔2018〕158 号）进行实施并及时进行监督管理，项目实施后成立专门的评估小组，收集整理相关资料，了解项目的实施运行情况。</w:t>
      </w:r>
      <w:r>
        <w:rPr>
          <w:rFonts w:hint="eastAsia"/>
          <w:lang w:val="en-US" w:eastAsia="zh-CN"/>
        </w:rPr>
        <w:t xml:space="preserve">    </w:t>
      </w:r>
    </w:p>
    <w:p w14:paraId="0479C940">
      <w:pPr>
        <w:adjustRightInd w:val="0"/>
        <w:snapToGrid w:val="0"/>
        <w:spacing w:line="560" w:lineRule="exact"/>
        <w:ind w:firstLine="640" w:firstLineChars="200"/>
        <w:jc w:val="left"/>
        <w:outlineLvl w:val="0"/>
        <w:rPr>
          <w:rFonts w:hint="eastAsia" w:ascii="黑体" w:hAnsi="黑体" w:eastAsia="黑体" w:cs="宋体"/>
          <w:sz w:val="32"/>
          <w:szCs w:val="32"/>
          <w:highlight w:val="yellow"/>
          <w:lang w:eastAsia="zh-CN"/>
        </w:rPr>
      </w:pPr>
      <w:r>
        <w:rPr>
          <w:rFonts w:hint="eastAsia" w:ascii="黑体" w:hAnsi="黑体" w:eastAsia="黑体" w:cs="宋体"/>
          <w:sz w:val="32"/>
          <w:szCs w:val="32"/>
        </w:rPr>
        <w:t>二、评价工作简述</w:t>
      </w:r>
      <w:bookmarkEnd w:id="1"/>
    </w:p>
    <w:p w14:paraId="7D427E0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eastAsia="zh-CN"/>
        </w:rPr>
      </w:pPr>
      <w:bookmarkStart w:id="2" w:name="_Toc13087"/>
      <w:r>
        <w:rPr>
          <w:rFonts w:hint="eastAsia" w:ascii="仿宋_GB2312" w:hAnsi="仿宋_GB2312" w:eastAsia="仿宋_GB2312" w:cs="仿宋_GB2312"/>
          <w:sz w:val="32"/>
          <w:szCs w:val="32"/>
          <w:highlight w:val="none"/>
        </w:rPr>
        <w:t>评价组自承接本项目后，立足于</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二是评价</w:t>
      </w:r>
      <w:r>
        <w:rPr>
          <w:rFonts w:hint="eastAsia" w:ascii="仿宋_GB2312" w:hAnsi="仿宋_GB2312" w:eastAsia="仿宋_GB2312" w:cs="仿宋_GB2312"/>
          <w:sz w:val="32"/>
          <w:szCs w:val="32"/>
          <w:highlight w:val="none"/>
          <w:lang w:eastAsia="zh-CN"/>
        </w:rPr>
        <w:t>项目实施</w:t>
      </w:r>
      <w:r>
        <w:rPr>
          <w:rFonts w:hint="eastAsia" w:ascii="仿宋_GB2312" w:hAnsi="仿宋_GB2312" w:eastAsia="仿宋_GB2312" w:cs="仿宋_GB2312"/>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sz w:val="32"/>
          <w:szCs w:val="32"/>
          <w:highlight w:val="none"/>
          <w:lang w:eastAsia="zh-CN"/>
        </w:rPr>
        <w:t>。</w:t>
      </w:r>
    </w:p>
    <w:p w14:paraId="1422B48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highlight w:val="yellow"/>
          <w:lang w:val="en-US" w:eastAsia="zh-CN"/>
        </w:rPr>
      </w:pPr>
      <w:r>
        <w:rPr>
          <w:rFonts w:hint="eastAsia" w:ascii="仿宋_GB2312" w:hAnsi="仿宋_GB2312" w:eastAsia="仿宋_GB2312" w:cs="仿宋_GB2312"/>
          <w:sz w:val="32"/>
          <w:szCs w:val="32"/>
          <w:highlight w:val="none"/>
          <w:lang w:val="en-US" w:eastAsia="zh-CN"/>
        </w:rPr>
        <w:t>评价工作组通过前期调研，</w:t>
      </w:r>
      <w:r>
        <w:rPr>
          <w:rFonts w:hint="eastAsia" w:ascii="仿宋_GB2312" w:hAnsi="仿宋_GB2312" w:eastAsia="仿宋_GB2312" w:cs="仿宋_GB2312"/>
          <w:sz w:val="32"/>
          <w:szCs w:val="32"/>
          <w:highlight w:val="none"/>
        </w:rPr>
        <w:t>了解项目管理流程及效果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14:paraId="6CD47B77">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14:paraId="218B487E">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14:paraId="05876AB5">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四、评价结论</w:t>
      </w:r>
      <w:bookmarkEnd w:id="4"/>
    </w:p>
    <w:p w14:paraId="4F500E4C">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经综合评价，项目得分为96.43分，其中：项目决策得分18.5分、项目过程得分19.93分；项目产出得分29.67分、项目效益得分28.33分，评价等级为优。</w:t>
      </w:r>
    </w:p>
    <w:p w14:paraId="5FBDF977">
      <w:pPr>
        <w:pStyle w:val="2"/>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43.20万元，实际支出42.18万元，预算资金执行率97.64%。通过文件研读、实地调研、数据分析等方式，全面了解该项目的使用效果，项目管理过程较规范；总的来看，该项目的实施全方位、高角度、宽领域地传播了洛浦正能量、展示了洛浦好形象，提高了演出工作人员工作积极性。　</w:t>
      </w:r>
    </w:p>
    <w:p w14:paraId="57B38FF8">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14:paraId="164C7E0C">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 w:name="_Toc22139"/>
      <w:bookmarkStart w:id="7" w:name="_Toc11063"/>
      <w:bookmarkStart w:id="8" w:name="_Toc5400"/>
      <w:bookmarkStart w:id="9" w:name="_Toc6009"/>
      <w:bookmarkStart w:id="10" w:name="_Toc19437"/>
      <w:bookmarkStart w:id="11" w:name="_Toc24350"/>
      <w:r>
        <w:rPr>
          <w:rFonts w:hint="eastAsia" w:ascii="仿宋_GB2312" w:hAnsi="仿宋" w:eastAsia="仿宋_GB2312" w:cs="宋体"/>
          <w:b/>
          <w:bCs/>
          <w:sz w:val="32"/>
          <w:szCs w:val="32"/>
          <w:highlight w:val="none"/>
        </w:rPr>
        <w:t>（一）问题</w:t>
      </w:r>
      <w:bookmarkEnd w:id="6"/>
      <w:bookmarkEnd w:id="7"/>
      <w:bookmarkEnd w:id="8"/>
      <w:bookmarkEnd w:id="9"/>
      <w:bookmarkEnd w:id="10"/>
      <w:bookmarkEnd w:id="11"/>
    </w:p>
    <w:p w14:paraId="6E519BC8">
      <w:pPr>
        <w:pStyle w:val="34"/>
        <w:adjustRightInd w:val="0"/>
        <w:snapToGrid w:val="0"/>
        <w:spacing w:line="560" w:lineRule="exact"/>
        <w:ind w:left="0" w:leftChars="0" w:firstLine="640" w:firstLineChars="200"/>
        <w:outlineLvl w:val="1"/>
        <w:rPr>
          <w:rFonts w:hint="eastAsia" w:ascii="仿宋" w:hAnsi="仿宋" w:eastAsia="仿宋" w:cs="仿宋"/>
          <w:sz w:val="32"/>
          <w:szCs w:val="32"/>
          <w:highlight w:val="none"/>
          <w:lang w:val="en-US" w:eastAsia="zh-CN"/>
        </w:rPr>
      </w:pPr>
      <w:bookmarkStart w:id="12" w:name="_Toc3933"/>
      <w:bookmarkStart w:id="13" w:name="_Toc23428"/>
      <w:bookmarkStart w:id="14" w:name="_Toc21456"/>
      <w:bookmarkStart w:id="15" w:name="_Toc32170"/>
      <w:bookmarkStart w:id="16" w:name="_Toc13719"/>
      <w:bookmarkStart w:id="17" w:name="_Toc25341"/>
      <w:r>
        <w:rPr>
          <w:rFonts w:hint="eastAsia" w:ascii="仿宋" w:hAnsi="仿宋" w:eastAsia="仿宋" w:cs="仿宋"/>
          <w:sz w:val="32"/>
          <w:szCs w:val="32"/>
          <w:highlight w:val="none"/>
          <w:lang w:val="en-US" w:eastAsia="zh-CN"/>
        </w:rPr>
        <w:t>1.未落实好《行政、事业单位会计制度》，由于扎帐原因，文艺演出人员12月份的工资均未发放。</w:t>
      </w:r>
    </w:p>
    <w:p w14:paraId="55345993">
      <w:pPr>
        <w:pStyle w:val="34"/>
        <w:adjustRightInd w:val="0"/>
        <w:snapToGrid w:val="0"/>
        <w:spacing w:line="560" w:lineRule="exact"/>
        <w:ind w:left="0" w:leftChars="0" w:firstLine="640" w:firstLineChars="200"/>
        <w:outlineLvl w:val="1"/>
        <w:rPr>
          <w:rFonts w:hint="eastAsia"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t>2.项目资料归档不规范，缺少项目实施方案，相关会议纪要。</w:t>
      </w:r>
    </w:p>
    <w:p w14:paraId="7B03E33F">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eastAsia="zh-CN"/>
        </w:rPr>
        <w:t>二</w:t>
      </w:r>
      <w:r>
        <w:rPr>
          <w:rFonts w:hint="eastAsia" w:ascii="仿宋_GB2312" w:hAnsi="仿宋" w:eastAsia="仿宋_GB2312" w:cs="宋体"/>
          <w:b/>
          <w:bCs/>
          <w:sz w:val="32"/>
          <w:szCs w:val="32"/>
          <w:highlight w:val="none"/>
        </w:rPr>
        <w:t>）意见和建议</w:t>
      </w:r>
      <w:bookmarkEnd w:id="12"/>
      <w:bookmarkEnd w:id="13"/>
      <w:bookmarkEnd w:id="14"/>
      <w:bookmarkEnd w:id="15"/>
      <w:bookmarkEnd w:id="16"/>
      <w:bookmarkEnd w:id="17"/>
    </w:p>
    <w:p w14:paraId="034525EF">
      <w:pPr>
        <w:ind w:firstLine="640" w:firstLineChars="200"/>
        <w:jc w:val="left"/>
        <w:rPr>
          <w:rFonts w:hint="eastAsia"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t>1.认真落实各项资金管理制度，结合年度工作计划以及县财政工作安排，提前准备好相关支付材料，确保资金支付及时，足额。</w:t>
      </w:r>
    </w:p>
    <w:p w14:paraId="688E8DDB">
      <w:pPr>
        <w:ind w:firstLine="640" w:firstLineChars="200"/>
        <w:jc w:val="left"/>
        <w:rPr>
          <w:rFonts w:hint="default" w:ascii="微软雅黑" w:eastAsia="微软雅黑"/>
          <w:sz w:val="36"/>
          <w:szCs w:val="36"/>
          <w:highlight w:val="none"/>
          <w:lang w:val="en-US"/>
        </w:rPr>
      </w:pPr>
      <w:r>
        <w:rPr>
          <w:rFonts w:hint="eastAsia" w:ascii="仿宋" w:hAnsi="仿宋" w:eastAsia="仿宋" w:cs="仿宋"/>
          <w:sz w:val="32"/>
          <w:szCs w:val="32"/>
          <w:highlight w:val="none"/>
          <w:lang w:val="en-US" w:eastAsia="zh-CN"/>
        </w:rPr>
        <w:t xml:space="preserve">2.建议项目实施单位严格遵守相关项目管理办法，在项目实施过程中，项目资料的归档与项目实施进度保持同步，避免项目资料漏失。  </w:t>
      </w:r>
    </w:p>
    <w:p w14:paraId="405209A8">
      <w:pPr>
        <w:ind w:firstLine="2200" w:firstLineChars="500"/>
        <w:jc w:val="both"/>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14:paraId="79DEC8A1">
      <w:pPr>
        <w:jc w:val="center"/>
      </w:pPr>
    </w:p>
    <w:tbl>
      <w:tblPr>
        <w:tblStyle w:val="21"/>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14:paraId="56683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14:paraId="4F39B656">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605" w:type="dxa"/>
            <w:vAlign w:val="center"/>
          </w:tcPr>
          <w:p w14:paraId="7BF88F0C">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14:paraId="4778B58D">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14:paraId="06EFA3E4">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14:paraId="60BB4A52">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14:paraId="703E50B7">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14:paraId="1C5ADA36">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14:paraId="4D790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14:paraId="39D00F55">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14:paraId="14CAA07C">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14:paraId="154545E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14:paraId="3F4265FF">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517F83D4">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422BEFE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项目总负责</w:t>
            </w:r>
          </w:p>
        </w:tc>
      </w:tr>
      <w:tr w14:paraId="4EA320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482E236B">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14:paraId="6B596119">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14:paraId="5E08470F">
            <w:pPr>
              <w:pStyle w:val="14"/>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14:paraId="31385DAE">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01DECE4A">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1210E1E5">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14:paraId="5E2FA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278EF1ED">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14:paraId="64357F3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14:paraId="20884E95">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曹堂哲</w:t>
            </w:r>
          </w:p>
        </w:tc>
        <w:tc>
          <w:tcPr>
            <w:tcW w:w="1640" w:type="dxa"/>
            <w:vAlign w:val="center"/>
          </w:tcPr>
          <w:p w14:paraId="4E2BFF9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14:paraId="14DD5763">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14:paraId="00958E46">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   质量审核</w:t>
            </w:r>
          </w:p>
        </w:tc>
      </w:tr>
      <w:tr w14:paraId="19C0A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527" w:type="dxa"/>
            <w:vAlign w:val="center"/>
          </w:tcPr>
          <w:p w14:paraId="73038628">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14:paraId="166BD97B">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14:paraId="051D1029">
            <w:pPr>
              <w:pStyle w:val="14"/>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14:paraId="0ADCB871">
            <w:pPr>
              <w:pStyle w:val="14"/>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14:paraId="64A0E1DA">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14:paraId="7A2E234B">
            <w:pPr>
              <w:pStyle w:val="14"/>
              <w:tabs>
                <w:tab w:val="right" w:leader="dot" w:pos="8302"/>
              </w:tabs>
              <w:spacing w:line="340" w:lineRule="exact"/>
              <w:jc w:val="center"/>
              <w:rPr>
                <w:rFonts w:ascii="仿宋_GB2312" w:hAnsi="黑体" w:eastAsia="仿宋_GB2312" w:cs="宋体"/>
                <w:kern w:val="0"/>
                <w:sz w:val="24"/>
              </w:rPr>
            </w:pPr>
          </w:p>
        </w:tc>
      </w:tr>
      <w:tr w14:paraId="7E13C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14:paraId="1DA4B250">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14:paraId="68243A6D">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14:paraId="0B976AE0">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14:paraId="2A614622">
            <w:pPr>
              <w:pStyle w:val="14"/>
              <w:tabs>
                <w:tab w:val="right" w:leader="dot" w:pos="8302"/>
              </w:tabs>
              <w:spacing w:line="340" w:lineRule="exact"/>
              <w:jc w:val="center"/>
              <w:rPr>
                <w:rFonts w:ascii="仿宋_GB2312" w:hAnsi="黑体" w:eastAsia="仿宋_GB2312" w:cs="宋体"/>
                <w:kern w:val="0"/>
                <w:sz w:val="24"/>
              </w:rPr>
            </w:pPr>
          </w:p>
        </w:tc>
        <w:tc>
          <w:tcPr>
            <w:tcW w:w="1510" w:type="dxa"/>
            <w:vAlign w:val="center"/>
          </w:tcPr>
          <w:p w14:paraId="345C7691">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14:paraId="2D04ED62">
            <w:pPr>
              <w:pStyle w:val="14"/>
              <w:tabs>
                <w:tab w:val="right" w:leader="dot" w:pos="8302"/>
              </w:tabs>
              <w:spacing w:line="340" w:lineRule="exact"/>
              <w:jc w:val="center"/>
              <w:rPr>
                <w:rFonts w:ascii="仿宋_GB2312" w:hAnsi="黑体" w:eastAsia="仿宋_GB2312" w:cs="宋体"/>
                <w:kern w:val="0"/>
                <w:sz w:val="24"/>
              </w:rPr>
            </w:pPr>
          </w:p>
        </w:tc>
      </w:tr>
    </w:tbl>
    <w:p w14:paraId="7A3B0869">
      <w:pPr>
        <w:ind w:firstLine="640" w:firstLineChars="200"/>
        <w:rPr>
          <w:rFonts w:ascii="仿宋_GB2312" w:eastAsia="仿宋_GB2312"/>
          <w:sz w:val="32"/>
          <w:szCs w:val="32"/>
        </w:rPr>
      </w:pPr>
    </w:p>
    <w:p w14:paraId="3302FBCC">
      <w:pPr>
        <w:pStyle w:val="14"/>
        <w:tabs>
          <w:tab w:val="right" w:leader="dot" w:pos="8302"/>
        </w:tabs>
        <w:spacing w:line="340" w:lineRule="exact"/>
        <w:rPr>
          <w:rFonts w:ascii="黑体" w:hAnsi="黑体" w:eastAsia="黑体" w:cs="宋体"/>
          <w:sz w:val="24"/>
        </w:rPr>
      </w:pPr>
    </w:p>
    <w:p w14:paraId="1BB638CE"/>
    <w:p w14:paraId="28D90491">
      <w:pPr>
        <w:pStyle w:val="14"/>
        <w:tabs>
          <w:tab w:val="right" w:leader="dot" w:pos="8302"/>
        </w:tabs>
        <w:spacing w:line="340" w:lineRule="exact"/>
        <w:jc w:val="both"/>
        <w:rPr>
          <w:rFonts w:ascii="宋体" w:hAnsi="宋体" w:cs="宋体"/>
          <w:b/>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14:paraId="58F8B298">
      <w:pPr>
        <w:pStyle w:val="14"/>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14:paraId="30ECEFBF">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14:paraId="376A7107">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6D0531FA">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6CB3CBD0">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2</w:t>
          </w:r>
          <w:r>
            <w:rPr>
              <w:highlight w:val="none"/>
            </w:rPr>
            <w:fldChar w:fldCharType="end"/>
          </w:r>
          <w:r>
            <w:rPr>
              <w:bCs w:val="0"/>
              <w:szCs w:val="24"/>
              <w:highlight w:val="none"/>
            </w:rPr>
            <w:fldChar w:fldCharType="end"/>
          </w:r>
        </w:p>
        <w:p w14:paraId="73237C54">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3</w:t>
          </w:r>
          <w:r>
            <w:rPr>
              <w:highlight w:val="none"/>
            </w:rPr>
            <w:fldChar w:fldCharType="end"/>
          </w:r>
          <w:r>
            <w:rPr>
              <w:bCs w:val="0"/>
              <w:szCs w:val="24"/>
              <w:highlight w:val="none"/>
            </w:rPr>
            <w:fldChar w:fldCharType="end"/>
          </w:r>
        </w:p>
        <w:p w14:paraId="0E154690">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3</w:t>
          </w:r>
          <w:r>
            <w:rPr>
              <w:highlight w:val="none"/>
            </w:rPr>
            <w:fldChar w:fldCharType="end"/>
          </w:r>
          <w:r>
            <w:rPr>
              <w:bCs w:val="0"/>
              <w:szCs w:val="24"/>
              <w:highlight w:val="none"/>
            </w:rPr>
            <w:fldChar w:fldCharType="end"/>
          </w:r>
        </w:p>
        <w:p w14:paraId="4BB717F8">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4B1B24A3">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21EB2BF8">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6</w:t>
          </w:r>
          <w:r>
            <w:rPr>
              <w:highlight w:val="none"/>
            </w:rPr>
            <w:fldChar w:fldCharType="end"/>
          </w:r>
          <w:r>
            <w:rPr>
              <w:bCs w:val="0"/>
              <w:szCs w:val="24"/>
              <w:highlight w:val="none"/>
            </w:rPr>
            <w:fldChar w:fldCharType="end"/>
          </w:r>
        </w:p>
        <w:p w14:paraId="7B1B77B2">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6</w:t>
          </w:r>
          <w:r>
            <w:rPr>
              <w:highlight w:val="none"/>
            </w:rPr>
            <w:fldChar w:fldCharType="end"/>
          </w:r>
          <w:r>
            <w:rPr>
              <w:bCs w:val="0"/>
              <w:szCs w:val="24"/>
              <w:highlight w:val="none"/>
            </w:rPr>
            <w:fldChar w:fldCharType="end"/>
          </w:r>
        </w:p>
        <w:p w14:paraId="7792D834">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6</w:t>
          </w:r>
          <w:r>
            <w:rPr>
              <w:highlight w:val="none"/>
            </w:rPr>
            <w:fldChar w:fldCharType="end"/>
          </w:r>
          <w:r>
            <w:rPr>
              <w:bCs w:val="0"/>
              <w:szCs w:val="24"/>
              <w:highlight w:val="none"/>
            </w:rPr>
            <w:fldChar w:fldCharType="end"/>
          </w:r>
        </w:p>
        <w:p w14:paraId="56C1B1D2">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50D1F3B1">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6FC6769C">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0AA2B5BA">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3A1D89A8">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11</w:t>
          </w:r>
          <w:r>
            <w:rPr>
              <w:highlight w:val="none"/>
            </w:rPr>
            <w:fldChar w:fldCharType="end"/>
          </w:r>
          <w:r>
            <w:rPr>
              <w:bCs w:val="0"/>
              <w:szCs w:val="24"/>
              <w:highlight w:val="none"/>
            </w:rPr>
            <w:fldChar w:fldCharType="end"/>
          </w:r>
        </w:p>
        <w:p w14:paraId="72147CC9">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12</w:t>
          </w:r>
          <w:r>
            <w:rPr>
              <w:highlight w:val="none"/>
            </w:rPr>
            <w:fldChar w:fldCharType="end"/>
          </w:r>
          <w:r>
            <w:rPr>
              <w:bCs w:val="0"/>
              <w:szCs w:val="24"/>
              <w:highlight w:val="none"/>
            </w:rPr>
            <w:fldChar w:fldCharType="end"/>
          </w:r>
        </w:p>
        <w:p w14:paraId="1731CAEA">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13</w:t>
          </w:r>
          <w:r>
            <w:rPr>
              <w:highlight w:val="none"/>
            </w:rPr>
            <w:fldChar w:fldCharType="end"/>
          </w:r>
          <w:r>
            <w:rPr>
              <w:bCs w:val="0"/>
              <w:szCs w:val="24"/>
              <w:highlight w:val="none"/>
            </w:rPr>
            <w:fldChar w:fldCharType="end"/>
          </w:r>
        </w:p>
        <w:p w14:paraId="1A383B78">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13</w:t>
          </w:r>
          <w:r>
            <w:rPr>
              <w:highlight w:val="none"/>
            </w:rPr>
            <w:fldChar w:fldCharType="end"/>
          </w:r>
          <w:r>
            <w:rPr>
              <w:bCs w:val="0"/>
              <w:szCs w:val="24"/>
              <w:highlight w:val="none"/>
            </w:rPr>
            <w:fldChar w:fldCharType="end"/>
          </w:r>
        </w:p>
        <w:p w14:paraId="7DC6D74F">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13</w:t>
          </w:r>
          <w:r>
            <w:rPr>
              <w:highlight w:val="none"/>
            </w:rPr>
            <w:fldChar w:fldCharType="end"/>
          </w:r>
          <w:r>
            <w:rPr>
              <w:bCs w:val="0"/>
              <w:szCs w:val="24"/>
              <w:highlight w:val="none"/>
            </w:rPr>
            <w:fldChar w:fldCharType="end"/>
          </w:r>
        </w:p>
        <w:p w14:paraId="415FC8C3">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14</w:t>
          </w:r>
          <w:r>
            <w:rPr>
              <w:highlight w:val="none"/>
            </w:rPr>
            <w:fldChar w:fldCharType="end"/>
          </w:r>
          <w:r>
            <w:rPr>
              <w:bCs w:val="0"/>
              <w:szCs w:val="24"/>
              <w:highlight w:val="none"/>
            </w:rPr>
            <w:fldChar w:fldCharType="end"/>
          </w:r>
        </w:p>
        <w:p w14:paraId="4D1F5CC2">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14</w:t>
          </w:r>
          <w:r>
            <w:rPr>
              <w:highlight w:val="none"/>
            </w:rPr>
            <w:fldChar w:fldCharType="end"/>
          </w:r>
          <w:r>
            <w:rPr>
              <w:bCs w:val="0"/>
              <w:szCs w:val="24"/>
              <w:highlight w:val="none"/>
            </w:rPr>
            <w:fldChar w:fldCharType="end"/>
          </w:r>
        </w:p>
        <w:p w14:paraId="30BDE965">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14</w:t>
          </w:r>
          <w:r>
            <w:rPr>
              <w:highlight w:val="none"/>
            </w:rPr>
            <w:fldChar w:fldCharType="end"/>
          </w:r>
          <w:r>
            <w:rPr>
              <w:bCs w:val="0"/>
              <w:szCs w:val="24"/>
              <w:highlight w:val="none"/>
            </w:rPr>
            <w:fldChar w:fldCharType="end"/>
          </w:r>
        </w:p>
        <w:p w14:paraId="132DFC75">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14</w:t>
          </w:r>
          <w:r>
            <w:rPr>
              <w:highlight w:val="none"/>
            </w:rPr>
            <w:fldChar w:fldCharType="end"/>
          </w:r>
          <w:r>
            <w:rPr>
              <w:bCs w:val="0"/>
              <w:szCs w:val="24"/>
              <w:highlight w:val="none"/>
            </w:rPr>
            <w:fldChar w:fldCharType="end"/>
          </w:r>
        </w:p>
        <w:p w14:paraId="7915A850">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1C58AAE2">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483B2868">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210266CC">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03EA7F31">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6909F196">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33E0FC3F">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04CFFA61">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5EE0346B">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0DD012F9">
          <w:pPr>
            <w:pStyle w:val="14"/>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00C7C386">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14:paraId="0007A5F7">
      <w:pPr>
        <w:pStyle w:val="14"/>
        <w:tabs>
          <w:tab w:val="right" w:leader="dot" w:pos="8302"/>
        </w:tabs>
        <w:spacing w:line="340" w:lineRule="exact"/>
        <w:rPr>
          <w:rFonts w:ascii="黑体" w:hAnsi="黑体" w:eastAsia="黑体" w:cs="宋体"/>
          <w:sz w:val="32"/>
          <w:szCs w:val="32"/>
        </w:rPr>
      </w:pPr>
    </w:p>
    <w:p w14:paraId="12F4ECC0">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14:paraId="5D65CFF9">
      <w:pPr>
        <w:spacing w:line="600" w:lineRule="exact"/>
        <w:jc w:val="center"/>
        <w:outlineLvl w:val="9"/>
        <w:rPr>
          <w:rFonts w:hint="eastAsia" w:ascii="华文中宋" w:hAnsi="华文中宋" w:eastAsia="华文中宋" w:cs="华文中宋"/>
          <w:b w:val="0"/>
          <w:bCs w:val="0"/>
          <w:sz w:val="52"/>
          <w:szCs w:val="52"/>
          <w:lang w:eastAsia="zh-CN"/>
        </w:rPr>
      </w:pPr>
      <w:bookmarkStart w:id="19" w:name="_Toc29218"/>
      <w:bookmarkStart w:id="20" w:name="_Toc31819"/>
      <w:bookmarkStart w:id="21" w:name="_Toc1397"/>
      <w:bookmarkStart w:id="22" w:name="_Toc16603"/>
      <w:bookmarkStart w:id="23" w:name="_Toc14725"/>
      <w:bookmarkStart w:id="24" w:name="_Toc24347"/>
      <w:bookmarkStart w:id="25" w:name="_Toc12923"/>
      <w:bookmarkStart w:id="26" w:name="_Toc19311"/>
      <w:bookmarkStart w:id="27" w:name="_Toc28273"/>
      <w:bookmarkStart w:id="28" w:name="_Toc7636"/>
      <w:r>
        <w:rPr>
          <w:rFonts w:hint="eastAsia" w:ascii="华文中宋" w:hAnsi="华文中宋" w:eastAsia="华文中宋" w:cs="华文中宋"/>
          <w:b w:val="0"/>
          <w:bCs w:val="0"/>
          <w:sz w:val="52"/>
          <w:szCs w:val="52"/>
          <w:lang w:eastAsia="zh-CN"/>
        </w:rPr>
        <w:t>洛浦县文艺小分队工资补助项目</w:t>
      </w:r>
    </w:p>
    <w:p w14:paraId="5783A895">
      <w:pPr>
        <w:spacing w:line="600" w:lineRule="exact"/>
        <w:ind w:firstLine="2600" w:firstLineChars="500"/>
        <w:jc w:val="both"/>
        <w:outlineLvl w:val="9"/>
        <w:rPr>
          <w:rFonts w:ascii="方正小标宋_GBK" w:hAnsi="黑体" w:eastAsia="方正小标宋_GBK" w:cs="宋体"/>
          <w:sz w:val="52"/>
          <w:szCs w:val="52"/>
        </w:rPr>
      </w:pPr>
      <w:r>
        <w:rPr>
          <w:rFonts w:hint="eastAsia" w:ascii="华文中宋" w:hAnsi="华文中宋" w:eastAsia="华文中宋" w:cs="华文中宋"/>
          <w:sz w:val="52"/>
          <w:szCs w:val="52"/>
        </w:rPr>
        <w:t>绩效评价报告</w:t>
      </w:r>
      <w:bookmarkEnd w:id="18"/>
      <w:bookmarkEnd w:id="19"/>
      <w:bookmarkEnd w:id="20"/>
      <w:bookmarkEnd w:id="21"/>
      <w:bookmarkEnd w:id="22"/>
      <w:bookmarkEnd w:id="23"/>
      <w:bookmarkEnd w:id="24"/>
      <w:bookmarkEnd w:id="25"/>
      <w:bookmarkEnd w:id="26"/>
      <w:bookmarkEnd w:id="27"/>
      <w:bookmarkEnd w:id="28"/>
    </w:p>
    <w:p w14:paraId="694DCF8C">
      <w:pPr>
        <w:adjustRightInd w:val="0"/>
        <w:snapToGrid w:val="0"/>
        <w:spacing w:line="560" w:lineRule="exact"/>
        <w:ind w:firstLine="640" w:firstLineChars="200"/>
        <w:jc w:val="left"/>
        <w:outlineLvl w:val="9"/>
        <w:rPr>
          <w:rFonts w:hint="eastAsia" w:ascii="黑体" w:hAnsi="黑体" w:eastAsia="黑体" w:cs="宋体"/>
          <w:sz w:val="32"/>
          <w:szCs w:val="32"/>
        </w:rPr>
      </w:pPr>
    </w:p>
    <w:p w14:paraId="4458FA68">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14:paraId="3FCF2E63">
      <w:pPr>
        <w:pStyle w:val="34"/>
        <w:numPr>
          <w:ilvl w:val="0"/>
          <w:numId w:val="4"/>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14:paraId="60B11A33">
      <w:pPr>
        <w:pStyle w:val="34"/>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14:paraId="19693AF1">
      <w:pPr>
        <w:pStyle w:val="34"/>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1.项目背景</w:t>
      </w:r>
    </w:p>
    <w:p w14:paraId="55D590A8">
      <w:pPr>
        <w:pStyle w:val="34"/>
        <w:pageBreakBefore w:val="0"/>
        <w:widowControl w:val="0"/>
        <w:numPr>
          <w:ilvl w:val="0"/>
          <w:numId w:val="0"/>
        </w:numPr>
        <w:kinsoku/>
        <w:wordWrap/>
        <w:overflowPunct/>
        <w:topLinePunct w:val="0"/>
        <w:autoSpaceDE/>
        <w:autoSpaceDN/>
        <w:bidi w:val="0"/>
        <w:adjustRightInd/>
        <w:snapToGrid/>
        <w:spacing w:line="560" w:lineRule="exact"/>
        <w:ind w:left="0" w:firstLine="640" w:firstLineChars="200"/>
        <w:textAlignment w:val="auto"/>
        <w:rPr>
          <w:rFonts w:hint="eastAsia" w:ascii="仿宋_GB2312" w:hAnsi="仿宋_GB2312" w:eastAsia="仿宋_GB2312" w:cs="仿宋_GB2312"/>
          <w:color w:val="000000"/>
          <w:kern w:val="0"/>
          <w:sz w:val="32"/>
          <w:szCs w:val="32"/>
          <w:lang w:val="en-US" w:eastAsia="zh-CN"/>
        </w:rPr>
      </w:pPr>
      <w:r>
        <w:rPr>
          <w:rFonts w:hint="eastAsia" w:ascii="仿宋_GB2312" w:hAnsi="仿宋_GB2312" w:eastAsia="仿宋_GB2312" w:cs="仿宋_GB2312"/>
          <w:color w:val="000000"/>
          <w:kern w:val="0"/>
          <w:sz w:val="32"/>
          <w:szCs w:val="32"/>
          <w:lang w:val="en-US" w:eastAsia="zh-CN"/>
        </w:rPr>
        <w:t>以习近平新时代中国特色社会主义思想为指导，深入学习贯彻习近平总书记在中国文联十一大、中国作协十大开幕式上的讲话精神，弘扬伟大建党精神，坚持以社会主义核心价值观为引领，牢牢把握以人民为中心的工作导向，动员组织各类文艺团体和文艺工作者，围绕中卫市“六大产业”等重点工作，开展一系列有特色、有创新、有实效的创作演出和惠民服务，深入宣传党的政策理论，不断丰富群众文化生活，着力提高社会文明程度，凝聚建设黄河流域生态保护和高质量发展先行市的强大精神动力，为迎接党的二十大和自治区第十三次党代会胜利召开营造浓厚氛围，我单位开展文艺下乡和洛浦县文旅夜市文艺演出活动，全方位、高角度、宽领域地传播洛浦正能量、展示洛浦好形象。我单位实施该项目保障文艺小分队演出能正常开展。</w:t>
      </w:r>
    </w:p>
    <w:p w14:paraId="69B468C3">
      <w:pPr>
        <w:keepNext w:val="0"/>
        <w:keepLines w:val="0"/>
        <w:pageBreakBefore w:val="0"/>
        <w:widowControl w:val="0"/>
        <w:kinsoku/>
        <w:wordWrap/>
        <w:overflowPunct/>
        <w:topLinePunct w:val="0"/>
        <w:autoSpaceDE/>
        <w:autoSpaceDN/>
        <w:bidi w:val="0"/>
        <w:adjustRightInd/>
        <w:snapToGrid/>
        <w:spacing w:line="560" w:lineRule="exact"/>
        <w:ind w:left="0" w:firstLine="646"/>
        <w:textAlignment w:val="auto"/>
        <w:rPr>
          <w:rFonts w:hint="eastAsia" w:ascii="楷体" w:hAnsi="楷体" w:eastAsia="楷体" w:cs="楷体"/>
          <w:bCs/>
          <w:sz w:val="32"/>
          <w:szCs w:val="32"/>
        </w:rPr>
      </w:pPr>
      <w:r>
        <w:rPr>
          <w:rFonts w:hint="eastAsia" w:ascii="仿宋_GB2312" w:hAnsi="仿宋" w:eastAsia="仿宋_GB2312" w:cs="宋体"/>
          <w:kern w:val="2"/>
          <w:sz w:val="32"/>
          <w:szCs w:val="32"/>
          <w:lang w:val="en-US" w:eastAsia="zh-CN" w:bidi="ar"/>
        </w:rPr>
        <w:t>项目实施前按照项目立项、预算管理、项目实施的分析路径，结合国家、自治区法律法规等进行充分调研，项目实施过程中严格按照《自治区全面实施预算绩效管理的工作方案》（新财预〔2018〕158 号）进行实施并及时进行监督管理，项目实施后成立专门的评估小组，收集整理相关资料，了解项目的实施运行情况。</w:t>
      </w:r>
      <w:r>
        <w:rPr>
          <w:rFonts w:hint="eastAsia"/>
          <w:lang w:val="en-US" w:eastAsia="zh-CN"/>
        </w:rPr>
        <w:t xml:space="preserve">    </w:t>
      </w:r>
    </w:p>
    <w:p w14:paraId="5820D21F">
      <w:pPr>
        <w:pStyle w:val="34"/>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rPr>
        <w:t>2.项目实施主体</w:t>
      </w:r>
    </w:p>
    <w:p w14:paraId="74E53151">
      <w:pPr>
        <w:pStyle w:val="34"/>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该项目由中共洛浦县委宣传部负责实施，主要职能是：</w:t>
      </w:r>
    </w:p>
    <w:p w14:paraId="62542AC5">
      <w:pPr>
        <w:pStyle w:val="34"/>
        <w:keepNext w:val="0"/>
        <w:keepLines w:val="0"/>
        <w:pageBreakBefore w:val="0"/>
        <w:widowControl w:val="0"/>
        <w:kinsoku/>
        <w:wordWrap/>
        <w:overflowPunct/>
        <w:topLinePunct w:val="0"/>
        <w:autoSpaceDE/>
        <w:autoSpaceDN/>
        <w:bidi w:val="0"/>
        <w:adjustRightInd/>
        <w:snapToGrid w:val="0"/>
        <w:spacing w:line="560" w:lineRule="exact"/>
        <w:jc w:val="both"/>
        <w:textAlignment w:val="auto"/>
        <w:outlineLvl w:val="2"/>
        <w:rPr>
          <w:rFonts w:hint="eastAsia" w:ascii="仿宋_GB2312" w:hAnsi="仿宋_GB2312" w:eastAsia="仿宋_GB2312" w:cs="仿宋_GB2312"/>
          <w:color w:val="auto"/>
          <w:kern w:val="0"/>
          <w:sz w:val="32"/>
          <w:szCs w:val="32"/>
          <w:highlight w:val="none"/>
          <w:lang w:val="en-US" w:eastAsia="zh-CN" w:bidi="ar-SA"/>
        </w:rPr>
      </w:pPr>
      <w:r>
        <w:rPr>
          <w:rFonts w:hint="eastAsia" w:ascii="仿宋_GB2312" w:hAnsi="仿宋_GB2312" w:eastAsia="仿宋_GB2312" w:cs="仿宋_GB2312"/>
          <w:color w:val="auto"/>
          <w:kern w:val="0"/>
          <w:sz w:val="32"/>
          <w:szCs w:val="32"/>
          <w:highlight w:val="none"/>
          <w:lang w:val="en-US" w:eastAsia="zh-CN" w:bidi="ar-SA"/>
        </w:rPr>
        <w:t>作为党的喉舌部门，围绕县委中心工作开展宣传教育，通过开展宣传思想文化工作，加强意识形态领域反分裂斗争教育，引导各族干部职工群众学习贯彻党的路线方针政策，遵守国家法律法规，拥护支持党的领导，加强对走中国特色社会主义道路的信心和决心。开展精神文明创建和主题文化活动，丰富干部职工群众精神文化生活，引导教育各族干部职工群众践行社会主义核心观，崇尚科学、反对愚昧，开展“去极端化”宣传教育工作，加强各族干部职工群众的凝聚力和向心力。</w:t>
      </w:r>
    </w:p>
    <w:p w14:paraId="7F9C94F9">
      <w:pPr>
        <w:pStyle w:val="34"/>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jc w:val="both"/>
        <w:textAlignment w:val="auto"/>
        <w:rPr>
          <w:rFonts w:hint="eastAsia"/>
          <w:lang w:val="en-US" w:eastAsia="zh-CN"/>
        </w:rPr>
      </w:pPr>
      <w:r>
        <w:rPr>
          <w:rFonts w:hint="eastAsia" w:ascii="仿宋_GB2312" w:hAnsi="仿宋_GB2312" w:eastAsia="仿宋_GB2312" w:cs="仿宋_GB2312"/>
          <w:color w:val="auto"/>
          <w:kern w:val="0"/>
          <w:sz w:val="32"/>
          <w:szCs w:val="32"/>
          <w:highlight w:val="none"/>
          <w:lang w:val="en-US" w:eastAsia="zh-CN" w:bidi="ar-SA"/>
        </w:rPr>
        <w:t>中共洛浦县委宣传部无下属预算单位，下设0个处室。 中共洛浦县委宣传部编制数22人，实有人数18人，其中：在职18人，增加0人；退休3人。</w:t>
      </w:r>
    </w:p>
    <w:p w14:paraId="7A233E79">
      <w:pPr>
        <w:adjustRightInd w:val="0"/>
        <w:snapToGrid w:val="0"/>
        <w:spacing w:line="560" w:lineRule="exact"/>
        <w:ind w:firstLine="640" w:firstLineChars="200"/>
        <w:jc w:val="left"/>
        <w:outlineLvl w:val="0"/>
        <w:rPr>
          <w:rFonts w:ascii="楷体" w:hAnsi="楷体" w:eastAsia="楷体" w:cs="楷体"/>
          <w:bCs/>
          <w:sz w:val="32"/>
          <w:szCs w:val="32"/>
        </w:rPr>
      </w:pPr>
      <w:r>
        <w:rPr>
          <w:rFonts w:hint="eastAsia" w:ascii="楷体" w:hAnsi="楷体" w:eastAsia="楷体" w:cs="楷体"/>
          <w:bCs/>
          <w:sz w:val="32"/>
          <w:szCs w:val="32"/>
        </w:rPr>
        <w:t>3.项目内容</w:t>
      </w:r>
    </w:p>
    <w:p w14:paraId="23393565">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 w:eastAsia="仿宋_GB2312" w:cs="宋体"/>
          <w:kern w:val="2"/>
          <w:sz w:val="32"/>
          <w:szCs w:val="32"/>
          <w:lang w:val="en-US" w:eastAsia="zh-CN" w:bidi="ar"/>
        </w:rPr>
        <w:t>文化馆及文艺小分队每月开展15场文艺演出，宣扬洛浦文化，丰富群众业余生活，支付文艺小分队人数 24人工作补助。</w:t>
      </w:r>
      <w:r>
        <w:rPr>
          <w:rFonts w:hint="eastAsia" w:ascii="仿宋_GB2312" w:hAnsi="仿宋" w:eastAsia="仿宋_GB2312" w:cs="宋体"/>
          <w:b w:val="0"/>
          <w:bCs w:val="0"/>
          <w:kern w:val="2"/>
          <w:sz w:val="32"/>
          <w:szCs w:val="32"/>
          <w:lang w:val="en-US" w:eastAsia="zh-CN" w:bidi="ar"/>
        </w:rPr>
        <w:t>通过该项目实施，实施全方位、高角度、宽领域地传播洛浦正能量、展示洛浦好形象</w:t>
      </w:r>
      <w:r>
        <w:rPr>
          <w:rFonts w:hint="eastAsia" w:hAnsi="仿宋" w:cs="宋体"/>
          <w:b w:val="0"/>
          <w:bCs w:val="0"/>
          <w:kern w:val="2"/>
          <w:sz w:val="32"/>
          <w:szCs w:val="32"/>
          <w:lang w:val="en-US" w:eastAsia="zh-CN" w:bidi="ar"/>
        </w:rPr>
        <w:t>。</w:t>
      </w:r>
    </w:p>
    <w:p w14:paraId="0520654E">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eastAsia="zh-CN"/>
        </w:rPr>
      </w:pPr>
      <w:r>
        <w:rPr>
          <w:rFonts w:hint="eastAsia" w:ascii="楷体" w:hAnsi="楷体" w:eastAsia="楷体" w:cs="楷体"/>
          <w:bCs/>
          <w:sz w:val="32"/>
          <w:szCs w:val="32"/>
          <w:highlight w:val="none"/>
          <w:lang w:val="en-US" w:eastAsia="zh-CN"/>
        </w:rPr>
        <w:t>4</w:t>
      </w:r>
      <w:r>
        <w:rPr>
          <w:rFonts w:hint="eastAsia" w:ascii="楷体" w:hAnsi="楷体" w:eastAsia="楷体" w:cs="楷体"/>
          <w:bCs/>
          <w:sz w:val="32"/>
          <w:szCs w:val="32"/>
          <w:highlight w:val="none"/>
        </w:rPr>
        <w:t>.立项依据</w:t>
      </w:r>
    </w:p>
    <w:p w14:paraId="50C2BFF6">
      <w:pPr>
        <w:pStyle w:val="42"/>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 xml:space="preserve">该项目为补助类项目，无需立项申请，依据县年度工作计划以及单位资金申请报告开始实施该项目。 </w:t>
      </w:r>
    </w:p>
    <w:p w14:paraId="1AC92BDF">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14:paraId="574AC518">
      <w:pPr>
        <w:pStyle w:val="34"/>
        <w:tabs>
          <w:tab w:val="left" w:pos="1559"/>
        </w:tabs>
        <w:adjustRightInd w:val="0"/>
        <w:snapToGrid w:val="0"/>
        <w:spacing w:line="560" w:lineRule="exact"/>
        <w:ind w:firstLine="640"/>
        <w:outlineLvl w:val="2"/>
        <w:rPr>
          <w:rFonts w:ascii="楷体" w:hAnsi="楷体" w:eastAsia="楷体" w:cs="楷体"/>
          <w:bCs/>
          <w:sz w:val="32"/>
          <w:szCs w:val="32"/>
        </w:rPr>
      </w:pPr>
      <w:r>
        <w:rPr>
          <w:rFonts w:hint="eastAsia" w:ascii="楷体" w:hAnsi="楷体" w:eastAsia="楷体" w:cs="楷体"/>
          <w:bCs/>
          <w:sz w:val="32"/>
          <w:szCs w:val="32"/>
        </w:rPr>
        <w:t>1.项目资金预算及来源</w:t>
      </w:r>
    </w:p>
    <w:p w14:paraId="7BDF6C2C">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该项目预算资金为43.20万元，资金来源为县级配套资金，截止12月31日，到位资金为43.20万元，资金到位率100%。</w:t>
      </w:r>
    </w:p>
    <w:p w14:paraId="44EEE063">
      <w:pPr>
        <w:pStyle w:val="34"/>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2.预算执行及结果</w:t>
      </w:r>
    </w:p>
    <w:p w14:paraId="2FF01D6A">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截止绩效评价日，项目预算资金43.20万元，实际到位资金43.20万元，资金到位率100%。总支出42.18万元，预算执行率97.64%，该项目资金主要用于支付25名文艺小分队员按照1500元/人/月的标准发放11个月的补助。</w:t>
      </w:r>
    </w:p>
    <w:p w14:paraId="757ED487">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14:paraId="12279A61">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bookmarkStart w:id="34" w:name="_Toc26467"/>
      <w:bookmarkStart w:id="35" w:name="_Toc8400"/>
      <w:bookmarkStart w:id="36" w:name="_Toc1757"/>
      <w:bookmarkStart w:id="37" w:name="_Toc25486"/>
      <w:r>
        <w:rPr>
          <w:rFonts w:hint="eastAsia" w:ascii="仿宋_GB2312" w:hAnsi="仿宋_GB2312" w:eastAsia="仿宋_GB2312" w:cs="仿宋_GB2312"/>
          <w:color w:val="auto"/>
          <w:sz w:val="32"/>
          <w:szCs w:val="32"/>
        </w:rPr>
        <w:t>该项目共设立一级指标3个，二级指标</w:t>
      </w:r>
      <w:r>
        <w:rPr>
          <w:rFonts w:hint="eastAsia" w:ascii="仿宋_GB2312" w:hAnsi="仿宋_GB2312" w:eastAsia="仿宋_GB2312" w:cs="仿宋_GB2312"/>
          <w:color w:val="auto"/>
          <w:sz w:val="32"/>
          <w:szCs w:val="32"/>
          <w:lang w:val="en-US" w:eastAsia="zh-CN"/>
        </w:rPr>
        <w:t>7</w:t>
      </w:r>
      <w:r>
        <w:rPr>
          <w:rFonts w:hint="eastAsia" w:ascii="仿宋_GB2312" w:hAnsi="仿宋_GB2312" w:eastAsia="仿宋_GB2312" w:cs="仿宋_GB2312"/>
          <w:color w:val="auto"/>
          <w:sz w:val="32"/>
          <w:szCs w:val="32"/>
        </w:rPr>
        <w:t>个，三级指标</w:t>
      </w:r>
      <w:r>
        <w:rPr>
          <w:rFonts w:hint="eastAsia" w:ascii="仿宋_GB2312" w:hAnsi="仿宋_GB2312" w:eastAsia="仿宋_GB2312" w:cs="仿宋_GB2312"/>
          <w:kern w:val="2"/>
          <w:sz w:val="32"/>
          <w:szCs w:val="32"/>
          <w:highlight w:val="none"/>
          <w:lang w:val="en-US" w:eastAsia="zh-CN" w:bidi="ar-SA"/>
        </w:rPr>
        <w:t>11</w:t>
      </w:r>
      <w:r>
        <w:rPr>
          <w:rFonts w:hint="eastAsia" w:ascii="仿宋_GB2312" w:hAnsi="仿宋_GB2312" w:eastAsia="仿宋_GB2312" w:cs="仿宋_GB2312"/>
          <w:color w:val="auto"/>
          <w:sz w:val="32"/>
          <w:szCs w:val="32"/>
        </w:rPr>
        <w:t>个，指标量化</w:t>
      </w:r>
      <w:r>
        <w:rPr>
          <w:rFonts w:hint="eastAsia" w:ascii="仿宋_GB2312" w:hAnsi="仿宋_GB2312" w:eastAsia="仿宋_GB2312" w:cs="仿宋_GB2312"/>
          <w:color w:val="auto"/>
          <w:sz w:val="32"/>
          <w:szCs w:val="32"/>
          <w:highlight w:val="none"/>
        </w:rPr>
        <w:t>率</w:t>
      </w:r>
      <w:r>
        <w:rPr>
          <w:rFonts w:hint="eastAsia" w:ascii="仿宋_GB2312" w:hAnsi="仿宋_GB2312" w:eastAsia="仿宋_GB2312" w:cs="仿宋_GB2312"/>
          <w:color w:val="auto"/>
          <w:sz w:val="32"/>
          <w:szCs w:val="32"/>
          <w:highlight w:val="none"/>
          <w:lang w:val="en-US" w:eastAsia="zh-CN"/>
        </w:rPr>
        <w:t>81.82</w:t>
      </w:r>
      <w:r>
        <w:rPr>
          <w:rFonts w:hint="eastAsia" w:ascii="仿宋_GB2312" w:hAnsi="仿宋_GB2312" w:eastAsia="仿宋_GB2312" w:cs="仿宋_GB2312"/>
          <w:color w:val="auto"/>
          <w:sz w:val="32"/>
          <w:szCs w:val="32"/>
          <w:highlight w:val="none"/>
        </w:rPr>
        <w:t>%。绩效</w:t>
      </w:r>
      <w:r>
        <w:rPr>
          <w:rFonts w:hint="eastAsia" w:ascii="仿宋_GB2312" w:hAnsi="仿宋_GB2312" w:eastAsia="仿宋_GB2312" w:cs="仿宋_GB2312"/>
          <w:color w:val="auto"/>
          <w:sz w:val="32"/>
          <w:szCs w:val="32"/>
        </w:rPr>
        <w:t>目标明确了项目产出数量和预期达到的效果，绩效目标指标制定明确、细化、量化。整体来看，目标设立合理清晰</w:t>
      </w:r>
      <w:r>
        <w:rPr>
          <w:rFonts w:hint="eastAsia" w:ascii="仿宋_GB2312" w:hAnsi="仿宋_GB2312" w:eastAsia="仿宋_GB2312" w:cs="仿宋_GB2312"/>
          <w:color w:val="auto"/>
          <w:sz w:val="32"/>
          <w:szCs w:val="32"/>
          <w:lang w:val="en-US" w:eastAsia="zh-CN"/>
        </w:rPr>
        <w:t>：</w:t>
      </w:r>
      <w:bookmarkEnd w:id="34"/>
      <w:bookmarkEnd w:id="35"/>
      <w:bookmarkEnd w:id="36"/>
    </w:p>
    <w:p w14:paraId="3E4800E2">
      <w:pPr>
        <w:pStyle w:val="34"/>
        <w:tabs>
          <w:tab w:val="left" w:pos="1559"/>
        </w:tabs>
        <w:adjustRightInd w:val="0"/>
        <w:snapToGrid w:val="0"/>
        <w:spacing w:line="560" w:lineRule="exact"/>
        <w:ind w:firstLine="640"/>
        <w:outlineLvl w:val="2"/>
        <w:rPr>
          <w:rFonts w:hint="eastAsia"/>
          <w:lang w:val="en-US" w:eastAsia="zh-CN"/>
        </w:rPr>
      </w:pPr>
      <w:r>
        <w:rPr>
          <w:rFonts w:hint="eastAsia" w:ascii="楷体" w:hAnsi="楷体" w:eastAsia="楷体" w:cs="楷体"/>
          <w:bCs/>
          <w:color w:val="auto"/>
          <w:sz w:val="32"/>
          <w:szCs w:val="32"/>
          <w:highlight w:val="none"/>
          <w:lang w:val="en-US" w:eastAsia="zh-CN"/>
        </w:rPr>
        <w:t>1.</w:t>
      </w:r>
      <w:r>
        <w:rPr>
          <w:rFonts w:hint="eastAsia" w:ascii="楷体" w:hAnsi="楷体" w:eastAsia="楷体" w:cs="楷体"/>
          <w:bCs/>
          <w:color w:val="auto"/>
          <w:sz w:val="32"/>
          <w:szCs w:val="32"/>
          <w:highlight w:val="none"/>
        </w:rPr>
        <w:t>年度总目标</w:t>
      </w:r>
    </w:p>
    <w:p w14:paraId="3717794C">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color w:val="auto"/>
          <w:sz w:val="32"/>
          <w:szCs w:val="32"/>
          <w:highlight w:val="none"/>
          <w:lang w:val="en-US" w:eastAsia="zh-CN"/>
        </w:rPr>
      </w:pPr>
      <w:r>
        <w:rPr>
          <w:rFonts w:hint="eastAsia" w:ascii="仿宋_GB2312" w:eastAsia="仿宋_GB2312" w:cs="宋体"/>
          <w:color w:val="auto"/>
          <w:sz w:val="32"/>
          <w:szCs w:val="32"/>
          <w:highlight w:val="none"/>
          <w:lang w:val="en-US" w:eastAsia="zh-CN"/>
        </w:rPr>
        <w:t>文化馆及文艺小分队每月开展15场文艺演出，宣扬洛浦文化，丰富群众业余生活，文艺小分队人数 24人，开展文艺下乡和洛浦县文旅夜市文艺演出活动，全方位、高角度、宽领域地传播洛浦正能量、展示洛浦好形象。　</w:t>
      </w:r>
    </w:p>
    <w:p w14:paraId="0676171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楷体" w:hAnsi="楷体" w:eastAsia="楷体" w:cs="楷体"/>
          <w:bCs/>
          <w:color w:val="auto"/>
          <w:sz w:val="32"/>
          <w:szCs w:val="32"/>
          <w:highlight w:val="none"/>
          <w:lang w:val="en-US" w:eastAsia="zh-CN"/>
        </w:rPr>
      </w:pPr>
      <w:r>
        <w:rPr>
          <w:rFonts w:hint="eastAsia" w:ascii="仿宋_GB2312" w:eastAsia="仿宋_GB2312" w:cs="宋体"/>
          <w:color w:val="auto"/>
          <w:sz w:val="32"/>
          <w:szCs w:val="32"/>
          <w:lang w:val="en-US" w:eastAsia="zh-CN"/>
        </w:rPr>
        <w:t>2.</w:t>
      </w:r>
      <w:r>
        <w:rPr>
          <w:rFonts w:hint="eastAsia" w:ascii="楷体" w:hAnsi="楷体" w:eastAsia="楷体" w:cs="楷体"/>
          <w:bCs/>
          <w:color w:val="auto"/>
          <w:sz w:val="32"/>
          <w:szCs w:val="32"/>
          <w:highlight w:val="none"/>
          <w:lang w:val="en-US" w:eastAsia="zh-CN"/>
        </w:rPr>
        <w:t>阶段性绩效目标</w:t>
      </w:r>
    </w:p>
    <w:p w14:paraId="472CFA7F">
      <w:pPr>
        <w:pStyle w:val="34"/>
        <w:numPr>
          <w:ilvl w:val="0"/>
          <w:numId w:val="0"/>
        </w:numPr>
        <w:tabs>
          <w:tab w:val="left" w:pos="1559"/>
        </w:tabs>
        <w:adjustRightInd w:val="0"/>
        <w:snapToGrid w:val="0"/>
        <w:spacing w:line="560" w:lineRule="exact"/>
        <w:ind w:firstLine="640" w:firstLineChars="200"/>
        <w:outlineLvl w:val="2"/>
        <w:rPr>
          <w:rFonts w:hint="eastAsia" w:ascii="仿宋_GB2312" w:eastAsia="仿宋_GB2312" w:cs="宋体"/>
          <w:color w:val="auto"/>
          <w:kern w:val="2"/>
          <w:sz w:val="32"/>
          <w:szCs w:val="32"/>
          <w:lang w:val="en-US" w:eastAsia="zh-CN" w:bidi="ar-SA"/>
        </w:rPr>
      </w:pPr>
      <w:r>
        <w:rPr>
          <w:rFonts w:hint="eastAsia" w:ascii="仿宋_GB2312" w:eastAsia="仿宋_GB2312" w:cs="宋体" w:hAnsiTheme="minorHAnsi"/>
          <w:color w:val="auto"/>
          <w:kern w:val="2"/>
          <w:sz w:val="32"/>
          <w:szCs w:val="32"/>
          <w:highlight w:val="none"/>
          <w:lang w:val="en-US" w:eastAsia="zh-CN" w:bidi="ar-SA"/>
        </w:rPr>
        <w:t>根据</w:t>
      </w:r>
      <w:r>
        <w:rPr>
          <w:rFonts w:hint="eastAsia" w:ascii="仿宋_GB2312" w:hAnsi="仿宋_GB2312" w:eastAsia="仿宋_GB2312" w:cs="仿宋_GB2312"/>
          <w:kern w:val="2"/>
          <w:sz w:val="32"/>
          <w:szCs w:val="32"/>
          <w:highlight w:val="none"/>
          <w:lang w:val="en-US" w:eastAsia="zh-CN" w:bidi="ar-SA"/>
        </w:rPr>
        <w:t>项目年初工作计划</w:t>
      </w:r>
      <w:r>
        <w:rPr>
          <w:rFonts w:hint="eastAsia" w:ascii="仿宋_GB2312" w:eastAsia="仿宋_GB2312" w:cs="宋体" w:hAnsiTheme="minorHAnsi"/>
          <w:color w:val="auto"/>
          <w:kern w:val="2"/>
          <w:sz w:val="32"/>
          <w:szCs w:val="32"/>
          <w:highlight w:val="none"/>
          <w:lang w:val="en-US" w:eastAsia="zh-CN" w:bidi="ar-SA"/>
        </w:rPr>
        <w:t>，</w:t>
      </w:r>
      <w:r>
        <w:rPr>
          <w:rFonts w:hint="eastAsia" w:ascii="仿宋_GB2312" w:eastAsia="仿宋_GB2312" w:cs="宋体"/>
          <w:color w:val="auto"/>
          <w:kern w:val="2"/>
          <w:sz w:val="32"/>
          <w:szCs w:val="32"/>
          <w:highlight w:val="none"/>
          <w:lang w:val="en-US" w:eastAsia="zh-CN" w:bidi="ar-SA"/>
        </w:rPr>
        <w:t>文艺</w:t>
      </w:r>
      <w:r>
        <w:rPr>
          <w:rFonts w:hint="eastAsia" w:ascii="仿宋_GB2312" w:eastAsia="仿宋_GB2312" w:cs="宋体"/>
          <w:color w:val="auto"/>
          <w:kern w:val="2"/>
          <w:sz w:val="32"/>
          <w:szCs w:val="32"/>
          <w:lang w:val="en-US" w:eastAsia="zh-CN" w:bidi="ar-SA"/>
        </w:rPr>
        <w:t>小分队工资补助项目总投资43.20</w:t>
      </w:r>
      <w:r>
        <w:rPr>
          <w:rFonts w:hint="eastAsia" w:ascii="仿宋_GB2312" w:eastAsia="仿宋_GB2312" w:cs="宋体" w:hAnsiTheme="minorHAnsi"/>
          <w:color w:val="auto"/>
          <w:kern w:val="2"/>
          <w:sz w:val="32"/>
          <w:szCs w:val="32"/>
          <w:lang w:val="en-US" w:eastAsia="zh-CN" w:bidi="ar-SA"/>
        </w:rPr>
        <w:t>万元。设置了</w:t>
      </w:r>
      <w:r>
        <w:rPr>
          <w:rFonts w:hint="eastAsia" w:ascii="仿宋_GB2312" w:eastAsia="仿宋_GB2312" w:cs="宋体"/>
          <w:color w:val="auto"/>
          <w:kern w:val="2"/>
          <w:sz w:val="32"/>
          <w:szCs w:val="32"/>
          <w:lang w:val="en-US" w:eastAsia="zh-CN" w:bidi="ar-SA"/>
        </w:rPr>
        <w:t>3</w:t>
      </w:r>
      <w:r>
        <w:rPr>
          <w:rFonts w:hint="eastAsia" w:ascii="仿宋_GB2312" w:eastAsia="仿宋_GB2312" w:cs="宋体" w:hAnsiTheme="minorHAnsi"/>
          <w:color w:val="auto"/>
          <w:kern w:val="2"/>
          <w:sz w:val="32"/>
          <w:szCs w:val="32"/>
          <w:lang w:val="en-US" w:eastAsia="zh-CN" w:bidi="ar-SA"/>
        </w:rPr>
        <w:t>个一级指标，</w:t>
      </w:r>
      <w:r>
        <w:rPr>
          <w:rFonts w:hint="eastAsia" w:ascii="仿宋_GB2312" w:eastAsia="仿宋_GB2312" w:cs="宋体"/>
          <w:color w:val="auto"/>
          <w:kern w:val="2"/>
          <w:sz w:val="32"/>
          <w:szCs w:val="32"/>
          <w:lang w:val="en-US" w:eastAsia="zh-CN" w:bidi="ar-SA"/>
        </w:rPr>
        <w:t>7个二级指标，11个三级指标</w:t>
      </w:r>
      <w:r>
        <w:rPr>
          <w:rFonts w:hint="eastAsia" w:ascii="仿宋_GB2312" w:eastAsia="仿宋_GB2312" w:cs="宋体" w:hAnsiTheme="minorHAnsi"/>
          <w:color w:val="auto"/>
          <w:kern w:val="2"/>
          <w:sz w:val="32"/>
          <w:szCs w:val="32"/>
          <w:lang w:val="en-US" w:eastAsia="zh-CN" w:bidi="ar-SA"/>
        </w:rPr>
        <w:t>其中</w:t>
      </w:r>
      <w:r>
        <w:rPr>
          <w:rFonts w:hint="eastAsia" w:ascii="仿宋_GB2312" w:eastAsia="仿宋_GB2312" w:cs="宋体"/>
          <w:color w:val="auto"/>
          <w:kern w:val="2"/>
          <w:sz w:val="32"/>
          <w:szCs w:val="32"/>
          <w:lang w:val="en-US" w:eastAsia="zh-CN" w:bidi="ar-SA"/>
        </w:rPr>
        <w:t>：</w:t>
      </w:r>
    </w:p>
    <w:p w14:paraId="6E4DB1F8">
      <w:pPr>
        <w:pStyle w:val="34"/>
        <w:numPr>
          <w:ilvl w:val="0"/>
          <w:numId w:val="5"/>
        </w:numPr>
        <w:tabs>
          <w:tab w:val="left" w:pos="1559"/>
        </w:tabs>
        <w:adjustRightInd w:val="0"/>
        <w:snapToGrid w:val="0"/>
        <w:spacing w:line="560" w:lineRule="exact"/>
        <w:ind w:left="-10" w:leftChars="0" w:firstLine="640" w:firstLineChars="0"/>
        <w:outlineLvl w:val="2"/>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14:paraId="1973B8C0">
      <w:pPr>
        <w:pStyle w:val="34"/>
        <w:numPr>
          <w:ilvl w:val="0"/>
          <w:numId w:val="0"/>
        </w:numPr>
        <w:tabs>
          <w:tab w:val="left" w:pos="1559"/>
        </w:tabs>
        <w:adjustRightInd w:val="0"/>
        <w:snapToGrid w:val="0"/>
        <w:spacing w:line="560" w:lineRule="exact"/>
        <w:ind w:left="630" w:leftChars="0"/>
        <w:outlineLvl w:val="2"/>
        <w:rPr>
          <w:rFonts w:hint="default"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产出数量</w:t>
      </w:r>
    </w:p>
    <w:p w14:paraId="2D4DDAD1">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文艺小分队人数指标，预期值为大于等于24人</w:t>
      </w:r>
      <w:r>
        <w:rPr>
          <w:rFonts w:hint="eastAsia" w:ascii="仿宋_GB2312" w:hAnsi="仿宋_GB2312" w:eastAsia="仿宋_GB2312" w:cs="仿宋_GB2312"/>
          <w:sz w:val="32"/>
          <w:szCs w:val="32"/>
          <w:highlight w:val="none"/>
          <w:lang w:val="en-US" w:eastAsia="zh-CN"/>
        </w:rPr>
        <w:t>。</w:t>
      </w:r>
    </w:p>
    <w:p w14:paraId="68043DEF">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农开展演出场次指标，预期值为15场/月。</w:t>
      </w:r>
    </w:p>
    <w:p w14:paraId="1E68C813">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产出质量</w:t>
      </w:r>
    </w:p>
    <w:p w14:paraId="38FC2DB7">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资金到位率</w:t>
      </w:r>
      <w:r>
        <w:rPr>
          <w:rFonts w:hint="eastAsia" w:ascii="仿宋_GB2312" w:hAnsi="仿宋_GB2312" w:eastAsia="仿宋_GB2312" w:cs="仿宋_GB2312"/>
          <w:sz w:val="32"/>
          <w:szCs w:val="32"/>
          <w:highlight w:val="none"/>
          <w:lang w:val="en-US" w:eastAsia="zh-CN"/>
        </w:rPr>
        <w:t>指标，预期值为等于100%。</w:t>
      </w:r>
    </w:p>
    <w:p w14:paraId="3139B052">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演出覆盖率</w:t>
      </w:r>
      <w:r>
        <w:rPr>
          <w:rFonts w:hint="eastAsia" w:ascii="仿宋_GB2312" w:hAnsi="仿宋_GB2312" w:eastAsia="仿宋_GB2312" w:cs="仿宋_GB2312"/>
          <w:sz w:val="32"/>
          <w:szCs w:val="32"/>
          <w:highlight w:val="none"/>
          <w:lang w:val="en-US" w:eastAsia="zh-CN"/>
        </w:rPr>
        <w:t>指标，预期值为大于等于95%。</w:t>
      </w:r>
    </w:p>
    <w:p w14:paraId="1432D015">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产出时效</w:t>
      </w:r>
    </w:p>
    <w:p w14:paraId="6E8D0E2E">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资金拨付及时性</w:t>
      </w:r>
      <w:r>
        <w:rPr>
          <w:rFonts w:hint="eastAsia" w:ascii="仿宋_GB2312" w:hAnsi="仿宋_GB2312" w:eastAsia="仿宋_GB2312" w:cs="仿宋_GB2312"/>
          <w:sz w:val="32"/>
          <w:szCs w:val="32"/>
          <w:highlight w:val="none"/>
          <w:lang w:val="en-US" w:eastAsia="zh-CN"/>
        </w:rPr>
        <w:t>指标，预期值为等于100%。</w:t>
      </w:r>
    </w:p>
    <w:p w14:paraId="51C7EE2E">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项目截止时间</w:t>
      </w:r>
      <w:r>
        <w:rPr>
          <w:rFonts w:hint="eastAsia" w:ascii="仿宋_GB2312" w:hAnsi="仿宋_GB2312" w:eastAsia="仿宋_GB2312" w:cs="仿宋_GB2312"/>
          <w:sz w:val="32"/>
          <w:szCs w:val="32"/>
          <w:highlight w:val="none"/>
          <w:lang w:val="en-US" w:eastAsia="zh-CN"/>
        </w:rPr>
        <w:t>指标，预期值为2021年12月。</w:t>
      </w:r>
    </w:p>
    <w:p w14:paraId="1FA4D810">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产出成本</w:t>
      </w:r>
    </w:p>
    <w:p w14:paraId="0CDE3FE2">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文艺小分队补贴</w:t>
      </w:r>
      <w:r>
        <w:rPr>
          <w:rFonts w:hint="eastAsia" w:ascii="仿宋_GB2312" w:hAnsi="仿宋_GB2312" w:eastAsia="仿宋_GB2312" w:cs="仿宋_GB2312"/>
          <w:sz w:val="32"/>
          <w:szCs w:val="32"/>
          <w:highlight w:val="none"/>
          <w:lang w:val="en-US" w:eastAsia="zh-CN"/>
        </w:rPr>
        <w:t>指标，预期值为小于等于1500元/月/人。</w:t>
      </w:r>
    </w:p>
    <w:p w14:paraId="7AAB0092">
      <w:pPr>
        <w:numPr>
          <w:ilvl w:val="0"/>
          <w:numId w:val="6"/>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效益指标：</w:t>
      </w:r>
    </w:p>
    <w:p w14:paraId="0319E903">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经济效益</w:t>
      </w:r>
    </w:p>
    <w:p w14:paraId="720305D6">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该项目不涉及指标。</w:t>
      </w:r>
    </w:p>
    <w:p w14:paraId="3D5690BE">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社会效益</w:t>
      </w:r>
    </w:p>
    <w:p w14:paraId="1570BDDA">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丰富文化生活，提高生活质量指标，预期值为明显提高。</w:t>
      </w:r>
    </w:p>
    <w:p w14:paraId="5A464A70">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传播正能量，展示好形象</w:t>
      </w:r>
      <w:r>
        <w:rPr>
          <w:rFonts w:hint="eastAsia" w:ascii="仿宋_GB2312" w:hAnsi="仿宋_GB2312" w:eastAsia="仿宋_GB2312" w:cs="仿宋_GB2312"/>
          <w:sz w:val="32"/>
          <w:szCs w:val="32"/>
          <w:highlight w:val="none"/>
          <w:lang w:val="en-US" w:eastAsia="zh-CN"/>
        </w:rPr>
        <w:t>指标，预期值为大于等于95%。生态效益</w:t>
      </w:r>
    </w:p>
    <w:p w14:paraId="7A416F09">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该项目不涉及指标。</w:t>
      </w:r>
    </w:p>
    <w:p w14:paraId="3D260CBB">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可持续影响指标</w:t>
      </w:r>
    </w:p>
    <w:p w14:paraId="088B2E73">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default" w:ascii="仿宋_GB2312" w:hAnsi="仿宋_GB2312" w:eastAsia="仿宋_GB2312" w:cs="仿宋_GB2312"/>
          <w:sz w:val="32"/>
          <w:szCs w:val="32"/>
          <w:highlight w:val="none"/>
          <w:lang w:val="en-US" w:eastAsia="zh-CN"/>
        </w:rPr>
      </w:pPr>
      <w:r>
        <w:rPr>
          <w:rFonts w:hint="default" w:ascii="仿宋_GB2312" w:hAnsi="仿宋_GB2312" w:eastAsia="仿宋_GB2312" w:cs="仿宋_GB2312"/>
          <w:sz w:val="32"/>
          <w:szCs w:val="32"/>
          <w:highlight w:val="none"/>
          <w:lang w:val="en-US" w:eastAsia="zh-CN"/>
        </w:rPr>
        <w:t>项目保障时效</w:t>
      </w:r>
      <w:r>
        <w:rPr>
          <w:rFonts w:hint="eastAsia" w:ascii="仿宋_GB2312" w:hAnsi="仿宋_GB2312" w:eastAsia="仿宋_GB2312" w:cs="仿宋_GB2312"/>
          <w:sz w:val="32"/>
          <w:szCs w:val="32"/>
          <w:highlight w:val="none"/>
          <w:lang w:val="en-US" w:eastAsia="zh-CN"/>
        </w:rPr>
        <w:t>指标，预期值为等于1年。</w:t>
      </w:r>
    </w:p>
    <w:p w14:paraId="3E62DE89">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3"/>
          <w:rFonts w:hint="eastAsia" w:ascii="仿宋_GB2312" w:hAnsi="仿宋" w:eastAsia="仿宋_GB2312"/>
          <w:b w:val="0"/>
          <w:bCs w:val="0"/>
          <w:spacing w:val="-4"/>
          <w:sz w:val="32"/>
          <w:szCs w:val="32"/>
          <w:lang w:eastAsia="zh-CN"/>
        </w:rPr>
      </w:pPr>
      <w:r>
        <w:rPr>
          <w:rStyle w:val="23"/>
          <w:rFonts w:hint="eastAsia" w:ascii="仿宋_GB2312" w:hAnsi="仿宋" w:eastAsia="仿宋_GB2312"/>
          <w:b w:val="0"/>
          <w:bCs w:val="0"/>
          <w:spacing w:val="-4"/>
          <w:sz w:val="32"/>
          <w:szCs w:val="32"/>
          <w:lang w:eastAsia="zh-CN"/>
        </w:rPr>
        <w:t>（</w:t>
      </w:r>
      <w:r>
        <w:rPr>
          <w:rStyle w:val="23"/>
          <w:rFonts w:hint="eastAsia" w:ascii="仿宋_GB2312" w:hAnsi="仿宋" w:eastAsia="仿宋_GB2312"/>
          <w:b w:val="0"/>
          <w:bCs w:val="0"/>
          <w:spacing w:val="-4"/>
          <w:sz w:val="32"/>
          <w:szCs w:val="32"/>
          <w:lang w:val="en-US" w:eastAsia="zh-CN"/>
        </w:rPr>
        <w:t>3</w:t>
      </w:r>
      <w:r>
        <w:rPr>
          <w:rStyle w:val="23"/>
          <w:rFonts w:hint="eastAsia" w:ascii="仿宋_GB2312" w:hAnsi="仿宋" w:eastAsia="仿宋_GB2312"/>
          <w:b w:val="0"/>
          <w:bCs w:val="0"/>
          <w:spacing w:val="-4"/>
          <w:sz w:val="32"/>
          <w:szCs w:val="32"/>
          <w:lang w:eastAsia="zh-CN"/>
        </w:rPr>
        <w:t>）满意度指标：</w:t>
      </w:r>
    </w:p>
    <w:p w14:paraId="07DB6782">
      <w:pPr>
        <w:numPr>
          <w:ilvl w:val="0"/>
          <w:numId w:val="0"/>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受益群众满意度指标，预期值为大于等于95%。</w:t>
      </w:r>
    </w:p>
    <w:p w14:paraId="4AD15BB6">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14:paraId="18CE67A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lang w:val="en-US" w:eastAsia="zh-CN" w:bidi="ar-SA"/>
        </w:rPr>
      </w:pPr>
      <w:bookmarkStart w:id="38" w:name="_Toc19614"/>
      <w:bookmarkStart w:id="39" w:name="_Toc3416"/>
      <w:bookmarkStart w:id="40" w:name="_Toc7630"/>
      <w:r>
        <w:rPr>
          <w:rFonts w:hint="eastAsia" w:ascii="仿宋_GB2312" w:eastAsia="仿宋_GB2312" w:cs="宋体" w:hAnsiTheme="minorHAnsi"/>
          <w:color w:val="auto"/>
          <w:kern w:val="2"/>
          <w:sz w:val="32"/>
          <w:szCs w:val="32"/>
          <w:lang w:val="en-US" w:eastAsia="zh-CN" w:bidi="ar-SA"/>
        </w:rPr>
        <w:t>受</w:t>
      </w:r>
      <w:r>
        <w:rPr>
          <w:rFonts w:hint="eastAsia" w:ascii="仿宋_GB2312" w:eastAsia="仿宋_GB2312" w:cs="宋体"/>
          <w:color w:val="auto"/>
          <w:kern w:val="2"/>
          <w:sz w:val="32"/>
          <w:szCs w:val="32"/>
          <w:lang w:val="en-US" w:eastAsia="zh-CN" w:bidi="ar-SA"/>
        </w:rPr>
        <w:t>洛浦</w:t>
      </w:r>
      <w:r>
        <w:rPr>
          <w:rFonts w:hint="eastAsia" w:ascii="仿宋_GB2312" w:eastAsia="仿宋_GB2312" w:cs="宋体" w:hAnsiTheme="minorHAnsi"/>
          <w:color w:val="auto"/>
          <w:kern w:val="2"/>
          <w:sz w:val="32"/>
          <w:szCs w:val="32"/>
          <w:lang w:val="en-US" w:eastAsia="zh-CN" w:bidi="ar-SA"/>
        </w:rPr>
        <w:t>县财政局委托，中瑞诚会计师事务所（特殊普通合伙）喀什分所（以下简称“评价机构”）承担</w:t>
      </w:r>
      <w:r>
        <w:rPr>
          <w:rFonts w:hint="eastAsia" w:ascii="仿宋_GB2312" w:eastAsia="仿宋_GB2312" w:cs="宋体"/>
          <w:color w:val="auto"/>
          <w:kern w:val="2"/>
          <w:sz w:val="32"/>
          <w:szCs w:val="32"/>
          <w:lang w:val="en-US" w:eastAsia="zh-CN" w:bidi="ar-SA"/>
        </w:rPr>
        <w:t>文艺小分队工资补助</w:t>
      </w:r>
      <w:r>
        <w:rPr>
          <w:rFonts w:hint="eastAsia" w:ascii="仿宋_GB2312" w:eastAsia="仿宋_GB2312" w:cs="宋体" w:hAnsiTheme="minorHAnsi"/>
          <w:color w:val="auto"/>
          <w:kern w:val="2"/>
          <w:sz w:val="32"/>
          <w:szCs w:val="32"/>
          <w:lang w:val="en-US" w:eastAsia="zh-CN" w:bidi="ar-SA"/>
        </w:rPr>
        <w:t>项目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作组”）对</w:t>
      </w:r>
      <w:r>
        <w:rPr>
          <w:rFonts w:hint="eastAsia" w:ascii="仿宋_GB2312" w:eastAsia="仿宋_GB2312" w:cs="宋体"/>
          <w:color w:val="auto"/>
          <w:kern w:val="2"/>
          <w:sz w:val="32"/>
          <w:szCs w:val="32"/>
          <w:lang w:val="en-US" w:eastAsia="zh-CN" w:bidi="ar-SA"/>
        </w:rPr>
        <w:t>县级配套</w:t>
      </w:r>
      <w:r>
        <w:rPr>
          <w:rFonts w:hint="eastAsia" w:ascii="仿宋_GB2312" w:eastAsia="仿宋_GB2312" w:cs="宋体" w:hAnsiTheme="minorHAnsi"/>
          <w:color w:val="auto"/>
          <w:kern w:val="2"/>
          <w:sz w:val="32"/>
          <w:szCs w:val="32"/>
          <w:lang w:val="en-US" w:eastAsia="zh-CN" w:bidi="ar-SA"/>
        </w:rPr>
        <w:t>资金投入、资金使用和资金使用效益等方面进行了绩效评价。</w:t>
      </w:r>
      <w:bookmarkEnd w:id="38"/>
      <w:bookmarkEnd w:id="39"/>
      <w:bookmarkEnd w:id="40"/>
    </w:p>
    <w:p w14:paraId="113D5B5B">
      <w:pPr>
        <w:pStyle w:val="34"/>
        <w:numPr>
          <w:ilvl w:val="0"/>
          <w:numId w:val="4"/>
        </w:numPr>
        <w:adjustRightInd w:val="0"/>
        <w:snapToGrid w:val="0"/>
        <w:spacing w:line="560" w:lineRule="exact"/>
        <w:ind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评价工作简述</w:t>
      </w:r>
    </w:p>
    <w:p w14:paraId="1E8FAFDF">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1" w:name="_Toc8259"/>
      <w:r>
        <w:rPr>
          <w:rFonts w:hint="eastAsia" w:ascii="仿宋_GB2312" w:hAnsi="仿宋" w:eastAsia="仿宋_GB2312" w:cs="宋体"/>
          <w:b/>
          <w:bCs/>
          <w:sz w:val="32"/>
          <w:szCs w:val="32"/>
        </w:rPr>
        <w:t>（一）评价目的</w:t>
      </w:r>
      <w:bookmarkEnd w:id="41"/>
    </w:p>
    <w:p w14:paraId="7FE6F3B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bookmarkStart w:id="42" w:name="_Toc18186"/>
      <w:bookmarkStart w:id="43" w:name="_Toc22761"/>
      <w:r>
        <w:rPr>
          <w:rFonts w:hint="eastAsia" w:ascii="仿宋_GB2312" w:hAnsi="仿宋_GB2312" w:eastAsia="仿宋_GB2312" w:cs="仿宋_GB2312"/>
          <w:sz w:val="32"/>
          <w:szCs w:val="32"/>
        </w:rPr>
        <w:t>按照新疆自治区财政厅和</w:t>
      </w:r>
      <w:r>
        <w:rPr>
          <w:rFonts w:hint="eastAsia" w:ascii="仿宋_GB2312" w:hAnsi="仿宋_GB2312" w:eastAsia="仿宋_GB2312" w:cs="仿宋_GB2312"/>
          <w:sz w:val="32"/>
          <w:szCs w:val="32"/>
          <w:lang w:val="en-US" w:eastAsia="zh-CN"/>
        </w:rPr>
        <w:t>洛浦县</w:t>
      </w:r>
      <w:r>
        <w:rPr>
          <w:rFonts w:hint="eastAsia" w:ascii="仿宋_GB2312" w:hAnsi="仿宋_GB2312" w:eastAsia="仿宋_GB2312" w:cs="仿宋_GB2312"/>
          <w:sz w:val="32"/>
          <w:szCs w:val="32"/>
        </w:rPr>
        <w:t>财政局“加强财政支出管理，强化支出责任，建立科学、合理的财政支出绩效评价管理体系，提高财政资金使用效益”的要求，通过</w:t>
      </w:r>
      <w:r>
        <w:rPr>
          <w:rFonts w:hint="eastAsia" w:ascii="仿宋_GB2312" w:hAnsi="仿宋_GB2312" w:eastAsia="仿宋_GB2312" w:cs="仿宋_GB2312"/>
          <w:sz w:val="32"/>
          <w:szCs w:val="32"/>
          <w:lang w:eastAsia="zh-CN"/>
        </w:rPr>
        <w:t>项目</w:t>
      </w:r>
      <w:r>
        <w:rPr>
          <w:rFonts w:hint="eastAsia" w:ascii="仿宋_GB2312" w:hAnsi="仿宋_GB2312" w:eastAsia="仿宋_GB2312" w:cs="仿宋_GB2312"/>
          <w:sz w:val="32"/>
          <w:szCs w:val="32"/>
        </w:rPr>
        <w:t>决策、过程、产出、效益的全过程梳理、评价，客观公正反映项目立项的科学性、项目实施的规范性、项目管理的有效性和项目效果</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总结项目实施经验，发现存在</w:t>
      </w:r>
      <w:r>
        <w:rPr>
          <w:rFonts w:hint="eastAsia" w:ascii="仿宋_GB2312" w:hAnsi="仿宋_GB2312" w:eastAsia="仿宋_GB2312" w:cs="仿宋_GB2312"/>
          <w:sz w:val="32"/>
          <w:szCs w:val="32"/>
          <w:lang w:eastAsia="zh-CN"/>
        </w:rPr>
        <w:t>的</w:t>
      </w:r>
      <w:r>
        <w:rPr>
          <w:rFonts w:hint="eastAsia" w:ascii="仿宋_GB2312" w:hAnsi="仿宋_GB2312" w:eastAsia="仿宋_GB2312" w:cs="仿宋_GB2312"/>
          <w:sz w:val="32"/>
          <w:szCs w:val="32"/>
        </w:rPr>
        <w:t>问题，提出针对性建议</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为</w:t>
      </w:r>
      <w:r>
        <w:rPr>
          <w:rFonts w:hint="eastAsia" w:ascii="仿宋_GB2312" w:hAnsi="仿宋_GB2312" w:eastAsia="仿宋_GB2312" w:cs="仿宋_GB2312"/>
          <w:sz w:val="32"/>
          <w:szCs w:val="32"/>
          <w:lang w:val="en-US" w:eastAsia="zh-CN"/>
        </w:rPr>
        <w:t>后年度县级配套资金</w:t>
      </w:r>
      <w:r>
        <w:rPr>
          <w:rFonts w:hint="eastAsia" w:ascii="仿宋_GB2312" w:hAnsi="仿宋_GB2312" w:eastAsia="仿宋_GB2312" w:cs="仿宋_GB2312"/>
          <w:sz w:val="32"/>
          <w:szCs w:val="32"/>
          <w:lang w:eastAsia="zh-CN"/>
        </w:rPr>
        <w:t>项目的绩效</w:t>
      </w:r>
      <w:r>
        <w:rPr>
          <w:rFonts w:hint="eastAsia" w:ascii="仿宋_GB2312" w:hAnsi="仿宋_GB2312" w:eastAsia="仿宋_GB2312" w:cs="仿宋_GB2312"/>
          <w:sz w:val="32"/>
          <w:szCs w:val="32"/>
        </w:rPr>
        <w:t>管理提供参考依据。</w:t>
      </w:r>
    </w:p>
    <w:p w14:paraId="562C7C00">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（二）绩效评价工作</w:t>
      </w:r>
      <w:r>
        <w:rPr>
          <w:rFonts w:hint="eastAsia" w:ascii="仿宋_GB2312" w:hAnsi="仿宋" w:eastAsia="仿宋_GB2312" w:cs="宋体"/>
          <w:b/>
          <w:bCs/>
          <w:sz w:val="32"/>
          <w:szCs w:val="32"/>
          <w:lang w:val="en-US" w:eastAsia="zh-CN"/>
        </w:rPr>
        <w:t>的基本</w:t>
      </w:r>
      <w:r>
        <w:rPr>
          <w:rFonts w:hint="eastAsia" w:ascii="仿宋_GB2312" w:hAnsi="仿宋" w:eastAsia="仿宋_GB2312" w:cs="宋体"/>
          <w:b/>
          <w:bCs/>
          <w:sz w:val="32"/>
          <w:szCs w:val="32"/>
        </w:rPr>
        <w:t>思路</w:t>
      </w:r>
      <w:bookmarkEnd w:id="42"/>
      <w:bookmarkEnd w:id="43"/>
    </w:p>
    <w:p w14:paraId="006FED3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highlight w:val="none"/>
          <w:lang w:val="en-US" w:eastAsia="zh-CN" w:bidi="ar-SA"/>
        </w:rPr>
      </w:pPr>
      <w:bookmarkStart w:id="44" w:name="_Toc14072"/>
      <w:bookmarkStart w:id="45" w:name="_Toc27493321"/>
      <w:bookmarkStart w:id="46" w:name="_Toc27648031"/>
      <w:bookmarkStart w:id="47" w:name="_Toc27651416"/>
      <w:bookmarkStart w:id="48" w:name="_Toc7209"/>
      <w:r>
        <w:rPr>
          <w:rFonts w:hint="eastAsia" w:ascii="仿宋_GB2312" w:eastAsia="仿宋_GB2312" w:cs="宋体" w:hAnsiTheme="minorHAnsi"/>
          <w:color w:val="auto"/>
          <w:kern w:val="2"/>
          <w:sz w:val="32"/>
          <w:szCs w:val="32"/>
          <w:lang w:val="en-US" w:eastAsia="zh-CN" w:bidi="ar-SA"/>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w:t>
      </w:r>
      <w:r>
        <w:rPr>
          <w:rFonts w:hint="eastAsia" w:ascii="仿宋_GB2312" w:eastAsia="仿宋_GB2312" w:cs="宋体" w:hAnsiTheme="minorHAnsi"/>
          <w:color w:val="auto"/>
          <w:kern w:val="2"/>
          <w:sz w:val="32"/>
          <w:szCs w:val="32"/>
          <w:highlight w:val="none"/>
          <w:lang w:val="en-US" w:eastAsia="zh-CN" w:bidi="ar-SA"/>
        </w:rPr>
        <w:t>行评价。评价对象为</w:t>
      </w:r>
      <w:r>
        <w:rPr>
          <w:rFonts w:hint="eastAsia" w:ascii="仿宋_GB2312" w:eastAsia="仿宋_GB2312" w:cs="宋体"/>
          <w:color w:val="auto"/>
          <w:kern w:val="2"/>
          <w:sz w:val="32"/>
          <w:szCs w:val="32"/>
          <w:highlight w:val="none"/>
          <w:lang w:val="en-US" w:eastAsia="zh-CN" w:bidi="ar-SA"/>
        </w:rPr>
        <w:t>县及配套资金</w:t>
      </w:r>
      <w:r>
        <w:rPr>
          <w:rFonts w:hint="eastAsia" w:ascii="仿宋_GB2312" w:eastAsia="仿宋_GB2312" w:cs="宋体" w:hAnsiTheme="minorHAnsi"/>
          <w:color w:val="auto"/>
          <w:kern w:val="2"/>
          <w:sz w:val="32"/>
          <w:szCs w:val="32"/>
          <w:highlight w:val="none"/>
          <w:lang w:val="en-US" w:eastAsia="zh-CN" w:bidi="ar-SA"/>
        </w:rPr>
        <w:t>，评价核心为</w:t>
      </w:r>
      <w:r>
        <w:rPr>
          <w:rFonts w:hint="eastAsia" w:ascii="仿宋_GB2312" w:eastAsia="仿宋_GB2312" w:cs="宋体"/>
          <w:color w:val="auto"/>
          <w:kern w:val="2"/>
          <w:sz w:val="32"/>
          <w:szCs w:val="32"/>
          <w:highlight w:val="none"/>
          <w:lang w:val="en-US" w:eastAsia="zh-CN" w:bidi="ar-SA"/>
        </w:rPr>
        <w:t>县级配套</w:t>
      </w:r>
      <w:r>
        <w:rPr>
          <w:rFonts w:hint="eastAsia" w:ascii="仿宋_GB2312" w:eastAsia="仿宋_GB2312" w:cs="宋体" w:hAnsiTheme="minorHAnsi"/>
          <w:color w:val="auto"/>
          <w:kern w:val="2"/>
          <w:sz w:val="32"/>
          <w:szCs w:val="32"/>
          <w:highlight w:val="none"/>
          <w:lang w:val="en-US" w:eastAsia="zh-CN" w:bidi="ar-SA"/>
        </w:rPr>
        <w:t>资金的支出完成情况和效果。</w:t>
      </w:r>
      <w:bookmarkEnd w:id="44"/>
      <w:bookmarkEnd w:id="45"/>
      <w:bookmarkEnd w:id="46"/>
      <w:bookmarkEnd w:id="47"/>
      <w:bookmarkEnd w:id="48"/>
    </w:p>
    <w:p w14:paraId="432E6270">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14:paraId="44C74C5A">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bookmarkStart w:id="50" w:name="_Toc1742"/>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相关性原则。绩效评价指标与绩效目标有直接的联系，能够恰当反映目标的实现程度。</w:t>
      </w:r>
    </w:p>
    <w:p w14:paraId="45AD5661">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重要性原则。优先使用最具评价对象代表性、最能反映评价要求的核心指标。</w:t>
      </w:r>
    </w:p>
    <w:p w14:paraId="7FD1687D">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可比性原则。对同类评价对象设定共性的绩效评价指标，以便于评价标准的规范和评价结果可相互比较。</w:t>
      </w:r>
    </w:p>
    <w:p w14:paraId="6FE40008">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系统性原则。将定量指标与定性指标相结合，定量指标量化，定性指标可衡量，系统反映财政支出所产生的社会效益</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经济效益、环境效益和可持续影响等。</w:t>
      </w:r>
    </w:p>
    <w:p w14:paraId="432EEA9D">
      <w:pPr>
        <w:pStyle w:val="34"/>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经济性原则。通俗易懂、简便易行，数据的获得考虑现实条件和可操作性，符合成本效益原则。</w:t>
      </w:r>
    </w:p>
    <w:p w14:paraId="40284426">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14:paraId="6EC76798">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bookmarkStart w:id="51" w:name="_Toc16588"/>
      <w:r>
        <w:rPr>
          <w:rFonts w:hint="eastAsia" w:ascii="仿宋_GB2312" w:hAnsi="仿宋_GB2312" w:eastAsia="仿宋_GB2312" w:cs="仿宋_GB2312"/>
          <w:sz w:val="32"/>
          <w:szCs w:val="32"/>
          <w:lang w:val="en-US" w:eastAsia="zh-CN"/>
        </w:rPr>
        <w:t>本次绩效评价主要采用以下评价方法：</w:t>
      </w:r>
    </w:p>
    <w:p w14:paraId="661C9D43">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1.比较法，通过对绩效目标与实施效果、历史与当期情况、不同部门和地区同类支出的比较，综合分析绩效目标实现程度。</w:t>
      </w:r>
    </w:p>
    <w:p w14:paraId="11ADC2D1">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2.因素分析法，通过综合分析影响绩效目标实现、实施效果的内外因素，评价绩效目标实现程度。</w:t>
      </w:r>
    </w:p>
    <w:p w14:paraId="58E504C5">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3.公众评判法，通过专家评估、公众问卷及抽样调查等对财政支出效果进行评判，评价绩效目标实现程度。</w:t>
      </w:r>
    </w:p>
    <w:p w14:paraId="2A82EBF2">
      <w:pPr>
        <w:pStyle w:val="34"/>
        <w:numPr>
          <w:ilvl w:val="0"/>
          <w:numId w:val="7"/>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14:paraId="6F07AD0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52" w:name="_Toc986"/>
      <w:bookmarkStart w:id="53" w:name="_Toc10934"/>
      <w:bookmarkStart w:id="54" w:name="_Toc16677"/>
      <w:bookmarkStart w:id="55" w:name="_Toc32612"/>
      <w:bookmarkStart w:id="56" w:name="_Toc8115"/>
      <w:bookmarkStart w:id="57" w:name="_Toc22089"/>
      <w:bookmarkStart w:id="58" w:name="_Toc16367"/>
      <w:bookmarkStart w:id="59" w:name="_Toc31692"/>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14:paraId="30DC43F1">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（六）评价等级划分</w:t>
      </w:r>
      <w:bookmarkEnd w:id="58"/>
      <w:bookmarkEnd w:id="59"/>
    </w:p>
    <w:p w14:paraId="3671AB98">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14:paraId="5BB290F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优（90分（含）—100分）；</w:t>
      </w:r>
    </w:p>
    <w:p w14:paraId="044C1B2A">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良（80分（含）—90分）；</w:t>
      </w:r>
    </w:p>
    <w:p w14:paraId="3F5A3F6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中（60分（含）—80分）；</w:t>
      </w:r>
    </w:p>
    <w:p w14:paraId="6D4843E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差（0分—60分）。</w:t>
      </w:r>
    </w:p>
    <w:p w14:paraId="20D599F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highlight w:val="none"/>
          <w:lang w:val="en-US" w:eastAsia="zh-CN"/>
        </w:rPr>
        <w:t>对在项目进行绩效评价的过程中，如果实施单位有弄虚作假、瞒报谎报情况之行为，绩效评价组将如实上报至中共洛浦县委宣传部、洛浦县财政局，并予以通报批评；情节严重的，绩效评价结果将直接判定为不合格等级。</w:t>
      </w:r>
    </w:p>
    <w:p w14:paraId="37733663">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14:paraId="1B477DE2">
      <w:pPr>
        <w:pStyle w:val="34"/>
        <w:tabs>
          <w:tab w:val="left" w:pos="1559"/>
        </w:tabs>
        <w:adjustRightInd w:val="0"/>
        <w:snapToGrid w:val="0"/>
        <w:spacing w:line="560" w:lineRule="exact"/>
        <w:ind w:firstLine="640"/>
        <w:outlineLvl w:val="2"/>
        <w:rPr>
          <w:rFonts w:ascii="楷体" w:hAnsi="楷体" w:eastAsia="楷体" w:cs="楷体"/>
          <w:bCs/>
          <w:sz w:val="32"/>
          <w:szCs w:val="32"/>
        </w:rPr>
      </w:pPr>
      <w:bookmarkStart w:id="61" w:name="_Toc12973"/>
      <w:bookmarkStart w:id="62" w:name="_Toc8898"/>
      <w:r>
        <w:rPr>
          <w:rFonts w:hint="eastAsia" w:ascii="楷体" w:hAnsi="楷体" w:eastAsia="楷体" w:cs="楷体"/>
          <w:bCs/>
          <w:sz w:val="32"/>
          <w:szCs w:val="32"/>
        </w:rPr>
        <w:t>1.评价工作程序和时间安排</w:t>
      </w:r>
      <w:bookmarkEnd w:id="61"/>
      <w:bookmarkEnd w:id="62"/>
    </w:p>
    <w:p w14:paraId="7F884A51">
      <w:pPr>
        <w:adjustRightInd w:val="0"/>
        <w:snapToGrid w:val="0"/>
        <w:spacing w:line="560" w:lineRule="exact"/>
        <w:ind w:firstLine="640" w:firstLineChars="200"/>
        <w:rPr>
          <w:rFonts w:ascii="Times New Roman" w:hAnsi="Times New Roman" w:eastAsia="仿宋" w:cs="Times New Roman"/>
          <w:sz w:val="32"/>
          <w:szCs w:val="32"/>
        </w:rPr>
      </w:pPr>
      <w:r>
        <w:rPr>
          <w:rFonts w:hint="eastAsia" w:ascii="仿宋_GB2312" w:hAnsi="仿宋_GB2312" w:eastAsia="仿宋_GB2312" w:cs="仿宋_GB2312"/>
          <w:sz w:val="32"/>
          <w:szCs w:val="32"/>
          <w:highlight w:val="none"/>
          <w:lang w:val="en-US" w:eastAsia="zh-CN"/>
        </w:rPr>
        <w:t>本次绩效评价各阶段具体工作内容及时间进度安排详见</w:t>
      </w:r>
      <w:r>
        <w:rPr>
          <w:rFonts w:hint="eastAsia" w:ascii="仿宋" w:hAnsi="仿宋" w:eastAsia="仿宋" w:cs="仿宋"/>
          <w:sz w:val="32"/>
          <w:szCs w:val="32"/>
        </w:rPr>
        <w:t>下表：</w:t>
      </w:r>
    </w:p>
    <w:p w14:paraId="702D6578">
      <w:pPr>
        <w:spacing w:after="156" w:afterLines="50" w:line="560" w:lineRule="exact"/>
        <w:jc w:val="center"/>
        <w:rPr>
          <w:rFonts w:ascii="Times New Roman" w:hAnsi="Times New Roman" w:eastAsia="黑体" w:cs="Times New Roman"/>
          <w:sz w:val="32"/>
          <w:szCs w:val="32"/>
          <w:highlight w:val="none"/>
        </w:rPr>
      </w:pPr>
      <w:bookmarkStart w:id="63" w:name="_Toc3615"/>
      <w:bookmarkStart w:id="64" w:name="_Toc28992"/>
      <w:r>
        <w:rPr>
          <w:rFonts w:ascii="Times New Roman" w:hAnsi="Times New Roman" w:eastAsia="黑体" w:cs="Times New Roman"/>
          <w:sz w:val="32"/>
          <w:szCs w:val="32"/>
          <w:highlight w:val="none"/>
        </w:rPr>
        <w:t>绩效评价工作程序和时间安排表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14:paraId="61CFF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14:paraId="6D3A1BFD">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阶段</w:t>
            </w:r>
          </w:p>
          <w:p w14:paraId="6F5A6503">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14:paraId="0D6A651D">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14:paraId="318716D3">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14:paraId="51C61B1A">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参与方</w:t>
            </w:r>
          </w:p>
        </w:tc>
      </w:tr>
      <w:tr w14:paraId="06610F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14:paraId="27E961F4">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14:paraId="1A8E6873">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14:paraId="5242F2C7">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14:paraId="0C336F72">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14:paraId="25F07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14:paraId="587A7709">
            <w:pPr>
              <w:adjustRightInd w:val="0"/>
              <w:snapToGrid w:val="0"/>
              <w:ind w:firstLine="560" w:firstLineChars="200"/>
              <w:jc w:val="center"/>
              <w:rPr>
                <w:rFonts w:hint="eastAsia" w:ascii="仿宋" w:hAnsi="仿宋" w:eastAsia="仿宋" w:cs="仿宋"/>
                <w:spacing w:val="40"/>
                <w:sz w:val="20"/>
                <w:szCs w:val="20"/>
              </w:rPr>
            </w:pPr>
          </w:p>
        </w:tc>
        <w:tc>
          <w:tcPr>
            <w:tcW w:w="534" w:type="dxa"/>
            <w:vMerge w:val="restart"/>
            <w:shd w:val="clear" w:color="auto" w:fill="auto"/>
            <w:vAlign w:val="center"/>
          </w:tcPr>
          <w:p w14:paraId="3A48E71F">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14:paraId="793CF466">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14:paraId="6ABBD3F3">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14:paraId="36FC3BA3">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14:paraId="431C6F05">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14:paraId="76E74C5D">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14:paraId="64AD9333">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14:paraId="10CB46DE">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46F995BC">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17105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14:paraId="1F70E9DD">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6BECD58D">
            <w:pPr>
              <w:adjustRightInd w:val="0"/>
              <w:snapToGrid w:val="0"/>
              <w:jc w:val="left"/>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14:paraId="0F98D4F6">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14:paraId="0EA1E768">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14:paraId="36AB6DB1">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14:paraId="23D25ECE">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7730300C">
            <w:pPr>
              <w:adjustRightInd w:val="0"/>
              <w:snapToGrid w:val="0"/>
              <w:jc w:val="center"/>
              <w:rPr>
                <w:rFonts w:hint="eastAsia" w:ascii="仿宋" w:hAnsi="仿宋" w:eastAsia="仿宋" w:cs="仿宋"/>
                <w:sz w:val="20"/>
                <w:szCs w:val="20"/>
              </w:rPr>
            </w:pPr>
          </w:p>
        </w:tc>
      </w:tr>
      <w:tr w14:paraId="79EC4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14:paraId="78835374">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737B697D">
            <w:pPr>
              <w:adjustRightInd w:val="0"/>
              <w:snapToGrid w:val="0"/>
              <w:spacing w:after="120"/>
              <w:jc w:val="left"/>
              <w:rPr>
                <w:rFonts w:hint="eastAsia" w:ascii="仿宋" w:hAnsi="仿宋" w:eastAsia="仿宋" w:cs="仿宋"/>
                <w:b/>
                <w:bCs/>
                <w:sz w:val="20"/>
                <w:szCs w:val="20"/>
              </w:rPr>
            </w:pPr>
          </w:p>
        </w:tc>
        <w:tc>
          <w:tcPr>
            <w:tcW w:w="4293" w:type="dxa"/>
            <w:shd w:val="clear" w:color="auto" w:fill="auto"/>
            <w:vAlign w:val="center"/>
          </w:tcPr>
          <w:p w14:paraId="4601BB1A">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14:paraId="3B0ECF1A">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14:paraId="6892CCB6">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14:paraId="6096FD99">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79F6573D">
            <w:pPr>
              <w:adjustRightInd w:val="0"/>
              <w:snapToGrid w:val="0"/>
              <w:jc w:val="center"/>
              <w:rPr>
                <w:rFonts w:hint="eastAsia" w:ascii="仿宋" w:hAnsi="仿宋" w:eastAsia="仿宋" w:cs="仿宋"/>
                <w:sz w:val="20"/>
                <w:szCs w:val="20"/>
              </w:rPr>
            </w:pPr>
          </w:p>
        </w:tc>
      </w:tr>
      <w:tr w14:paraId="56D7E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14:paraId="3ECC3F09">
            <w:pPr>
              <w:adjustRightInd w:val="0"/>
              <w:snapToGrid w:val="0"/>
              <w:ind w:firstLine="560" w:firstLineChars="200"/>
              <w:jc w:val="center"/>
              <w:rPr>
                <w:rFonts w:hint="eastAsia" w:ascii="仿宋" w:hAnsi="仿宋" w:eastAsia="仿宋" w:cs="仿宋"/>
                <w:spacing w:val="40"/>
                <w:sz w:val="20"/>
                <w:szCs w:val="20"/>
              </w:rPr>
            </w:pPr>
          </w:p>
        </w:tc>
        <w:tc>
          <w:tcPr>
            <w:tcW w:w="4827" w:type="dxa"/>
            <w:gridSpan w:val="2"/>
            <w:shd w:val="clear" w:color="auto" w:fill="auto"/>
            <w:vAlign w:val="center"/>
          </w:tcPr>
          <w:p w14:paraId="5B7C23E2">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14:paraId="2114FFAE">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14:paraId="381BB1AA">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C255BB8">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14:paraId="55E186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14:paraId="357DF751">
            <w:pPr>
              <w:adjustRightInd w:val="0"/>
              <w:snapToGrid w:val="0"/>
              <w:ind w:left="113" w:leftChars="0" w:firstLine="560" w:firstLineChars="200"/>
              <w:jc w:val="center"/>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14:paraId="3D68724E">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14:paraId="7A047D0E">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7B2013C2">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6ACE51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14:paraId="5646DF07">
            <w:pPr>
              <w:adjustRightInd w:val="0"/>
              <w:snapToGrid w:val="0"/>
              <w:ind w:firstLine="281" w:firstLineChars="100"/>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14:paraId="4A5CAA7D">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14:paraId="74E74DA3">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4BC2367D">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236F8511">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7B1F1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14:paraId="56BD3BE4">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6E4A8D8A">
            <w:pPr>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14:paraId="4702AC7E">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14:paraId="1D324C37">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1B74D10B">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478730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14:paraId="1EC5046D">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748EE7FF">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14:paraId="362238EF">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14:paraId="39D0A4BD">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71B8AB2">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6B600E2D">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44F540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14:paraId="456DB4A6">
            <w:pPr>
              <w:adjustRightInd w:val="0"/>
              <w:snapToGrid w:val="0"/>
              <w:ind w:firstLine="120" w:firstLineChars="50"/>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14:paraId="34F9334C">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14:paraId="67A469D3">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14:paraId="5DD6D158">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064D3A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14:paraId="556BDF43">
            <w:pPr>
              <w:adjustRightInd w:val="0"/>
              <w:snapToGrid w:val="0"/>
              <w:ind w:firstLine="400" w:firstLineChars="200"/>
              <w:jc w:val="center"/>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14:paraId="41938673">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14:paraId="46602C55">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14:paraId="429E5081">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32D864EE">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729D6C6B">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69B87B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14:paraId="2B5ACE75">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2FE25431">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14:paraId="48DB2FA0">
            <w:pPr>
              <w:adjustRightInd w:val="0"/>
              <w:snapToGrid w:val="0"/>
              <w:spacing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14:paraId="53A5719C">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0674D474">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7E9E830F">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14:paraId="25E65B7E">
      <w:pPr>
        <w:pStyle w:val="34"/>
        <w:tabs>
          <w:tab w:val="left" w:pos="1559"/>
        </w:tabs>
        <w:adjustRightInd w:val="0"/>
        <w:snapToGrid w:val="0"/>
        <w:spacing w:line="560" w:lineRule="exact"/>
        <w:ind w:left="0" w:leftChars="0" w:firstLine="640" w:firstLineChars="200"/>
        <w:outlineLvl w:val="2"/>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14:paraId="4F0CF99F">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14:paraId="159C2FFF">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研读文件：通过检查实施单位自评报告、研读相关制度文件等，了解在项目实施过程中，作为项目主管单位，是否对项目实施进行协调监督管理，是否制定相关、有效的监督管理制度，是否监督落实项目建设质量情况。</w:t>
      </w:r>
    </w:p>
    <w:p w14:paraId="2541A59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审阅项目财务收支情况：审阅该项目实施单位记录资金收支的凭证、后附单据及相关文件，审阅该项目的相关规定，审核资金收支是否合规等。</w:t>
      </w:r>
    </w:p>
    <w:p w14:paraId="7A9FD9D5">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14:paraId="00BB5C93">
      <w:pPr>
        <w:pStyle w:val="34"/>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14:paraId="6344E9F9">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14:paraId="099CB9BD">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val="en-US" w:eastAsia="zh-CN"/>
        </w:rPr>
      </w:pPr>
      <w:bookmarkStart w:id="67" w:name="_Toc27861"/>
      <w:r>
        <w:rPr>
          <w:rFonts w:hint="eastAsia" w:ascii="楷体" w:hAnsi="楷体" w:eastAsia="楷体" w:cs="楷体"/>
          <w:bCs/>
          <w:sz w:val="32"/>
          <w:szCs w:val="32"/>
          <w:highlight w:val="none"/>
        </w:rPr>
        <w:t>1.</w:t>
      </w:r>
      <w:r>
        <w:rPr>
          <w:rFonts w:hint="eastAsia" w:ascii="楷体" w:hAnsi="楷体" w:eastAsia="楷体" w:cs="楷体"/>
          <w:bCs/>
          <w:sz w:val="32"/>
          <w:szCs w:val="32"/>
          <w:highlight w:val="none"/>
          <w:lang w:val="en-US" w:eastAsia="zh-CN"/>
        </w:rPr>
        <w:t xml:space="preserve">项目立项情况  </w:t>
      </w:r>
    </w:p>
    <w:p w14:paraId="0922CAD3">
      <w:pPr>
        <w:adjustRightInd w:val="0"/>
        <w:snapToGrid w:val="0"/>
        <w:spacing w:line="560" w:lineRule="exact"/>
        <w:ind w:firstLine="640" w:firstLineChars="200"/>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立项依据的充分性</w:t>
      </w:r>
    </w:p>
    <w:p w14:paraId="15E1AFFD">
      <w:pPr>
        <w:pStyle w:val="42"/>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项目的立项符合相关法规政策及部门职责，依据充分；项目是按照规定的程序申请设立；审批文件、材料符合相关要求，项目前期是已经过必要的集体决策，但是未提供相关佐证材料。</w:t>
      </w:r>
    </w:p>
    <w:p w14:paraId="73C95B45">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（2）立项程序规范性</w:t>
      </w:r>
    </w:p>
    <w:p w14:paraId="26C6DBB3">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决策依据情况：项目符合经济社会发展规划和部门年度工作计划，为全面贯彻落实中央、自治区、地区关于推进文化惠民工程的相关安排部署，制定《洛浦县文艺小分队工资补助项目实施方案》，对该项目进行实施。但是该项目单位未提供项目相关会议纪要，缺乏集体决策</w:t>
      </w:r>
    </w:p>
    <w:p w14:paraId="1921A92F">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楷体" w:hAnsi="楷体" w:eastAsia="楷体" w:cs="楷体"/>
          <w:bCs/>
          <w:sz w:val="32"/>
          <w:szCs w:val="32"/>
          <w:highlight w:val="cyan"/>
          <w:lang w:val="en-US"/>
        </w:rPr>
      </w:pPr>
      <w:r>
        <w:rPr>
          <w:rFonts w:hint="eastAsia" w:ascii="仿宋_GB2312" w:hAnsi="仿宋_GB2312" w:eastAsia="仿宋_GB2312" w:cs="仿宋_GB2312"/>
          <w:sz w:val="32"/>
          <w:szCs w:val="32"/>
          <w:highlight w:val="none"/>
          <w:lang w:val="en-US" w:eastAsia="zh-CN"/>
        </w:rPr>
        <w:t>决策程序情况：按照地区印发的实施方案，由中共洛浦县委宣传部单位牵头编辑实施方案并报人民政府审批，登记符合条件的文艺员信息，核定名单及报财政局并申请拨付补奖资金，补助奖励政策领导小组不定期组织开展对相关</w:t>
      </w:r>
      <w:bookmarkEnd w:id="67"/>
      <w:r>
        <w:rPr>
          <w:rFonts w:hint="eastAsia" w:ascii="仿宋_GB2312" w:hAnsi="仿宋_GB2312" w:eastAsia="仿宋_GB2312" w:cs="仿宋_GB2312"/>
          <w:sz w:val="32"/>
          <w:szCs w:val="32"/>
          <w:highlight w:val="none"/>
          <w:lang w:val="en-US" w:eastAsia="zh-CN"/>
        </w:rPr>
        <w:t>补助奖励政策各项工作的督促，指导，调研；由此可见</w:t>
      </w:r>
      <w:r>
        <w:rPr>
          <w:rFonts w:hint="eastAsia" w:ascii="仿宋" w:hAnsi="仿宋" w:eastAsia="仿宋" w:cs="仿宋"/>
          <w:sz w:val="32"/>
          <w:szCs w:val="32"/>
          <w:highlight w:val="none"/>
          <w:lang w:val="en-US" w:eastAsia="zh-CN"/>
        </w:rPr>
        <w:t>项目立项程序简洁规范。</w:t>
      </w:r>
    </w:p>
    <w:p w14:paraId="0979DBE7">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2.绩效目标设立情况</w:t>
      </w:r>
    </w:p>
    <w:p w14:paraId="2FC28671">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（1）绩效目标合理性</w:t>
      </w:r>
    </w:p>
    <w:p w14:paraId="28C7CB8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绩效目标的内涵明确、具体、可衡量。所设立的绩效目标可以考核并能够指导中共洛浦县委宣传部文艺小分队工资补助项目的业务工作。指标与评价对象密切相关，全面反映项目实施内容及项目预期绩效情况，绩效目标设立符合中共洛浦县委宣传单位2021年工作计划，明确了项目产出数量和预期达到的效果。整体来看，绩效目标设立比较明确。</w:t>
      </w:r>
    </w:p>
    <w:p w14:paraId="4BE50F93">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（2）绩效指标明确性</w:t>
      </w:r>
    </w:p>
    <w:p w14:paraId="12693F7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该项目所设置绩效目标是：一级指标3条，二级指标7条，三级指标11条，可量化指标9条，指标量化率81.82%，该项目总体绩效目标明确，符合绩效目标明确、细化、量化条件。</w:t>
      </w:r>
    </w:p>
    <w:p w14:paraId="357793DB">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3.资金投入情况</w:t>
      </w:r>
    </w:p>
    <w:p w14:paraId="09B2B6AB">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（1）预算编制科学性</w:t>
      </w:r>
    </w:p>
    <w:p w14:paraId="5573D78B">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该项目主要是为洛浦县文艺小分队25人按照1500元/月/人的标准支付11个月的生活补助，完成开展演出15场/月。</w:t>
      </w:r>
    </w:p>
    <w:p w14:paraId="1C11750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highlight w:val="none"/>
          <w:lang w:val="en-US" w:eastAsia="zh-CN"/>
        </w:rPr>
        <w:t>洛浦县中共洛浦县委宣传部单位根据项目情况进行预算编制，使项目的资金额度与年度目标相适应，制定了明确详细的项目资金支出计划和进度，该项目预算编制比较科学合理。</w:t>
      </w:r>
    </w:p>
    <w:p w14:paraId="42DF7CA1">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（2）资金分配合理性</w:t>
      </w:r>
    </w:p>
    <w:p w14:paraId="184D0E7C">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68" w:name="_Toc5610"/>
      <w:r>
        <w:rPr>
          <w:rFonts w:hint="eastAsia" w:ascii="仿宋_GB2312" w:hAnsi="仿宋_GB2312" w:eastAsia="仿宋_GB2312" w:cs="仿宋_GB2312"/>
          <w:sz w:val="32"/>
          <w:szCs w:val="32"/>
          <w:highlight w:val="none"/>
          <w:lang w:val="en-US" w:eastAsia="zh-CN"/>
        </w:rPr>
        <w:t>项目预算资金分配具有测算依据，分配额度合理，与补助单位或地方实际相适应，与工作任务相匹配，充分体现了资金分配的合理性。</w:t>
      </w:r>
    </w:p>
    <w:p w14:paraId="54C6517C">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14:paraId="45B3E254">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bookmarkStart w:id="69" w:name="_Toc11398"/>
      <w:r>
        <w:rPr>
          <w:rFonts w:hint="eastAsia" w:ascii="楷体" w:hAnsi="楷体" w:eastAsia="楷体" w:cs="楷体"/>
          <w:bCs/>
          <w:sz w:val="32"/>
          <w:szCs w:val="32"/>
        </w:rPr>
        <w:t>1.项目资金</w:t>
      </w:r>
      <w:bookmarkEnd w:id="69"/>
      <w:r>
        <w:rPr>
          <w:rFonts w:hint="eastAsia" w:ascii="楷体" w:hAnsi="楷体" w:eastAsia="楷体" w:cs="楷体"/>
          <w:bCs/>
          <w:sz w:val="32"/>
          <w:szCs w:val="32"/>
          <w:lang w:val="en-US" w:eastAsia="zh-CN"/>
        </w:rPr>
        <w:t>情况</w:t>
      </w:r>
    </w:p>
    <w:p w14:paraId="3915AA56">
      <w:p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）资金到位情况</w:t>
      </w:r>
    </w:p>
    <w:p w14:paraId="32F54412">
      <w:pPr>
        <w:pStyle w:val="42"/>
        <w:keepNext w:val="0"/>
        <w:keepLines w:val="0"/>
        <w:pageBreakBefore w:val="0"/>
        <w:widowControl w:val="0"/>
        <w:kinsoku/>
        <w:wordWrap/>
        <w:overflowPunct/>
        <w:topLinePunct w:val="0"/>
        <w:autoSpaceDE/>
        <w:autoSpaceDN/>
        <w:bidi w:val="0"/>
        <w:adjustRightInd/>
        <w:snapToGrid/>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本项目预算资金为43.20万元，实际到位资金为43.20万元；资金来源为县级配套资金</w:t>
      </w:r>
      <w:r>
        <w:rPr>
          <w:rFonts w:hint="eastAsia" w:ascii="仿宋_GB2312" w:hAnsi="仿宋_GB2312" w:eastAsia="仿宋_GB2312" w:cs="仿宋_GB2312"/>
          <w:kern w:val="2"/>
          <w:sz w:val="32"/>
          <w:szCs w:val="32"/>
          <w:highlight w:val="none"/>
          <w:lang w:val="en-US" w:eastAsia="zh-CN" w:bidi="ar-SA"/>
        </w:rPr>
        <w:t>，</w:t>
      </w:r>
      <w:r>
        <w:rPr>
          <w:rFonts w:hint="eastAsia" w:ascii="仿宋_GB2312" w:hAnsi="仿宋_GB2312" w:eastAsia="仿宋_GB2312" w:cs="仿宋_GB2312"/>
          <w:sz w:val="32"/>
          <w:szCs w:val="32"/>
          <w:highlight w:val="none"/>
          <w:lang w:val="en-US" w:eastAsia="zh-CN"/>
        </w:rPr>
        <w:t>资金到位率100%。</w:t>
      </w:r>
    </w:p>
    <w:p w14:paraId="7DDAEBAE">
      <w:pPr>
        <w:pStyle w:val="42"/>
        <w:keepNext w:val="0"/>
        <w:keepLines w:val="0"/>
        <w:pageBreakBefore w:val="0"/>
        <w:widowControl w:val="0"/>
        <w:kinsoku/>
        <w:wordWrap/>
        <w:overflowPunct/>
        <w:topLinePunct w:val="0"/>
        <w:autoSpaceDE/>
        <w:autoSpaceDN/>
        <w:bidi w:val="0"/>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（2）预算管理情况</w:t>
      </w:r>
    </w:p>
    <w:p w14:paraId="2B686D40">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项目预算资金43.20万元，实际支出42.18万元，预算执行率97.64%。</w:t>
      </w:r>
    </w:p>
    <w:p w14:paraId="2F833689">
      <w:pPr>
        <w:numPr>
          <w:ilvl w:val="0"/>
          <w:numId w:val="8"/>
        </w:num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资金使用合规性</w:t>
      </w:r>
    </w:p>
    <w:p w14:paraId="60E58289">
      <w:pPr>
        <w:pStyle w:val="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资金严格按照和田地区财政资金管理制度支付资金；资金的支付有完整的审批程序和手续，符合制度要求；项目资金进行单独核算，财务手续基本合理、完整，资金支付是按照自治区和洛浦县县级配套资金管理办法规定执行，资金使用规范合理。未发现专项资金有截留、挤占、挪用、虚列开支等情况。</w:t>
      </w:r>
    </w:p>
    <w:p w14:paraId="0A03480E">
      <w:pPr>
        <w:pStyle w:val="34"/>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14:paraId="4D45E137">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（1）管理制度健全性</w:t>
      </w:r>
    </w:p>
    <w:p w14:paraId="201DCC8A">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洛浦县中共洛浦县委宣传部项目资金管理参照《洛浦县财政资金拨付管理暂行办法》等文件，规范了项目资金使用标准，确保项目实施单位的资金预算申请、资金执行、资金调整、监督检查、验收等过程在相关制度和流程的有效监督管控之下。项目单位建立《项目管理制度》，制度涵盖了项目的设立、质量管理、安全管理、成本控制、项目验收等流程管理制度，项目管理制度健全。</w:t>
      </w:r>
    </w:p>
    <w:p w14:paraId="4F5D3481">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（2）制度执行有效性</w:t>
      </w:r>
    </w:p>
    <w:p w14:paraId="1BD2065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资金支出严格按照自治区、地区（市）、县专项资金管理办法运行，项目启动实施后，为了加快该项目的实施，项目严格按照有关管理制度和资金管理制度实施，按照年初工作计划提出资金拨付申请，按程序审批后报账。</w:t>
      </w:r>
      <w:r>
        <w:rPr>
          <w:rFonts w:hint="eastAsia" w:ascii="仿宋_GB2312" w:hAnsi="仿宋_GB2312" w:eastAsia="仿宋_GB2312" w:cs="仿宋_GB2312"/>
          <w:kern w:val="2"/>
          <w:sz w:val="32"/>
          <w:szCs w:val="32"/>
          <w:highlight w:val="none"/>
          <w:lang w:val="en-US" w:eastAsia="zh-CN" w:bidi="ar-SA"/>
        </w:rPr>
        <w:t>建立健全财务管理制度，健全专项资金发放台账，</w:t>
      </w:r>
      <w:r>
        <w:rPr>
          <w:rFonts w:hint="eastAsia" w:ascii="仿宋_GB2312" w:hAnsi="仿宋_GB2312" w:eastAsia="仿宋_GB2312" w:cs="仿宋_GB2312"/>
          <w:kern w:val="2"/>
          <w:sz w:val="32"/>
          <w:szCs w:val="32"/>
          <w:lang w:val="en-US" w:eastAsia="zh-CN" w:bidi="ar-SA"/>
        </w:rPr>
        <w:t>做好与金融机构的定期对账工作，确保项目专项资金安全使用，</w:t>
      </w:r>
      <w:r>
        <w:rPr>
          <w:rFonts w:hint="eastAsia" w:ascii="仿宋_GB2312" w:hAnsi="仿宋_GB2312" w:eastAsia="仿宋_GB2312" w:cs="仿宋_GB2312"/>
          <w:sz w:val="32"/>
          <w:szCs w:val="32"/>
          <w:lang w:val="en-US" w:eastAsia="zh-CN"/>
        </w:rPr>
        <w:t>资金的支付有完整的审批程序和手续，符合制度要求；项目资金进行单独核算，财务手续基本合理、完整，未发现专项资金有截留、挤占、挪用、虚列开支等情况。</w:t>
      </w:r>
    </w:p>
    <w:p w14:paraId="13E66E8F">
      <w:pPr>
        <w:pStyle w:val="34"/>
        <w:adjustRightInd w:val="0"/>
        <w:snapToGrid w:val="0"/>
        <w:spacing w:line="560" w:lineRule="exact"/>
        <w:ind w:left="420" w:leftChars="200" w:firstLine="321" w:firstLineChars="100"/>
        <w:outlineLvl w:val="1"/>
        <w:rPr>
          <w:rFonts w:hint="eastAsia" w:ascii="楷体" w:hAnsi="楷体" w:eastAsia="楷体" w:cs="楷体"/>
          <w:bCs/>
          <w:sz w:val="32"/>
          <w:szCs w:val="32"/>
          <w:lang w:val="en-US" w:eastAsia="zh-CN"/>
        </w:rPr>
      </w:pPr>
      <w:bookmarkStart w:id="70" w:name="_Toc31015"/>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三</w:t>
      </w:r>
      <w:r>
        <w:rPr>
          <w:rFonts w:hint="eastAsia" w:ascii="仿宋_GB2312" w:hAnsi="仿宋" w:eastAsia="仿宋_GB2312" w:cs="宋体"/>
          <w:b/>
          <w:bCs/>
          <w:sz w:val="32"/>
          <w:szCs w:val="32"/>
        </w:rPr>
        <w:t>）项目</w:t>
      </w:r>
      <w:r>
        <w:rPr>
          <w:rFonts w:hint="eastAsia" w:ascii="仿宋_GB2312" w:hAnsi="仿宋" w:eastAsia="仿宋_GB2312" w:cs="宋体"/>
          <w:b/>
          <w:bCs/>
          <w:sz w:val="32"/>
          <w:szCs w:val="32"/>
          <w:lang w:val="en-US" w:eastAsia="zh-CN"/>
        </w:rPr>
        <w:t>产出</w:t>
      </w:r>
      <w:r>
        <w:rPr>
          <w:rFonts w:hint="eastAsia" w:ascii="仿宋_GB2312" w:hAnsi="仿宋" w:eastAsia="仿宋_GB2312" w:cs="宋体"/>
          <w:b/>
          <w:bCs/>
          <w:sz w:val="32"/>
          <w:szCs w:val="32"/>
        </w:rPr>
        <w:t>情况分析</w:t>
      </w:r>
      <w:bookmarkEnd w:id="70"/>
    </w:p>
    <w:p w14:paraId="474A4920">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1.产出数量情况</w:t>
      </w:r>
    </w:p>
    <w:p w14:paraId="0DED222B">
      <w:pPr>
        <w:pStyle w:val="34"/>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yellow"/>
          <w:lang w:val="en-US" w:eastAsia="zh-CN" w:bidi="ar-SA"/>
        </w:rPr>
      </w:pPr>
      <w:r>
        <w:rPr>
          <w:rFonts w:hint="eastAsia" w:ascii="仿宋_GB2312" w:hAnsi="仿宋_GB2312" w:eastAsia="仿宋_GB2312" w:cs="仿宋_GB2312"/>
          <w:kern w:val="2"/>
          <w:sz w:val="32"/>
          <w:szCs w:val="32"/>
          <w:highlight w:val="none"/>
          <w:lang w:val="en-US" w:eastAsia="zh-CN" w:bidi="ar-SA"/>
        </w:rPr>
        <w:t>截止评价日，该项目为洛浦县文艺小分队25人支付了生活补助，完成了开展演出15场/月，此指标达到了年初预期指标。</w:t>
      </w:r>
    </w:p>
    <w:p w14:paraId="32BF5BD5">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2.产出质量情况</w:t>
      </w:r>
    </w:p>
    <w:p w14:paraId="77190CB9">
      <w:pPr>
        <w:pStyle w:val="34"/>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资金到位率等于100%，演出覆盖率达到了100%，此指标达到了年初预期指标。</w:t>
      </w:r>
    </w:p>
    <w:p w14:paraId="1CBA425C">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3.产出时效情况</w:t>
      </w:r>
    </w:p>
    <w:p w14:paraId="3EB0FF5E">
      <w:pPr>
        <w:pStyle w:val="34"/>
        <w:tabs>
          <w:tab w:val="left" w:pos="1559"/>
        </w:tabs>
        <w:adjustRightInd w:val="0"/>
        <w:snapToGrid w:val="0"/>
        <w:spacing w:line="560" w:lineRule="exact"/>
        <w:ind w:firstLine="640"/>
        <w:outlineLvl w:val="2"/>
        <w:rPr>
          <w:rFonts w:hint="default" w:ascii="仿宋_GB2312" w:hAnsi="仿宋_GB2312" w:eastAsia="仿宋_GB2312" w:cs="仿宋_GB2312"/>
          <w:kern w:val="2"/>
          <w:sz w:val="32"/>
          <w:szCs w:val="32"/>
          <w:highlight w:val="yellow"/>
          <w:lang w:val="en-US" w:eastAsia="zh-CN" w:bidi="ar-SA"/>
        </w:rPr>
      </w:pPr>
      <w:r>
        <w:rPr>
          <w:rFonts w:hint="eastAsia" w:ascii="仿宋_GB2312" w:hAnsi="仿宋_GB2312" w:eastAsia="仿宋_GB2312" w:cs="仿宋_GB2312"/>
          <w:kern w:val="2"/>
          <w:sz w:val="32"/>
          <w:szCs w:val="32"/>
          <w:highlight w:val="none"/>
          <w:lang w:val="en-US" w:eastAsia="zh-CN" w:bidi="ar-SA"/>
        </w:rPr>
        <w:t>项目于2021年12月已实施完毕，但由于扎帐原因，文艺员12月份工资均未支出，未能确保资金支付及时性。</w:t>
      </w:r>
    </w:p>
    <w:p w14:paraId="2ABE9502">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yellow"/>
          <w:lang w:val="en-US" w:eastAsia="zh-CN"/>
        </w:rPr>
      </w:pPr>
      <w:r>
        <w:rPr>
          <w:rFonts w:hint="eastAsia" w:ascii="楷体" w:hAnsi="楷体" w:eastAsia="楷体" w:cs="楷体"/>
          <w:bCs/>
          <w:sz w:val="32"/>
          <w:szCs w:val="32"/>
          <w:highlight w:val="none"/>
          <w:lang w:val="en-US" w:eastAsia="zh-CN"/>
        </w:rPr>
        <w:t>4.产出成本情况</w:t>
      </w:r>
    </w:p>
    <w:p w14:paraId="50E6FAA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bookmarkStart w:id="71" w:name="_Toc3708"/>
      <w:r>
        <w:rPr>
          <w:rFonts w:hint="eastAsia" w:ascii="仿宋_GB2312" w:hAnsi="仿宋_GB2312" w:eastAsia="仿宋_GB2312" w:cs="仿宋_GB2312"/>
          <w:kern w:val="2"/>
          <w:sz w:val="32"/>
          <w:szCs w:val="32"/>
          <w:highlight w:val="none"/>
          <w:lang w:val="en-US" w:eastAsia="zh-CN" w:bidi="ar-SA"/>
        </w:rPr>
        <w:t>项目计划总投资43.20万元，项目实际支出金额为 42.18万元，项目支出有效控制在预算范围内。</w:t>
      </w:r>
    </w:p>
    <w:p w14:paraId="3937204B">
      <w:pPr>
        <w:pStyle w:val="7"/>
        <w:ind w:firstLine="321" w:firstLineChars="100"/>
        <w:rPr>
          <w:rFonts w:hint="eastAsia" w:ascii="仿宋_GB2312" w:hAnsi="仿宋" w:eastAsia="仿宋_GB2312" w:cs="宋体"/>
          <w:b/>
          <w:bCs/>
          <w:sz w:val="32"/>
          <w:szCs w:val="32"/>
          <w:lang w:val="en-US" w:eastAsia="zh-CN"/>
        </w:rPr>
      </w:pPr>
      <w:r>
        <w:rPr>
          <w:rFonts w:hint="eastAsia" w:ascii="仿宋_GB2312" w:hAnsi="仿宋" w:eastAsia="仿宋_GB2312" w:cs="宋体"/>
          <w:b/>
          <w:bCs/>
          <w:sz w:val="32"/>
          <w:szCs w:val="32"/>
          <w:lang w:val="en-US" w:eastAsia="zh-CN"/>
        </w:rPr>
        <w:t>（四）项目效益评价分析</w:t>
      </w:r>
      <w:bookmarkEnd w:id="71"/>
    </w:p>
    <w:p w14:paraId="35D137EB">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1.经济效益情况</w:t>
      </w:r>
    </w:p>
    <w:p w14:paraId="52DD74BC">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该项目未涉及经济效益。</w:t>
      </w:r>
    </w:p>
    <w:p w14:paraId="2219BF1A">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2.社会效益情况</w:t>
      </w:r>
    </w:p>
    <w:p w14:paraId="0945AC20">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通过项目实施全方位、高角度、宽领域地传播了洛浦正能量、展示了洛浦好形象。　</w:t>
      </w:r>
    </w:p>
    <w:p w14:paraId="2575A49B">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3.生态效益情况</w:t>
      </w:r>
    </w:p>
    <w:p w14:paraId="5A4D52D7">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textAlignment w:val="auto"/>
        <w:outlineLvl w:val="2"/>
        <w:rPr>
          <w:rFonts w:hint="default" w:ascii="楷体" w:hAnsi="楷体" w:eastAsia="楷体" w:cs="楷体"/>
          <w:bCs/>
          <w:sz w:val="32"/>
          <w:szCs w:val="32"/>
          <w:highlight w:val="none"/>
          <w:lang w:val="en-US" w:eastAsia="zh-CN"/>
        </w:rPr>
      </w:pPr>
      <w:r>
        <w:rPr>
          <w:rFonts w:hint="eastAsia" w:ascii="楷体" w:hAnsi="楷体" w:eastAsia="楷体" w:cs="楷体"/>
          <w:bCs/>
          <w:sz w:val="32"/>
          <w:szCs w:val="32"/>
          <w:highlight w:val="none"/>
          <w:lang w:val="en-US" w:eastAsia="zh-CN"/>
        </w:rPr>
        <w:t xml:space="preserve">   </w:t>
      </w:r>
      <w:r>
        <w:rPr>
          <w:rFonts w:hint="eastAsia" w:ascii="仿宋_GB2312" w:hAnsi="仿宋_GB2312" w:eastAsia="仿宋_GB2312" w:cs="仿宋_GB2312"/>
          <w:kern w:val="2"/>
          <w:sz w:val="32"/>
          <w:szCs w:val="32"/>
          <w:highlight w:val="none"/>
          <w:lang w:val="en-US" w:eastAsia="zh-CN" w:bidi="ar-SA"/>
        </w:rPr>
        <w:t>该项目未涉及经济效益。</w:t>
      </w:r>
    </w:p>
    <w:p w14:paraId="0AA4A882">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4.可持续影响情况</w:t>
      </w:r>
    </w:p>
    <w:p w14:paraId="2A09D33A">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项目开始时间为2021年1月，但由于扎帐原因，文艺员12月份工资均未支出，项目保障时效11个月。</w:t>
      </w:r>
    </w:p>
    <w:p w14:paraId="517301EA">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5.服务对象满意度情况</w:t>
      </w:r>
    </w:p>
    <w:p w14:paraId="52600579">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通过走访受益对象，发放调查问卷一共15份，回收有效问卷共计15份，按照调查问卷来看，服务对象对项目实施效果的满意程度达到100%。</w:t>
      </w:r>
    </w:p>
    <w:p w14:paraId="5F31609B">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14:paraId="0FDD10EE">
      <w:pPr>
        <w:pStyle w:val="34"/>
        <w:adjustRightInd w:val="0"/>
        <w:snapToGrid w:val="0"/>
        <w:spacing w:line="560" w:lineRule="exact"/>
        <w:ind w:firstLine="643"/>
        <w:outlineLvl w:val="1"/>
        <w:rPr>
          <w:rFonts w:ascii="仿宋_GB2312" w:hAnsi="仿宋" w:eastAsia="仿宋_GB2312" w:cs="宋体"/>
          <w:b/>
          <w:bCs/>
          <w:sz w:val="32"/>
          <w:szCs w:val="32"/>
        </w:rPr>
      </w:pPr>
      <w:bookmarkStart w:id="73" w:name="_Toc13481"/>
      <w:r>
        <w:rPr>
          <w:rFonts w:hint="eastAsia" w:ascii="仿宋_GB2312" w:hAnsi="仿宋" w:eastAsia="仿宋_GB2312" w:cs="宋体"/>
          <w:b/>
          <w:bCs/>
          <w:sz w:val="32"/>
          <w:szCs w:val="32"/>
        </w:rPr>
        <w:t>（一）评分结果</w:t>
      </w:r>
      <w:bookmarkEnd w:id="73"/>
    </w:p>
    <w:p w14:paraId="3E47FB99">
      <w:pPr>
        <w:spacing w:line="560" w:lineRule="exact"/>
        <w:ind w:firstLine="640" w:firstLineChars="200"/>
        <w:rPr>
          <w:rFonts w:ascii="仿宋" w:hAnsi="仿宋" w:eastAsia="仿宋" w:cs="仿宋_GB2312"/>
          <w:sz w:val="32"/>
          <w:szCs w:val="32"/>
          <w:highlight w:val="none"/>
        </w:rPr>
      </w:pPr>
      <w:r>
        <w:rPr>
          <w:rFonts w:hint="eastAsia" w:ascii="仿宋_GB2312" w:hAnsi="仿宋_GB2312" w:eastAsia="仿宋_GB2312" w:cs="仿宋_GB2312"/>
          <w:kern w:val="2"/>
          <w:sz w:val="32"/>
          <w:szCs w:val="32"/>
          <w:highlight w:val="none"/>
          <w:lang w:val="en-US" w:eastAsia="zh-CN" w:bidi="ar-SA"/>
        </w:rPr>
        <w:t>经综合评价，项目得分为96.43分，评价等级为优，一级指标各项得分情况见下表：</w:t>
      </w:r>
    </w:p>
    <w:p w14:paraId="6CA624B8">
      <w:pPr>
        <w:pStyle w:val="41"/>
        <w:rPr>
          <w:highlight w:val="none"/>
        </w:rPr>
      </w:pPr>
      <w:r>
        <w:rPr>
          <w:rFonts w:hint="eastAsia"/>
          <w:highlight w:val="none"/>
          <w:lang w:eastAsia="zh-CN"/>
        </w:rPr>
        <w:t>202</w:t>
      </w:r>
      <w:r>
        <w:rPr>
          <w:rFonts w:hint="eastAsia"/>
          <w:highlight w:val="none"/>
          <w:lang w:val="en-US" w:eastAsia="zh-CN"/>
        </w:rPr>
        <w:t>1</w:t>
      </w:r>
      <w:r>
        <w:rPr>
          <w:rFonts w:hint="eastAsia"/>
          <w:highlight w:val="none"/>
        </w:rPr>
        <w:t>年度该项目绩效评价</w:t>
      </w:r>
      <w:r>
        <w:rPr>
          <w:highlight w:val="none"/>
        </w:rPr>
        <w:t>得分情况表</w:t>
      </w:r>
    </w:p>
    <w:tbl>
      <w:tblPr>
        <w:tblStyle w:val="20"/>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14:paraId="46B99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6A6A6"/>
            <w:vAlign w:val="center"/>
          </w:tcPr>
          <w:p w14:paraId="453ADD85">
            <w:pPr>
              <w:pStyle w:val="41"/>
              <w:rPr>
                <w:rFonts w:ascii="仿宋" w:hAnsi="仿宋" w:eastAsia="仿宋" w:cs="仿宋"/>
                <w:sz w:val="21"/>
                <w:szCs w:val="21"/>
                <w:highlight w:val="none"/>
              </w:rPr>
            </w:pPr>
            <w:r>
              <w:rPr>
                <w:rFonts w:hint="eastAsia" w:ascii="仿宋" w:hAnsi="仿宋" w:eastAsia="仿宋" w:cs="仿宋"/>
                <w:sz w:val="21"/>
                <w:szCs w:val="21"/>
                <w:highlight w:val="none"/>
              </w:rPr>
              <w:t>指标</w:t>
            </w:r>
          </w:p>
        </w:tc>
        <w:tc>
          <w:tcPr>
            <w:tcW w:w="1543" w:type="dxa"/>
            <w:tcBorders>
              <w:bottom w:val="single" w:color="auto" w:sz="4" w:space="0"/>
            </w:tcBorders>
            <w:shd w:val="clear" w:color="auto" w:fill="A6A6A6"/>
            <w:vAlign w:val="center"/>
          </w:tcPr>
          <w:p w14:paraId="070C5890">
            <w:pPr>
              <w:pStyle w:val="41"/>
              <w:rPr>
                <w:rFonts w:ascii="仿宋" w:hAnsi="仿宋" w:eastAsia="仿宋" w:cs="仿宋"/>
                <w:sz w:val="21"/>
                <w:szCs w:val="21"/>
                <w:highlight w:val="none"/>
              </w:rPr>
            </w:pPr>
            <w:r>
              <w:rPr>
                <w:rFonts w:hint="eastAsia" w:ascii="仿宋" w:hAnsi="仿宋" w:eastAsia="仿宋" w:cs="仿宋"/>
                <w:sz w:val="21"/>
                <w:szCs w:val="21"/>
                <w:highlight w:val="none"/>
              </w:rPr>
              <w:t>项目决策</w:t>
            </w:r>
          </w:p>
        </w:tc>
        <w:tc>
          <w:tcPr>
            <w:tcW w:w="1413" w:type="dxa"/>
            <w:tcBorders>
              <w:bottom w:val="single" w:color="auto" w:sz="4" w:space="0"/>
            </w:tcBorders>
            <w:shd w:val="clear" w:color="auto" w:fill="A6A6A6"/>
            <w:vAlign w:val="center"/>
          </w:tcPr>
          <w:p w14:paraId="5F354346">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过程</w:t>
            </w:r>
          </w:p>
        </w:tc>
        <w:tc>
          <w:tcPr>
            <w:tcW w:w="1152" w:type="dxa"/>
            <w:tcBorders>
              <w:bottom w:val="single" w:color="auto" w:sz="4" w:space="0"/>
            </w:tcBorders>
            <w:shd w:val="clear" w:color="auto" w:fill="A6A6A6"/>
            <w:vAlign w:val="center"/>
          </w:tcPr>
          <w:p w14:paraId="64DEB1CA">
            <w:pPr>
              <w:pStyle w:val="41"/>
              <w:rPr>
                <w:rFonts w:hint="default" w:ascii="仿宋" w:hAnsi="仿宋" w:eastAsia="仿宋" w:cs="仿宋"/>
                <w:sz w:val="21"/>
                <w:szCs w:val="21"/>
                <w:highlight w:val="none"/>
                <w:lang w:val="en-US" w:eastAsia="zh-CN"/>
              </w:rPr>
            </w:pPr>
            <w:r>
              <w:rPr>
                <w:rFonts w:hint="eastAsia" w:ascii="仿宋" w:hAnsi="仿宋" w:eastAsia="仿宋" w:cs="仿宋"/>
                <w:sz w:val="21"/>
                <w:szCs w:val="21"/>
                <w:highlight w:val="none"/>
                <w:lang w:val="en-US" w:eastAsia="zh-CN"/>
              </w:rPr>
              <w:t>项目产出</w:t>
            </w:r>
          </w:p>
        </w:tc>
        <w:tc>
          <w:tcPr>
            <w:tcW w:w="1290" w:type="dxa"/>
            <w:tcBorders>
              <w:bottom w:val="single" w:color="auto" w:sz="4" w:space="0"/>
            </w:tcBorders>
            <w:shd w:val="clear" w:color="auto" w:fill="A6A6A6"/>
            <w:vAlign w:val="center"/>
          </w:tcPr>
          <w:p w14:paraId="6D434C22">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效益</w:t>
            </w:r>
          </w:p>
        </w:tc>
        <w:tc>
          <w:tcPr>
            <w:tcW w:w="1388" w:type="dxa"/>
            <w:tcBorders>
              <w:bottom w:val="single" w:color="auto" w:sz="4" w:space="0"/>
            </w:tcBorders>
            <w:shd w:val="clear" w:color="auto" w:fill="A6A6A6"/>
            <w:vAlign w:val="center"/>
          </w:tcPr>
          <w:p w14:paraId="218D4459">
            <w:pPr>
              <w:pStyle w:val="41"/>
              <w:rPr>
                <w:rFonts w:ascii="仿宋" w:hAnsi="仿宋" w:eastAsia="仿宋" w:cs="仿宋"/>
                <w:sz w:val="21"/>
                <w:szCs w:val="21"/>
                <w:highlight w:val="none"/>
              </w:rPr>
            </w:pPr>
            <w:r>
              <w:rPr>
                <w:rFonts w:hint="eastAsia" w:ascii="仿宋" w:hAnsi="仿宋" w:eastAsia="仿宋" w:cs="仿宋"/>
                <w:sz w:val="21"/>
                <w:szCs w:val="21"/>
                <w:highlight w:val="none"/>
              </w:rPr>
              <w:t>合计</w:t>
            </w:r>
          </w:p>
        </w:tc>
      </w:tr>
      <w:tr w14:paraId="3EBB5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16B772A2">
            <w:pPr>
              <w:pStyle w:val="41"/>
              <w:rPr>
                <w:rFonts w:ascii="仿宋" w:hAnsi="仿宋" w:eastAsia="仿宋" w:cs="仿宋"/>
                <w:sz w:val="21"/>
                <w:szCs w:val="21"/>
                <w:highlight w:val="none"/>
              </w:rPr>
            </w:pPr>
            <w:r>
              <w:rPr>
                <w:rFonts w:hint="eastAsia" w:ascii="仿宋" w:hAnsi="仿宋" w:eastAsia="仿宋" w:cs="仿宋"/>
                <w:sz w:val="21"/>
                <w:szCs w:val="21"/>
                <w:highlight w:val="none"/>
              </w:rPr>
              <w:t>权重</w:t>
            </w:r>
          </w:p>
        </w:tc>
        <w:tc>
          <w:tcPr>
            <w:tcW w:w="1543" w:type="dxa"/>
            <w:vAlign w:val="center"/>
          </w:tcPr>
          <w:p w14:paraId="28FD2368">
            <w:pPr>
              <w:pStyle w:val="41"/>
              <w:rPr>
                <w:rFonts w:hint="eastAsia" w:ascii="仿宋" w:hAnsi="仿宋" w:eastAsia="仿宋" w:cs="仿宋"/>
                <w:b w:val="0"/>
                <w:sz w:val="21"/>
                <w:szCs w:val="21"/>
                <w:highlight w:val="none"/>
                <w:lang w:eastAsia="zh-CN"/>
              </w:rPr>
            </w:pPr>
            <w:r>
              <w:rPr>
                <w:rFonts w:hint="eastAsia" w:ascii="仿宋" w:hAnsi="仿宋" w:eastAsia="仿宋" w:cs="仿宋"/>
                <w:b w:val="0"/>
                <w:sz w:val="21"/>
                <w:szCs w:val="21"/>
                <w:highlight w:val="none"/>
              </w:rPr>
              <w:t>2</w:t>
            </w:r>
            <w:r>
              <w:rPr>
                <w:rFonts w:hint="eastAsia" w:ascii="仿宋" w:hAnsi="仿宋" w:eastAsia="仿宋" w:cs="仿宋"/>
                <w:b w:val="0"/>
                <w:sz w:val="21"/>
                <w:szCs w:val="21"/>
                <w:highlight w:val="none"/>
                <w:lang w:val="en-US" w:eastAsia="zh-CN"/>
              </w:rPr>
              <w:t>0</w:t>
            </w:r>
          </w:p>
        </w:tc>
        <w:tc>
          <w:tcPr>
            <w:tcW w:w="1413" w:type="dxa"/>
            <w:vAlign w:val="center"/>
          </w:tcPr>
          <w:p w14:paraId="7DFD7A51">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152" w:type="dxa"/>
            <w:vAlign w:val="center"/>
          </w:tcPr>
          <w:p w14:paraId="1955299E">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14:paraId="1658975D">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06DADDF5">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rPr>
              <w:t>100</w:t>
            </w:r>
          </w:p>
        </w:tc>
      </w:tr>
      <w:tr w14:paraId="4BDDED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7E6EFE7A">
            <w:pPr>
              <w:pStyle w:val="41"/>
              <w:rPr>
                <w:rFonts w:ascii="仿宋" w:hAnsi="仿宋" w:eastAsia="仿宋" w:cs="仿宋"/>
                <w:sz w:val="21"/>
                <w:szCs w:val="21"/>
                <w:highlight w:val="none"/>
              </w:rPr>
            </w:pPr>
            <w:r>
              <w:rPr>
                <w:rFonts w:hint="eastAsia" w:ascii="仿宋" w:hAnsi="仿宋" w:eastAsia="仿宋" w:cs="仿宋"/>
                <w:sz w:val="21"/>
                <w:szCs w:val="21"/>
                <w:highlight w:val="none"/>
              </w:rPr>
              <w:t>分值</w:t>
            </w:r>
          </w:p>
        </w:tc>
        <w:tc>
          <w:tcPr>
            <w:tcW w:w="1543" w:type="dxa"/>
            <w:vAlign w:val="center"/>
          </w:tcPr>
          <w:p w14:paraId="6E6CD308">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18.5</w:t>
            </w:r>
          </w:p>
        </w:tc>
        <w:tc>
          <w:tcPr>
            <w:tcW w:w="1413" w:type="dxa"/>
            <w:vAlign w:val="center"/>
          </w:tcPr>
          <w:p w14:paraId="6ABC3764">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19.93</w:t>
            </w:r>
          </w:p>
        </w:tc>
        <w:tc>
          <w:tcPr>
            <w:tcW w:w="1152" w:type="dxa"/>
            <w:vAlign w:val="center"/>
          </w:tcPr>
          <w:p w14:paraId="46081B6D">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29.67</w:t>
            </w:r>
          </w:p>
        </w:tc>
        <w:tc>
          <w:tcPr>
            <w:tcW w:w="1290" w:type="dxa"/>
            <w:vAlign w:val="center"/>
          </w:tcPr>
          <w:p w14:paraId="1D9959D9">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28.33</w:t>
            </w:r>
          </w:p>
        </w:tc>
        <w:tc>
          <w:tcPr>
            <w:tcW w:w="1388" w:type="dxa"/>
            <w:vAlign w:val="center"/>
          </w:tcPr>
          <w:p w14:paraId="2B2B578C">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96.43</w:t>
            </w:r>
          </w:p>
        </w:tc>
      </w:tr>
      <w:tr w14:paraId="4CF29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0EDDE153">
            <w:pPr>
              <w:pStyle w:val="41"/>
              <w:rPr>
                <w:rFonts w:ascii="仿宋" w:hAnsi="仿宋" w:eastAsia="仿宋" w:cs="仿宋"/>
                <w:sz w:val="21"/>
                <w:szCs w:val="21"/>
                <w:highlight w:val="none"/>
              </w:rPr>
            </w:pPr>
            <w:r>
              <w:rPr>
                <w:rFonts w:hint="eastAsia" w:ascii="仿宋" w:hAnsi="仿宋" w:eastAsia="仿宋" w:cs="仿宋"/>
                <w:sz w:val="21"/>
                <w:szCs w:val="21"/>
                <w:highlight w:val="none"/>
              </w:rPr>
              <w:t>得分率</w:t>
            </w:r>
          </w:p>
        </w:tc>
        <w:tc>
          <w:tcPr>
            <w:tcW w:w="1543" w:type="dxa"/>
            <w:vAlign w:val="center"/>
          </w:tcPr>
          <w:p w14:paraId="580C511B">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92.5</w:t>
            </w:r>
            <w:r>
              <w:rPr>
                <w:rFonts w:hint="eastAsia" w:ascii="仿宋" w:hAnsi="仿宋" w:eastAsia="仿宋" w:cs="仿宋"/>
                <w:b w:val="0"/>
                <w:sz w:val="21"/>
                <w:szCs w:val="21"/>
                <w:highlight w:val="none"/>
              </w:rPr>
              <w:t>%</w:t>
            </w:r>
          </w:p>
        </w:tc>
        <w:tc>
          <w:tcPr>
            <w:tcW w:w="1413" w:type="dxa"/>
            <w:vAlign w:val="center"/>
          </w:tcPr>
          <w:p w14:paraId="05997AE2">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99.65</w:t>
            </w:r>
            <w:r>
              <w:rPr>
                <w:rFonts w:hint="eastAsia" w:ascii="仿宋" w:hAnsi="仿宋" w:eastAsia="仿宋" w:cs="仿宋"/>
                <w:b w:val="0"/>
                <w:sz w:val="21"/>
                <w:szCs w:val="21"/>
                <w:highlight w:val="none"/>
              </w:rPr>
              <w:t>%</w:t>
            </w:r>
          </w:p>
        </w:tc>
        <w:tc>
          <w:tcPr>
            <w:tcW w:w="1152" w:type="dxa"/>
            <w:vAlign w:val="center"/>
          </w:tcPr>
          <w:p w14:paraId="4BA3604B">
            <w:pPr>
              <w:pStyle w:val="41"/>
              <w:rPr>
                <w:rFonts w:hint="eastAsia"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98.9</w:t>
            </w:r>
            <w:r>
              <w:rPr>
                <w:rFonts w:hint="eastAsia" w:ascii="仿宋" w:hAnsi="仿宋" w:eastAsia="仿宋" w:cs="仿宋"/>
                <w:b w:val="0"/>
                <w:sz w:val="21"/>
                <w:szCs w:val="21"/>
                <w:highlight w:val="none"/>
              </w:rPr>
              <w:t>%</w:t>
            </w:r>
          </w:p>
        </w:tc>
        <w:tc>
          <w:tcPr>
            <w:tcW w:w="1290" w:type="dxa"/>
            <w:vAlign w:val="center"/>
          </w:tcPr>
          <w:p w14:paraId="4B679CFF">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94.43</w:t>
            </w:r>
            <w:r>
              <w:rPr>
                <w:rFonts w:hint="eastAsia" w:ascii="仿宋" w:hAnsi="仿宋" w:eastAsia="仿宋" w:cs="仿宋"/>
                <w:b w:val="0"/>
                <w:sz w:val="21"/>
                <w:szCs w:val="21"/>
                <w:highlight w:val="none"/>
              </w:rPr>
              <w:t>%</w:t>
            </w:r>
          </w:p>
        </w:tc>
        <w:tc>
          <w:tcPr>
            <w:tcW w:w="1388" w:type="dxa"/>
            <w:vAlign w:val="center"/>
          </w:tcPr>
          <w:p w14:paraId="216987FB">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96.43</w:t>
            </w:r>
            <w:r>
              <w:rPr>
                <w:rFonts w:hint="eastAsia" w:ascii="仿宋" w:hAnsi="仿宋" w:eastAsia="仿宋" w:cs="仿宋"/>
                <w:b w:val="0"/>
                <w:sz w:val="21"/>
                <w:szCs w:val="21"/>
                <w:highlight w:val="none"/>
              </w:rPr>
              <w:t>%</w:t>
            </w:r>
          </w:p>
        </w:tc>
      </w:tr>
    </w:tbl>
    <w:p w14:paraId="7771659F">
      <w:pPr>
        <w:pStyle w:val="18"/>
        <w:ind w:firstLine="0" w:firstLineChars="0"/>
      </w:pPr>
    </w:p>
    <w:p w14:paraId="5B735A37">
      <w:pPr>
        <w:pStyle w:val="34"/>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评价结论</w:t>
      </w:r>
    </w:p>
    <w:p w14:paraId="336FEEBF">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4" w:name="_Toc3803"/>
      <w:r>
        <w:rPr>
          <w:rFonts w:hint="eastAsia" w:ascii="仿宋_GB2312" w:hAnsi="仿宋" w:eastAsia="仿宋_GB2312" w:cs="宋体"/>
          <w:b/>
          <w:bCs/>
          <w:sz w:val="32"/>
          <w:szCs w:val="32"/>
        </w:rPr>
        <w:t>（二）项目总体评价结论</w:t>
      </w:r>
      <w:bookmarkEnd w:id="74"/>
    </w:p>
    <w:p w14:paraId="5F8AA1D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立项较规范，绩效目标合理，绩效指标明确，项目管理制度较健全，制度建设基本有效执行。项目总投资43.20万元，财政资金到位率100%，实际支出42.18万元，预算资金执行率97.64%。资金使用程序较规范，能够做到专项资金专款专用，未发现截留、挤占、挪用、虚列支出等情况。项目实施后全方位、高角度、宽领域地传播了洛浦正能量、展示了洛浦好形象，提高了演出工作人员工作积极性。</w:t>
      </w:r>
    </w:p>
    <w:p w14:paraId="3AC479E8">
      <w:pPr>
        <w:adjustRightInd w:val="0"/>
        <w:snapToGrid w:val="0"/>
        <w:spacing w:line="560" w:lineRule="exact"/>
        <w:ind w:firstLine="640" w:firstLineChars="200"/>
        <w:jc w:val="left"/>
        <w:outlineLvl w:val="0"/>
        <w:rPr>
          <w:rFonts w:hint="default" w:ascii="黑体" w:hAnsi="黑体" w:eastAsia="黑体" w:cs="宋体"/>
          <w:sz w:val="32"/>
          <w:szCs w:val="32"/>
          <w:highlight w:val="none"/>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14:paraId="5AF91978">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6" w:name="_Toc2013"/>
      <w:bookmarkStart w:id="77" w:name="_Toc14039"/>
      <w:r>
        <w:rPr>
          <w:rFonts w:hint="eastAsia" w:ascii="仿宋_GB2312" w:hAnsi="仿宋" w:eastAsia="仿宋_GB2312" w:cs="宋体"/>
          <w:b/>
          <w:bCs/>
          <w:sz w:val="32"/>
          <w:szCs w:val="32"/>
        </w:rPr>
        <w:t>（一）问题</w:t>
      </w:r>
      <w:bookmarkEnd w:id="76"/>
    </w:p>
    <w:p w14:paraId="50FB7A3B">
      <w:pPr>
        <w:pStyle w:val="34"/>
        <w:adjustRightInd w:val="0"/>
        <w:snapToGrid w:val="0"/>
        <w:spacing w:line="560" w:lineRule="exact"/>
        <w:ind w:left="0" w:leftChars="0" w:firstLine="640" w:firstLineChars="200"/>
        <w:outlineLvl w:val="1"/>
        <w:rPr>
          <w:rFonts w:hint="eastAsia" w:ascii="仿宋_GB2312" w:hAnsi="仿宋_GB2312" w:eastAsia="仿宋_GB2312" w:cs="仿宋_GB2312"/>
          <w:kern w:val="2"/>
          <w:sz w:val="32"/>
          <w:szCs w:val="32"/>
          <w:highlight w:val="none"/>
          <w:lang w:val="en-US" w:eastAsia="zh-CN" w:bidi="ar-SA"/>
        </w:rPr>
      </w:pPr>
      <w:bookmarkStart w:id="78" w:name="_Toc4075"/>
      <w:r>
        <w:rPr>
          <w:rFonts w:hint="eastAsia" w:ascii="仿宋_GB2312" w:hAnsi="仿宋_GB2312" w:eastAsia="仿宋_GB2312" w:cs="仿宋_GB2312"/>
          <w:kern w:val="2"/>
          <w:sz w:val="32"/>
          <w:szCs w:val="32"/>
          <w:highlight w:val="none"/>
          <w:lang w:val="en-US" w:eastAsia="zh-CN" w:bidi="ar-SA"/>
        </w:rPr>
        <w:t>1.未落实好《行政、事业单位会计制度》，由于扎帐原因，文艺演出人员12月份的工资均未发放。</w:t>
      </w:r>
    </w:p>
    <w:p w14:paraId="380C8D79">
      <w:pPr>
        <w:pStyle w:val="34"/>
        <w:adjustRightInd w:val="0"/>
        <w:snapToGrid w:val="0"/>
        <w:spacing w:line="560" w:lineRule="exact"/>
        <w:ind w:left="0" w:leftChars="0" w:firstLine="640" w:firstLineChars="200"/>
        <w:outlineLvl w:val="1"/>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2.项目资料归档不规范，缺少项目实施方案，相关会议纪要。</w:t>
      </w:r>
    </w:p>
    <w:p w14:paraId="27489577">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二</w:t>
      </w:r>
      <w:r>
        <w:rPr>
          <w:rFonts w:hint="eastAsia" w:ascii="仿宋_GB2312" w:hAnsi="仿宋" w:eastAsia="仿宋_GB2312" w:cs="宋体"/>
          <w:b/>
          <w:bCs/>
          <w:sz w:val="32"/>
          <w:szCs w:val="32"/>
        </w:rPr>
        <w:t>）意见和建议</w:t>
      </w:r>
      <w:bookmarkEnd w:id="78"/>
    </w:p>
    <w:p w14:paraId="3705212E">
      <w:pPr>
        <w:ind w:firstLine="960" w:firstLineChars="300"/>
        <w:jc w:val="left"/>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1.认真落实各项资金管理制度，结合年度工作计划以及县财政工作安排，提前准备好相关支付材料，确保资金支付及时，足额。</w:t>
      </w:r>
    </w:p>
    <w:p w14:paraId="4F45074D">
      <w:pPr>
        <w:ind w:firstLine="960" w:firstLineChars="300"/>
        <w:jc w:val="left"/>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2.建议项目实施单位严格遵守相关项目管理办法，在项目实施过程中，项目资料的归档与项目实施进度保持同步，避免项目资料漏失。</w:t>
      </w:r>
    </w:p>
    <w:p w14:paraId="7B7D240F">
      <w:pPr>
        <w:adjustRightInd w:val="0"/>
        <w:snapToGrid w:val="0"/>
        <w:spacing w:line="560" w:lineRule="exact"/>
        <w:ind w:firstLine="640" w:firstLineChars="200"/>
        <w:jc w:val="left"/>
        <w:outlineLvl w:val="0"/>
        <w:rPr>
          <w:rFonts w:ascii="黑体" w:hAnsi="黑体" w:eastAsia="黑体" w:cs="宋体"/>
          <w:sz w:val="32"/>
          <w:szCs w:val="32"/>
          <w:highlight w:val="none"/>
        </w:rPr>
      </w:pPr>
      <w:bookmarkStart w:id="79" w:name="_Toc17475"/>
      <w:r>
        <w:rPr>
          <w:rFonts w:hint="eastAsia" w:ascii="黑体" w:hAnsi="黑体" w:eastAsia="黑体" w:cs="宋体"/>
          <w:sz w:val="32"/>
          <w:szCs w:val="32"/>
          <w:highlight w:val="none"/>
        </w:rPr>
        <w:t>六、主要经验及做法</w:t>
      </w:r>
      <w:bookmarkEnd w:id="77"/>
      <w:bookmarkEnd w:id="79"/>
    </w:p>
    <w:p w14:paraId="2223F26C">
      <w:pPr>
        <w:pStyle w:val="34"/>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80" w:name="_Toc25465"/>
      <w:bookmarkStart w:id="81" w:name="_Toc32230"/>
      <w:bookmarkStart w:id="82" w:name="_Toc16919"/>
      <w:r>
        <w:rPr>
          <w:rFonts w:hint="eastAsia" w:ascii="仿宋_GB2312" w:hAnsi="仿宋" w:eastAsia="仿宋_GB2312" w:cs="宋体"/>
          <w:b/>
          <w:bCs/>
          <w:sz w:val="32"/>
          <w:szCs w:val="32"/>
        </w:rPr>
        <w:t>（一）项目实施过程有效监控</w:t>
      </w:r>
      <w:bookmarkEnd w:id="80"/>
      <w:bookmarkEnd w:id="81"/>
    </w:p>
    <w:p w14:paraId="271B71AC">
      <w:pPr>
        <w:adjustRightInd w:val="0"/>
        <w:snapToGrid w:val="0"/>
        <w:spacing w:line="560" w:lineRule="exact"/>
        <w:ind w:firstLine="640" w:firstLineChars="200"/>
        <w:rPr>
          <w:rFonts w:hint="eastAsia" w:ascii="仿宋_GB2312" w:hAnsi="仿宋_GB2312" w:eastAsia="仿宋_GB2312" w:cs="仿宋_GB2312"/>
          <w:sz w:val="32"/>
          <w:szCs w:val="32"/>
          <w:highlight w:val="none"/>
        </w:rPr>
      </w:pPr>
      <w:bookmarkStart w:id="83" w:name="_Toc191"/>
      <w:bookmarkStart w:id="84" w:name="_Toc22631"/>
      <w:r>
        <w:rPr>
          <w:rFonts w:hint="eastAsia" w:ascii="仿宋_GB2312" w:hAnsi="仿宋_GB2312" w:eastAsia="仿宋_GB2312" w:cs="仿宋_GB2312"/>
          <w:sz w:val="32"/>
          <w:szCs w:val="32"/>
          <w:highlight w:val="none"/>
          <w:lang w:val="en-US" w:eastAsia="zh-CN"/>
        </w:rPr>
        <w:t>洛浦县</w:t>
      </w:r>
      <w:r>
        <w:rPr>
          <w:rFonts w:hint="eastAsia" w:ascii="仿宋_GB2312" w:hAnsi="仿宋_GB2312" w:eastAsia="仿宋_GB2312" w:cs="仿宋_GB2312"/>
          <w:sz w:val="32"/>
          <w:szCs w:val="32"/>
          <w:highlight w:val="none"/>
        </w:rPr>
        <w:t>财政局</w:t>
      </w:r>
      <w:r>
        <w:rPr>
          <w:rFonts w:hint="eastAsia" w:ascii="仿宋_GB2312" w:hAnsi="仿宋_GB2312" w:eastAsia="仿宋_GB2312" w:cs="仿宋_GB2312"/>
          <w:sz w:val="32"/>
          <w:szCs w:val="32"/>
          <w:highlight w:val="none"/>
          <w:lang w:val="en-US" w:eastAsia="zh-CN"/>
        </w:rPr>
        <w:t>针对项目</w:t>
      </w:r>
      <w:r>
        <w:rPr>
          <w:rFonts w:hint="eastAsia" w:ascii="仿宋_GB2312" w:hAnsi="仿宋_GB2312" w:eastAsia="仿宋_GB2312" w:cs="仿宋_GB2312"/>
          <w:sz w:val="32"/>
          <w:szCs w:val="32"/>
          <w:highlight w:val="none"/>
        </w:rPr>
        <w:t>实施全过程</w:t>
      </w:r>
      <w:r>
        <w:rPr>
          <w:rFonts w:hint="eastAsia" w:ascii="仿宋_GB2312" w:hAnsi="仿宋_GB2312" w:eastAsia="仿宋_GB2312" w:cs="仿宋_GB2312"/>
          <w:sz w:val="32"/>
          <w:szCs w:val="32"/>
          <w:highlight w:val="none"/>
          <w:lang w:val="en-US" w:eastAsia="zh-CN"/>
        </w:rPr>
        <w:t>进行</w:t>
      </w:r>
      <w:r>
        <w:rPr>
          <w:rFonts w:hint="eastAsia" w:ascii="仿宋_GB2312" w:hAnsi="仿宋_GB2312" w:eastAsia="仿宋_GB2312" w:cs="仿宋_GB2312"/>
          <w:sz w:val="32"/>
          <w:szCs w:val="32"/>
          <w:highlight w:val="none"/>
        </w:rPr>
        <w:t>绩效管理</w:t>
      </w:r>
      <w:r>
        <w:rPr>
          <w:rFonts w:hint="eastAsia" w:ascii="仿宋_GB2312" w:hAnsi="仿宋_GB2312" w:eastAsia="仿宋_GB2312" w:cs="仿宋_GB2312"/>
          <w:sz w:val="32"/>
          <w:szCs w:val="32"/>
          <w:highlight w:val="none"/>
          <w:lang w:eastAsia="zh-CN"/>
        </w:rPr>
        <w:t>；根据</w:t>
      </w:r>
      <w:r>
        <w:rPr>
          <w:rFonts w:hint="eastAsia" w:ascii="仿宋_GB2312" w:hAnsi="仿宋_GB2312" w:eastAsia="仿宋_GB2312" w:cs="仿宋_GB2312"/>
          <w:sz w:val="32"/>
          <w:szCs w:val="32"/>
          <w:highlight w:val="none"/>
          <w:lang w:val="en-US" w:eastAsia="zh-CN"/>
        </w:rPr>
        <w:t>专项</w:t>
      </w:r>
      <w:r>
        <w:rPr>
          <w:rFonts w:hint="eastAsia" w:ascii="仿宋_GB2312" w:hAnsi="仿宋_GB2312" w:eastAsia="仿宋_GB2312" w:cs="仿宋_GB2312"/>
          <w:sz w:val="32"/>
          <w:szCs w:val="32"/>
          <w:highlight w:val="none"/>
          <w:lang w:eastAsia="zh-CN"/>
        </w:rPr>
        <w:t>资金管理工作，于</w:t>
      </w:r>
      <w:r>
        <w:rPr>
          <w:rFonts w:hint="eastAsia" w:ascii="仿宋_GB2312" w:hAnsi="仿宋_GB2312" w:eastAsia="仿宋_GB2312" w:cs="仿宋_GB2312"/>
          <w:sz w:val="32"/>
          <w:szCs w:val="32"/>
          <w:highlight w:val="none"/>
          <w:lang w:val="en-US" w:eastAsia="zh-CN"/>
        </w:rPr>
        <w:t>5月、8月</w:t>
      </w:r>
      <w:r>
        <w:rPr>
          <w:rFonts w:hint="eastAsia" w:ascii="仿宋_GB2312" w:hAnsi="仿宋_GB2312" w:eastAsia="仿宋_GB2312" w:cs="仿宋_GB2312"/>
          <w:sz w:val="32"/>
          <w:szCs w:val="32"/>
          <w:highlight w:val="none"/>
        </w:rPr>
        <w:t>对</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项目开展绩效监控，实行项目</w:t>
      </w:r>
      <w:r>
        <w:rPr>
          <w:rFonts w:hint="eastAsia" w:ascii="仿宋_GB2312" w:hAnsi="仿宋_GB2312" w:eastAsia="仿宋_GB2312" w:cs="仿宋_GB2312"/>
          <w:sz w:val="32"/>
          <w:szCs w:val="32"/>
          <w:highlight w:val="none"/>
          <w:lang w:eastAsia="zh-CN"/>
        </w:rPr>
        <w:t>预算执行率与</w:t>
      </w:r>
      <w:r>
        <w:rPr>
          <w:rFonts w:hint="eastAsia" w:ascii="仿宋_GB2312" w:hAnsi="仿宋_GB2312" w:eastAsia="仿宋_GB2312" w:cs="仿宋_GB2312"/>
          <w:sz w:val="32"/>
          <w:szCs w:val="32"/>
          <w:highlight w:val="none"/>
        </w:rPr>
        <w:t>工作完成进度双监控</w:t>
      </w:r>
      <w:r>
        <w:rPr>
          <w:rFonts w:hint="eastAsia" w:ascii="仿宋_GB2312" w:hAnsi="仿宋_GB2312" w:eastAsia="仿宋_GB2312" w:cs="仿宋_GB2312"/>
          <w:sz w:val="32"/>
          <w:szCs w:val="32"/>
          <w:highlight w:val="none"/>
          <w:lang w:eastAsia="zh-CN"/>
        </w:rPr>
        <w:t>，并</w:t>
      </w:r>
      <w:r>
        <w:rPr>
          <w:rFonts w:hint="eastAsia" w:ascii="仿宋_GB2312" w:hAnsi="仿宋_GB2312" w:eastAsia="仿宋_GB2312" w:cs="仿宋_GB2312"/>
          <w:sz w:val="32"/>
          <w:szCs w:val="32"/>
          <w:highlight w:val="none"/>
        </w:rPr>
        <w:t>全面把握资金使用效率和项目实施开展进度，督促相关责任人按期保质完成工作。</w:t>
      </w:r>
    </w:p>
    <w:p w14:paraId="14BB8808">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3"/>
      <w:bookmarkEnd w:id="84"/>
    </w:p>
    <w:bookmarkEnd w:id="82"/>
    <w:p w14:paraId="3C624189">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85" w:name="_Toc13108"/>
      <w:bookmarkStart w:id="86" w:name="_Toc31915"/>
      <w:bookmarkStart w:id="87" w:name="_Toc20562"/>
      <w:bookmarkStart w:id="88" w:name="_Toc30107"/>
      <w:bookmarkStart w:id="89" w:name="_Toc14650"/>
      <w:bookmarkStart w:id="90" w:name="_Toc24288"/>
      <w:bookmarkStart w:id="91" w:name="_Toc7837"/>
      <w:bookmarkStart w:id="92" w:name="_Toc14723"/>
      <w:bookmarkStart w:id="93" w:name="_Toc22725"/>
      <w:r>
        <w:rPr>
          <w:rFonts w:hint="eastAsia" w:ascii="仿宋_GB2312" w:hAnsi="仿宋_GB2312" w:eastAsia="仿宋_GB2312" w:cs="仿宋_GB2312"/>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14:paraId="414487F6">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8"/>
      <w:bookmarkEnd w:id="89"/>
    </w:p>
    <w:p w14:paraId="3B610F0B">
      <w:pPr>
        <w:spacing w:line="560" w:lineRule="exact"/>
        <w:ind w:firstLine="643" w:firstLineChars="200"/>
        <w:outlineLvl w:val="1"/>
        <w:rPr>
          <w:rFonts w:ascii="仿宋_GB2312" w:hAnsi="黑体" w:eastAsia="仿宋_GB2312" w:cs="Times New Roman"/>
          <w:b/>
          <w:bCs/>
          <w:sz w:val="32"/>
          <w:szCs w:val="32"/>
        </w:rPr>
      </w:pPr>
      <w:bookmarkStart w:id="94" w:name="_Toc6072"/>
      <w:r>
        <w:rPr>
          <w:rFonts w:hint="eastAsia" w:ascii="仿宋_GB2312" w:hAnsi="黑体" w:eastAsia="仿宋_GB2312" w:cs="Times New Roman"/>
          <w:b/>
          <w:bCs/>
          <w:sz w:val="32"/>
          <w:szCs w:val="32"/>
        </w:rPr>
        <w:t>（一）及时对发现的问题进行整改</w:t>
      </w:r>
      <w:bookmarkEnd w:id="90"/>
      <w:bookmarkEnd w:id="94"/>
    </w:p>
    <w:p w14:paraId="49ECD5C2">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95" w:name="_Toc31513"/>
      <w:bookmarkStart w:id="96" w:name="_Toc20240"/>
      <w:r>
        <w:rPr>
          <w:rFonts w:hint="eastAsia" w:ascii="仿宋_GB2312" w:hAnsi="仿宋_GB2312" w:eastAsia="仿宋_GB2312" w:cs="仿宋_GB2312"/>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14:paraId="0B1180DB">
      <w:pPr>
        <w:numPr>
          <w:ilvl w:val="0"/>
          <w:numId w:val="9"/>
        </w:num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rPr>
        <w:t>建立绩效评价结果应用制度</w:t>
      </w:r>
      <w:bookmarkEnd w:id="95"/>
      <w:bookmarkEnd w:id="96"/>
    </w:p>
    <w:p w14:paraId="6783EDDD">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14:paraId="30868CF4">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1.建议建立实施绩效评价结果公开制度（结果反馈制度、结果共享制度、结果报告制度、结果公示制度）；</w:t>
      </w:r>
    </w:p>
    <w:p w14:paraId="08738C3F">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2.建议建立绩效评价结果通报、约谈和问责机制；</w:t>
      </w:r>
    </w:p>
    <w:p w14:paraId="539B12C2">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3.建议建立绩效评价结果在部门预算中激励与约束挂钩机制；</w:t>
      </w:r>
    </w:p>
    <w:p w14:paraId="13FD1737">
      <w:pPr>
        <w:tabs>
          <w:tab w:val="left" w:pos="938"/>
        </w:tabs>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kern w:val="2"/>
          <w:sz w:val="32"/>
          <w:szCs w:val="32"/>
          <w:highlight w:val="none"/>
          <w:lang w:val="en-US" w:eastAsia="zh-CN" w:bidi="ar-SA"/>
        </w:rPr>
        <w:t>4.建议建立评价结果惩处机制。</w:t>
      </w:r>
    </w:p>
    <w:p w14:paraId="668A56E5">
      <w:pPr>
        <w:spacing w:line="560" w:lineRule="exact"/>
        <w:ind w:firstLine="643" w:firstLineChars="200"/>
        <w:outlineLvl w:val="1"/>
        <w:rPr>
          <w:rFonts w:ascii="仿宋_GB2312" w:hAnsi="黑体" w:eastAsia="仿宋_GB2312" w:cs="Times New Roman"/>
          <w:b/>
          <w:bCs/>
          <w:sz w:val="32"/>
          <w:szCs w:val="32"/>
        </w:rPr>
      </w:pPr>
      <w:bookmarkStart w:id="97" w:name="_Toc5443"/>
      <w:bookmarkStart w:id="98" w:name="_Toc10628"/>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7"/>
      <w:bookmarkEnd w:id="98"/>
    </w:p>
    <w:p w14:paraId="7390D38A">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一是严格落实评价结果与预算安排挂钩制度。要严格执行《洛浦县财政支出绩效评价结果应用暂行办法》文件规定，充分应用评价结果，对低效无效资金一律削减或取消。</w:t>
      </w:r>
    </w:p>
    <w:p w14:paraId="56BAACA4">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二是将此次评价工作开展情况及评价结果纳入洛浦县全面实施预算绩效管理年度综合评价考核范畴，年终形成总结报告，上报县政府、发改委和县人大。</w:t>
      </w:r>
    </w:p>
    <w:p w14:paraId="0E318798">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三是进一步加大对评价结果的应用，洛浦县2021年度项目绩效评价情况，可作为以后年度部门单位项目预算编制和安排财政资金的重要依据。</w:t>
      </w:r>
    </w:p>
    <w:p w14:paraId="0722E05E">
      <w:pPr>
        <w:spacing w:line="560" w:lineRule="exact"/>
        <w:ind w:firstLine="643" w:firstLineChars="200"/>
        <w:outlineLvl w:val="1"/>
        <w:rPr>
          <w:rFonts w:ascii="仿宋_GB2312" w:hAnsi="黑体" w:eastAsia="仿宋_GB2312" w:cs="Times New Roman"/>
          <w:b/>
          <w:bCs/>
          <w:sz w:val="32"/>
          <w:szCs w:val="32"/>
        </w:rPr>
      </w:pPr>
      <w:bookmarkStart w:id="99" w:name="_Toc13172"/>
      <w:bookmarkStart w:id="100" w:name="_Toc4069"/>
      <w:r>
        <w:rPr>
          <w:rFonts w:hint="eastAsia" w:ascii="仿宋_GB2312" w:hAnsi="黑体" w:eastAsia="仿宋_GB2312" w:cs="Times New Roman"/>
          <w:b/>
          <w:bCs/>
          <w:sz w:val="32"/>
          <w:szCs w:val="32"/>
        </w:rPr>
        <w:t>（四）评价结果公开</w:t>
      </w:r>
      <w:bookmarkEnd w:id="99"/>
      <w:bookmarkEnd w:id="100"/>
    </w:p>
    <w:p w14:paraId="124C88D0">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建议按照政府信息公开管理的相关规定将绩效评价结果（涉密信息除外）向社会公开评价结果，提高工作透明度，接受社会公众的监督。</w:t>
      </w:r>
      <w:bookmarkEnd w:id="91"/>
    </w:p>
    <w:p w14:paraId="3651657A">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1" w:name="_Toc17018"/>
      <w:r>
        <w:rPr>
          <w:rFonts w:hint="eastAsia" w:ascii="黑体" w:hAnsi="黑体" w:eastAsia="黑体" w:cs="宋体"/>
          <w:sz w:val="32"/>
          <w:szCs w:val="32"/>
          <w:lang w:val="en-US" w:eastAsia="zh-CN"/>
        </w:rPr>
        <w:t>八、其他需说明的问题</w:t>
      </w:r>
      <w:bookmarkEnd w:id="92"/>
      <w:bookmarkEnd w:id="93"/>
      <w:bookmarkEnd w:id="101"/>
    </w:p>
    <w:p w14:paraId="62E71E4E">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第一，该项目部分间接产生的效果无法准确在短期内衡量，因此很难认定项目产生的全部效果。通过指标来反映绩效，指标的科学性和全面性需要不断地完善和研究。</w:t>
      </w:r>
    </w:p>
    <w:p w14:paraId="659CF5AA">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第二，评价结果作为安排政府预算、完善政策和改进管理的重要依据。原则上，对评价等级为优、良的，根据情况予以支持；对评价等级为中、差的，要完善政策、改进管理，根据情况核减预算。</w:t>
      </w:r>
    </w:p>
    <w:p w14:paraId="52F3441F">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第三，评价结果分别编入政府决算和部门预算，报送本级人民代表大会常务委员会，并依法予以公开。</w:t>
      </w:r>
    </w:p>
    <w:p w14:paraId="551E6920">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14:paraId="6C77FD56">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宋体"/>
          <w:sz w:val="32"/>
          <w:szCs w:val="32"/>
        </w:rPr>
      </w:pPr>
      <w:r>
        <w:rPr>
          <w:rFonts w:hint="eastAsia" w:ascii="仿宋_GB2312" w:hAnsi="仿宋_GB2312" w:eastAsia="仿宋_GB2312" w:cs="仿宋_GB2312"/>
          <w:kern w:val="2"/>
          <w:sz w:val="32"/>
          <w:szCs w:val="32"/>
          <w:highlight w:val="none"/>
          <w:lang w:val="en-US" w:eastAsia="zh-CN" w:bidi="ar-SA"/>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bookmarkStart w:id="102" w:name="_Toc25791"/>
    </w:p>
    <w:p w14:paraId="1BC39CCE">
      <w:pPr>
        <w:adjustRightInd w:val="0"/>
        <w:snapToGrid w:val="0"/>
        <w:spacing w:line="560" w:lineRule="exact"/>
        <w:ind w:firstLine="640" w:firstLineChars="200"/>
        <w:jc w:val="left"/>
        <w:outlineLvl w:val="0"/>
        <w:rPr>
          <w:rFonts w:ascii="黑体" w:hAnsi="黑体" w:eastAsia="黑体" w:cs="宋体"/>
          <w:sz w:val="32"/>
          <w:szCs w:val="32"/>
        </w:rPr>
      </w:pPr>
      <w:r>
        <w:rPr>
          <w:rFonts w:hint="eastAsia" w:ascii="黑体" w:hAnsi="黑体" w:eastAsia="黑体" w:cs="宋体"/>
          <w:sz w:val="32"/>
          <w:szCs w:val="32"/>
        </w:rPr>
        <w:t>九、附件</w:t>
      </w:r>
      <w:bookmarkEnd w:id="102"/>
    </w:p>
    <w:bookmarkEnd w:id="30"/>
    <w:p w14:paraId="596A88D3">
      <w:pPr>
        <w:pStyle w:val="34"/>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14:paraId="0A0F00F2">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3" w:name="_Toc3379"/>
      <w:bookmarkStart w:id="104" w:name="_Toc11156"/>
      <w:bookmarkStart w:id="105" w:name="_Toc5066"/>
      <w:bookmarkStart w:id="106" w:name="_Toc13969"/>
      <w:bookmarkStart w:id="107" w:name="_Toc9070"/>
      <w:r>
        <w:rPr>
          <w:rFonts w:hint="eastAsia" w:ascii="仿宋_GB2312" w:hAnsi="仿宋_GB2312" w:eastAsia="仿宋_GB2312" w:cs="仿宋_GB2312"/>
          <w:kern w:val="2"/>
          <w:sz w:val="32"/>
          <w:szCs w:val="32"/>
          <w:highlight w:val="none"/>
          <w:lang w:val="en-US" w:eastAsia="zh-CN" w:bidi="ar-SA"/>
        </w:rPr>
        <w:t>附件一、文艺小分队工资补助项目支出绩效评价指标体系</w:t>
      </w:r>
      <w:bookmarkEnd w:id="103"/>
      <w:bookmarkEnd w:id="104"/>
      <w:bookmarkEnd w:id="105"/>
      <w:bookmarkEnd w:id="106"/>
      <w:bookmarkEnd w:id="107"/>
    </w:p>
    <w:p w14:paraId="64CA06C3">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8" w:name="_Toc31506"/>
      <w:bookmarkStart w:id="109" w:name="_Toc32762"/>
      <w:bookmarkStart w:id="110" w:name="_Toc19426"/>
      <w:bookmarkStart w:id="111" w:name="_Toc17647"/>
      <w:bookmarkStart w:id="112" w:name="_Toc5753"/>
      <w:r>
        <w:rPr>
          <w:rFonts w:hint="eastAsia" w:ascii="仿宋_GB2312" w:hAnsi="仿宋_GB2312" w:eastAsia="仿宋_GB2312" w:cs="仿宋_GB2312"/>
          <w:kern w:val="2"/>
          <w:sz w:val="32"/>
          <w:szCs w:val="32"/>
          <w:highlight w:val="none"/>
          <w:lang w:val="en-US" w:eastAsia="zh-CN" w:bidi="ar-SA"/>
        </w:rPr>
        <w:t>附件二、文艺小分队工资补助项目资金使用明细表</w:t>
      </w:r>
      <w:bookmarkEnd w:id="108"/>
      <w:bookmarkEnd w:id="109"/>
      <w:bookmarkEnd w:id="110"/>
      <w:bookmarkEnd w:id="111"/>
      <w:bookmarkEnd w:id="112"/>
    </w:p>
    <w:p w14:paraId="79C8810F">
      <w:pPr>
        <w:pStyle w:val="34"/>
        <w:spacing w:line="560" w:lineRule="exact"/>
        <w:ind w:firstLine="640"/>
        <w:outlineLvl w:val="0"/>
        <w:rPr>
          <w:rFonts w:hint="eastAsia" w:ascii="仿宋_GB2312" w:hAnsi="仿宋_GB2312" w:eastAsia="仿宋_GB2312" w:cs="仿宋_GB2312"/>
          <w:kern w:val="2"/>
          <w:sz w:val="32"/>
          <w:szCs w:val="32"/>
          <w:highlight w:val="none"/>
          <w:lang w:val="en-US" w:eastAsia="zh-CN" w:bidi="ar-SA"/>
        </w:rPr>
      </w:pPr>
      <w:bookmarkStart w:id="113" w:name="_Toc21161"/>
      <w:bookmarkStart w:id="114" w:name="_Toc16544"/>
      <w:bookmarkStart w:id="115" w:name="_Toc27332"/>
      <w:bookmarkStart w:id="116" w:name="_Toc22995"/>
      <w:bookmarkStart w:id="117" w:name="_Toc27746"/>
      <w:r>
        <w:rPr>
          <w:rFonts w:hint="eastAsia" w:ascii="仿宋_GB2312" w:hAnsi="仿宋_GB2312" w:eastAsia="仿宋_GB2312" w:cs="仿宋_GB2312"/>
          <w:kern w:val="2"/>
          <w:sz w:val="32"/>
          <w:szCs w:val="32"/>
          <w:highlight w:val="none"/>
          <w:lang w:val="en-US" w:eastAsia="zh-CN" w:bidi="ar-SA"/>
        </w:rPr>
        <w:t>附件三、文艺小分队工资补助项目绩效评价工作记录单</w:t>
      </w:r>
      <w:bookmarkEnd w:id="113"/>
      <w:bookmarkEnd w:id="114"/>
      <w:bookmarkEnd w:id="115"/>
      <w:bookmarkEnd w:id="116"/>
      <w:bookmarkEnd w:id="117"/>
      <w:bookmarkStart w:id="118" w:name="_Toc18769"/>
      <w:bookmarkStart w:id="119" w:name="_Toc16822"/>
      <w:bookmarkStart w:id="120" w:name="_Toc20564"/>
    </w:p>
    <w:p w14:paraId="6B21ED2F">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21" w:name="_Toc27218"/>
      <w:r>
        <w:rPr>
          <w:rFonts w:hint="eastAsia" w:ascii="仿宋_GB2312" w:hAnsi="仿宋_GB2312" w:eastAsia="仿宋_GB2312" w:cs="仿宋_GB2312"/>
          <w:kern w:val="2"/>
          <w:sz w:val="32"/>
          <w:szCs w:val="32"/>
          <w:highlight w:val="none"/>
          <w:lang w:val="en-US" w:eastAsia="zh-CN" w:bidi="ar-SA"/>
        </w:rPr>
        <w:t>附件四、文艺小分队工资补助项目调查问卷统计表</w:t>
      </w:r>
      <w:bookmarkEnd w:id="118"/>
      <w:bookmarkEnd w:id="119"/>
      <w:bookmarkEnd w:id="120"/>
      <w:bookmarkEnd w:id="121"/>
    </w:p>
    <w:p w14:paraId="229F5C82">
      <w:pPr>
        <w:widowControl/>
        <w:adjustRightInd w:val="0"/>
        <w:snapToGrid w:val="0"/>
        <w:spacing w:line="560" w:lineRule="exact"/>
        <w:jc w:val="left"/>
        <w:rPr>
          <w:rFonts w:hint="default" w:ascii="仿宋_GB2312" w:hAnsi="仿宋_GB2312" w:eastAsia="仿宋_GB2312" w:cs="仿宋_GB2312"/>
          <w:kern w:val="2"/>
          <w:sz w:val="32"/>
          <w:szCs w:val="32"/>
          <w:highlight w:val="none"/>
          <w:lang w:val="en-US" w:eastAsia="zh-CN" w:bidi="ar-SA"/>
        </w:rPr>
      </w:pPr>
    </w:p>
    <w:p w14:paraId="6F17429B">
      <w:pPr>
        <w:pStyle w:val="5"/>
        <w:rPr>
          <w:rFonts w:hint="default"/>
          <w:lang w:val="en-US" w:eastAsia="zh-CN"/>
        </w:rPr>
      </w:pPr>
    </w:p>
    <w:p w14:paraId="21AEDBF0">
      <w:pPr>
        <w:spacing w:line="560" w:lineRule="exact"/>
        <w:ind w:firstLine="640" w:firstLineChars="200"/>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中瑞诚会计师事务所</w:t>
      </w:r>
      <w:r>
        <w:rPr>
          <w:rFonts w:hint="eastAsia" w:ascii="仿宋_GB2312" w:hAnsi="仿宋" w:eastAsia="仿宋_GB2312" w:cs="宋体"/>
          <w:sz w:val="32"/>
          <w:szCs w:val="32"/>
          <w:lang w:eastAsia="zh-CN" w:bidi="ar"/>
        </w:rPr>
        <w:t>（特殊普通合伙）</w:t>
      </w:r>
      <w:r>
        <w:rPr>
          <w:rFonts w:hint="eastAsia" w:ascii="仿宋_GB2312" w:hAnsi="仿宋" w:eastAsia="仿宋_GB2312" w:cs="宋体"/>
          <w:sz w:val="32"/>
          <w:szCs w:val="32"/>
          <w:lang w:bidi="ar"/>
        </w:rPr>
        <w:t>喀什分所</w:t>
      </w:r>
    </w:p>
    <w:p w14:paraId="767AE4B5">
      <w:pPr>
        <w:spacing w:line="560" w:lineRule="exact"/>
        <w:ind w:firstLine="3827" w:firstLineChars="1196"/>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 xml:space="preserve">  </w:t>
      </w:r>
      <w:r>
        <w:rPr>
          <w:rFonts w:hint="eastAsia" w:ascii="仿宋_GB2312" w:hAnsi="仿宋" w:eastAsia="仿宋_GB2312" w:cs="宋体"/>
          <w:sz w:val="32"/>
          <w:szCs w:val="32"/>
          <w:lang w:eastAsia="zh-CN" w:bidi="ar"/>
        </w:rPr>
        <w:t>202</w:t>
      </w:r>
      <w:r>
        <w:rPr>
          <w:rFonts w:hint="eastAsia" w:ascii="仿宋_GB2312" w:hAnsi="仿宋" w:eastAsia="仿宋_GB2312" w:cs="宋体"/>
          <w:sz w:val="32"/>
          <w:szCs w:val="32"/>
          <w:lang w:val="en-US" w:eastAsia="zh-CN" w:bidi="ar"/>
        </w:rPr>
        <w:t>2</w:t>
      </w:r>
      <w:r>
        <w:rPr>
          <w:rFonts w:hint="eastAsia" w:ascii="仿宋_GB2312" w:hAnsi="仿宋" w:eastAsia="仿宋_GB2312" w:cs="宋体"/>
          <w:sz w:val="32"/>
          <w:szCs w:val="32"/>
          <w:highlight w:val="none"/>
          <w:lang w:bidi="ar"/>
        </w:rPr>
        <w:t>年</w:t>
      </w:r>
      <w:r>
        <w:rPr>
          <w:rFonts w:hint="eastAsia" w:ascii="仿宋_GB2312" w:hAnsi="仿宋" w:eastAsia="仿宋_GB2312" w:cs="宋体"/>
          <w:sz w:val="32"/>
          <w:szCs w:val="32"/>
          <w:highlight w:val="none"/>
          <w:lang w:val="en-US" w:eastAsia="zh-CN" w:bidi="ar"/>
        </w:rPr>
        <w:t>06</w:t>
      </w:r>
      <w:r>
        <w:rPr>
          <w:rFonts w:hint="eastAsia" w:ascii="仿宋_GB2312" w:hAnsi="仿宋" w:eastAsia="仿宋_GB2312" w:cs="宋体"/>
          <w:sz w:val="32"/>
          <w:szCs w:val="32"/>
          <w:lang w:bidi="ar"/>
        </w:rPr>
        <w:t>月</w:t>
      </w:r>
      <w:r>
        <w:rPr>
          <w:rFonts w:hint="eastAsia" w:ascii="仿宋_GB2312" w:hAnsi="仿宋" w:eastAsia="仿宋_GB2312" w:cs="宋体"/>
          <w:sz w:val="32"/>
          <w:szCs w:val="32"/>
          <w:lang w:val="en-US" w:eastAsia="zh-CN" w:bidi="ar"/>
        </w:rPr>
        <w:t>30</w:t>
      </w:r>
      <w:r>
        <w:rPr>
          <w:rFonts w:hint="eastAsia" w:ascii="仿宋_GB2312" w:hAnsi="仿宋" w:eastAsia="仿宋_GB2312" w:cs="宋体"/>
          <w:sz w:val="32"/>
          <w:szCs w:val="32"/>
          <w:lang w:bidi="ar"/>
        </w:rPr>
        <w:t>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F2447757-4DC0-4801-9499-743ADD7B8702}"/>
  </w:font>
  <w:font w:name="Arial">
    <w:panose1 w:val="020B0604020202020204"/>
    <w:charset w:val="01"/>
    <w:family w:val="swiss"/>
    <w:pitch w:val="default"/>
    <w:sig w:usb0="E0002EFF" w:usb1="C000785B" w:usb2="00000009" w:usb3="00000000" w:csb0="400001FF" w:csb1="FFFF0000"/>
    <w:embedRegular r:id="rId2" w:fontKey="{AF7ED702-071E-43E8-8000-C67B8F76608F}"/>
  </w:font>
  <w:font w:name="黑体">
    <w:panose1 w:val="02010609060101010101"/>
    <w:charset w:val="86"/>
    <w:family w:val="auto"/>
    <w:pitch w:val="default"/>
    <w:sig w:usb0="800002BF" w:usb1="38CF7CFA" w:usb2="00000016" w:usb3="00000000" w:csb0="00040001" w:csb1="00000000"/>
    <w:embedRegular r:id="rId3" w:fontKey="{F70DF743-9543-4EBE-AEDC-30CF7F5E71C5}"/>
  </w:font>
  <w:font w:name="Courier New">
    <w:panose1 w:val="02070309020205020404"/>
    <w:charset w:val="01"/>
    <w:family w:val="modern"/>
    <w:pitch w:val="default"/>
    <w:sig w:usb0="E0002EFF" w:usb1="C0007843" w:usb2="00000009" w:usb3="00000000" w:csb0="400001FF" w:csb1="FFFF0000"/>
    <w:embedRegular r:id="rId4" w:fontKey="{709BF04E-7B7F-4977-8FA3-32F47DC81201}"/>
  </w:font>
  <w:font w:name="Symbol">
    <w:panose1 w:val="05050102010706020507"/>
    <w:charset w:val="02"/>
    <w:family w:val="roman"/>
    <w:pitch w:val="default"/>
    <w:sig w:usb0="00000000" w:usb1="00000000" w:usb2="00000000" w:usb3="00000000" w:csb0="80000000" w:csb1="00000000"/>
    <w:embedRegular r:id="rId5" w:fontKey="{F417287E-43F6-490E-88F9-88FB8813B7C2}"/>
  </w:font>
  <w:font w:name="Calibri">
    <w:panose1 w:val="020F0502020204030204"/>
    <w:charset w:val="00"/>
    <w:family w:val="swiss"/>
    <w:pitch w:val="default"/>
    <w:sig w:usb0="E4002EFF" w:usb1="C200247B" w:usb2="00000009" w:usb3="00000000" w:csb0="200001FF" w:csb1="00000000"/>
    <w:embedRegular r:id="rId6" w:fontKey="{0A6901DD-DB8A-44F5-94D7-5D52FB628CCA}"/>
  </w:font>
  <w:font w:name="仿宋">
    <w:panose1 w:val="02010609060101010101"/>
    <w:charset w:val="86"/>
    <w:family w:val="modern"/>
    <w:pitch w:val="default"/>
    <w:sig w:usb0="800002BF" w:usb1="38CF7CFA" w:usb2="00000016" w:usb3="00000000" w:csb0="00040001" w:csb1="00000000"/>
    <w:embedRegular r:id="rId7" w:fontKey="{3D3F9136-A370-4768-9728-1B516F89E3D1}"/>
  </w:font>
  <w:font w:name="Cambria">
    <w:panose1 w:val="02040503050406030204"/>
    <w:charset w:val="00"/>
    <w:family w:val="roman"/>
    <w:pitch w:val="default"/>
    <w:sig w:usb0="E00006FF" w:usb1="420024FF" w:usb2="02000000" w:usb3="00000000" w:csb0="2000019F" w:csb1="00000000"/>
    <w:embedRegular r:id="rId8" w:fontKey="{9D912D46-8FD8-4C7A-A882-8ECC8F478662}"/>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BF0B5936-541D-47D5-A4D3-A2EA2437FFFE}"/>
  </w:font>
  <w:font w:name="方正小标宋简体">
    <w:panose1 w:val="02010601030101010101"/>
    <w:charset w:val="86"/>
    <w:family w:val="auto"/>
    <w:pitch w:val="default"/>
    <w:sig w:usb0="00000001" w:usb1="080E0000" w:usb2="00000000" w:usb3="00000000" w:csb0="00040000" w:csb1="00000000"/>
  </w:font>
  <w:font w:name="方正小标宋_GBK">
    <w:panose1 w:val="02000000000000000000"/>
    <w:charset w:val="86"/>
    <w:family w:val="script"/>
    <w:pitch w:val="default"/>
    <w:sig w:usb0="A00002BF" w:usb1="38CF7CFA" w:usb2="00082016" w:usb3="00000000" w:csb0="00040001" w:csb1="00000000"/>
    <w:embedRegular r:id="rId10" w:fontKey="{CCF1DFC5-79B8-4821-B606-B013183477F3}"/>
  </w:font>
  <w:font w:name="华文中宋">
    <w:panose1 w:val="02010600040101010101"/>
    <w:charset w:val="86"/>
    <w:family w:val="auto"/>
    <w:pitch w:val="default"/>
    <w:sig w:usb0="00000287" w:usb1="080F0000" w:usb2="00000000" w:usb3="00000000" w:csb0="0004009F" w:csb1="DFD70000"/>
    <w:embedRegular r:id="rId11" w:fontKey="{3423847F-04C0-4975-834B-D48AEE815315}"/>
  </w:font>
  <w:font w:name="楷体">
    <w:panose1 w:val="02010609060101010101"/>
    <w:charset w:val="86"/>
    <w:family w:val="modern"/>
    <w:pitch w:val="default"/>
    <w:sig w:usb0="800002BF" w:usb1="38CF7CFA" w:usb2="00000016" w:usb3="00000000" w:csb0="00040001" w:csb1="00000000"/>
    <w:embedRegular r:id="rId12" w:fontKey="{B0D6AA55-6E78-4F0A-A29C-9698230693EB}"/>
  </w:font>
  <w:font w:name="微软雅黑">
    <w:panose1 w:val="020B0503020204020204"/>
    <w:charset w:val="86"/>
    <w:family w:val="auto"/>
    <w:pitch w:val="default"/>
    <w:sig w:usb0="80000287" w:usb1="2ACF3C50" w:usb2="00000016" w:usb3="00000000" w:csb0="0004001F" w:csb1="00000000"/>
    <w:embedRegular r:id="rId13" w:fontKey="{FB7406C4-F97F-4818-8187-126926120E4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E69F86">
    <w:pPr>
      <w:pStyle w:val="1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C24F00">
                          <w:pPr>
                            <w:pStyle w:val="12"/>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14:paraId="09C24F00">
                    <w:pPr>
                      <w:pStyle w:val="12"/>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C3C38CFD"/>
    <w:multiLevelType w:val="singleLevel"/>
    <w:tmpl w:val="C3C38CFD"/>
    <w:lvl w:ilvl="0" w:tentative="0">
      <w:start w:val="3"/>
      <w:numFmt w:val="decimal"/>
      <w:suff w:val="nothing"/>
      <w:lvlText w:val="（%1）"/>
      <w:lvlJc w:val="left"/>
    </w:lvl>
  </w:abstractNum>
  <w:abstractNum w:abstractNumId="2">
    <w:nsid w:val="E8DA9C4C"/>
    <w:multiLevelType w:val="singleLevel"/>
    <w:tmpl w:val="E8DA9C4C"/>
    <w:lvl w:ilvl="0" w:tentative="0">
      <w:start w:val="5"/>
      <w:numFmt w:val="chineseCounting"/>
      <w:suff w:val="nothing"/>
      <w:lvlText w:val="（%1）"/>
      <w:lvlJc w:val="left"/>
      <w:rPr>
        <w:rFonts w:hint="eastAsia"/>
      </w:rPr>
    </w:lvl>
  </w:abstractNum>
  <w:abstractNum w:abstractNumId="3">
    <w:nsid w:val="ED537D19"/>
    <w:multiLevelType w:val="singleLevel"/>
    <w:tmpl w:val="ED537D19"/>
    <w:lvl w:ilvl="0" w:tentative="0">
      <w:start w:val="2"/>
      <w:numFmt w:val="decimal"/>
      <w:lvlText w:val="(%1)"/>
      <w:lvlJc w:val="left"/>
      <w:pPr>
        <w:tabs>
          <w:tab w:val="left" w:pos="312"/>
        </w:tabs>
      </w:pPr>
    </w:lvl>
  </w:abstractNum>
  <w:abstractNum w:abstractNumId="4">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5">
    <w:nsid w:val="3A7260C0"/>
    <w:multiLevelType w:val="multilevel"/>
    <w:tmpl w:val="3A7260C0"/>
    <w:lvl w:ilvl="0" w:tentative="0">
      <w:start w:val="1"/>
      <w:numFmt w:val="chineseCountingThousand"/>
      <w:pStyle w:val="44"/>
      <w:lvlText w:val="(%1)"/>
      <w:lvlJc w:val="left"/>
      <w:pPr>
        <w:ind w:left="988"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586DE0EC"/>
    <w:multiLevelType w:val="singleLevel"/>
    <w:tmpl w:val="586DE0EC"/>
    <w:lvl w:ilvl="0" w:tentative="0">
      <w:start w:val="1"/>
      <w:numFmt w:val="decimal"/>
      <w:suff w:val="nothing"/>
      <w:lvlText w:val="（%1）"/>
      <w:lvlJc w:val="left"/>
      <w:pPr>
        <w:ind w:left="-10"/>
      </w:pPr>
    </w:lvl>
  </w:abstractNum>
  <w:abstractNum w:abstractNumId="8">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6"/>
  </w:num>
  <w:num w:numId="2">
    <w:abstractNumId w:val="8"/>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C5968"/>
    <w:rsid w:val="017A1376"/>
    <w:rsid w:val="019C1042"/>
    <w:rsid w:val="01D976F9"/>
    <w:rsid w:val="01DB05CA"/>
    <w:rsid w:val="02C624B1"/>
    <w:rsid w:val="02E24B65"/>
    <w:rsid w:val="02FE187B"/>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4F027C"/>
    <w:rsid w:val="06766A33"/>
    <w:rsid w:val="068D2C76"/>
    <w:rsid w:val="06D21523"/>
    <w:rsid w:val="072D56D3"/>
    <w:rsid w:val="073076D9"/>
    <w:rsid w:val="07722B91"/>
    <w:rsid w:val="07867BF0"/>
    <w:rsid w:val="07E36243"/>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704B97"/>
    <w:rsid w:val="0FCC46EF"/>
    <w:rsid w:val="104D2185"/>
    <w:rsid w:val="107E409D"/>
    <w:rsid w:val="10F351D8"/>
    <w:rsid w:val="10F54453"/>
    <w:rsid w:val="10FE360A"/>
    <w:rsid w:val="110A197C"/>
    <w:rsid w:val="11542761"/>
    <w:rsid w:val="1188035B"/>
    <w:rsid w:val="11C16297"/>
    <w:rsid w:val="11C87659"/>
    <w:rsid w:val="11F87298"/>
    <w:rsid w:val="128D210B"/>
    <w:rsid w:val="12940E0B"/>
    <w:rsid w:val="12BC68F7"/>
    <w:rsid w:val="12EB67CB"/>
    <w:rsid w:val="131D1FC0"/>
    <w:rsid w:val="13200321"/>
    <w:rsid w:val="133E3F47"/>
    <w:rsid w:val="13B24862"/>
    <w:rsid w:val="14530434"/>
    <w:rsid w:val="145D32C7"/>
    <w:rsid w:val="14FD2BB2"/>
    <w:rsid w:val="151547B8"/>
    <w:rsid w:val="15294C1C"/>
    <w:rsid w:val="154510DF"/>
    <w:rsid w:val="16181B81"/>
    <w:rsid w:val="163E45AA"/>
    <w:rsid w:val="16453E27"/>
    <w:rsid w:val="16465A40"/>
    <w:rsid w:val="16AD702C"/>
    <w:rsid w:val="16DC0C0D"/>
    <w:rsid w:val="16DD6B31"/>
    <w:rsid w:val="17461C62"/>
    <w:rsid w:val="17AA48DE"/>
    <w:rsid w:val="17E62AA7"/>
    <w:rsid w:val="17EF2C21"/>
    <w:rsid w:val="17F4424E"/>
    <w:rsid w:val="189A61CB"/>
    <w:rsid w:val="18EF46F1"/>
    <w:rsid w:val="19165ED3"/>
    <w:rsid w:val="196116C8"/>
    <w:rsid w:val="19837757"/>
    <w:rsid w:val="1A2447D6"/>
    <w:rsid w:val="1A4F2ED7"/>
    <w:rsid w:val="1A6B70D6"/>
    <w:rsid w:val="1BDB434B"/>
    <w:rsid w:val="1BFF75B4"/>
    <w:rsid w:val="1CCD3ED3"/>
    <w:rsid w:val="1D0826D3"/>
    <w:rsid w:val="1D3C33F2"/>
    <w:rsid w:val="1D74030A"/>
    <w:rsid w:val="1E1910DF"/>
    <w:rsid w:val="1E765D9E"/>
    <w:rsid w:val="1E852558"/>
    <w:rsid w:val="1EA43555"/>
    <w:rsid w:val="1EC62B79"/>
    <w:rsid w:val="1F270062"/>
    <w:rsid w:val="1F3D026E"/>
    <w:rsid w:val="1F4024E6"/>
    <w:rsid w:val="1F8054F8"/>
    <w:rsid w:val="1FC90F95"/>
    <w:rsid w:val="201A26D0"/>
    <w:rsid w:val="20413C5F"/>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3DE067B"/>
    <w:rsid w:val="2449672E"/>
    <w:rsid w:val="25177E64"/>
    <w:rsid w:val="25BC2B1C"/>
    <w:rsid w:val="26311933"/>
    <w:rsid w:val="263521FC"/>
    <w:rsid w:val="26A02230"/>
    <w:rsid w:val="26A946F1"/>
    <w:rsid w:val="270F717E"/>
    <w:rsid w:val="27430DFA"/>
    <w:rsid w:val="27995B71"/>
    <w:rsid w:val="27D23000"/>
    <w:rsid w:val="287F0225"/>
    <w:rsid w:val="2888633C"/>
    <w:rsid w:val="28967876"/>
    <w:rsid w:val="28DC6D8D"/>
    <w:rsid w:val="28E658A2"/>
    <w:rsid w:val="2934369F"/>
    <w:rsid w:val="293539E2"/>
    <w:rsid w:val="294806D3"/>
    <w:rsid w:val="29584F90"/>
    <w:rsid w:val="29601992"/>
    <w:rsid w:val="29700F10"/>
    <w:rsid w:val="29C75BF1"/>
    <w:rsid w:val="2A3537E9"/>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270E95"/>
    <w:rsid w:val="2D3B7778"/>
    <w:rsid w:val="2DA43847"/>
    <w:rsid w:val="2DBF0548"/>
    <w:rsid w:val="2DDB109D"/>
    <w:rsid w:val="2DE67EA2"/>
    <w:rsid w:val="2E28596F"/>
    <w:rsid w:val="2E503645"/>
    <w:rsid w:val="2E8F6D9B"/>
    <w:rsid w:val="2E943024"/>
    <w:rsid w:val="2F545A81"/>
    <w:rsid w:val="2F676C11"/>
    <w:rsid w:val="2F6D2B41"/>
    <w:rsid w:val="301532EA"/>
    <w:rsid w:val="30377C0B"/>
    <w:rsid w:val="303C7515"/>
    <w:rsid w:val="30450F97"/>
    <w:rsid w:val="30592DBB"/>
    <w:rsid w:val="309B5AA8"/>
    <w:rsid w:val="30D74F49"/>
    <w:rsid w:val="31032936"/>
    <w:rsid w:val="310E7A63"/>
    <w:rsid w:val="315F2B6B"/>
    <w:rsid w:val="31C75A19"/>
    <w:rsid w:val="31F65444"/>
    <w:rsid w:val="31FD2DFF"/>
    <w:rsid w:val="31FE1724"/>
    <w:rsid w:val="32393EA5"/>
    <w:rsid w:val="32505F18"/>
    <w:rsid w:val="325B5CA8"/>
    <w:rsid w:val="32844C58"/>
    <w:rsid w:val="32E57142"/>
    <w:rsid w:val="330149B7"/>
    <w:rsid w:val="33062B8C"/>
    <w:rsid w:val="3314415B"/>
    <w:rsid w:val="3373322C"/>
    <w:rsid w:val="343E2D93"/>
    <w:rsid w:val="345D70F2"/>
    <w:rsid w:val="348A0827"/>
    <w:rsid w:val="34DF4479"/>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D556C3"/>
    <w:rsid w:val="384A7A41"/>
    <w:rsid w:val="385B2EF8"/>
    <w:rsid w:val="38905D39"/>
    <w:rsid w:val="38A774A1"/>
    <w:rsid w:val="38B2148E"/>
    <w:rsid w:val="38C068C5"/>
    <w:rsid w:val="38D94CED"/>
    <w:rsid w:val="391E1F52"/>
    <w:rsid w:val="39465DF3"/>
    <w:rsid w:val="394A5FF0"/>
    <w:rsid w:val="396B5391"/>
    <w:rsid w:val="3A593B03"/>
    <w:rsid w:val="3A7845C1"/>
    <w:rsid w:val="3A914A27"/>
    <w:rsid w:val="3AB86BC6"/>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E8E6854"/>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5438C"/>
    <w:rsid w:val="42CE1FCF"/>
    <w:rsid w:val="431E58B7"/>
    <w:rsid w:val="432B278D"/>
    <w:rsid w:val="43825D54"/>
    <w:rsid w:val="4388488F"/>
    <w:rsid w:val="43A8521B"/>
    <w:rsid w:val="443326F0"/>
    <w:rsid w:val="444D3426"/>
    <w:rsid w:val="446737BF"/>
    <w:rsid w:val="447A6FA6"/>
    <w:rsid w:val="449E3F2F"/>
    <w:rsid w:val="4553243B"/>
    <w:rsid w:val="45834774"/>
    <w:rsid w:val="459C3C24"/>
    <w:rsid w:val="45A80E97"/>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F66B8"/>
    <w:rsid w:val="4A432BA3"/>
    <w:rsid w:val="4A72756B"/>
    <w:rsid w:val="4A797541"/>
    <w:rsid w:val="4A7F5FCD"/>
    <w:rsid w:val="4B010B09"/>
    <w:rsid w:val="4BC149DF"/>
    <w:rsid w:val="4BE30283"/>
    <w:rsid w:val="4BF37B2C"/>
    <w:rsid w:val="4CF31CB8"/>
    <w:rsid w:val="4D1E0B50"/>
    <w:rsid w:val="4D917D31"/>
    <w:rsid w:val="4E002236"/>
    <w:rsid w:val="4E4179EE"/>
    <w:rsid w:val="4E470433"/>
    <w:rsid w:val="4E767DC2"/>
    <w:rsid w:val="4E8F6F3C"/>
    <w:rsid w:val="4ED57ECB"/>
    <w:rsid w:val="4F9F7B0F"/>
    <w:rsid w:val="4FCE03C2"/>
    <w:rsid w:val="50372AC6"/>
    <w:rsid w:val="50F66874"/>
    <w:rsid w:val="510711CE"/>
    <w:rsid w:val="512438F2"/>
    <w:rsid w:val="512B0AEB"/>
    <w:rsid w:val="51B24506"/>
    <w:rsid w:val="51C90B72"/>
    <w:rsid w:val="5232471E"/>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AE5125"/>
    <w:rsid w:val="56443477"/>
    <w:rsid w:val="56686407"/>
    <w:rsid w:val="5670694D"/>
    <w:rsid w:val="568203C1"/>
    <w:rsid w:val="5692044B"/>
    <w:rsid w:val="570C6A4D"/>
    <w:rsid w:val="57200AAC"/>
    <w:rsid w:val="57400FAC"/>
    <w:rsid w:val="57FA77E0"/>
    <w:rsid w:val="588472F7"/>
    <w:rsid w:val="58E443C8"/>
    <w:rsid w:val="58F12371"/>
    <w:rsid w:val="590B4AF5"/>
    <w:rsid w:val="59255366"/>
    <w:rsid w:val="592E3D42"/>
    <w:rsid w:val="5957077D"/>
    <w:rsid w:val="5A0679B5"/>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EC3733"/>
    <w:rsid w:val="5E324CFB"/>
    <w:rsid w:val="5EAE580E"/>
    <w:rsid w:val="5F3351B1"/>
    <w:rsid w:val="5F373A61"/>
    <w:rsid w:val="5F6A0D11"/>
    <w:rsid w:val="5F6D6775"/>
    <w:rsid w:val="60091B2F"/>
    <w:rsid w:val="601B7887"/>
    <w:rsid w:val="60666BAE"/>
    <w:rsid w:val="60CB6295"/>
    <w:rsid w:val="60EF3577"/>
    <w:rsid w:val="612F2FC5"/>
    <w:rsid w:val="61810DAC"/>
    <w:rsid w:val="61BA34EB"/>
    <w:rsid w:val="61F64342"/>
    <w:rsid w:val="62361D20"/>
    <w:rsid w:val="624F1FFB"/>
    <w:rsid w:val="626838A5"/>
    <w:rsid w:val="62743A36"/>
    <w:rsid w:val="62B214F1"/>
    <w:rsid w:val="62BD4A25"/>
    <w:rsid w:val="63146D7E"/>
    <w:rsid w:val="63230500"/>
    <w:rsid w:val="63513D97"/>
    <w:rsid w:val="63920A42"/>
    <w:rsid w:val="64760EA5"/>
    <w:rsid w:val="64963F53"/>
    <w:rsid w:val="64C32216"/>
    <w:rsid w:val="64CC30EB"/>
    <w:rsid w:val="64D85CAF"/>
    <w:rsid w:val="64E67343"/>
    <w:rsid w:val="65240CFF"/>
    <w:rsid w:val="65611872"/>
    <w:rsid w:val="656C6C0C"/>
    <w:rsid w:val="663B0545"/>
    <w:rsid w:val="663C6FD7"/>
    <w:rsid w:val="664A1A6A"/>
    <w:rsid w:val="66690A9C"/>
    <w:rsid w:val="66846F63"/>
    <w:rsid w:val="66AE6963"/>
    <w:rsid w:val="66B5704E"/>
    <w:rsid w:val="66EF19E5"/>
    <w:rsid w:val="67F3262C"/>
    <w:rsid w:val="67F72DF6"/>
    <w:rsid w:val="6801064C"/>
    <w:rsid w:val="68083B50"/>
    <w:rsid w:val="680B3A79"/>
    <w:rsid w:val="686F0A84"/>
    <w:rsid w:val="688E629F"/>
    <w:rsid w:val="68917166"/>
    <w:rsid w:val="68CE2566"/>
    <w:rsid w:val="68DF4C87"/>
    <w:rsid w:val="69006B8C"/>
    <w:rsid w:val="69603B4A"/>
    <w:rsid w:val="696320E7"/>
    <w:rsid w:val="698A6289"/>
    <w:rsid w:val="69AB5865"/>
    <w:rsid w:val="6A295EBD"/>
    <w:rsid w:val="6A6352C7"/>
    <w:rsid w:val="6ACD7664"/>
    <w:rsid w:val="6B224577"/>
    <w:rsid w:val="6B3063AB"/>
    <w:rsid w:val="6B785364"/>
    <w:rsid w:val="6BC87F76"/>
    <w:rsid w:val="6C0A4E0D"/>
    <w:rsid w:val="6C2B0249"/>
    <w:rsid w:val="6D011978"/>
    <w:rsid w:val="6D4C7577"/>
    <w:rsid w:val="6D614BA0"/>
    <w:rsid w:val="6DF40034"/>
    <w:rsid w:val="6DFB3AAB"/>
    <w:rsid w:val="6E296577"/>
    <w:rsid w:val="6E2E7467"/>
    <w:rsid w:val="6E8B3828"/>
    <w:rsid w:val="6EE82A97"/>
    <w:rsid w:val="6F2548C9"/>
    <w:rsid w:val="6F65704C"/>
    <w:rsid w:val="6F670D3C"/>
    <w:rsid w:val="6F806D7A"/>
    <w:rsid w:val="6F885E0E"/>
    <w:rsid w:val="6FB00B6F"/>
    <w:rsid w:val="705742C5"/>
    <w:rsid w:val="708519A6"/>
    <w:rsid w:val="70953AEF"/>
    <w:rsid w:val="70D84686"/>
    <w:rsid w:val="71103916"/>
    <w:rsid w:val="711B49BC"/>
    <w:rsid w:val="714C6B86"/>
    <w:rsid w:val="71697858"/>
    <w:rsid w:val="717C4FF8"/>
    <w:rsid w:val="718F2948"/>
    <w:rsid w:val="71C10EE3"/>
    <w:rsid w:val="71DA1C11"/>
    <w:rsid w:val="71F32CE0"/>
    <w:rsid w:val="721754DD"/>
    <w:rsid w:val="72D47A43"/>
    <w:rsid w:val="738144AE"/>
    <w:rsid w:val="73A94202"/>
    <w:rsid w:val="73D5303E"/>
    <w:rsid w:val="73F0565F"/>
    <w:rsid w:val="740E54B7"/>
    <w:rsid w:val="74557BA0"/>
    <w:rsid w:val="74667C0C"/>
    <w:rsid w:val="74750532"/>
    <w:rsid w:val="74A2489D"/>
    <w:rsid w:val="74DA6C11"/>
    <w:rsid w:val="750931DA"/>
    <w:rsid w:val="754427F8"/>
    <w:rsid w:val="75642364"/>
    <w:rsid w:val="756A176D"/>
    <w:rsid w:val="757B2EFF"/>
    <w:rsid w:val="757C60BA"/>
    <w:rsid w:val="75AC36CE"/>
    <w:rsid w:val="75B24016"/>
    <w:rsid w:val="75B93025"/>
    <w:rsid w:val="75C31316"/>
    <w:rsid w:val="75CC3D65"/>
    <w:rsid w:val="75D14FF0"/>
    <w:rsid w:val="75FE6729"/>
    <w:rsid w:val="760E4EC1"/>
    <w:rsid w:val="76207A89"/>
    <w:rsid w:val="762F3558"/>
    <w:rsid w:val="763B1F21"/>
    <w:rsid w:val="76826103"/>
    <w:rsid w:val="770316D3"/>
    <w:rsid w:val="773548BB"/>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8B1DF6"/>
    <w:rsid w:val="7B9A69BB"/>
    <w:rsid w:val="7BAC4808"/>
    <w:rsid w:val="7BE76D09"/>
    <w:rsid w:val="7C1169AE"/>
    <w:rsid w:val="7C616904"/>
    <w:rsid w:val="7C646F65"/>
    <w:rsid w:val="7C8A7419"/>
    <w:rsid w:val="7C8E315C"/>
    <w:rsid w:val="7C9F4A04"/>
    <w:rsid w:val="7D5C5C78"/>
    <w:rsid w:val="7E0000DB"/>
    <w:rsid w:val="7E0D7ED1"/>
    <w:rsid w:val="7E5129C6"/>
    <w:rsid w:val="7E8B57D8"/>
    <w:rsid w:val="7F0510C2"/>
    <w:rsid w:val="7F0C4881"/>
    <w:rsid w:val="7F305838"/>
    <w:rsid w:val="7F3B73BA"/>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2"/>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3"/>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5">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2">
    <w:name w:val="Plain Text"/>
    <w:basedOn w:val="1"/>
    <w:qFormat/>
    <w:uiPriority w:val="0"/>
    <w:rPr>
      <w:rFonts w:ascii="宋体" w:hAnsi="Courier New"/>
    </w:rPr>
  </w:style>
  <w:style w:type="paragraph" w:styleId="6">
    <w:name w:val="caption"/>
    <w:basedOn w:val="1"/>
    <w:next w:val="1"/>
    <w:unhideWhenUsed/>
    <w:qFormat/>
    <w:uiPriority w:val="35"/>
    <w:rPr>
      <w:rFonts w:eastAsia="黑体" w:asciiTheme="majorHAnsi" w:hAnsiTheme="majorHAnsi" w:cstheme="majorBidi"/>
      <w:sz w:val="20"/>
      <w:szCs w:val="20"/>
    </w:rPr>
  </w:style>
  <w:style w:type="paragraph" w:styleId="7">
    <w:name w:val="annotation text"/>
    <w:basedOn w:val="1"/>
    <w:link w:val="39"/>
    <w:semiHidden/>
    <w:unhideWhenUsed/>
    <w:qFormat/>
    <w:uiPriority w:val="99"/>
    <w:pPr>
      <w:jc w:val="left"/>
    </w:pPr>
  </w:style>
  <w:style w:type="paragraph" w:styleId="8">
    <w:name w:val="Body Text"/>
    <w:basedOn w:val="1"/>
    <w:qFormat/>
    <w:uiPriority w:val="0"/>
  </w:style>
  <w:style w:type="paragraph" w:styleId="9">
    <w:name w:val="Body Text Indent"/>
    <w:basedOn w:val="1"/>
    <w:qFormat/>
    <w:uiPriority w:val="0"/>
    <w:pPr>
      <w:ind w:firstLine="660"/>
    </w:pPr>
    <w:rPr>
      <w:sz w:val="30"/>
    </w:rPr>
  </w:style>
  <w:style w:type="paragraph" w:styleId="10">
    <w:name w:val="toc 3"/>
    <w:basedOn w:val="1"/>
    <w:next w:val="1"/>
    <w:semiHidden/>
    <w:unhideWhenUsed/>
    <w:qFormat/>
    <w:uiPriority w:val="39"/>
    <w:pPr>
      <w:ind w:left="840" w:leftChars="400"/>
    </w:pPr>
  </w:style>
  <w:style w:type="paragraph" w:styleId="11">
    <w:name w:val="Balloon Text"/>
    <w:basedOn w:val="1"/>
    <w:link w:val="38"/>
    <w:semiHidden/>
    <w:unhideWhenUsed/>
    <w:qFormat/>
    <w:uiPriority w:val="99"/>
    <w:rPr>
      <w:sz w:val="18"/>
      <w:szCs w:val="18"/>
    </w:rPr>
  </w:style>
  <w:style w:type="paragraph" w:styleId="12">
    <w:name w:val="footer"/>
    <w:basedOn w:val="1"/>
    <w:link w:val="30"/>
    <w:unhideWhenUsed/>
    <w:qFormat/>
    <w:uiPriority w:val="99"/>
    <w:pPr>
      <w:tabs>
        <w:tab w:val="center" w:pos="4153"/>
        <w:tab w:val="right" w:pos="8306"/>
      </w:tabs>
      <w:snapToGrid w:val="0"/>
      <w:jc w:val="left"/>
    </w:pPr>
    <w:rPr>
      <w:sz w:val="18"/>
      <w:szCs w:val="18"/>
    </w:rPr>
  </w:style>
  <w:style w:type="paragraph" w:styleId="13">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rPr>
      <w:rFonts w:ascii="Times New Roman" w:hAnsi="Times New Roman" w:eastAsia="宋体" w:cs="Times New Roman"/>
    </w:rPr>
  </w:style>
  <w:style w:type="paragraph" w:styleId="15">
    <w:name w:val="toc 2"/>
    <w:basedOn w:val="1"/>
    <w:next w:val="1"/>
    <w:semiHidden/>
    <w:unhideWhenUsed/>
    <w:qFormat/>
    <w:uiPriority w:val="39"/>
    <w:pPr>
      <w:ind w:left="420" w:leftChars="200"/>
    </w:pPr>
  </w:style>
  <w:style w:type="paragraph" w:styleId="16">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7">
    <w:name w:val="annotation subject"/>
    <w:basedOn w:val="7"/>
    <w:next w:val="7"/>
    <w:link w:val="40"/>
    <w:semiHidden/>
    <w:unhideWhenUsed/>
    <w:qFormat/>
    <w:uiPriority w:val="99"/>
    <w:rPr>
      <w:b/>
      <w:bCs/>
    </w:rPr>
  </w:style>
  <w:style w:type="paragraph" w:styleId="18">
    <w:name w:val="Body Text First Indent"/>
    <w:basedOn w:val="8"/>
    <w:semiHidden/>
    <w:unhideWhenUsed/>
    <w:qFormat/>
    <w:uiPriority w:val="99"/>
    <w:pPr>
      <w:ind w:firstLine="420" w:firstLineChars="100"/>
    </w:pPr>
  </w:style>
  <w:style w:type="paragraph" w:styleId="19">
    <w:name w:val="Body Text First Indent 2"/>
    <w:basedOn w:val="9"/>
    <w:qFormat/>
    <w:uiPriority w:val="0"/>
    <w:pPr>
      <w:tabs>
        <w:tab w:val="left" w:pos="180"/>
        <w:tab w:val="left" w:pos="540"/>
      </w:tabs>
      <w:ind w:firstLine="420" w:firstLineChars="200"/>
    </w:pPr>
  </w:style>
  <w:style w:type="table" w:styleId="21">
    <w:name w:val="Table Grid"/>
    <w:basedOn w:val="2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Strong"/>
    <w:basedOn w:val="22"/>
    <w:qFormat/>
    <w:uiPriority w:val="0"/>
    <w:rPr>
      <w:b/>
      <w:bCs/>
    </w:rPr>
  </w:style>
  <w:style w:type="character" w:styleId="24">
    <w:name w:val="FollowedHyperlink"/>
    <w:basedOn w:val="22"/>
    <w:semiHidden/>
    <w:unhideWhenUsed/>
    <w:qFormat/>
    <w:uiPriority w:val="99"/>
    <w:rPr>
      <w:color w:val="000000"/>
      <w:u w:val="none"/>
    </w:rPr>
  </w:style>
  <w:style w:type="character" w:styleId="25">
    <w:name w:val="Emphasis"/>
    <w:basedOn w:val="22"/>
    <w:qFormat/>
    <w:uiPriority w:val="20"/>
  </w:style>
  <w:style w:type="character" w:styleId="26">
    <w:name w:val="Hyperlink"/>
    <w:basedOn w:val="22"/>
    <w:semiHidden/>
    <w:unhideWhenUsed/>
    <w:qFormat/>
    <w:uiPriority w:val="99"/>
    <w:rPr>
      <w:color w:val="000000"/>
      <w:u w:val="none"/>
    </w:rPr>
  </w:style>
  <w:style w:type="character" w:styleId="27">
    <w:name w:val="annotation reference"/>
    <w:basedOn w:val="22"/>
    <w:semiHidden/>
    <w:unhideWhenUsed/>
    <w:qFormat/>
    <w:uiPriority w:val="99"/>
    <w:rPr>
      <w:sz w:val="21"/>
      <w:szCs w:val="21"/>
    </w:rPr>
  </w:style>
  <w:style w:type="paragraph" w:customStyle="1" w:styleId="28">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9">
    <w:name w:val="页眉 Char"/>
    <w:basedOn w:val="22"/>
    <w:link w:val="13"/>
    <w:qFormat/>
    <w:uiPriority w:val="99"/>
    <w:rPr>
      <w:sz w:val="18"/>
      <w:szCs w:val="18"/>
    </w:rPr>
  </w:style>
  <w:style w:type="character" w:customStyle="1" w:styleId="30">
    <w:name w:val="页脚 Char"/>
    <w:basedOn w:val="22"/>
    <w:link w:val="12"/>
    <w:qFormat/>
    <w:uiPriority w:val="99"/>
    <w:rPr>
      <w:sz w:val="18"/>
      <w:szCs w:val="18"/>
    </w:rPr>
  </w:style>
  <w:style w:type="character" w:customStyle="1" w:styleId="31">
    <w:name w:val="font41"/>
    <w:basedOn w:val="22"/>
    <w:qFormat/>
    <w:uiPriority w:val="0"/>
    <w:rPr>
      <w:rFonts w:ascii="仿宋_GB2312" w:eastAsia="仿宋_GB2312" w:cs="仿宋_GB2312"/>
      <w:color w:val="000000"/>
      <w:sz w:val="24"/>
      <w:szCs w:val="24"/>
      <w:u w:val="none"/>
    </w:rPr>
  </w:style>
  <w:style w:type="character" w:customStyle="1" w:styleId="32">
    <w:name w:val="标题 1 Char"/>
    <w:basedOn w:val="22"/>
    <w:link w:val="3"/>
    <w:qFormat/>
    <w:uiPriority w:val="9"/>
    <w:rPr>
      <w:rFonts w:eastAsia="仿宋"/>
      <w:b/>
      <w:bCs/>
      <w:kern w:val="44"/>
      <w:sz w:val="32"/>
      <w:szCs w:val="44"/>
    </w:rPr>
  </w:style>
  <w:style w:type="character" w:customStyle="1" w:styleId="33">
    <w:name w:val="标题 2 Char"/>
    <w:basedOn w:val="22"/>
    <w:link w:val="4"/>
    <w:qFormat/>
    <w:uiPriority w:val="9"/>
    <w:rPr>
      <w:rFonts w:eastAsia="仿宋" w:asciiTheme="majorHAnsi" w:hAnsiTheme="majorHAnsi" w:cstheme="majorBidi"/>
      <w:bCs/>
      <w:sz w:val="32"/>
      <w:szCs w:val="32"/>
    </w:rPr>
  </w:style>
  <w:style w:type="paragraph" w:styleId="34">
    <w:name w:val="List Paragraph"/>
    <w:basedOn w:val="1"/>
    <w:qFormat/>
    <w:uiPriority w:val="34"/>
    <w:pPr>
      <w:ind w:firstLine="420" w:firstLineChars="200"/>
    </w:pPr>
  </w:style>
  <w:style w:type="paragraph" w:customStyle="1" w:styleId="35">
    <w:name w:val="WPSOffice手动目录 1"/>
    <w:qFormat/>
    <w:uiPriority w:val="0"/>
    <w:rPr>
      <w:rFonts w:asciiTheme="minorHAnsi" w:hAnsiTheme="minorHAnsi" w:eastAsiaTheme="minorEastAsia" w:cstheme="minorBidi"/>
      <w:lang w:val="en-US" w:eastAsia="zh-CN" w:bidi="ar-SA"/>
    </w:rPr>
  </w:style>
  <w:style w:type="paragraph" w:customStyle="1" w:styleId="36">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7">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8">
    <w:name w:val="批注框文本 Char"/>
    <w:basedOn w:val="22"/>
    <w:link w:val="11"/>
    <w:semiHidden/>
    <w:qFormat/>
    <w:uiPriority w:val="99"/>
    <w:rPr>
      <w:kern w:val="2"/>
      <w:sz w:val="18"/>
      <w:szCs w:val="18"/>
    </w:rPr>
  </w:style>
  <w:style w:type="character" w:customStyle="1" w:styleId="39">
    <w:name w:val="批注文字 Char"/>
    <w:basedOn w:val="22"/>
    <w:link w:val="7"/>
    <w:semiHidden/>
    <w:qFormat/>
    <w:uiPriority w:val="99"/>
    <w:rPr>
      <w:kern w:val="2"/>
      <w:sz w:val="21"/>
      <w:szCs w:val="24"/>
    </w:rPr>
  </w:style>
  <w:style w:type="character" w:customStyle="1" w:styleId="40">
    <w:name w:val="批注主题 Char"/>
    <w:basedOn w:val="39"/>
    <w:link w:val="17"/>
    <w:semiHidden/>
    <w:qFormat/>
    <w:uiPriority w:val="99"/>
    <w:rPr>
      <w:b/>
      <w:bCs/>
      <w:kern w:val="2"/>
      <w:sz w:val="21"/>
      <w:szCs w:val="24"/>
    </w:rPr>
  </w:style>
  <w:style w:type="paragraph" w:customStyle="1" w:styleId="41">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2">
    <w:name w:val="列表段落1"/>
    <w:basedOn w:val="1"/>
    <w:qFormat/>
    <w:uiPriority w:val="34"/>
    <w:pPr>
      <w:ind w:firstLine="420" w:firstLineChars="200"/>
    </w:pPr>
  </w:style>
  <w:style w:type="paragraph" w:customStyle="1" w:styleId="43">
    <w:name w:val="无间隔1"/>
    <w:basedOn w:val="1"/>
    <w:qFormat/>
    <w:uiPriority w:val="1"/>
  </w:style>
  <w:style w:type="paragraph" w:customStyle="1" w:styleId="44">
    <w:name w:val="标题2"/>
    <w:basedOn w:val="4"/>
    <w:qFormat/>
    <w:uiPriority w:val="0"/>
    <w:pPr>
      <w:numPr>
        <w:ilvl w:val="0"/>
        <w:numId w:val="3"/>
      </w:numPr>
      <w:spacing w:before="120" w:after="120" w:line="500" w:lineRule="exact"/>
    </w:pPr>
    <w:rPr>
      <w:rFonts w:ascii="仿宋_GB2312" w:eastAsia="仿宋_GB2312" w:cs="Times New Roman"/>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25</Pages>
  <Words>11207</Words>
  <Characters>11809</Characters>
  <Lines>79</Lines>
  <Paragraphs>22</Paragraphs>
  <TotalTime>120</TotalTime>
  <ScaleCrop>false</ScaleCrop>
  <LinksUpToDate>false</LinksUpToDate>
  <CharactersWithSpaces>11892</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如果_见或不见</cp:lastModifiedBy>
  <cp:lastPrinted>2021-07-28T10:34:00Z</cp:lastPrinted>
  <dcterms:modified xsi:type="dcterms:W3CDTF">2025-03-12T11:11:25Z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A8312BA226C94F5A884B33DB13DDFAF3</vt:lpwstr>
  </property>
  <property fmtid="{D5CDD505-2E9C-101B-9397-08002B2CF9AE}" pid="4" name="KSOSaveFontToCloudKey">
    <vt:lpwstr>999270995_embed</vt:lpwstr>
  </property>
  <property fmtid="{D5CDD505-2E9C-101B-9397-08002B2CF9AE}" pid="5" name="KSOTemplateDocerSaveRecord">
    <vt:lpwstr>eyJoZGlkIjoiMWZhNjI1MTE2MjcwNzhiZTRjMjFkZjExZjVmNjlkZGMiLCJ1c2VySWQiOiIzOTg2MTgwNzQifQ==</vt:lpwstr>
  </property>
</Properties>
</file>