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185A83">
      <w:pPr>
        <w:jc w:val="both"/>
        <w:rPr>
          <w:rFonts w:ascii="微软雅黑" w:hAnsi="黑体" w:eastAsia="微软雅黑" w:cs="宋体"/>
          <w:kern w:val="0"/>
          <w:sz w:val="44"/>
          <w:szCs w:val="44"/>
        </w:rPr>
      </w:pPr>
    </w:p>
    <w:p w14:paraId="05C4FD04">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洛浦县人力资源和社会保障局</w:t>
      </w:r>
    </w:p>
    <w:p w14:paraId="09B7B98C">
      <w:pPr>
        <w:jc w:val="center"/>
        <w:rPr>
          <w:rFonts w:hint="eastAsia" w:ascii="仿宋" w:hAnsi="仿宋" w:eastAsia="仿宋" w:cs="仿宋"/>
          <w:b/>
          <w:bCs/>
          <w:kern w:val="0"/>
          <w:sz w:val="44"/>
          <w:szCs w:val="44"/>
          <w:highlight w:val="none"/>
          <w:lang w:val="en-US" w:eastAsia="zh-CN"/>
        </w:rPr>
      </w:pPr>
      <w:r>
        <w:rPr>
          <w:rFonts w:hint="eastAsia" w:ascii="微软雅黑" w:hAnsi="微软雅黑" w:eastAsia="微软雅黑" w:cs="微软雅黑"/>
          <w:b w:val="0"/>
          <w:bCs w:val="0"/>
          <w:kern w:val="0"/>
          <w:sz w:val="44"/>
          <w:szCs w:val="44"/>
          <w:lang w:eastAsia="zh-CN"/>
        </w:rPr>
        <w:t xml:space="preserve"> 发制品企业出勤、工资奖励资金项目</w:t>
      </w:r>
    </w:p>
    <w:p w14:paraId="24C856A7">
      <w:pPr>
        <w:rPr>
          <w:rFonts w:hint="eastAsia" w:ascii="仿宋" w:hAnsi="仿宋" w:eastAsia="仿宋" w:cs="仿宋"/>
          <w:b/>
          <w:bCs/>
          <w:kern w:val="0"/>
          <w:sz w:val="24"/>
        </w:rPr>
      </w:pPr>
    </w:p>
    <w:p w14:paraId="5888F471">
      <w:pPr>
        <w:rPr>
          <w:rFonts w:hint="eastAsia" w:ascii="仿宋" w:hAnsi="仿宋" w:eastAsia="仿宋" w:cs="仿宋"/>
          <w:b/>
          <w:bCs/>
          <w:kern w:val="0"/>
          <w:sz w:val="24"/>
        </w:rPr>
      </w:pPr>
    </w:p>
    <w:p w14:paraId="439D953A">
      <w:pPr>
        <w:rPr>
          <w:rFonts w:hint="eastAsia" w:ascii="仿宋" w:hAnsi="仿宋" w:eastAsia="仿宋" w:cs="仿宋"/>
          <w:b/>
          <w:bCs/>
          <w:kern w:val="0"/>
          <w:sz w:val="24"/>
        </w:rPr>
      </w:pPr>
    </w:p>
    <w:p w14:paraId="6C82286E">
      <w:pPr>
        <w:rPr>
          <w:rFonts w:hint="eastAsia" w:ascii="仿宋" w:hAnsi="仿宋" w:eastAsia="仿宋" w:cs="仿宋"/>
          <w:b/>
          <w:bCs/>
          <w:kern w:val="0"/>
          <w:sz w:val="24"/>
        </w:rPr>
      </w:pPr>
    </w:p>
    <w:p w14:paraId="6D2DA9D5">
      <w:pPr>
        <w:rPr>
          <w:rFonts w:hint="eastAsia" w:ascii="仿宋" w:hAnsi="仿宋" w:eastAsia="仿宋" w:cs="仿宋"/>
          <w:b/>
          <w:bCs/>
          <w:kern w:val="0"/>
          <w:sz w:val="24"/>
        </w:rPr>
      </w:pPr>
    </w:p>
    <w:p w14:paraId="1CA4EF53">
      <w:pPr>
        <w:rPr>
          <w:rFonts w:hint="eastAsia" w:ascii="仿宋" w:hAnsi="仿宋" w:eastAsia="仿宋" w:cs="仿宋"/>
          <w:b/>
          <w:bCs/>
          <w:kern w:val="0"/>
          <w:sz w:val="24"/>
        </w:rPr>
      </w:pPr>
    </w:p>
    <w:p w14:paraId="34DF63EA">
      <w:pPr>
        <w:rPr>
          <w:rFonts w:hint="eastAsia" w:ascii="仿宋" w:hAnsi="仿宋" w:eastAsia="仿宋" w:cs="仿宋"/>
          <w:b/>
          <w:bCs/>
          <w:kern w:val="0"/>
          <w:sz w:val="24"/>
        </w:rPr>
      </w:pPr>
    </w:p>
    <w:p w14:paraId="207A4CCF">
      <w:pPr>
        <w:jc w:val="center"/>
        <w:rPr>
          <w:rFonts w:hint="eastAsia" w:ascii="仿宋" w:hAnsi="仿宋" w:eastAsia="仿宋" w:cs="仿宋"/>
          <w:b/>
          <w:bCs/>
          <w:kern w:val="0"/>
          <w:sz w:val="72"/>
          <w:szCs w:val="72"/>
        </w:rPr>
      </w:pPr>
      <w:r>
        <w:rPr>
          <w:rFonts w:hint="eastAsia" w:ascii="仿宋" w:hAnsi="仿宋" w:eastAsia="仿宋" w:cs="仿宋"/>
          <w:b/>
          <w:bCs/>
          <w:kern w:val="0"/>
          <w:sz w:val="72"/>
          <w:szCs w:val="72"/>
        </w:rPr>
        <w:t>绩效评价报告</w:t>
      </w:r>
    </w:p>
    <w:p w14:paraId="7585A309">
      <w:pPr>
        <w:rPr>
          <w:rFonts w:ascii="Times New Roman" w:hAnsi="黑体" w:eastAsia="黑体" w:cs="宋体"/>
          <w:kern w:val="0"/>
          <w:sz w:val="24"/>
        </w:rPr>
      </w:pPr>
    </w:p>
    <w:p w14:paraId="2AD522AF">
      <w:pPr>
        <w:rPr>
          <w:rFonts w:ascii="Times New Roman" w:hAnsi="黑体" w:eastAsia="黑体" w:cs="宋体"/>
          <w:kern w:val="0"/>
          <w:sz w:val="24"/>
        </w:rPr>
      </w:pPr>
    </w:p>
    <w:p w14:paraId="61A7E6F9">
      <w:pPr>
        <w:rPr>
          <w:rFonts w:ascii="Times New Roman" w:hAnsi="黑体" w:eastAsia="黑体" w:cs="宋体"/>
          <w:kern w:val="0"/>
          <w:sz w:val="24"/>
        </w:rPr>
      </w:pPr>
    </w:p>
    <w:p w14:paraId="08C4FFC4">
      <w:pPr>
        <w:rPr>
          <w:rFonts w:ascii="Times New Roman" w:hAnsi="黑体" w:eastAsia="黑体" w:cs="宋体"/>
          <w:kern w:val="0"/>
          <w:sz w:val="24"/>
        </w:rPr>
      </w:pPr>
    </w:p>
    <w:p w14:paraId="580BB6CA">
      <w:pPr>
        <w:rPr>
          <w:rFonts w:ascii="Times New Roman" w:hAnsi="黑体" w:eastAsia="黑体" w:cs="宋体"/>
          <w:kern w:val="0"/>
          <w:sz w:val="24"/>
        </w:rPr>
      </w:pPr>
    </w:p>
    <w:p w14:paraId="05E1ABEA">
      <w:pPr>
        <w:rPr>
          <w:rFonts w:ascii="Times New Roman" w:hAnsi="黑体" w:eastAsia="黑体" w:cs="宋体"/>
          <w:kern w:val="0"/>
          <w:sz w:val="24"/>
        </w:rPr>
      </w:pPr>
    </w:p>
    <w:p w14:paraId="0252F42B">
      <w:pPr>
        <w:rPr>
          <w:rFonts w:ascii="Times New Roman" w:hAnsi="黑体" w:eastAsia="黑体" w:cs="宋体"/>
          <w:kern w:val="0"/>
          <w:sz w:val="24"/>
        </w:rPr>
      </w:pPr>
    </w:p>
    <w:p w14:paraId="26726F19">
      <w:pPr>
        <w:rPr>
          <w:rFonts w:ascii="Times New Roman" w:hAnsi="黑体" w:eastAsia="黑体" w:cs="宋体"/>
          <w:kern w:val="0"/>
          <w:sz w:val="24"/>
        </w:rPr>
      </w:pPr>
    </w:p>
    <w:p w14:paraId="1B08DFDB">
      <w:pPr>
        <w:pStyle w:val="5"/>
        <w:numPr>
          <w:ilvl w:val="0"/>
          <w:numId w:val="0"/>
        </w:numPr>
        <w:ind w:leftChars="0"/>
        <w:rPr>
          <w:rFonts w:ascii="Times New Roman" w:hAnsi="黑体" w:eastAsia="黑体" w:cs="宋体"/>
          <w:kern w:val="0"/>
          <w:sz w:val="24"/>
        </w:rPr>
      </w:pPr>
    </w:p>
    <w:p w14:paraId="626305CA"/>
    <w:p w14:paraId="3EB41080">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中瑞诚喀绩评字[2021]</w:t>
      </w:r>
      <w:r>
        <w:rPr>
          <w:rFonts w:hint="eastAsia" w:ascii="黑体" w:hAnsi="黑体" w:eastAsia="黑体" w:cs="宋体"/>
          <w:kern w:val="0"/>
          <w:sz w:val="24"/>
          <w:highlight w:val="none"/>
          <w:lang w:val="en-US" w:eastAsia="zh-CN"/>
        </w:rPr>
        <w:t>149</w:t>
      </w:r>
      <w:r>
        <w:rPr>
          <w:rFonts w:hint="eastAsia" w:ascii="黑体" w:hAnsi="黑体" w:eastAsia="黑体" w:cs="宋体"/>
          <w:kern w:val="0"/>
          <w:sz w:val="24"/>
          <w:highlight w:val="none"/>
        </w:rPr>
        <w:t>号</w:t>
      </w:r>
    </w:p>
    <w:p w14:paraId="13F1D889">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14:paraId="6C210750">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338E6F50">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p w14:paraId="3F146278">
      <w:pPr>
        <w:pStyle w:val="6"/>
        <w:rPr>
          <w:highlight w:val="none"/>
        </w:rPr>
      </w:pP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717CADE9">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14:paraId="59451D5B">
            <w:pPr>
              <w:widowControl/>
              <w:jc w:val="left"/>
              <w:textAlignment w:val="center"/>
              <w:rPr>
                <w:rFonts w:hint="eastAsia" w:ascii="黑体" w:hAnsi="宋体" w:eastAsia="黑体" w:cs="黑体"/>
                <w:color w:val="000000"/>
                <w:sz w:val="24"/>
                <w:highlight w:val="none"/>
                <w:lang w:eastAsia="zh-CN"/>
              </w:rPr>
            </w:pPr>
            <w:r>
              <w:rPr>
                <w:rFonts w:hint="eastAsia" w:ascii="黑体" w:hAnsi="宋体" w:eastAsia="黑体" w:cs="黑体"/>
                <w:color w:val="000000"/>
                <w:kern w:val="0"/>
                <w:sz w:val="24"/>
                <w:highlight w:val="none"/>
              </w:rPr>
              <w:t>评价分值：</w:t>
            </w:r>
            <w:r>
              <w:rPr>
                <w:rFonts w:hint="eastAsia" w:ascii="黑体" w:hAnsi="宋体" w:eastAsia="黑体" w:cs="黑体"/>
                <w:color w:val="000000"/>
                <w:kern w:val="0"/>
                <w:sz w:val="24"/>
                <w:highlight w:val="none"/>
                <w:lang w:val="en-US" w:eastAsia="zh-CN"/>
              </w:rPr>
              <w:t>99.85</w:t>
            </w:r>
            <w:r>
              <w:rPr>
                <w:rFonts w:hint="eastAsia" w:ascii="黑体" w:hAnsi="宋体" w:eastAsia="黑体" w:cs="黑体"/>
                <w:color w:val="000000"/>
                <w:kern w:val="0"/>
                <w:sz w:val="24"/>
                <w:highlight w:val="none"/>
              </w:rPr>
              <w:t>评价等级：</w:t>
            </w:r>
            <w:r>
              <w:rPr>
                <w:rFonts w:hint="eastAsia" w:ascii="黑体" w:hAnsi="宋体" w:eastAsia="黑体" w:cs="黑体"/>
                <w:color w:val="000000"/>
                <w:kern w:val="0"/>
                <w:sz w:val="24"/>
                <w:highlight w:val="none"/>
                <w:lang w:val="en-US" w:eastAsia="zh-CN"/>
              </w:rPr>
              <w:t>优</w:t>
            </w:r>
          </w:p>
        </w:tc>
      </w:tr>
      <w:tr w14:paraId="3675A29D">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3659A6AF">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14:paraId="3447B3C2">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72719457">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14:paraId="46896034">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A09BF">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2B8D109C">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 xml:space="preserve"> 发制品企业出勤、工资奖励资金项目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6A043E9">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6F682">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1</w:t>
            </w:r>
          </w:p>
        </w:tc>
      </w:tr>
      <w:tr w14:paraId="49604204">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9044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247F5A76">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5FAE9A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7D13C2C">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14:paraId="1268E72A">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1587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FDB9908">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洛浦县人力资源和社会保障局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4F9126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284F946">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祖尔皮亚13109904283</w:t>
            </w:r>
          </w:p>
        </w:tc>
      </w:tr>
      <w:tr w14:paraId="01C4ED60">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4C17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9F55967">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E5B9A31">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1C40988">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99.71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F5B22DF">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81D45">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优</w:t>
            </w:r>
          </w:p>
        </w:tc>
      </w:tr>
      <w:tr w14:paraId="389246B8">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7BE8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2CEB72A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33EBA54">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default" w:ascii="仿宋_GB2312" w:hAnsi="宋体" w:eastAsia="仿宋_GB2312" w:cs="仿宋_GB2312"/>
                <w:color w:val="000000"/>
                <w:sz w:val="20"/>
                <w:szCs w:val="20"/>
                <w:lang w:val="en-US" w:eastAsia="zh-CN"/>
              </w:rPr>
              <w:t>183.51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46E66D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A9AC39D">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default" w:ascii="仿宋_GB2312" w:hAnsi="宋体" w:eastAsia="仿宋_GB2312" w:cs="仿宋_GB2312"/>
                <w:color w:val="000000"/>
                <w:sz w:val="20"/>
                <w:szCs w:val="20"/>
                <w:lang w:val="en-US"/>
              </w:rPr>
              <w:t>183.02</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3DD4BE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EAEBB">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571120F1">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B3033">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lang w:val="en-US" w:eastAsia="zh-CN"/>
              </w:rPr>
              <w:t>本级</w:t>
            </w:r>
            <w:r>
              <w:rPr>
                <w:rFonts w:hint="eastAsia" w:ascii="黑体" w:hAnsi="宋体" w:eastAsia="黑体" w:cs="黑体"/>
                <w:color w:val="000000"/>
                <w:kern w:val="0"/>
                <w:sz w:val="20"/>
                <w:szCs w:val="20"/>
                <w:highlight w:val="none"/>
              </w:rPr>
              <w:t>财政资金</w:t>
            </w:r>
          </w:p>
          <w:p w14:paraId="02CD089B">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4B84A4A">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default" w:ascii="仿宋_GB2312" w:hAnsi="宋体" w:eastAsia="仿宋_GB2312" w:cs="仿宋_GB2312"/>
                <w:color w:val="000000"/>
                <w:sz w:val="20"/>
                <w:szCs w:val="20"/>
                <w:highlight w:val="none"/>
                <w:lang w:val="en-US"/>
              </w:rPr>
              <w:t>183.02</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6D9E27F">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lang w:val="en-US" w:eastAsia="zh-CN"/>
              </w:rPr>
              <w:t>本级</w:t>
            </w:r>
            <w:r>
              <w:rPr>
                <w:rFonts w:hint="eastAsia" w:ascii="黑体" w:hAnsi="宋体" w:eastAsia="黑体" w:cs="黑体"/>
                <w:color w:val="000000"/>
                <w:kern w:val="0"/>
                <w:sz w:val="20"/>
                <w:szCs w:val="20"/>
                <w:highlight w:val="none"/>
              </w:rPr>
              <w:t>财政资金</w:t>
            </w:r>
          </w:p>
          <w:p w14:paraId="472C5074">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9572B9D">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default" w:ascii="仿宋_GB2312" w:hAnsi="宋体" w:eastAsia="仿宋_GB2312" w:cs="仿宋_GB2312"/>
                <w:color w:val="000000"/>
                <w:sz w:val="20"/>
                <w:szCs w:val="20"/>
                <w:highlight w:val="none"/>
                <w:lang w:val="en-US"/>
              </w:rPr>
              <w:t>183.02</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C98E210">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中央财政资金</w:t>
            </w:r>
          </w:p>
          <w:p w14:paraId="07D1295F">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A20AA6">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99.73%</w:t>
            </w:r>
          </w:p>
        </w:tc>
      </w:tr>
      <w:tr w14:paraId="776C47AE">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C954C">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5D67092">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9AAB5BD">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76DEA7C">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658D465">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6549F">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r>
      <w:tr w14:paraId="10399328">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F907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7920532">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0404B7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2105657">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2EB7D6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DE8B5">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6FF8E0F2">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0B8FCAD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37D7C15C">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7B433186">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3954195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5CE0C41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722D2DAA">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1B92035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30C2FC2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9282FEA">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w:t>
            </w:r>
          </w:p>
        </w:tc>
      </w:tr>
      <w:tr w14:paraId="51F98621">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69175B9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048744C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2EB2C8FC">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150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7512624B">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651E4082">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7E3456B4">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150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083422E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5EBDC076">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3C64114B">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30085175">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8C51314">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05D1059C">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2A85BA20">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仿宋_GB2312" w:hAnsi="宋体" w:eastAsia="仿宋_GB2312" w:cs="仿宋_GB2312"/>
                <w:color w:val="000000"/>
                <w:sz w:val="20"/>
                <w:szCs w:val="20"/>
                <w:lang w:val="en-US" w:eastAsia="zh-CN"/>
              </w:rPr>
            </w:pPr>
            <w:r>
              <w:rPr>
                <w:rFonts w:hint="eastAsia" w:ascii="仿宋_GB2312" w:hAnsi="仿宋_GB2312" w:eastAsia="仿宋_GB2312" w:cs="仿宋_GB2312"/>
                <w:kern w:val="2"/>
                <w:sz w:val="20"/>
                <w:szCs w:val="20"/>
                <w:highlight w:val="none"/>
                <w:lang w:val="en-US" w:eastAsia="zh-CN" w:bidi="ar"/>
              </w:rPr>
              <w:t>该项目已完成发放2500名员工出勤激励补贴，2600名员工工资激励奖，涉及企业为34个，</w:t>
            </w:r>
            <w:r>
              <w:rPr>
                <w:rFonts w:hint="eastAsia" w:ascii="仿宋_GB2312" w:hAnsi="仿宋_GB2312" w:eastAsia="仿宋_GB2312" w:cs="仿宋_GB2312"/>
                <w:kern w:val="2"/>
                <w:sz w:val="20"/>
                <w:szCs w:val="20"/>
                <w:highlight w:val="none"/>
                <w:lang w:val="en-US" w:eastAsia="zh-CN" w:bidi="ar-SA"/>
              </w:rPr>
              <w:t>通过该项目实施，充分调动了企业生产积极性，激励员工主观能动性，实现了员工工资稳步提升，企业效益高效增长。</w:t>
            </w:r>
          </w:p>
        </w:tc>
      </w:tr>
      <w:tr w14:paraId="41F9B7FB">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49E551B8">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03385242">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7C7B0764">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default" w:ascii="仿宋_GB2312" w:hAnsi="宋体" w:eastAsia="仿宋_GB2312" w:cs="仿宋_GB2312"/>
                <w:color w:val="000000"/>
                <w:sz w:val="20"/>
                <w:szCs w:val="20"/>
                <w:highlight w:val="yellow"/>
                <w:lang w:val="en-US" w:eastAsia="zh-CN"/>
              </w:rPr>
            </w:pPr>
            <w:r>
              <w:rPr>
                <w:rFonts w:hint="eastAsia" w:ascii="仿宋_GB2312" w:hAnsi="仿宋_GB2312" w:eastAsia="仿宋_GB2312" w:cs="仿宋_GB2312"/>
                <w:kern w:val="2"/>
                <w:sz w:val="20"/>
                <w:szCs w:val="20"/>
                <w:highlight w:val="none"/>
                <w:lang w:val="en-US" w:eastAsia="zh-CN" w:bidi="ar-SA"/>
              </w:rPr>
              <w:t>员工出勤激励补贴享受人数预期值为大于等于2600人，实际完成2500人，享受补贴企业个数预期值为大于等于35个，实际完成34个，年初预期指标设置偏高。</w:t>
            </w:r>
          </w:p>
        </w:tc>
      </w:tr>
      <w:tr w14:paraId="5B6ABAD7">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2193966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704189E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1C1BA091">
            <w:pPr>
              <w:pStyle w:val="33"/>
              <w:keepNext w:val="0"/>
              <w:keepLines w:val="0"/>
              <w:pageBreakBefore w:val="0"/>
              <w:widowControl w:val="0"/>
              <w:tabs>
                <w:tab w:val="left" w:pos="1559"/>
              </w:tabs>
              <w:kinsoku/>
              <w:wordWrap/>
              <w:overflowPunct/>
              <w:topLinePunct w:val="0"/>
              <w:autoSpaceDE/>
              <w:autoSpaceDN/>
              <w:bidi w:val="0"/>
              <w:adjustRightInd w:val="0"/>
              <w:snapToGrid w:val="0"/>
              <w:spacing w:line="240" w:lineRule="exact"/>
              <w:ind w:firstLine="0" w:firstLineChars="0"/>
              <w:textAlignment w:val="auto"/>
              <w:outlineLvl w:val="2"/>
              <w:rPr>
                <w:rFonts w:hint="default" w:ascii="仿宋_GB2312" w:hAnsi="宋体" w:eastAsia="仿宋_GB2312" w:cs="仿宋_GB2312"/>
                <w:color w:val="000000"/>
                <w:sz w:val="20"/>
                <w:szCs w:val="20"/>
                <w:lang w:val="en-US" w:eastAsia="zh-CN"/>
              </w:rPr>
            </w:pPr>
            <w:r>
              <w:rPr>
                <w:rFonts w:hint="eastAsia" w:ascii="仿宋_GB2312" w:hAnsi="仿宋_GB2312" w:eastAsia="仿宋_GB2312" w:cs="仿宋_GB2312"/>
                <w:kern w:val="2"/>
                <w:sz w:val="20"/>
                <w:szCs w:val="20"/>
                <w:highlight w:val="none"/>
                <w:lang w:val="en-US" w:eastAsia="zh-CN" w:bidi="ar-SA"/>
              </w:rPr>
              <w:t>加强预算绩效管理工作的重视度，在准备项目前期资料之前要做好历史数据参考，现场调研，了解本县具体情况及形势等工作，确保项目年初预期数据与年底实际数据偏差为零或极小，并进一步提高财政资金使用效率。</w:t>
            </w:r>
          </w:p>
        </w:tc>
      </w:tr>
      <w:tr w14:paraId="72CA5F33">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6BA3CF8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55F5E759">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6DF57E31">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1745442E">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489EEE64">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5579371C">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7C37E1B7">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11B44E11">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561D8858">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3650E6F2">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149</w:t>
            </w:r>
            <w:r>
              <w:rPr>
                <w:rFonts w:hint="eastAsia" w:ascii="黑体" w:hAnsi="黑体" w:eastAsia="黑体" w:cs="仿宋_GB2312"/>
                <w:color w:val="000000"/>
                <w:sz w:val="20"/>
                <w:szCs w:val="20"/>
              </w:rPr>
              <w:t>号</w:t>
            </w:r>
          </w:p>
        </w:tc>
      </w:tr>
      <w:tr w14:paraId="672AE5A1">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53139ACA">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2CBD112A">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35CE4572">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5384B2BB">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2571461C">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4A401CC7">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0110C5F6">
      <w:pPr>
        <w:pStyle w:val="14"/>
        <w:tabs>
          <w:tab w:val="right" w:leader="dot" w:pos="8302"/>
        </w:tabs>
        <w:jc w:val="center"/>
        <w:rPr>
          <w:rFonts w:hint="eastAsia" w:ascii="微软雅黑" w:hAnsi="微软雅黑" w:eastAsia="微软雅黑" w:cs="微软雅黑"/>
          <w:b w:val="0"/>
          <w:bCs w:val="0"/>
          <w:sz w:val="44"/>
          <w:szCs w:val="44"/>
        </w:rPr>
      </w:pPr>
      <w:r>
        <w:rPr>
          <w:rFonts w:hint="eastAsia" w:ascii="微软雅黑" w:hAnsi="微软雅黑" w:eastAsia="微软雅黑" w:cs="微软雅黑"/>
          <w:b w:val="0"/>
          <w:bCs w:val="0"/>
          <w:sz w:val="44"/>
          <w:szCs w:val="44"/>
        </w:rPr>
        <w:t>摘   要</w:t>
      </w:r>
    </w:p>
    <w:p w14:paraId="016E036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受洛浦县财政局委托，中瑞诚会计师事务所（特殊普通合伙）喀什分所作为第三方评价机构于2021年01月01日至2022年06月30日对洛浦县人力资源和社会保障局管理的 发制品企业出勤、工资奖励资金项目开展了绩效评价，评价情况如下：</w:t>
      </w:r>
    </w:p>
    <w:p w14:paraId="75803911">
      <w:p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一、项目概述</w:t>
      </w:r>
      <w:bookmarkEnd w:id="0"/>
    </w:p>
    <w:p w14:paraId="44168E5A">
      <w:p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bookmarkStart w:id="1" w:name="_Toc4382"/>
      <w:r>
        <w:rPr>
          <w:rFonts w:hint="eastAsia" w:ascii="仿宋_GB2312" w:hAnsi="宋体" w:eastAsia="仿宋_GB2312" w:cs="仿宋_GB2312"/>
          <w:color w:val="000000"/>
          <w:sz w:val="32"/>
          <w:szCs w:val="32"/>
          <w:highlight w:val="none"/>
          <w:lang w:val="en-US" w:eastAsia="zh-CN"/>
        </w:rPr>
        <w:t>结合关于印发《洛浦县发制品产业发展振兴计划（2020-2022年）》（洛政办发〔2019〕88号）的通知，关于印发《洛浦县关于进一步扶持发制品产业发展实施方案》的通知（洛政办发〔2019〕93号）和《2019年新疆维吾尔自治区和田行署地十次会议纪要》的文件精神，为坚决落实自治区、地区对发制品产业发展的决策部署，努力将发制品产业打造成我县扶贫领域的支柱产业，全力创建国家级发制品研究生产基地，加大对洛浦县发展发制品产业的支持力度，有利于持续发挥发制品产业在产业脱贫、带动就业、出口创汇效益等方面的带动作用，有得做在做强发制品产业、优化调整产业结构，增强经济发展后劲以及加强员工工作积极性，洛浦县人民政府第三十九次常务会议研究同意《洛浦县关于进一步扶持发制品产业发展实施方案（试行）》（洛政办发〔2019〕93号），并申请该项目实施。</w:t>
      </w:r>
    </w:p>
    <w:p w14:paraId="1756C0A8">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14:paraId="682D69E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57A8906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26958284">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31E70A2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7D3E7ABB">
      <w:pPr>
        <w:adjustRightInd w:val="0"/>
        <w:snapToGrid w:val="0"/>
        <w:spacing w:line="560" w:lineRule="exact"/>
        <w:ind w:firstLine="640" w:firstLineChars="200"/>
        <w:jc w:val="left"/>
        <w:outlineLvl w:val="0"/>
        <w:rPr>
          <w:rFonts w:hint="eastAsia" w:ascii="黑体" w:hAnsi="黑体" w:eastAsia="黑体" w:cs="宋体"/>
          <w:sz w:val="32"/>
          <w:szCs w:val="32"/>
          <w:highlight w:val="none"/>
        </w:rPr>
      </w:pPr>
      <w:r>
        <w:rPr>
          <w:rFonts w:hint="eastAsia" w:ascii="黑体" w:hAnsi="黑体" w:eastAsia="黑体" w:cs="宋体"/>
          <w:sz w:val="32"/>
          <w:szCs w:val="32"/>
          <w:highlight w:val="none"/>
        </w:rPr>
        <w:t>四、评价结论</w:t>
      </w:r>
      <w:bookmarkEnd w:id="4"/>
    </w:p>
    <w:p w14:paraId="178CCEA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经综合评价，项目得分为99.85分，其中：项目决策得分20分、项目过程得分19.99分；项目产出得分29.86分、项目效益得分30分，评价等级为优。</w:t>
      </w:r>
    </w:p>
    <w:p w14:paraId="2C453FF2">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183.51万元，实际支出183.02万元，预算资金执行率99.97%。通过文件研读、实地调研、数据分析等方式，全面了解该项目的使用效果，项目管理过程较规范；总的来看，该项目的实施扶持发制品企业做大做强，充分调动企业生产积极性，激励员工主观能动性，实现员工工资稳步提升，企业效益高效增长。</w:t>
      </w:r>
    </w:p>
    <w:p w14:paraId="2584E547">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7F434402">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 w:name="_Toc19437"/>
      <w:bookmarkStart w:id="7" w:name="_Toc22139"/>
      <w:bookmarkStart w:id="8" w:name="_Toc11063"/>
      <w:bookmarkStart w:id="9" w:name="_Toc24350"/>
      <w:bookmarkStart w:id="10" w:name="_Toc5400"/>
      <w:bookmarkStart w:id="11" w:name="_Toc6009"/>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14:paraId="3E162AD9">
      <w:pPr>
        <w:pStyle w:val="33"/>
        <w:adjustRightInd w:val="0"/>
        <w:snapToGrid w:val="0"/>
        <w:spacing w:line="560" w:lineRule="exact"/>
        <w:outlineLvl w:val="1"/>
        <w:rPr>
          <w:rFonts w:hint="eastAsia" w:ascii="仿宋_GB2312" w:hAnsi="仿宋_GB2312" w:eastAsia="仿宋_GB2312" w:cs="仿宋_GB2312"/>
          <w:kern w:val="2"/>
          <w:sz w:val="32"/>
          <w:szCs w:val="32"/>
          <w:highlight w:val="none"/>
          <w:lang w:val="en-US" w:eastAsia="zh-CN" w:bidi="ar-SA"/>
        </w:rPr>
      </w:pPr>
      <w:bookmarkStart w:id="12" w:name="_Toc23428"/>
      <w:bookmarkStart w:id="13" w:name="_Toc3933"/>
      <w:bookmarkStart w:id="14" w:name="_Toc21456"/>
      <w:bookmarkStart w:id="15" w:name="_Toc25341"/>
      <w:bookmarkStart w:id="16" w:name="_Toc13719"/>
      <w:bookmarkStart w:id="17" w:name="_Toc32170"/>
      <w:r>
        <w:rPr>
          <w:rFonts w:hint="eastAsia" w:ascii="仿宋_GB2312" w:hAnsi="仿宋_GB2312" w:eastAsia="仿宋_GB2312" w:cs="仿宋_GB2312"/>
          <w:kern w:val="2"/>
          <w:sz w:val="32"/>
          <w:szCs w:val="32"/>
          <w:highlight w:val="none"/>
          <w:lang w:val="en-US" w:eastAsia="zh-CN" w:bidi="ar-SA"/>
        </w:rPr>
        <w:t>员工出勤激励补贴享受人数预期值为大于等于2600人，实际完成2500人，享受补贴企业个数预期值为大于等于35个，实际完成34个，年初预期指标设置偏高。</w:t>
      </w:r>
    </w:p>
    <w:p w14:paraId="52190F3A">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14:paraId="4F70ACAB">
      <w:pPr>
        <w:ind w:firstLine="640" w:firstLineChars="200"/>
        <w:jc w:val="both"/>
        <w:rPr>
          <w:rFonts w:hint="eastAsia" w:ascii="黑体" w:hAnsi="黑体" w:eastAsia="黑体" w:cs="黑体"/>
          <w:b w:val="0"/>
          <w:bCs w:val="0"/>
          <w:sz w:val="44"/>
          <w:szCs w:val="44"/>
        </w:rPr>
      </w:pPr>
      <w:r>
        <w:rPr>
          <w:rFonts w:hint="eastAsia" w:ascii="仿宋_GB2312" w:hAnsi="仿宋_GB2312" w:eastAsia="仿宋_GB2312" w:cs="仿宋_GB2312"/>
          <w:kern w:val="2"/>
          <w:sz w:val="32"/>
          <w:szCs w:val="32"/>
          <w:highlight w:val="none"/>
          <w:lang w:val="en-US" w:eastAsia="zh-CN" w:bidi="ar-SA"/>
        </w:rPr>
        <w:t>加强预算绩效管理工作的重视度，在准备项目前期资料之前要做好历史数据参考，现场调研，了解本县具体情况及形势等工作，确保项目年初预期数据与年底实际数据偏差为零或极小，并进一步提高财政资金使用效率。</w:t>
      </w:r>
    </w:p>
    <w:p w14:paraId="2518506F">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697D9784">
      <w:pPr>
        <w:jc w:val="center"/>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6AA15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18D39C2C">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117E2B7C">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36F3461D">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33B88F81">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0CBAB7D2">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6FC498F5">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68C11B4F">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7FE38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4ADFF66D">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215DE0C1">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3362AF5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325B37B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2FD530E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31E29BCE">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0A5C3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7AAA0085">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5B82664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08781179">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3BDAEB35">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77632B8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1B525F3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206FD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6F857B7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38448AB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77CE1D3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14:paraId="791F1E8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060B0E1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1BC7BE96">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2E7F5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14:paraId="5C67F96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60EB76C8">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159C02C4">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38E53F5F">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44CA1B92">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1E76760D">
            <w:pPr>
              <w:pStyle w:val="14"/>
              <w:tabs>
                <w:tab w:val="right" w:leader="dot" w:pos="8302"/>
              </w:tabs>
              <w:spacing w:line="340" w:lineRule="exact"/>
              <w:jc w:val="center"/>
              <w:rPr>
                <w:rFonts w:ascii="仿宋_GB2312" w:hAnsi="黑体" w:eastAsia="仿宋_GB2312" w:cs="宋体"/>
                <w:kern w:val="0"/>
                <w:sz w:val="24"/>
              </w:rPr>
            </w:pPr>
          </w:p>
        </w:tc>
      </w:tr>
      <w:tr w14:paraId="62C7F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46FF08E7">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2B550671">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23C2E16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317877B6">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43CC2F0B">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7AA47C73">
            <w:pPr>
              <w:pStyle w:val="14"/>
              <w:tabs>
                <w:tab w:val="right" w:leader="dot" w:pos="8302"/>
              </w:tabs>
              <w:spacing w:line="340" w:lineRule="exact"/>
              <w:jc w:val="center"/>
              <w:rPr>
                <w:rFonts w:ascii="仿宋_GB2312" w:hAnsi="黑体" w:eastAsia="仿宋_GB2312" w:cs="宋体"/>
                <w:kern w:val="0"/>
                <w:sz w:val="24"/>
              </w:rPr>
            </w:pPr>
          </w:p>
        </w:tc>
      </w:tr>
    </w:tbl>
    <w:p w14:paraId="4BF2EB9B">
      <w:pPr>
        <w:ind w:firstLine="640" w:firstLineChars="200"/>
        <w:rPr>
          <w:rFonts w:ascii="仿宋_GB2312" w:eastAsia="仿宋_GB2312"/>
          <w:sz w:val="32"/>
          <w:szCs w:val="32"/>
        </w:rPr>
      </w:pPr>
    </w:p>
    <w:p w14:paraId="0FCF8F01">
      <w:pPr>
        <w:pStyle w:val="14"/>
        <w:tabs>
          <w:tab w:val="right" w:leader="dot" w:pos="8302"/>
        </w:tabs>
        <w:spacing w:line="340" w:lineRule="exact"/>
        <w:rPr>
          <w:rFonts w:ascii="黑体" w:hAnsi="黑体" w:eastAsia="黑体" w:cs="宋体"/>
          <w:sz w:val="24"/>
        </w:rPr>
      </w:pPr>
    </w:p>
    <w:p w14:paraId="60EB1279"/>
    <w:p w14:paraId="5E9685EF">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14:paraId="245C1C4D">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74A05C1A">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1C8DC32E">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7EB3F39B">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01DEE04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75B68EFE">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52969B99">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4CAA7F7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175A3B9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5A5BDE8D">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7CB9BE38">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74F8E866">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4A1F2E6E">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56B1CC5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3C6E8F7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42762E8C">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1E8E4FA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5088A7F9">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3A83944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6D714B28">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673B03F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4DD4587F">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50C6BD2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6CEBAE76">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47EABBC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2D57E56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6840EED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6521DC3C">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7BD7B4EA">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257EE3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38F579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01E4365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3F8C163C">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530C4CD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2C2FDB8E">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5D77F96D">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15B4AA4E">
      <w:pPr>
        <w:pStyle w:val="14"/>
        <w:tabs>
          <w:tab w:val="right" w:leader="dot" w:pos="8302"/>
        </w:tabs>
        <w:spacing w:line="340" w:lineRule="exact"/>
        <w:rPr>
          <w:rFonts w:ascii="黑体" w:hAnsi="黑体" w:eastAsia="黑体" w:cs="宋体"/>
          <w:sz w:val="32"/>
          <w:szCs w:val="32"/>
        </w:rPr>
      </w:pPr>
    </w:p>
    <w:p w14:paraId="0389EE8F">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0B0A4522">
      <w:pPr>
        <w:spacing w:line="600" w:lineRule="exact"/>
        <w:jc w:val="center"/>
        <w:outlineLvl w:val="9"/>
        <w:rPr>
          <w:rFonts w:hint="eastAsia" w:ascii="华文中宋" w:hAnsi="华文中宋" w:eastAsia="华文中宋" w:cs="华文中宋"/>
          <w:b/>
          <w:bCs/>
          <w:sz w:val="44"/>
          <w:szCs w:val="44"/>
          <w:lang w:eastAsia="zh-CN"/>
        </w:rPr>
      </w:pPr>
      <w:bookmarkStart w:id="19" w:name="_Toc16603"/>
      <w:bookmarkStart w:id="20" w:name="_Toc7636"/>
      <w:bookmarkStart w:id="21" w:name="_Toc31819"/>
      <w:bookmarkStart w:id="22" w:name="_Toc19311"/>
      <w:bookmarkStart w:id="23" w:name="_Toc24347"/>
      <w:bookmarkStart w:id="24" w:name="_Toc14725"/>
      <w:bookmarkStart w:id="25" w:name="_Toc12923"/>
      <w:bookmarkStart w:id="26" w:name="_Toc1397"/>
      <w:bookmarkStart w:id="27" w:name="_Toc29218"/>
      <w:bookmarkStart w:id="28" w:name="_Toc28273"/>
      <w:r>
        <w:rPr>
          <w:rFonts w:hint="eastAsia" w:ascii="华文中宋" w:hAnsi="华文中宋" w:eastAsia="华文中宋" w:cs="华文中宋"/>
          <w:b/>
          <w:bCs/>
          <w:sz w:val="44"/>
          <w:szCs w:val="44"/>
          <w:lang w:eastAsia="zh-CN"/>
        </w:rPr>
        <w:t>洛浦县 发制品企业出勤、工资奖励资金项目绩效评价报告</w:t>
      </w:r>
      <w:bookmarkEnd w:id="18"/>
      <w:bookmarkEnd w:id="19"/>
      <w:bookmarkEnd w:id="20"/>
      <w:bookmarkEnd w:id="21"/>
      <w:bookmarkEnd w:id="22"/>
      <w:bookmarkEnd w:id="23"/>
      <w:bookmarkEnd w:id="24"/>
      <w:bookmarkEnd w:id="25"/>
      <w:bookmarkEnd w:id="26"/>
      <w:bookmarkEnd w:id="27"/>
      <w:bookmarkEnd w:id="28"/>
    </w:p>
    <w:p w14:paraId="13D7C058">
      <w:pPr>
        <w:adjustRightInd w:val="0"/>
        <w:snapToGrid w:val="0"/>
        <w:spacing w:line="560" w:lineRule="exact"/>
        <w:ind w:firstLine="640" w:firstLineChars="200"/>
        <w:jc w:val="left"/>
        <w:outlineLvl w:val="9"/>
        <w:rPr>
          <w:rFonts w:hint="eastAsia" w:ascii="黑体" w:hAnsi="黑体" w:eastAsia="黑体" w:cs="宋体"/>
          <w:sz w:val="32"/>
          <w:szCs w:val="32"/>
        </w:rPr>
      </w:pPr>
    </w:p>
    <w:p w14:paraId="1E785351">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00608F1F">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58747F6C">
      <w:pPr>
        <w:pStyle w:val="33"/>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0B350495">
      <w:pPr>
        <w:pStyle w:val="33"/>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14:paraId="247BBD52">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工艺发是以人发为原料，经工艺加工而成的假发制品。发制品有上百年的历史,历届政府都很重视这个行业的发展,是特色产业之一,在拉动区域就业、出口创汇、对外开放、文化创意展示等方面做出了巨大贡献。20世纪80年代以来，发制品产业快速发展，产业技术不断提升，产业规模迅速壮大，逐步实现由档发粗加工向发制品深加工、由原材料集散地向产成品生产基地、由人发制品向化纤发制品、由单一产品向系列产品的转变。</w:t>
      </w:r>
    </w:p>
    <w:p w14:paraId="6BAD161E">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从我国的发制品消费来看，由于我国对假发的消费观念较为落后，国内消费者主要出于弥补生理缺陷(如脱发、少发)而佩戴假发，妆饰、美容意识不强，因而尚未形成消费气候。市场中充斥的也是家庭作坊生产的低档次假发产品，使用者似乎羞于提及自己使用了假发。但是，这种状况正在发生转变，调查研究认为，中国公众在时尚的追求意愿上非常强，随着我国经济发展以及国内消费者的购买力提高，假发作为时尚消费品的观念将逐渐深入人心，通过明星示范、消费引导、在年轻群体的推广等等方式，成为我国居民新的消费热点。</w:t>
      </w:r>
    </w:p>
    <w:p w14:paraId="6C95B529">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近年来，由于假发制品国际市场持续萎缩，利润下滑严重，国内市场竞争加剧，企业盈利能力减弱。同时，由于新建发制品项目固定资产投入少、门槛低，政府出台的支持行业发展的政策跟不上,激励性措施不足,支持的力度也不够,导致行业发展动能不强。在这种背景下，和田洛浦县将发制品产业作为重点招商引资项目之一，无疑是明智之举。</w:t>
      </w:r>
    </w:p>
    <w:p w14:paraId="0225AAB0">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为扶持洛浦县京洛小微产业园假发企业健康有序发展，吸引更多优秀人才，按照促进就业、稳定就业的要求，为了劳动密集型企业的发展以及人民生活的基本保障，结合关于印发《洛浦县发制品产业发展振兴计划（2020-2022年）》（洛政办发〔2019〕88号）的通知，关于印发《洛浦县关于进一步扶持发制品产业发展实施方案》的通知（洛政办发〔2019〕93号）和《2019年新疆维吾尔自治区和田行署地十次会议纪要》文件精神实施扶持发制品产业发展补助项目。项目总预算资金183.51万元，项目实施期限为2021年1月-12月。</w:t>
      </w:r>
    </w:p>
    <w:p w14:paraId="026A1E10">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14:paraId="13C9AB31">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该项目由洛浦县人力资源和社会保障局负责实施，主要职能是：</w:t>
      </w:r>
    </w:p>
    <w:p w14:paraId="7F2B76EA">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洛浦县人力资源和社会保障局在县委领导下，负责贯彻落实新时代党的组织路线和以</w:t>
      </w:r>
      <w:bookmarkStart w:id="121" w:name="_GoBack"/>
      <w:bookmarkEnd w:id="121"/>
      <w:r>
        <w:rPr>
          <w:rStyle w:val="22"/>
          <w:rFonts w:hint="eastAsia" w:ascii="仿宋_GB2312" w:hAnsi="仿宋_GB2312" w:eastAsia="仿宋_GB2312" w:cs="仿宋_GB2312"/>
          <w:b w:val="0"/>
          <w:color w:val="auto"/>
          <w:sz w:val="32"/>
          <w:szCs w:val="32"/>
          <w:highlight w:val="none"/>
          <w:lang w:val="en-US" w:eastAsia="zh-CN" w:bidi="ar"/>
        </w:rPr>
        <w:t>习近平同志为核心的党中央治疆方略、聚焦服务社会稳定和长治久安总目标，落实党中央、自治区党委、地委和县委关于组织体系、领导班子建设，领导干部队伍、公务员队伍、人才队伍、离退休干部建设的方针政策和决策部署。</w:t>
      </w:r>
    </w:p>
    <w:p w14:paraId="1939C259">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(1）贯彻执行国家、自治区、地区人力资源和社会保障事业发展的政策、法规、细则、实施办法、改革方案等并组织实施。</w:t>
      </w:r>
    </w:p>
    <w:p w14:paraId="14777AAD">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 xml:space="preserve">（2）组织实施国家、自治区、地区人力资源和社会保障法律、法规；制定全县人力资源和社会保障法律、法规、政策的服务咨询机构管理规则并实施管理；建立全县统一规范的人力资源市场，促进人力资源合理流动、有效配置。行使人力资源和社会保障监督检查职权，制定全县人力资源和社会保障监督检查规则；对违反人力资源和社会保障法律法规的行为依照国家有关法律规定给予行政处理和处罚；组织指导和监督街道、乡镇劳动保障工作；负责人力资源和社会保障法律法规和政策的宣传工作。 </w:t>
      </w:r>
    </w:p>
    <w:p w14:paraId="21AF12CF">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（3）对全县行政、事业单位、企业人事工作进行指导、监督、检查、协调、服务，编制全县机关、事业单位、企业的人员计划和工资计划；负责洛浦县机关、事业单位增加人员计划和工资基金管理审批。</w:t>
      </w:r>
    </w:p>
    <w:p w14:paraId="2D9E0623">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 xml:space="preserve">（4）负责管理全县未就业大中专毕业生就业服务指导、普通高校毕业生安置就业（三支一扶）、普通高校毕业生赴对口援疆省市培养、大中专毕业生见习基地、城乡就业及劳动力资源开发工作；宣传国家相关招考政策，协助自治区、地区行政事业单位人员招录工作；规划、指导和管理劳动力市场的建设；组织建立、健全就业服务体系；拟定全县国有企业下岗职工的分流安置、基本生活保障和再就业的规则措施，组织实施再就业工程，组织落实就业援助制度，积极开发公益性岗位；制定并实施职业介绍机构的管理规则；制定农村劳动力开发就业、农村劳动力跨地区就业的政策和措施并组织实施；对外来人员就业和外出就业人员进行管理。 </w:t>
      </w:r>
    </w:p>
    <w:p w14:paraId="54068B29">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 xml:space="preserve">（5）综合实施全县行政、事业单位公务员培训、专业技术人员、工人及劳动力的职业技能培训、考核、鉴定及发证工作；负责组织指导全县机关、事业单位工人技术岗位等级考核和技术晋级资格审核、管理工作。综合管理全县社会职业技能培训机构；制定企业职工技能培训及失业人员和下岗职工再就业培训的规划和政策；制定职业技能人才培养、表彰、奖励和职业技能竞赛的规则、政策和措施；制定劳动预备制度实施办法并组织实施；组织指导职业培训机构的师资队伍建设；制定职业技能培训机构建设规划和评估认定制度。 </w:t>
      </w:r>
    </w:p>
    <w:p w14:paraId="644E398A">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 xml:space="preserve">（6）按管理权限负责全县机关、事业单位一般工作人员调配及企业职工劳动关系调整工作；综合管理全县专业技术人员。负责全县中、高级专业技术职称资格相关材料审核上报，初级专业技术资格的评审以及各职务的聘任；组织指导机关、事业单位一般干部、工人年度考核工作。管理事业单位工作人员、机关事业单位工勤人员聘用合同的签订、变更、解除、企业劳动合同、集体合同制度的实施及审核；负责监督机关、事业单位职工休假、探亲假制度的执行；企业职工工作时间、休息、休假制度和女工、未成年工特殊劳动保护管理，拟定相关的实施办法并监督实施；负责政策性安置和调配工作。 </w:t>
      </w:r>
    </w:p>
    <w:p w14:paraId="42A2A428">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7）管理审核审批全县行政、事业单位工资、福利；指导全县企业职工工资管理工作；拟定企业工资制度改革方案和相关政策并组织实施；拟定企业工资指导线的有关政策和行业工资收入调节政策并组织实施；监督落实最低工资标准政策；审核县属企业的工资总额、经营者年薪和其他主要负责人的工资标准。</w:t>
      </w:r>
    </w:p>
    <w:p w14:paraId="6092568F">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（8）完成机关事业单位、企业工作人员的伤、病、残医学鉴定和因公伤残、死亡认定工作。按政策规定并按程序办理退休相关手续。</w:t>
      </w:r>
    </w:p>
    <w:p w14:paraId="5ED295F6">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（9）会同有关部门拟订农民工工作综合性政策和规划，推动农民工相关政策的落实，协调解决重点难点问题，维护农民工合法权益。</w:t>
      </w:r>
    </w:p>
    <w:p w14:paraId="4E5B4D75">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（10）综合管理全县人事、劳动争议处理和人事、劳动争议仲裁工作，承担县人事、劳动争议仲裁委员会日常工作。</w:t>
      </w:r>
    </w:p>
    <w:p w14:paraId="7B83C814">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11）管理全县社会保障工作，拟定全县人力资源和社会保障发展中长期规划和年度计划；拟定全县养老、失业、工伤社会保险的政策和基本标准并组织实施和监督检查，统筹建立覆盖城乡的社会保险体系。贯彻执行自治区军队转业干部安置政策并组织实施。</w:t>
      </w:r>
    </w:p>
    <w:p w14:paraId="16E746FB">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 xml:space="preserve">（12）拟定全县机关、事业、企业社会保险基金收缴、支付、管理、运营的政策；对社会保险基金预决算提出审核意见；对社会保险基金管理实施行政监督；制定全县社会保险服务体系建设规划并组织实施。 </w:t>
      </w:r>
    </w:p>
    <w:p w14:paraId="6A5B9F73">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（13）拟定机关、事业、企业单位和社会团体补充养老保险、补充医疗保险的政策。</w:t>
      </w:r>
    </w:p>
    <w:p w14:paraId="7EDA7B31">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(14)按照管理权限，做好机关、事业单位、企业单位的档案管理工作。</w:t>
      </w:r>
    </w:p>
    <w:p w14:paraId="235C87BA">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（15）承担全县人力资源和社会保障信息网络；定期发布人力资源和社会保障统计年报、信息资料和社会保障的统计和信息工作；组织建设全县人力资源和社会保障及发展预测报告。 </w:t>
      </w:r>
    </w:p>
    <w:p w14:paraId="1AFD336D">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(16)组织我县人力资源和社会保障领域的国内交流与合作，对研究成果推广应用；负责全县人力资源和社会保障领域标准化工作。 </w:t>
      </w:r>
    </w:p>
    <w:p w14:paraId="061C4E42">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(17)受理全县人力资源和社会保障方面信访事项；会同有关部门协调处理有关劳动、人事方面的重大信访事件或突发事件。</w:t>
      </w:r>
    </w:p>
    <w:p w14:paraId="5255309F">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（18）承办县委、县人民政府及上级业务部门交办的其他事项。</w:t>
      </w:r>
    </w:p>
    <w:p w14:paraId="543916B4">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洛浦县人力资源和社会保障局无下属预算单位，下设2个处室，分别是：就业服务中心及劳动监察大队。</w:t>
      </w:r>
    </w:p>
    <w:p w14:paraId="7653F0BC">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eastAsia" w:ascii="仿宋_GB2312" w:hAnsi="仿宋_GB2312" w:eastAsia="仿宋_GB2312" w:cs="仿宋_GB2312"/>
          <w:b w:val="0"/>
          <w:color w:val="auto"/>
          <w:sz w:val="32"/>
          <w:szCs w:val="32"/>
          <w:highlight w:val="none"/>
          <w:lang w:val="en-US" w:eastAsia="zh-CN" w:bidi="ar"/>
        </w:rPr>
      </w:pPr>
      <w:r>
        <w:rPr>
          <w:rStyle w:val="22"/>
          <w:rFonts w:hint="eastAsia" w:ascii="仿宋_GB2312" w:hAnsi="仿宋_GB2312" w:eastAsia="仿宋_GB2312" w:cs="仿宋_GB2312"/>
          <w:b w:val="0"/>
          <w:color w:val="auto"/>
          <w:sz w:val="32"/>
          <w:szCs w:val="32"/>
          <w:highlight w:val="none"/>
          <w:lang w:val="en-US" w:eastAsia="zh-CN" w:bidi="ar"/>
        </w:rPr>
        <w:t>洛浦县人力资源和社会保障局编制数21 ，实有人数21人，其中：在职21人，增加或减少0人;退休7人，增加或减少0人；离休0人,增加或减少0人。</w:t>
      </w:r>
    </w:p>
    <w:p w14:paraId="514A0445">
      <w:pPr>
        <w:numPr>
          <w:ilvl w:val="0"/>
          <w:numId w:val="0"/>
        </w:numPr>
        <w:adjustRightInd w:val="0"/>
        <w:snapToGrid w:val="0"/>
        <w:spacing w:line="560" w:lineRule="exact"/>
        <w:ind w:firstLine="640" w:firstLineChars="200"/>
        <w:jc w:val="left"/>
        <w:outlineLvl w:val="0"/>
        <w:rPr>
          <w:rFonts w:hint="eastAsia" w:ascii="楷体" w:hAnsi="楷体" w:eastAsia="楷体" w:cs="楷体"/>
          <w:bCs/>
          <w:sz w:val="32"/>
          <w:szCs w:val="32"/>
        </w:rPr>
      </w:pPr>
      <w:r>
        <w:rPr>
          <w:rFonts w:hint="eastAsia" w:ascii="楷体" w:hAnsi="楷体" w:eastAsia="楷体" w:cs="楷体"/>
          <w:bCs/>
          <w:sz w:val="32"/>
          <w:szCs w:val="32"/>
          <w:lang w:val="en-US" w:eastAsia="zh-CN"/>
        </w:rPr>
        <w:t>3.</w:t>
      </w:r>
      <w:r>
        <w:rPr>
          <w:rFonts w:hint="eastAsia" w:ascii="楷体" w:hAnsi="楷体" w:eastAsia="楷体" w:cs="楷体"/>
          <w:bCs/>
          <w:sz w:val="32"/>
          <w:szCs w:val="32"/>
        </w:rPr>
        <w:t>项目内容</w:t>
      </w:r>
    </w:p>
    <w:p w14:paraId="0860142A">
      <w:pPr>
        <w:pStyle w:val="33"/>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Style w:val="22"/>
          <w:rFonts w:hint="default" w:ascii="仿宋_GB2312" w:hAnsi="仿宋_GB2312" w:eastAsia="仿宋_GB2312" w:cs="仿宋_GB2312"/>
          <w:b w:val="0"/>
          <w:color w:val="auto"/>
          <w:kern w:val="2"/>
          <w:sz w:val="32"/>
          <w:szCs w:val="32"/>
          <w:highlight w:val="none"/>
          <w:lang w:val="en-US" w:eastAsia="zh-CN" w:bidi="ar"/>
        </w:rPr>
      </w:pPr>
      <w:r>
        <w:rPr>
          <w:rFonts w:hint="eastAsia"/>
          <w:lang w:val="en-US" w:eastAsia="zh-CN"/>
        </w:rPr>
        <w:t xml:space="preserve"> </w:t>
      </w:r>
      <w:r>
        <w:rPr>
          <w:rStyle w:val="22"/>
          <w:rFonts w:hint="eastAsia" w:ascii="仿宋_GB2312" w:hAnsi="仿宋_GB2312" w:eastAsia="仿宋_GB2312" w:cs="仿宋_GB2312"/>
          <w:b w:val="0"/>
          <w:color w:val="auto"/>
          <w:kern w:val="2"/>
          <w:sz w:val="32"/>
          <w:szCs w:val="32"/>
          <w:highlight w:val="none"/>
          <w:lang w:val="en-US" w:eastAsia="zh-CN" w:bidi="ar"/>
        </w:rPr>
        <w:t xml:space="preserve">  按出勤天数发放35个企业2600名员工出勤激励补贴，2600名员工工资激励奖补助；通过该项目实施，支持特色优势产业发展，激发企业内生动，促进就近就地就业，提高务工人员的经济收入，改善生活质量，助力乡村振兴工作。</w:t>
      </w:r>
    </w:p>
    <w:p w14:paraId="454B6051">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14:paraId="01DCDFA6">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结合关于印发《洛浦县发制品产业发展振兴计划（2020-2022年）》（洛政办发〔2019〕88号）的通知，关于印发《洛浦县关于进一步扶持发制品产业发展实施方案》的通知（洛政办发〔2019〕93号）和《2019年新疆维吾尔自治区和田行署地十次会议纪要》文件精神实施该项目。</w:t>
      </w:r>
    </w:p>
    <w:p w14:paraId="10FCFA06">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307F9BCB">
      <w:pPr>
        <w:pStyle w:val="33"/>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14:paraId="1C6674E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该项目预算资金为183.51万元，资金来源为县级配套资金，截止12月31日，到位资金为183.51万元，资金到位率100%。</w:t>
      </w:r>
    </w:p>
    <w:p w14:paraId="49A14D02">
      <w:pPr>
        <w:pStyle w:val="33"/>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14:paraId="777B9D1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绩效评价日，项目预算资金183.51万元，实际到位资金183.51万元，资金到位率100%。总支出183.02万元，预算执行率99.97%，该项目已完成发放2500名员工出勤激励补贴，2600名员工工资激励奖，涉及企业为34个，通过该项目实施，充分调动了企业生产积极性，激励员工主观能动性，实现了员工工资稳步提升，企业效益高效增长。</w:t>
      </w:r>
    </w:p>
    <w:p w14:paraId="40DF177E">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436F261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8400"/>
      <w:bookmarkStart w:id="35" w:name="_Toc1757"/>
      <w:bookmarkStart w:id="36" w:name="_Toc2646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18</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94.44</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14:paraId="240B481D">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14:paraId="372CCB2C">
      <w:pPr>
        <w:pStyle w:val="33"/>
        <w:tabs>
          <w:tab w:val="left" w:pos="1559"/>
        </w:tabs>
        <w:adjustRightInd w:val="0"/>
        <w:snapToGrid w:val="0"/>
        <w:spacing w:line="560" w:lineRule="exact"/>
        <w:ind w:left="0" w:leftChars="0" w:firstLine="640" w:firstLineChars="200"/>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按出勤天数发放35个企业2600名工作人员补助；通过该项目实施，支持特色优势产业发展，激发企业内生动，促进就近就地就业，提高务工人员的经济收入，改善生活质量，助力乡村振兴工作。</w:t>
      </w:r>
    </w:p>
    <w:p w14:paraId="5848215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14:paraId="4809BE7D">
      <w:pPr>
        <w:pStyle w:val="33"/>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highlight w:val="none"/>
          <w:lang w:val="en-US" w:eastAsia="zh-CN" w:bidi="ar-SA"/>
        </w:rPr>
      </w:pPr>
      <w:r>
        <w:rPr>
          <w:rFonts w:hint="eastAsia" w:ascii="仿宋_GB2312" w:eastAsia="仿宋_GB2312" w:cs="宋体" w:hAnsiTheme="minorHAnsi"/>
          <w:color w:val="auto"/>
          <w:kern w:val="2"/>
          <w:sz w:val="32"/>
          <w:szCs w:val="32"/>
          <w:highlight w:val="none"/>
          <w:lang w:val="en-US" w:eastAsia="zh-CN" w:bidi="ar-SA"/>
        </w:rPr>
        <w:t>根据</w:t>
      </w:r>
      <w:r>
        <w:rPr>
          <w:rFonts w:hint="eastAsia" w:ascii="仿宋_GB2312" w:hAnsi="仿宋_GB2312" w:eastAsia="仿宋_GB2312" w:cs="仿宋_GB2312"/>
          <w:kern w:val="2"/>
          <w:sz w:val="32"/>
          <w:szCs w:val="32"/>
          <w:highlight w:val="none"/>
          <w:lang w:val="en-US" w:eastAsia="zh-CN" w:bidi="ar-SA"/>
        </w:rPr>
        <w:t>关于印发《洛浦县关于进一步扶持发制品产业发展实施方案》的通知（洛政办发〔2019〕93号）文件</w:t>
      </w:r>
      <w:r>
        <w:rPr>
          <w:rFonts w:hint="eastAsia" w:ascii="仿宋_GB2312" w:eastAsia="仿宋_GB2312" w:cs="宋体" w:hAnsiTheme="minorHAnsi"/>
          <w:color w:val="auto"/>
          <w:kern w:val="2"/>
          <w:sz w:val="32"/>
          <w:szCs w:val="32"/>
          <w:highlight w:val="none"/>
          <w:lang w:val="en-US" w:eastAsia="zh-CN" w:bidi="ar-SA"/>
        </w:rPr>
        <w:t>，</w:t>
      </w:r>
      <w:r>
        <w:rPr>
          <w:rFonts w:hint="eastAsia" w:ascii="仿宋_GB2312" w:eastAsia="仿宋_GB2312" w:cs="宋体"/>
          <w:color w:val="auto"/>
          <w:kern w:val="2"/>
          <w:sz w:val="32"/>
          <w:szCs w:val="32"/>
          <w:highlight w:val="none"/>
          <w:lang w:val="en-US" w:eastAsia="zh-CN" w:bidi="ar-SA"/>
        </w:rPr>
        <w:t xml:space="preserve"> 发制品企业出勤、工资奖励资金项目总投资183.51</w:t>
      </w:r>
      <w:r>
        <w:rPr>
          <w:rFonts w:hint="eastAsia" w:ascii="仿宋_GB2312" w:eastAsia="仿宋_GB2312" w:cs="宋体" w:hAnsiTheme="minorHAnsi"/>
          <w:color w:val="auto"/>
          <w:kern w:val="2"/>
          <w:sz w:val="32"/>
          <w:szCs w:val="32"/>
          <w:highlight w:val="none"/>
          <w:lang w:val="en-US" w:eastAsia="zh-CN" w:bidi="ar-SA"/>
        </w:rPr>
        <w:t>万元。设置了</w:t>
      </w:r>
      <w:r>
        <w:rPr>
          <w:rFonts w:hint="eastAsia" w:ascii="仿宋_GB2312" w:eastAsia="仿宋_GB2312" w:cs="宋体"/>
          <w:color w:val="auto"/>
          <w:kern w:val="2"/>
          <w:sz w:val="32"/>
          <w:szCs w:val="32"/>
          <w:highlight w:val="none"/>
          <w:lang w:val="en-US" w:eastAsia="zh-CN" w:bidi="ar-SA"/>
        </w:rPr>
        <w:t>3</w:t>
      </w:r>
      <w:r>
        <w:rPr>
          <w:rFonts w:hint="eastAsia" w:ascii="仿宋_GB2312" w:eastAsia="仿宋_GB2312" w:cs="宋体" w:hAnsiTheme="minorHAnsi"/>
          <w:color w:val="auto"/>
          <w:kern w:val="2"/>
          <w:sz w:val="32"/>
          <w:szCs w:val="32"/>
          <w:highlight w:val="none"/>
          <w:lang w:val="en-US" w:eastAsia="zh-CN" w:bidi="ar-SA"/>
        </w:rPr>
        <w:t>个一级指标，</w:t>
      </w:r>
      <w:r>
        <w:rPr>
          <w:rFonts w:hint="eastAsia" w:ascii="仿宋_GB2312" w:eastAsia="仿宋_GB2312" w:cs="宋体"/>
          <w:color w:val="auto"/>
          <w:kern w:val="2"/>
          <w:sz w:val="32"/>
          <w:szCs w:val="32"/>
          <w:highlight w:val="none"/>
          <w:lang w:val="en-US" w:eastAsia="zh-CN" w:bidi="ar-SA"/>
        </w:rPr>
        <w:t>7个二级指标，18个三级指标</w:t>
      </w:r>
      <w:r>
        <w:rPr>
          <w:rFonts w:hint="eastAsia" w:ascii="仿宋_GB2312" w:eastAsia="仿宋_GB2312" w:cs="宋体" w:hAnsiTheme="minorHAnsi"/>
          <w:color w:val="auto"/>
          <w:kern w:val="2"/>
          <w:sz w:val="32"/>
          <w:szCs w:val="32"/>
          <w:highlight w:val="none"/>
          <w:lang w:val="en-US" w:eastAsia="zh-CN" w:bidi="ar-SA"/>
        </w:rPr>
        <w:t>其中</w:t>
      </w:r>
      <w:r>
        <w:rPr>
          <w:rFonts w:hint="eastAsia" w:ascii="仿宋_GB2312" w:eastAsia="仿宋_GB2312" w:cs="宋体"/>
          <w:color w:val="auto"/>
          <w:kern w:val="2"/>
          <w:sz w:val="32"/>
          <w:szCs w:val="32"/>
          <w:highlight w:val="none"/>
          <w:lang w:val="en-US" w:eastAsia="zh-CN" w:bidi="ar-SA"/>
        </w:rPr>
        <w:t>：</w:t>
      </w:r>
    </w:p>
    <w:p w14:paraId="7CF70D7B">
      <w:pPr>
        <w:pStyle w:val="33"/>
        <w:numPr>
          <w:ilvl w:val="0"/>
          <w:numId w:val="4"/>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34DF28D4">
      <w:pPr>
        <w:pStyle w:val="33"/>
        <w:numPr>
          <w:ilvl w:val="0"/>
          <w:numId w:val="0"/>
        </w:numPr>
        <w:tabs>
          <w:tab w:val="left" w:pos="1559"/>
        </w:tabs>
        <w:adjustRightInd w:val="0"/>
        <w:snapToGrid w:val="0"/>
        <w:spacing w:line="560" w:lineRule="exact"/>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 xml:space="preserve">    产出数量</w:t>
      </w:r>
    </w:p>
    <w:p w14:paraId="1F483ABD">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员工出勤激励补贴享受人数指标，预期值为大于等于2600人</w:t>
      </w:r>
      <w:r>
        <w:rPr>
          <w:rFonts w:hint="eastAsia" w:ascii="仿宋_GB2312" w:hAnsi="仿宋_GB2312" w:eastAsia="仿宋_GB2312" w:cs="仿宋_GB2312"/>
          <w:sz w:val="32"/>
          <w:szCs w:val="32"/>
          <w:highlight w:val="none"/>
          <w:lang w:val="en-US" w:eastAsia="zh-CN"/>
        </w:rPr>
        <w:t>。</w:t>
      </w:r>
    </w:p>
    <w:p w14:paraId="236086E7">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享受补贴企业个数指标，预期值为大于等于35个。</w:t>
      </w:r>
    </w:p>
    <w:p w14:paraId="6B3BDC98">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享受工资激励奖人数</w:t>
      </w:r>
      <w:r>
        <w:rPr>
          <w:rFonts w:hint="eastAsia" w:ascii="仿宋_GB2312" w:hAnsi="仿宋_GB2312" w:eastAsia="仿宋_GB2312" w:cs="仿宋_GB2312"/>
          <w:sz w:val="32"/>
          <w:szCs w:val="32"/>
          <w:highlight w:val="none"/>
          <w:lang w:val="en-US" w:eastAsia="zh-CN"/>
        </w:rPr>
        <w:t>指标，预期值为大于等于2600人。</w:t>
      </w:r>
    </w:p>
    <w:p w14:paraId="40D93696">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月工资达1500元及以上人数</w:t>
      </w:r>
      <w:r>
        <w:rPr>
          <w:rFonts w:hint="eastAsia" w:ascii="仿宋_GB2312" w:hAnsi="仿宋_GB2312" w:eastAsia="仿宋_GB2312" w:cs="仿宋_GB2312"/>
          <w:sz w:val="32"/>
          <w:szCs w:val="32"/>
          <w:highlight w:val="none"/>
          <w:lang w:val="en-US" w:eastAsia="zh-CN"/>
        </w:rPr>
        <w:t>指标，预期值为大于等于1人。</w:t>
      </w:r>
    </w:p>
    <w:p w14:paraId="02DEBAD2">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月工资达2000元及以上人数</w:t>
      </w:r>
      <w:r>
        <w:rPr>
          <w:rFonts w:hint="eastAsia" w:ascii="仿宋_GB2312" w:hAnsi="仿宋_GB2312" w:eastAsia="仿宋_GB2312" w:cs="仿宋_GB2312"/>
          <w:sz w:val="32"/>
          <w:szCs w:val="32"/>
          <w:highlight w:val="none"/>
          <w:lang w:val="en-US" w:eastAsia="zh-CN"/>
        </w:rPr>
        <w:t>指标，预期值为大于等于1人。</w:t>
      </w:r>
    </w:p>
    <w:p w14:paraId="37CD7A7A">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产出质量</w:t>
      </w:r>
    </w:p>
    <w:p w14:paraId="18167F8D">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预算控制率</w:t>
      </w:r>
      <w:r>
        <w:rPr>
          <w:rFonts w:hint="eastAsia" w:ascii="仿宋_GB2312" w:hAnsi="仿宋_GB2312" w:eastAsia="仿宋_GB2312" w:cs="仿宋_GB2312"/>
          <w:sz w:val="32"/>
          <w:szCs w:val="32"/>
          <w:highlight w:val="none"/>
          <w:lang w:val="en-US" w:eastAsia="zh-CN"/>
        </w:rPr>
        <w:t>指标，预期值为等于100%。</w:t>
      </w:r>
    </w:p>
    <w:p w14:paraId="3E15B671">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补贴发放准确率</w:t>
      </w:r>
      <w:r>
        <w:rPr>
          <w:rFonts w:hint="eastAsia" w:ascii="仿宋_GB2312" w:hAnsi="仿宋_GB2312" w:eastAsia="仿宋_GB2312" w:cs="仿宋_GB2312"/>
          <w:sz w:val="32"/>
          <w:szCs w:val="32"/>
          <w:highlight w:val="none"/>
          <w:lang w:val="en-US" w:eastAsia="zh-CN"/>
        </w:rPr>
        <w:t>指标，预期值为等于100%。</w:t>
      </w:r>
    </w:p>
    <w:p w14:paraId="7975A858">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产出时效</w:t>
      </w:r>
    </w:p>
    <w:p w14:paraId="2D490DEA">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企业新入职员工培训期</w:t>
      </w:r>
      <w:r>
        <w:rPr>
          <w:rFonts w:hint="eastAsia" w:ascii="仿宋_GB2312" w:hAnsi="仿宋_GB2312" w:eastAsia="仿宋_GB2312" w:cs="仿宋_GB2312"/>
          <w:sz w:val="32"/>
          <w:szCs w:val="32"/>
          <w:highlight w:val="none"/>
          <w:lang w:val="en-US" w:eastAsia="zh-CN"/>
        </w:rPr>
        <w:t>指标，预期值为小于等于3月。</w:t>
      </w:r>
    </w:p>
    <w:p w14:paraId="1AC1585F">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资金拨付及时性</w:t>
      </w:r>
      <w:r>
        <w:rPr>
          <w:rFonts w:hint="eastAsia" w:ascii="仿宋_GB2312" w:hAnsi="仿宋_GB2312" w:eastAsia="仿宋_GB2312" w:cs="仿宋_GB2312"/>
          <w:sz w:val="32"/>
          <w:szCs w:val="32"/>
          <w:highlight w:val="none"/>
          <w:lang w:val="en-US" w:eastAsia="zh-CN"/>
        </w:rPr>
        <w:t>指标，预期值为等于100%。</w:t>
      </w:r>
    </w:p>
    <w:p w14:paraId="63148106">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产出成本</w:t>
      </w:r>
    </w:p>
    <w:p w14:paraId="57BCB2CF">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培训期员工工资补贴</w:t>
      </w:r>
      <w:r>
        <w:rPr>
          <w:rFonts w:hint="eastAsia" w:ascii="仿宋_GB2312" w:hAnsi="仿宋_GB2312" w:eastAsia="仿宋_GB2312" w:cs="仿宋_GB2312"/>
          <w:sz w:val="32"/>
          <w:szCs w:val="32"/>
          <w:highlight w:val="none"/>
          <w:lang w:val="en-US" w:eastAsia="zh-CN"/>
        </w:rPr>
        <w:t>指标，预期值为大于等于500元。</w:t>
      </w:r>
    </w:p>
    <w:p w14:paraId="690E53D1">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员工自愿工作26天以上补贴</w:t>
      </w:r>
      <w:r>
        <w:rPr>
          <w:rFonts w:hint="eastAsia" w:ascii="仿宋_GB2312" w:hAnsi="仿宋_GB2312" w:eastAsia="仿宋_GB2312" w:cs="仿宋_GB2312"/>
          <w:sz w:val="32"/>
          <w:szCs w:val="32"/>
          <w:highlight w:val="none"/>
          <w:lang w:val="en-US" w:eastAsia="zh-CN"/>
        </w:rPr>
        <w:t>指标，预期值为大于等于200元/人/月。</w:t>
      </w:r>
    </w:p>
    <w:p w14:paraId="6F46435E">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员工自愿工作23-25天以上补贴</w:t>
      </w:r>
      <w:r>
        <w:rPr>
          <w:rFonts w:hint="eastAsia" w:ascii="仿宋_GB2312" w:hAnsi="仿宋_GB2312" w:eastAsia="仿宋_GB2312" w:cs="仿宋_GB2312"/>
          <w:sz w:val="32"/>
          <w:szCs w:val="32"/>
          <w:highlight w:val="none"/>
          <w:lang w:val="en-US" w:eastAsia="zh-CN"/>
        </w:rPr>
        <w:t>指标，预期值为大于等于150元/人/月。</w:t>
      </w:r>
    </w:p>
    <w:p w14:paraId="315AF6EE">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员工自愿工作20-22天以上补贴（元/月/人）</w:t>
      </w:r>
      <w:r>
        <w:rPr>
          <w:rFonts w:hint="eastAsia" w:ascii="仿宋_GB2312" w:hAnsi="仿宋_GB2312" w:eastAsia="仿宋_GB2312" w:cs="仿宋_GB2312"/>
          <w:sz w:val="32"/>
          <w:szCs w:val="32"/>
          <w:highlight w:val="none"/>
          <w:lang w:val="en-US" w:eastAsia="zh-CN"/>
        </w:rPr>
        <w:t>指标，预期值为大于等于100元/人/月。</w:t>
      </w:r>
    </w:p>
    <w:p w14:paraId="6BD4C75C">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月工资达1500元及以上补助标准</w:t>
      </w:r>
      <w:r>
        <w:rPr>
          <w:rFonts w:hint="eastAsia" w:ascii="仿宋_GB2312" w:hAnsi="仿宋_GB2312" w:eastAsia="仿宋_GB2312" w:cs="仿宋_GB2312"/>
          <w:sz w:val="32"/>
          <w:szCs w:val="32"/>
          <w:highlight w:val="none"/>
          <w:lang w:val="en-US" w:eastAsia="zh-CN"/>
        </w:rPr>
        <w:t>指标，预期值为小于等于100元/人/月。</w:t>
      </w:r>
    </w:p>
    <w:p w14:paraId="582A051B">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月工资达2000元及以上补助标准</w:t>
      </w:r>
      <w:r>
        <w:rPr>
          <w:rFonts w:hint="eastAsia" w:ascii="仿宋_GB2312" w:hAnsi="仿宋_GB2312" w:eastAsia="仿宋_GB2312" w:cs="仿宋_GB2312"/>
          <w:sz w:val="32"/>
          <w:szCs w:val="32"/>
          <w:highlight w:val="none"/>
          <w:lang w:val="en-US" w:eastAsia="zh-CN"/>
        </w:rPr>
        <w:t>指标，预期值为小于等于</w:t>
      </w:r>
      <w:r>
        <w:rPr>
          <w:rFonts w:hint="default" w:ascii="仿宋_GB2312" w:hAnsi="仿宋_GB2312" w:eastAsia="仿宋_GB2312" w:cs="仿宋_GB2312"/>
          <w:sz w:val="32"/>
          <w:szCs w:val="32"/>
          <w:highlight w:val="none"/>
          <w:lang w:val="en-US" w:eastAsia="zh-CN"/>
        </w:rPr>
        <w:t>300元/人/月</w:t>
      </w:r>
      <w:r>
        <w:rPr>
          <w:rFonts w:hint="eastAsia" w:ascii="仿宋_GB2312" w:hAnsi="仿宋_GB2312" w:eastAsia="仿宋_GB2312" w:cs="仿宋_GB2312"/>
          <w:sz w:val="32"/>
          <w:szCs w:val="32"/>
          <w:highlight w:val="none"/>
          <w:lang w:val="en-US" w:eastAsia="zh-CN"/>
        </w:rPr>
        <w:t>。</w:t>
      </w:r>
    </w:p>
    <w:p w14:paraId="2BD7CA8E">
      <w:pPr>
        <w:numPr>
          <w:ilvl w:val="0"/>
          <w:numId w:val="5"/>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0A8B2E67">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val="en-US" w:eastAsia="zh-CN"/>
        </w:rPr>
      </w:pPr>
      <w:r>
        <w:rPr>
          <w:rStyle w:val="22"/>
          <w:rFonts w:hint="eastAsia" w:ascii="仿宋_GB2312" w:hAnsi="仿宋" w:eastAsia="仿宋_GB2312"/>
          <w:b w:val="0"/>
          <w:bCs w:val="0"/>
          <w:spacing w:val="-4"/>
          <w:sz w:val="32"/>
          <w:szCs w:val="32"/>
          <w:lang w:val="en-US" w:eastAsia="zh-CN"/>
        </w:rPr>
        <w:t>经济效益指标：该项目不涉及经济效益指标。</w:t>
      </w:r>
    </w:p>
    <w:p w14:paraId="493B2092">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default" w:ascii="仿宋_GB2312" w:hAnsi="仿宋" w:eastAsia="仿宋_GB2312" w:cs="Times New Roman"/>
          <w:b w:val="0"/>
          <w:bCs w:val="0"/>
          <w:spacing w:val="-4"/>
          <w:sz w:val="32"/>
          <w:szCs w:val="32"/>
          <w:lang w:val="en-US" w:eastAsia="zh-CN"/>
        </w:rPr>
      </w:pPr>
      <w:r>
        <w:rPr>
          <w:rStyle w:val="22"/>
          <w:rFonts w:hint="eastAsia" w:ascii="仿宋_GB2312" w:hAnsi="仿宋" w:eastAsia="仿宋_GB2312" w:cs="Times New Roman"/>
          <w:b w:val="0"/>
          <w:bCs w:val="0"/>
          <w:spacing w:val="-4"/>
          <w:sz w:val="32"/>
          <w:szCs w:val="32"/>
          <w:lang w:val="en-US" w:eastAsia="zh-CN"/>
        </w:rPr>
        <w:t>社会效益</w:t>
      </w:r>
    </w:p>
    <w:p w14:paraId="760D22DC">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cs="Times New Roman"/>
          <w:b w:val="0"/>
          <w:bCs w:val="0"/>
          <w:spacing w:val="-4"/>
          <w:sz w:val="32"/>
          <w:szCs w:val="32"/>
          <w:lang w:val="en-US" w:eastAsia="zh-CN"/>
        </w:rPr>
      </w:pPr>
      <w:r>
        <w:rPr>
          <w:rStyle w:val="22"/>
          <w:rFonts w:hint="default" w:ascii="仿宋_GB2312" w:hAnsi="仿宋" w:eastAsia="仿宋_GB2312" w:cs="Times New Roman"/>
          <w:b w:val="0"/>
          <w:bCs w:val="0"/>
          <w:spacing w:val="-4"/>
          <w:sz w:val="32"/>
          <w:szCs w:val="32"/>
          <w:lang w:val="en-US" w:eastAsia="zh-CN"/>
        </w:rPr>
        <w:t>提高工作人员工作积极性</w:t>
      </w:r>
      <w:r>
        <w:rPr>
          <w:rStyle w:val="22"/>
          <w:rFonts w:hint="eastAsia" w:ascii="仿宋_GB2312" w:hAnsi="仿宋" w:eastAsia="仿宋_GB2312" w:cs="Times New Roman"/>
          <w:b w:val="0"/>
          <w:bCs w:val="0"/>
          <w:spacing w:val="-4"/>
          <w:sz w:val="32"/>
          <w:szCs w:val="32"/>
          <w:lang w:val="en-US" w:eastAsia="zh-CN"/>
        </w:rPr>
        <w:t>指标，预期值为效果显著。</w:t>
      </w:r>
    </w:p>
    <w:p w14:paraId="7340AD3B">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cs="Times New Roman"/>
          <w:b w:val="0"/>
          <w:bCs w:val="0"/>
          <w:spacing w:val="-4"/>
          <w:sz w:val="32"/>
          <w:szCs w:val="32"/>
          <w:lang w:val="en-US" w:eastAsia="zh-CN"/>
        </w:rPr>
      </w:pPr>
      <w:r>
        <w:rPr>
          <w:rStyle w:val="22"/>
          <w:rFonts w:hint="eastAsia" w:ascii="仿宋_GB2312" w:hAnsi="仿宋" w:eastAsia="仿宋_GB2312" w:cs="Times New Roman"/>
          <w:b w:val="0"/>
          <w:bCs w:val="0"/>
          <w:spacing w:val="-4"/>
          <w:sz w:val="32"/>
          <w:szCs w:val="32"/>
          <w:lang w:val="en-US" w:eastAsia="zh-CN"/>
        </w:rPr>
        <w:t>生态效益指标：</w:t>
      </w:r>
      <w:r>
        <w:rPr>
          <w:rStyle w:val="22"/>
          <w:rFonts w:hint="eastAsia" w:ascii="仿宋_GB2312" w:hAnsi="仿宋" w:eastAsia="仿宋_GB2312"/>
          <w:b w:val="0"/>
          <w:bCs w:val="0"/>
          <w:spacing w:val="-4"/>
          <w:sz w:val="32"/>
          <w:szCs w:val="32"/>
          <w:lang w:val="en-US" w:eastAsia="zh-CN"/>
        </w:rPr>
        <w:t>该项目不涉及生态效益指标。</w:t>
      </w:r>
    </w:p>
    <w:p w14:paraId="62D4AD31">
      <w:pPr>
        <w:pStyle w:val="2"/>
        <w:ind w:left="0" w:leftChars="0" w:firstLine="0" w:firstLineChars="0"/>
        <w:rPr>
          <w:rStyle w:val="22"/>
          <w:rFonts w:hint="eastAsia" w:ascii="仿宋_GB2312" w:hAnsi="仿宋" w:eastAsia="仿宋_GB2312"/>
          <w:b w:val="0"/>
          <w:bCs w:val="0"/>
          <w:spacing w:val="-4"/>
          <w:sz w:val="32"/>
          <w:szCs w:val="32"/>
          <w:lang w:val="en-US" w:eastAsia="zh-CN"/>
        </w:rPr>
      </w:pPr>
      <w:r>
        <w:rPr>
          <w:rStyle w:val="22"/>
          <w:rFonts w:hint="eastAsia" w:ascii="仿宋_GB2312" w:hAnsi="仿宋" w:eastAsia="仿宋_GB2312"/>
          <w:b w:val="0"/>
          <w:bCs w:val="0"/>
          <w:spacing w:val="-4"/>
          <w:sz w:val="32"/>
          <w:szCs w:val="32"/>
          <w:lang w:val="en-US" w:eastAsia="zh-CN"/>
        </w:rPr>
        <w:t xml:space="preserve">   可持续影响指标</w:t>
      </w:r>
    </w:p>
    <w:p w14:paraId="6DDFE2A2">
      <w:pPr>
        <w:pStyle w:val="2"/>
        <w:ind w:left="0" w:leftChars="0" w:firstLine="0" w:firstLineChars="0"/>
        <w:rPr>
          <w:rStyle w:val="22"/>
          <w:rFonts w:hint="default" w:ascii="仿宋_GB2312" w:hAnsi="仿宋" w:eastAsia="仿宋_GB2312"/>
          <w:b w:val="0"/>
          <w:bCs w:val="0"/>
          <w:spacing w:val="-4"/>
          <w:sz w:val="32"/>
          <w:szCs w:val="32"/>
          <w:lang w:val="en-US" w:eastAsia="zh-CN"/>
        </w:rPr>
      </w:pPr>
      <w:r>
        <w:rPr>
          <w:rStyle w:val="22"/>
          <w:rFonts w:hint="eastAsia" w:ascii="仿宋_GB2312" w:hAnsi="仿宋" w:eastAsia="仿宋_GB2312"/>
          <w:b w:val="0"/>
          <w:bCs w:val="0"/>
          <w:spacing w:val="-4"/>
          <w:sz w:val="32"/>
          <w:szCs w:val="32"/>
          <w:lang w:val="en-US" w:eastAsia="zh-CN"/>
        </w:rPr>
        <w:t xml:space="preserve">    项目保障时间指标，预期值为大于等于1个月。</w:t>
      </w:r>
    </w:p>
    <w:p w14:paraId="50343A6A">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eastAsia="zh-CN"/>
        </w:rPr>
      </w:pPr>
      <w:r>
        <w:rPr>
          <w:rStyle w:val="22"/>
          <w:rFonts w:hint="eastAsia" w:ascii="仿宋_GB2312" w:hAnsi="仿宋" w:eastAsia="仿宋_GB2312"/>
          <w:b w:val="0"/>
          <w:bCs w:val="0"/>
          <w:spacing w:val="-4"/>
          <w:sz w:val="32"/>
          <w:szCs w:val="32"/>
          <w:lang w:eastAsia="zh-CN"/>
        </w:rPr>
        <w:t>（</w:t>
      </w:r>
      <w:r>
        <w:rPr>
          <w:rStyle w:val="22"/>
          <w:rFonts w:hint="eastAsia" w:ascii="仿宋_GB2312" w:hAnsi="仿宋" w:eastAsia="仿宋_GB2312"/>
          <w:b w:val="0"/>
          <w:bCs w:val="0"/>
          <w:spacing w:val="-4"/>
          <w:sz w:val="32"/>
          <w:szCs w:val="32"/>
          <w:lang w:val="en-US" w:eastAsia="zh-CN"/>
        </w:rPr>
        <w:t>3</w:t>
      </w:r>
      <w:r>
        <w:rPr>
          <w:rStyle w:val="22"/>
          <w:rFonts w:hint="eastAsia" w:ascii="仿宋_GB2312" w:hAnsi="仿宋" w:eastAsia="仿宋_GB2312"/>
          <w:b w:val="0"/>
          <w:bCs w:val="0"/>
          <w:spacing w:val="-4"/>
          <w:sz w:val="32"/>
          <w:szCs w:val="32"/>
          <w:lang w:eastAsia="zh-CN"/>
        </w:rPr>
        <w:t>）满意度指标：</w:t>
      </w:r>
    </w:p>
    <w:p w14:paraId="655F05BA">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通过走访受益对象，受益群众满意度程度预计能达到大于等于96%。</w:t>
      </w:r>
    </w:p>
    <w:p w14:paraId="295E0956">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3B97EF1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7630"/>
      <w:bookmarkStart w:id="39" w:name="_Toc3416"/>
      <w:bookmarkStart w:id="40" w:name="_Toc19614"/>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 xml:space="preserve"> 发制品企业出勤、工资奖励资金</w:t>
      </w:r>
      <w:r>
        <w:rPr>
          <w:rFonts w:hint="eastAsia" w:ascii="仿宋_GB2312" w:eastAsia="仿宋_GB2312" w:cs="宋体" w:hAnsiTheme="minorHAnsi"/>
          <w:color w:val="auto"/>
          <w:kern w:val="2"/>
          <w:sz w:val="32"/>
          <w:szCs w:val="32"/>
          <w:lang w:val="en-US" w:eastAsia="zh-CN" w:bidi="ar-SA"/>
        </w:rPr>
        <w:t>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w:t>
      </w:r>
      <w:r>
        <w:rPr>
          <w:rFonts w:hint="eastAsia" w:ascii="仿宋_GB2312" w:eastAsia="仿宋_GB2312" w:cs="宋体"/>
          <w:color w:val="auto"/>
          <w:kern w:val="2"/>
          <w:sz w:val="32"/>
          <w:szCs w:val="32"/>
          <w:lang w:val="en-US" w:eastAsia="zh-CN" w:bidi="ar-SA"/>
        </w:rPr>
        <w:t>县级配套</w:t>
      </w:r>
      <w:r>
        <w:rPr>
          <w:rFonts w:hint="eastAsia" w:ascii="仿宋_GB2312" w:eastAsia="仿宋_GB2312" w:cs="宋体" w:hAnsiTheme="minorHAnsi"/>
          <w:color w:val="auto"/>
          <w:kern w:val="2"/>
          <w:sz w:val="32"/>
          <w:szCs w:val="32"/>
          <w:lang w:val="en-US" w:eastAsia="zh-CN" w:bidi="ar-SA"/>
        </w:rPr>
        <w:t>资金投入、资金使用和资金使用效益等方面进行了绩效评价。</w:t>
      </w:r>
      <w:bookmarkEnd w:id="38"/>
      <w:bookmarkEnd w:id="39"/>
      <w:bookmarkEnd w:id="40"/>
    </w:p>
    <w:p w14:paraId="5F64BC02">
      <w:pPr>
        <w:pStyle w:val="33"/>
        <w:numPr>
          <w:ilvl w:val="0"/>
          <w:numId w:val="3"/>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14:paraId="7AD413EA">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14:paraId="398E7F7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18186"/>
      <w:bookmarkStart w:id="43" w:name="_Toc22761"/>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后年度县级配套资金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14:paraId="1DD3A946">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36A7E431">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14072"/>
      <w:bookmarkStart w:id="45" w:name="_Toc27651416"/>
      <w:bookmarkStart w:id="46" w:name="_Toc7209"/>
      <w:bookmarkStart w:id="47" w:name="_Toc27493321"/>
      <w:bookmarkStart w:id="48" w:name="_Toc27648031"/>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县级配套资金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highlight w:val="none"/>
          <w:lang w:val="en-US" w:eastAsia="zh-CN" w:bidi="ar-SA"/>
        </w:rPr>
        <w:t>县级配套</w:t>
      </w:r>
      <w:r>
        <w:rPr>
          <w:rFonts w:hint="eastAsia" w:ascii="仿宋_GB2312" w:eastAsia="仿宋_GB2312" w:cs="宋体" w:hAnsiTheme="minorHAnsi"/>
          <w:color w:val="auto"/>
          <w:kern w:val="2"/>
          <w:sz w:val="32"/>
          <w:szCs w:val="32"/>
          <w:highlight w:val="none"/>
          <w:lang w:val="en-US" w:eastAsia="zh-CN" w:bidi="ar-SA"/>
        </w:rPr>
        <w:t>资金的支出完成情况和效果。</w:t>
      </w:r>
      <w:bookmarkEnd w:id="44"/>
      <w:bookmarkEnd w:id="45"/>
      <w:bookmarkEnd w:id="46"/>
      <w:bookmarkEnd w:id="47"/>
      <w:bookmarkEnd w:id="48"/>
    </w:p>
    <w:p w14:paraId="6D3C389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6A2753E8">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14:paraId="7192C549">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14:paraId="1BAD935A">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14:paraId="703AB8A1">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14:paraId="29B9A840">
      <w:pPr>
        <w:pStyle w:val="33"/>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14:paraId="37F987D5">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5B3F5EB5">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14:paraId="3C1CEE0C">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14:paraId="3826B707">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14:paraId="44BF0F8A">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14:paraId="5253E8BF">
      <w:pPr>
        <w:pStyle w:val="33"/>
        <w:numPr>
          <w:ilvl w:val="0"/>
          <w:numId w:val="6"/>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7C63D2F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10934"/>
      <w:bookmarkStart w:id="53" w:name="_Toc986"/>
      <w:bookmarkStart w:id="54" w:name="_Toc22089"/>
      <w:bookmarkStart w:id="55" w:name="_Toc16677"/>
      <w:bookmarkStart w:id="56" w:name="_Toc8115"/>
      <w:bookmarkStart w:id="57" w:name="_Toc32612"/>
      <w:bookmarkStart w:id="58" w:name="_Toc31692"/>
      <w:bookmarkStart w:id="59" w:name="_Toc16367"/>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39444A3B">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39B9194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79CE3FC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14:paraId="4F39FD8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14:paraId="32DBAE6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14:paraId="060C326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14:paraId="36F9671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人力资源和社会保障局、洛浦县财政局，并予以通报批评；情节严重的，绩效评价结果将直接判定为不合格等级。</w:t>
      </w:r>
    </w:p>
    <w:p w14:paraId="79BB9172">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4DF4F7DE">
      <w:pPr>
        <w:pStyle w:val="33"/>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8898"/>
      <w:bookmarkStart w:id="62" w:name="_Toc12973"/>
      <w:r>
        <w:rPr>
          <w:rFonts w:hint="eastAsia" w:ascii="楷体" w:hAnsi="楷体" w:eastAsia="楷体" w:cs="楷体"/>
          <w:bCs/>
          <w:sz w:val="32"/>
          <w:szCs w:val="32"/>
        </w:rPr>
        <w:t>1.评价工作程序和时间安排</w:t>
      </w:r>
      <w:bookmarkEnd w:id="61"/>
      <w:bookmarkEnd w:id="62"/>
    </w:p>
    <w:p w14:paraId="504C41A2">
      <w:pPr>
        <w:adjustRightInd w:val="0"/>
        <w:snapToGrid w:val="0"/>
        <w:spacing w:line="560" w:lineRule="exact"/>
        <w:ind w:firstLine="640" w:firstLineChars="200"/>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14:paraId="06A5C935">
      <w:pPr>
        <w:spacing w:after="156" w:afterLines="50" w:line="560" w:lineRule="exact"/>
        <w:jc w:val="center"/>
        <w:rPr>
          <w:rFonts w:ascii="Times New Roman" w:hAnsi="Times New Roman" w:eastAsia="黑体" w:cs="Times New Roman"/>
          <w:sz w:val="32"/>
          <w:szCs w:val="32"/>
          <w:highlight w:val="none"/>
        </w:rPr>
      </w:pPr>
      <w:bookmarkStart w:id="63" w:name="_Toc28992"/>
      <w:bookmarkStart w:id="64" w:name="_Toc3615"/>
      <w:r>
        <w:rPr>
          <w:rFonts w:ascii="Times New Roman" w:hAnsi="Times New Roman" w:eastAsia="黑体" w:cs="Times New Roman"/>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31E21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5C3E3EE4">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14:paraId="1856F4FC">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6BE17463">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5420FCCA">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3B1C69E4">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07CE3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5E9293D6">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305B2945">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319B1B91">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7F461453">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14ACD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1EF126D7">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14:paraId="7AAA59BE">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71C556D1">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216C63D1">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20B56A14">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4F86EE9C">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7750F63C">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619CE5A5">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6B75AD78">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3A18732D">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0D187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068E41C1">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4D934B10">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132A5A40">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63EFBF08">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76467D47">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2A88B77F">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5F0A8EA6">
            <w:pPr>
              <w:adjustRightInd w:val="0"/>
              <w:snapToGrid w:val="0"/>
              <w:jc w:val="center"/>
              <w:rPr>
                <w:rFonts w:hint="eastAsia" w:ascii="仿宋" w:hAnsi="仿宋" w:eastAsia="仿宋" w:cs="仿宋"/>
                <w:sz w:val="20"/>
                <w:szCs w:val="20"/>
              </w:rPr>
            </w:pPr>
          </w:p>
        </w:tc>
      </w:tr>
      <w:tr w14:paraId="7BB31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4095B53D">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169DC7FA">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14:paraId="41D125FA">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5771C59A">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177D73DF">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2F78423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23F02671">
            <w:pPr>
              <w:adjustRightInd w:val="0"/>
              <w:snapToGrid w:val="0"/>
              <w:jc w:val="center"/>
              <w:rPr>
                <w:rFonts w:hint="eastAsia" w:ascii="仿宋" w:hAnsi="仿宋" w:eastAsia="仿宋" w:cs="仿宋"/>
                <w:sz w:val="20"/>
                <w:szCs w:val="20"/>
              </w:rPr>
            </w:pPr>
          </w:p>
        </w:tc>
      </w:tr>
      <w:tr w14:paraId="250C7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37DEC89D">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14:paraId="629C67D5">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2672816F">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1B018597">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512A0DD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5B7D5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6DF7CB93">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37AE447E">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74606037">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1A9F4BE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66D6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5F9208C4">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7DEC3597">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2160F3EF">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02AF4EC6">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1E4390B9">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0C6D2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416C87BA">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2A1B3F15">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764D9006">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617EEB1C">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400DF3B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4AAED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1360F11D">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78403437">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4CC5F6BC">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3E021A03">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3EEB2DA2">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58153F93">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6A28DC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60108028">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640CBF09">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661C9B0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64E6218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65699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648768EB">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15B0B05B">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092F401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34EFBCD9">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34CCDBA5">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0F7F81C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6F8F9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03CABA71">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5CD8FE91">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18184385">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07CBC67B">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2D0A69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0AE2B1E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74972652">
      <w:pPr>
        <w:pStyle w:val="33"/>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15AA3E0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2F16D2B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14:paraId="22021E8A">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14:paraId="7824BB45">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16B98F6B">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1FB7E217">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331D82E2">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14:paraId="15515FCB">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14:paraId="74A15533">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关于印发《洛浦县发制品产业发展振兴计划（2020-2022年）》（洛政办发〔2019〕88号）的通知，关于印发《洛浦县关于进一步扶持发制品产业发展实施方案》的通知（洛政办发〔2019〕93号）和《2019年新疆维吾尔自治区和田行署地十次会议纪要》文件内容，项目的立项符合相关法规政策及部门职责，依据充分；项目是按照规定的程序申请设立；审批文件、材料符合相关要求，项目前期是已经过必要的集体决策。</w:t>
      </w:r>
    </w:p>
    <w:p w14:paraId="33E77EBE">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14:paraId="4ED128E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决策依据情况：项目符合经济社会发展规划和部门年度工作计划，为全面贯彻落实《洛浦县发制品产业发展振兴计划（2020-2022年）》（洛政办发〔2019〕88号）通知的相关安排部署，制定《洛浦县 发制品企业出勤、工资奖励资金项目实施方案》，对该项目进行实施。</w:t>
      </w:r>
    </w:p>
    <w:p w14:paraId="4C0778F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楷体" w:hAnsi="楷体" w:eastAsia="楷体" w:cs="楷体"/>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洛浦县发制品产业发展振兴计划（2020-2022年）》（洛政办发〔2019〕88号）的通知，关于印发《洛浦县关于进一步扶持发制品产业发展实施方案》的通知（洛政办发〔2019〕93号）和《2019年新疆维吾尔自治区和田行署地十次会议纪要》精神，由洛浦县人力资源和社会保障局牵头编辑实施方案并报人民政府审批，相关企业负责登记符合条件的员工信息，核定名单及报人力资源和社会保障局,无异议后报给财政局并申请拨付补奖资金</w:t>
      </w:r>
      <w:bookmarkEnd w:id="67"/>
      <w:r>
        <w:rPr>
          <w:rFonts w:hint="eastAsia" w:ascii="仿宋_GB2312" w:hAnsi="仿宋_GB2312" w:eastAsia="仿宋_GB2312" w:cs="仿宋_GB2312"/>
          <w:sz w:val="32"/>
          <w:szCs w:val="32"/>
          <w:highlight w:val="none"/>
          <w:lang w:val="en-US" w:eastAsia="zh-CN"/>
        </w:rPr>
        <w:t>；由此可见</w:t>
      </w:r>
      <w:r>
        <w:rPr>
          <w:rFonts w:hint="eastAsia" w:ascii="仿宋" w:hAnsi="仿宋" w:eastAsia="仿宋" w:cs="仿宋"/>
          <w:sz w:val="32"/>
          <w:szCs w:val="32"/>
          <w:highlight w:val="none"/>
          <w:lang w:val="en-US" w:eastAsia="zh-CN"/>
        </w:rPr>
        <w:t>项目立项程序简洁规范。</w:t>
      </w:r>
    </w:p>
    <w:p w14:paraId="0FAF6C92">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14:paraId="091B6620">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14:paraId="7B57547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绩效目标的内涵明确、具体、可衡量。所设立的绩效目标可以考核并能够指导洛浦县人力资源和社会保障局 发制品企业出勤、工资奖励资金项目的业务工作。指标与评价对象密切相关，全面反映项目实施内容及项目预期绩效情况，绩效目标设立符合洛浦县持续发挥发制品产业在产业脱贫、带动就业、出口创汇效益等方面的要求和洛浦县人力资源和社会保障局单位2021年工作计划，明确了项目产出数量和预期达到的效果。整体来看，绩效目标设立比较明确。</w:t>
      </w:r>
    </w:p>
    <w:p w14:paraId="7F3CB3EF">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14:paraId="3AE7C32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该项目所设置绩效目标是：一级指标3条，二级指标7条，三级指标18条，可量化指标17条，指标量化率94.44%，该项目总体绩效目标明确，符合绩效目标明确、细化、量化条件。</w:t>
      </w:r>
    </w:p>
    <w:p w14:paraId="416F3BC9">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14:paraId="139F3E63">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14:paraId="52E15EB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该项目主要是按出勤天数发放35个企业2600名工作人员补助；通过该项目实施，支持特色优势产业发展，激发企业内生动，促进就近就地就业，提高务工人员的经济收入，改善生活质量，助力乡村振兴工作。</w:t>
      </w:r>
    </w:p>
    <w:p w14:paraId="6A1D9E1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洛浦县人力资源和社会保障局根据项目情况进行预算编制，使项目的资金额度与年度目标相适应，制定了明确详细的项目资金支出计划和进度，该项目预算编制比较科学合理。</w:t>
      </w:r>
    </w:p>
    <w:p w14:paraId="6C3BFD63">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14:paraId="6C26DFFA">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14:paraId="3CA7DB1E">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342E8D92">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6034A6EE">
      <w:p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14:paraId="4ABAA936">
      <w:pPr>
        <w:pStyle w:val="41"/>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本项目预算资金为183.51万元，实际到位资金为183.51万元；资金来源为县级配套资金</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14:paraId="28F8828E">
      <w:pPr>
        <w:pStyle w:val="41"/>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14:paraId="587C7C6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项目预算183.51万元，实际支出183.02万元，预算执行率99.97%。</w:t>
      </w:r>
    </w:p>
    <w:p w14:paraId="157389D0">
      <w:pPr>
        <w:numPr>
          <w:ilvl w:val="0"/>
          <w:numId w:val="7"/>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14:paraId="7E6A3BD0">
      <w:pPr>
        <w:pStyle w:val="9"/>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洛浦县财政资金管理制度支付资金；资金的支付有完整的审批程序和手续，符合制度要求；项目资金进行单独核算，财务手续基本合理、完整，资金支付是按照自治区和洛浦县县级配套资金管理办法规定执行，资金使用规范合理。未发现专项资金有截留、挤占、挪用、虚列开支等情况。</w:t>
      </w:r>
    </w:p>
    <w:p w14:paraId="03FA8E21">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76B3C99F">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14:paraId="7CE26EEE">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人力资源和社会保障局项目资金管理参照《洛浦县财政资金拨付管理暂行办法》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14:paraId="6CB6CD4B">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14:paraId="4B70F1F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快该项目的实施，项目严格按照有关管理制度和资金管理制度实施。单位不定期下项目现场进行视察，督促项目进度，把控项目质量，要求按时按标准完成项目。按照项目实施进度提出资金拨付申请，按程序审批后报账。</w:t>
      </w:r>
      <w:r>
        <w:rPr>
          <w:rFonts w:hint="eastAsia" w:ascii="仿宋_GB2312" w:hAnsi="仿宋_GB2312" w:eastAsia="仿宋_GB2312" w:cs="仿宋_GB2312"/>
          <w:kern w:val="2"/>
          <w:sz w:val="32"/>
          <w:szCs w:val="32"/>
          <w:lang w:val="en-US" w:eastAsia="zh-CN" w:bidi="ar-SA"/>
        </w:rPr>
        <w:t>建立健全财务管理制度，健</w:t>
      </w:r>
      <w:r>
        <w:rPr>
          <w:rFonts w:hint="eastAsia" w:ascii="仿宋_GB2312" w:hAnsi="仿宋_GB2312" w:eastAsia="仿宋_GB2312" w:cs="仿宋_GB2312"/>
          <w:kern w:val="2"/>
          <w:sz w:val="32"/>
          <w:szCs w:val="32"/>
          <w:highlight w:val="none"/>
          <w:lang w:val="en-US" w:eastAsia="zh-CN" w:bidi="ar-SA"/>
        </w:rPr>
        <w:t>全资金发放台账，做好与金融机构的定期对账工作，确保</w:t>
      </w:r>
      <w:r>
        <w:rPr>
          <w:rFonts w:hint="eastAsia" w:ascii="仿宋_GB2312" w:hAnsi="仿宋_GB2312" w:eastAsia="仿宋_GB2312" w:cs="仿宋_GB2312"/>
          <w:kern w:val="2"/>
          <w:sz w:val="32"/>
          <w:szCs w:val="32"/>
          <w:lang w:val="en-US" w:eastAsia="zh-CN" w:bidi="ar-SA"/>
        </w:rPr>
        <w:t>项目资金安全使用，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资金的支付有完整的审批程序和手续，符合制度要求；项目资金进行单独核算，财务手续基本合理、完整，未发现资金有截留、挤占、挪用、虚列开支等情况。</w:t>
      </w:r>
    </w:p>
    <w:p w14:paraId="4892BC3B">
      <w:pPr>
        <w:pStyle w:val="33"/>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14:paraId="6DDDDB5C">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14:paraId="78284193">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截止评价日，该项目已完成发放2500名员工出勤激励补贴，2600名员工工资激励奖，涉及企业为34个。</w:t>
      </w:r>
    </w:p>
    <w:p w14:paraId="68D9B785">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14:paraId="17423785">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预算控制率及补贴发放准确率达到了100%，该指标达到了年初预期指标。</w:t>
      </w:r>
    </w:p>
    <w:p w14:paraId="1C22B842">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14:paraId="111C07D3">
      <w:pPr>
        <w:pStyle w:val="33"/>
        <w:tabs>
          <w:tab w:val="left" w:pos="1559"/>
        </w:tabs>
        <w:adjustRightInd w:val="0"/>
        <w:snapToGrid w:val="0"/>
        <w:spacing w:line="560" w:lineRule="exact"/>
        <w:ind w:firstLine="640"/>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该项目企业新入职员工培训期为3个月，资金拨付及时性达到了100%，该指标达到了年初预期指标。</w:t>
      </w:r>
    </w:p>
    <w:p w14:paraId="786079A2">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14:paraId="605A24F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项目计划总投资183.51万元，项目实际支出金额为 183.02万元，项目支出有效控制在预算范围内。</w:t>
      </w:r>
    </w:p>
    <w:p w14:paraId="6045CC3E">
      <w:pPr>
        <w:pStyle w:val="8"/>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14:paraId="16F4655B">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14:paraId="7D702526">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14:paraId="65D8FA56">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14:paraId="1132DCE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通过该项目实施，实现了支持特色优势产业发展，激发企业内生动，促进就近就地就业，提高务工人员的经济收入，改善生活质量，助力乡村振兴工作等效益。</w:t>
      </w:r>
    </w:p>
    <w:p w14:paraId="6B40EB9D">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14:paraId="3D0E96FF">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该项目未涉及生态效益。</w:t>
      </w:r>
    </w:p>
    <w:p w14:paraId="4CEFB297">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14:paraId="3CD768BF">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项目保障时间为1个月。</w:t>
      </w:r>
    </w:p>
    <w:p w14:paraId="5FA70EE7">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14:paraId="162541CD">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通过走访受益对象，发放调查问卷一共150份，回收有效问卷共计150份，按照调查问卷来看，受益对象对项目实施效果的满意程度达到了100%。</w:t>
      </w:r>
    </w:p>
    <w:p w14:paraId="657179B4">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2BFC433D">
      <w:pPr>
        <w:pStyle w:val="33"/>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14:paraId="7D145BA3">
      <w:pPr>
        <w:spacing w:line="560" w:lineRule="exact"/>
        <w:ind w:firstLine="640" w:firstLineChars="200"/>
        <w:rPr>
          <w:rFonts w:ascii="仿宋" w:hAnsi="仿宋" w:eastAsia="仿宋" w:cs="仿宋_GB2312"/>
          <w:sz w:val="32"/>
          <w:szCs w:val="32"/>
          <w:highlight w:val="none"/>
        </w:rPr>
      </w:pPr>
      <w:r>
        <w:rPr>
          <w:rFonts w:hint="eastAsia" w:ascii="仿宋_GB2312" w:hAnsi="仿宋_GB2312" w:eastAsia="仿宋_GB2312" w:cs="仿宋_GB2312"/>
          <w:kern w:val="2"/>
          <w:sz w:val="32"/>
          <w:szCs w:val="32"/>
          <w:highlight w:val="none"/>
          <w:lang w:val="en-US" w:eastAsia="zh-CN" w:bidi="ar-SA"/>
        </w:rPr>
        <w:t>经综合评价，项目得分为99.85分，评价等级为优，一级指标各项得分情况见下表：</w:t>
      </w:r>
    </w:p>
    <w:p w14:paraId="7DDE79B8">
      <w:pPr>
        <w:pStyle w:val="40"/>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495F1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14:paraId="37ACACD5">
            <w:pPr>
              <w:pStyle w:val="40"/>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7F9339E0">
            <w:pPr>
              <w:pStyle w:val="40"/>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7B34AEA2">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5B1B12E7">
            <w:pPr>
              <w:pStyle w:val="40"/>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1D042879">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10E709D8">
            <w:pPr>
              <w:pStyle w:val="40"/>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1A09C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7A8EE25D">
            <w:pPr>
              <w:pStyle w:val="40"/>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7739FF05">
            <w:pPr>
              <w:pStyle w:val="40"/>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3B6C1836">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0023C41E">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17CF75CA">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03355255">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7153C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14855ECA">
            <w:pPr>
              <w:pStyle w:val="40"/>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5C5C636B">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14:paraId="32E01F86">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19.99</w:t>
            </w:r>
          </w:p>
        </w:tc>
        <w:tc>
          <w:tcPr>
            <w:tcW w:w="1152" w:type="dxa"/>
            <w:vAlign w:val="center"/>
          </w:tcPr>
          <w:p w14:paraId="2BF11F2E">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29.86</w:t>
            </w:r>
          </w:p>
        </w:tc>
        <w:tc>
          <w:tcPr>
            <w:tcW w:w="1290" w:type="dxa"/>
            <w:vAlign w:val="center"/>
          </w:tcPr>
          <w:p w14:paraId="7049080C">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33C1F606">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99.85</w:t>
            </w:r>
          </w:p>
        </w:tc>
      </w:tr>
      <w:tr w14:paraId="3A848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6ED8DB52">
            <w:pPr>
              <w:pStyle w:val="40"/>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457AEBA4">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14:paraId="55D42F3E">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99.95</w:t>
            </w:r>
            <w:r>
              <w:rPr>
                <w:rFonts w:hint="eastAsia" w:ascii="仿宋" w:hAnsi="仿宋" w:eastAsia="仿宋" w:cs="仿宋"/>
                <w:b w:val="0"/>
                <w:sz w:val="21"/>
                <w:szCs w:val="21"/>
                <w:highlight w:val="none"/>
              </w:rPr>
              <w:t>%</w:t>
            </w:r>
          </w:p>
        </w:tc>
        <w:tc>
          <w:tcPr>
            <w:tcW w:w="1152" w:type="dxa"/>
            <w:vAlign w:val="center"/>
          </w:tcPr>
          <w:p w14:paraId="7C1BA6D4">
            <w:pPr>
              <w:pStyle w:val="40"/>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99.53</w:t>
            </w:r>
            <w:r>
              <w:rPr>
                <w:rFonts w:hint="eastAsia" w:ascii="仿宋" w:hAnsi="仿宋" w:eastAsia="仿宋" w:cs="仿宋"/>
                <w:b w:val="0"/>
                <w:sz w:val="21"/>
                <w:szCs w:val="21"/>
                <w:highlight w:val="none"/>
              </w:rPr>
              <w:t>%</w:t>
            </w:r>
          </w:p>
        </w:tc>
        <w:tc>
          <w:tcPr>
            <w:tcW w:w="1290" w:type="dxa"/>
            <w:vAlign w:val="center"/>
          </w:tcPr>
          <w:p w14:paraId="3177FE44">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14:paraId="37D9956D">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99.85</w:t>
            </w:r>
            <w:r>
              <w:rPr>
                <w:rFonts w:hint="eastAsia" w:ascii="仿宋" w:hAnsi="仿宋" w:eastAsia="仿宋" w:cs="仿宋"/>
                <w:b w:val="0"/>
                <w:sz w:val="21"/>
                <w:szCs w:val="21"/>
                <w:highlight w:val="none"/>
              </w:rPr>
              <w:t>%</w:t>
            </w:r>
          </w:p>
        </w:tc>
      </w:tr>
    </w:tbl>
    <w:p w14:paraId="4CEC6F95">
      <w:pPr>
        <w:pStyle w:val="18"/>
        <w:ind w:firstLine="0" w:firstLineChars="0"/>
      </w:pPr>
    </w:p>
    <w:p w14:paraId="703BD564">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14:paraId="5809BAC7">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14:paraId="18E4DCE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183.51万元，财政资金到位率100%，实际支出183.02万元，预算资金执行率99.97%。资金使用程序较规范，能够做到专项资金专款专用，未发现截留、挤占、挪用、虚列支出等情况。项目已完成了发放2500名员工出勤激励补贴，2600名员工工资激励奖，涉及企业为34个；通过该项目实施，充分调动了企业生产积极性，激励员工主观能动性，实现了员工工资稳步提升，企业效益高效增长。</w:t>
      </w:r>
    </w:p>
    <w:p w14:paraId="668D4176">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25DB1A65">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highlight w:val="none"/>
        </w:rPr>
      </w:pPr>
      <w:bookmarkStart w:id="76" w:name="_Toc2013"/>
      <w:bookmarkStart w:id="77" w:name="_Toc14039"/>
      <w:r>
        <w:rPr>
          <w:rFonts w:hint="eastAsia" w:ascii="仿宋_GB2312" w:hAnsi="仿宋" w:eastAsia="仿宋_GB2312" w:cs="宋体"/>
          <w:b/>
          <w:bCs/>
          <w:sz w:val="32"/>
          <w:szCs w:val="32"/>
          <w:highlight w:val="none"/>
        </w:rPr>
        <w:t>（一）问题</w:t>
      </w:r>
      <w:bookmarkEnd w:id="76"/>
    </w:p>
    <w:p w14:paraId="14C44D46">
      <w:pPr>
        <w:pStyle w:val="33"/>
        <w:adjustRightInd w:val="0"/>
        <w:snapToGrid w:val="0"/>
        <w:spacing w:line="560" w:lineRule="exact"/>
        <w:outlineLvl w:val="1"/>
        <w:rPr>
          <w:rFonts w:hint="eastAsia" w:ascii="仿宋_GB2312" w:hAnsi="仿宋_GB2312" w:eastAsia="仿宋_GB2312" w:cs="仿宋_GB2312"/>
          <w:kern w:val="2"/>
          <w:sz w:val="32"/>
          <w:szCs w:val="32"/>
          <w:highlight w:val="none"/>
          <w:lang w:val="en-US" w:eastAsia="zh-CN" w:bidi="ar-SA"/>
        </w:rPr>
      </w:pPr>
      <w:bookmarkStart w:id="78" w:name="_Toc17475"/>
      <w:r>
        <w:rPr>
          <w:rFonts w:hint="eastAsia" w:ascii="仿宋_GB2312" w:hAnsi="仿宋_GB2312" w:eastAsia="仿宋_GB2312" w:cs="仿宋_GB2312"/>
          <w:kern w:val="2"/>
          <w:sz w:val="32"/>
          <w:szCs w:val="32"/>
          <w:highlight w:val="none"/>
          <w:lang w:val="en-US" w:eastAsia="zh-CN" w:bidi="ar-SA"/>
        </w:rPr>
        <w:t>员工出勤激励补贴享受人数预期值为大于等于2600人，实际完成2500人，享受补贴企业个数预期值为大于等于35个，实际完成34个，年初预期指标设置偏高。</w:t>
      </w:r>
    </w:p>
    <w:p w14:paraId="24EF137B">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p>
    <w:p w14:paraId="09B79711">
      <w:pPr>
        <w:adjustRightInd w:val="0"/>
        <w:snapToGrid w:val="0"/>
        <w:spacing w:line="560" w:lineRule="exact"/>
        <w:ind w:firstLine="640" w:firstLineChars="200"/>
        <w:jc w:val="left"/>
        <w:outlineLvl w:val="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加强预算绩效管理工作的重视度，在准备项目前期资料之前要做好历史数据参考，现场调研，了解本县具体情况及形势等工作，确保项目年初预期数据与年底实际数据偏差为零或极小，并进一步提高财政资金使用效率。</w:t>
      </w:r>
    </w:p>
    <w:p w14:paraId="0CB58950">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六、主要经验及做法</w:t>
      </w:r>
      <w:bookmarkEnd w:id="77"/>
      <w:bookmarkEnd w:id="78"/>
    </w:p>
    <w:p w14:paraId="0FEF77E1">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79" w:name="_Toc32230"/>
      <w:bookmarkStart w:id="80" w:name="_Toc25465"/>
      <w:bookmarkStart w:id="81" w:name="_Toc16919"/>
      <w:r>
        <w:rPr>
          <w:rFonts w:hint="eastAsia" w:ascii="仿宋_GB2312" w:hAnsi="仿宋" w:eastAsia="仿宋_GB2312" w:cs="宋体"/>
          <w:b/>
          <w:bCs/>
          <w:sz w:val="32"/>
          <w:szCs w:val="32"/>
        </w:rPr>
        <w:t>（一）项目实施过程有效监控</w:t>
      </w:r>
      <w:bookmarkEnd w:id="79"/>
      <w:bookmarkEnd w:id="80"/>
    </w:p>
    <w:p w14:paraId="62EF5F6E">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2" w:name="_Toc191"/>
      <w:bookmarkStart w:id="83" w:name="_Toc2263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14:paraId="41ADBC98">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2"/>
      <w:bookmarkEnd w:id="83"/>
    </w:p>
    <w:bookmarkEnd w:id="81"/>
    <w:p w14:paraId="60D9C26A">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4" w:name="_Toc20562"/>
      <w:bookmarkStart w:id="85" w:name="_Toc31915"/>
      <w:bookmarkStart w:id="86" w:name="_Toc13108"/>
      <w:bookmarkStart w:id="87" w:name="_Toc14650"/>
      <w:bookmarkStart w:id="88" w:name="_Toc30107"/>
      <w:bookmarkStart w:id="89" w:name="_Toc24288"/>
      <w:bookmarkStart w:id="90" w:name="_Toc7837"/>
      <w:bookmarkStart w:id="91" w:name="_Toc14723"/>
      <w:bookmarkStart w:id="92"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4"/>
      <w:bookmarkEnd w:id="85"/>
      <w:bookmarkEnd w:id="86"/>
    </w:p>
    <w:p w14:paraId="0A0B9FDB">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7"/>
      <w:bookmarkEnd w:id="88"/>
    </w:p>
    <w:p w14:paraId="02BFC586">
      <w:pPr>
        <w:spacing w:line="560" w:lineRule="exact"/>
        <w:ind w:firstLine="643" w:firstLineChars="200"/>
        <w:outlineLvl w:val="1"/>
        <w:rPr>
          <w:rFonts w:ascii="仿宋_GB2312" w:hAnsi="黑体" w:eastAsia="仿宋_GB2312" w:cs="Times New Roman"/>
          <w:b/>
          <w:bCs/>
          <w:sz w:val="32"/>
          <w:szCs w:val="32"/>
        </w:rPr>
      </w:pPr>
      <w:bookmarkStart w:id="93" w:name="_Toc6072"/>
      <w:r>
        <w:rPr>
          <w:rFonts w:hint="eastAsia" w:ascii="仿宋_GB2312" w:hAnsi="黑体" w:eastAsia="仿宋_GB2312" w:cs="Times New Roman"/>
          <w:b/>
          <w:bCs/>
          <w:sz w:val="32"/>
          <w:szCs w:val="32"/>
        </w:rPr>
        <w:t>（一）及时对发现的问题进行整改</w:t>
      </w:r>
      <w:bookmarkEnd w:id="89"/>
      <w:bookmarkEnd w:id="93"/>
    </w:p>
    <w:p w14:paraId="062C8DF8">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4" w:name="_Toc20240"/>
      <w:bookmarkStart w:id="95"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5013318F">
      <w:pPr>
        <w:numPr>
          <w:ilvl w:val="0"/>
          <w:numId w:val="8"/>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4"/>
      <w:bookmarkEnd w:id="95"/>
    </w:p>
    <w:p w14:paraId="7C6A709C">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6762887F">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14:paraId="55CEEA93">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14:paraId="0ABE4774">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14:paraId="5F17EC03">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14:paraId="0BEE71DA">
      <w:pPr>
        <w:spacing w:line="560" w:lineRule="exact"/>
        <w:ind w:firstLine="643" w:firstLineChars="200"/>
        <w:outlineLvl w:val="1"/>
        <w:rPr>
          <w:rFonts w:ascii="仿宋_GB2312" w:hAnsi="黑体" w:eastAsia="仿宋_GB2312" w:cs="Times New Roman"/>
          <w:b/>
          <w:bCs/>
          <w:sz w:val="32"/>
          <w:szCs w:val="32"/>
        </w:rPr>
      </w:pPr>
      <w:bookmarkStart w:id="96" w:name="_Toc10628"/>
      <w:bookmarkStart w:id="97" w:name="_Toc5443"/>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6"/>
      <w:bookmarkEnd w:id="97"/>
    </w:p>
    <w:p w14:paraId="27EF5A76">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14:paraId="02F768A8">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14:paraId="1C9A432A">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14:paraId="4A850BFE">
      <w:pPr>
        <w:spacing w:line="560" w:lineRule="exact"/>
        <w:ind w:firstLine="643" w:firstLineChars="200"/>
        <w:outlineLvl w:val="1"/>
        <w:rPr>
          <w:rFonts w:ascii="仿宋_GB2312" w:hAnsi="黑体" w:eastAsia="仿宋_GB2312" w:cs="Times New Roman"/>
          <w:b/>
          <w:bCs/>
          <w:sz w:val="32"/>
          <w:szCs w:val="32"/>
        </w:rPr>
      </w:pPr>
      <w:bookmarkStart w:id="98" w:name="_Toc4069"/>
      <w:bookmarkStart w:id="99" w:name="_Toc13172"/>
      <w:r>
        <w:rPr>
          <w:rFonts w:hint="eastAsia" w:ascii="仿宋_GB2312" w:hAnsi="黑体" w:eastAsia="仿宋_GB2312" w:cs="Times New Roman"/>
          <w:b/>
          <w:bCs/>
          <w:sz w:val="32"/>
          <w:szCs w:val="32"/>
        </w:rPr>
        <w:t>（四）评价结果公开</w:t>
      </w:r>
      <w:bookmarkEnd w:id="98"/>
      <w:bookmarkEnd w:id="99"/>
    </w:p>
    <w:p w14:paraId="59431A21">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0"/>
    </w:p>
    <w:p w14:paraId="066EFF54">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0" w:name="_Toc17018"/>
      <w:r>
        <w:rPr>
          <w:rFonts w:hint="eastAsia" w:ascii="黑体" w:hAnsi="黑体" w:eastAsia="黑体" w:cs="宋体"/>
          <w:sz w:val="32"/>
          <w:szCs w:val="32"/>
          <w:lang w:val="en-US" w:eastAsia="zh-CN"/>
        </w:rPr>
        <w:t>八、其他需说明的问题</w:t>
      </w:r>
      <w:bookmarkEnd w:id="91"/>
      <w:bookmarkEnd w:id="92"/>
      <w:bookmarkEnd w:id="100"/>
    </w:p>
    <w:p w14:paraId="691869C5">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14:paraId="71A2CB4B">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14:paraId="67709113">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14:paraId="16B9C447">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25A2ED0D">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14:paraId="5618618C">
      <w:pPr>
        <w:adjustRightInd w:val="0"/>
        <w:snapToGrid w:val="0"/>
        <w:spacing w:line="560" w:lineRule="exact"/>
        <w:ind w:firstLine="640" w:firstLineChars="200"/>
        <w:jc w:val="left"/>
        <w:outlineLvl w:val="0"/>
        <w:rPr>
          <w:rFonts w:ascii="黑体" w:hAnsi="黑体" w:eastAsia="黑体" w:cs="宋体"/>
          <w:sz w:val="32"/>
          <w:szCs w:val="32"/>
        </w:rPr>
      </w:pPr>
      <w:bookmarkStart w:id="101" w:name="_Toc25791"/>
      <w:r>
        <w:rPr>
          <w:rFonts w:hint="eastAsia" w:ascii="黑体" w:hAnsi="黑体" w:eastAsia="黑体" w:cs="宋体"/>
          <w:sz w:val="32"/>
          <w:szCs w:val="32"/>
        </w:rPr>
        <w:t>九、附件</w:t>
      </w:r>
      <w:bookmarkEnd w:id="101"/>
    </w:p>
    <w:bookmarkEnd w:id="30"/>
    <w:p w14:paraId="58E4D74C">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473478A5">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2" w:name="_Toc9070"/>
      <w:bookmarkStart w:id="103" w:name="_Toc3379"/>
      <w:bookmarkStart w:id="104" w:name="_Toc13969"/>
      <w:bookmarkStart w:id="105" w:name="_Toc11156"/>
      <w:bookmarkStart w:id="106" w:name="_Toc5066"/>
      <w:r>
        <w:rPr>
          <w:rFonts w:hint="eastAsia" w:ascii="仿宋_GB2312" w:hAnsi="仿宋_GB2312" w:eastAsia="仿宋_GB2312" w:cs="仿宋_GB2312"/>
          <w:kern w:val="2"/>
          <w:sz w:val="32"/>
          <w:szCs w:val="32"/>
          <w:highlight w:val="none"/>
          <w:lang w:val="en-US" w:eastAsia="zh-CN" w:bidi="ar-SA"/>
        </w:rPr>
        <w:t>附件一、 发制品企业出勤、工资奖励资金项目支出绩效评价指标体系</w:t>
      </w:r>
      <w:bookmarkEnd w:id="102"/>
      <w:bookmarkEnd w:id="103"/>
      <w:bookmarkEnd w:id="104"/>
      <w:bookmarkEnd w:id="105"/>
      <w:bookmarkEnd w:id="106"/>
    </w:p>
    <w:p w14:paraId="33D7AAB8">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7" w:name="_Toc17647"/>
      <w:bookmarkStart w:id="108" w:name="_Toc31506"/>
      <w:bookmarkStart w:id="109" w:name="_Toc5753"/>
      <w:bookmarkStart w:id="110" w:name="_Toc19426"/>
      <w:bookmarkStart w:id="111" w:name="_Toc32762"/>
      <w:r>
        <w:rPr>
          <w:rFonts w:hint="eastAsia" w:ascii="仿宋_GB2312" w:hAnsi="仿宋_GB2312" w:eastAsia="仿宋_GB2312" w:cs="仿宋_GB2312"/>
          <w:kern w:val="2"/>
          <w:sz w:val="32"/>
          <w:szCs w:val="32"/>
          <w:highlight w:val="none"/>
          <w:lang w:val="en-US" w:eastAsia="zh-CN" w:bidi="ar-SA"/>
        </w:rPr>
        <w:t>附件二、 发制品企业出勤、工资奖励资金项目资金使用明细表</w:t>
      </w:r>
      <w:bookmarkEnd w:id="107"/>
      <w:bookmarkEnd w:id="108"/>
      <w:bookmarkEnd w:id="109"/>
      <w:bookmarkEnd w:id="110"/>
      <w:bookmarkEnd w:id="111"/>
    </w:p>
    <w:p w14:paraId="60218793">
      <w:pPr>
        <w:pStyle w:val="33"/>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2" w:name="_Toc16544"/>
      <w:bookmarkStart w:id="113" w:name="_Toc27332"/>
      <w:bookmarkStart w:id="114" w:name="_Toc27746"/>
      <w:bookmarkStart w:id="115" w:name="_Toc22995"/>
      <w:bookmarkStart w:id="116" w:name="_Toc21161"/>
      <w:r>
        <w:rPr>
          <w:rFonts w:hint="eastAsia" w:ascii="仿宋_GB2312" w:hAnsi="仿宋_GB2312" w:eastAsia="仿宋_GB2312" w:cs="仿宋_GB2312"/>
          <w:kern w:val="2"/>
          <w:sz w:val="32"/>
          <w:szCs w:val="32"/>
          <w:highlight w:val="none"/>
          <w:lang w:val="en-US" w:eastAsia="zh-CN" w:bidi="ar-SA"/>
        </w:rPr>
        <w:t>附件三、 发制品企业出勤、工资奖励资金项目绩效评价工作记录单</w:t>
      </w:r>
      <w:bookmarkEnd w:id="112"/>
      <w:bookmarkEnd w:id="113"/>
      <w:bookmarkEnd w:id="114"/>
      <w:bookmarkEnd w:id="115"/>
      <w:bookmarkEnd w:id="116"/>
      <w:bookmarkStart w:id="117" w:name="_Toc18769"/>
      <w:bookmarkStart w:id="118" w:name="_Toc16822"/>
      <w:bookmarkStart w:id="119" w:name="_Toc20564"/>
    </w:p>
    <w:p w14:paraId="551BEC1B">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0" w:name="_Toc27218"/>
      <w:r>
        <w:rPr>
          <w:rFonts w:hint="eastAsia" w:ascii="仿宋_GB2312" w:hAnsi="仿宋_GB2312" w:eastAsia="仿宋_GB2312" w:cs="仿宋_GB2312"/>
          <w:kern w:val="2"/>
          <w:sz w:val="32"/>
          <w:szCs w:val="32"/>
          <w:highlight w:val="none"/>
          <w:lang w:val="en-US" w:eastAsia="zh-CN" w:bidi="ar-SA"/>
        </w:rPr>
        <w:t>附件四、 发制品企业出勤、工资奖励资金项目调查问卷统计表</w:t>
      </w:r>
      <w:bookmarkEnd w:id="117"/>
      <w:bookmarkEnd w:id="118"/>
      <w:bookmarkEnd w:id="119"/>
      <w:bookmarkEnd w:id="120"/>
    </w:p>
    <w:p w14:paraId="57E033D3">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14:paraId="72D7A144">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14:paraId="5ACD06AB">
      <w:pPr>
        <w:spacing w:line="560" w:lineRule="exact"/>
        <w:ind w:firstLine="3827" w:firstLineChars="1196"/>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A58840C-94A8-45FC-A507-AF506A0159B9}"/>
  </w:font>
  <w:font w:name="Arial">
    <w:panose1 w:val="020B0604020202020204"/>
    <w:charset w:val="01"/>
    <w:family w:val="swiss"/>
    <w:pitch w:val="default"/>
    <w:sig w:usb0="E0002EFF" w:usb1="C000785B" w:usb2="00000009" w:usb3="00000000" w:csb0="400001FF" w:csb1="FFFF0000"/>
    <w:embedRegular r:id="rId2" w:fontKey="{A5C77FE5-730C-4252-9FB4-8B17AFA3A52C}"/>
  </w:font>
  <w:font w:name="黑体">
    <w:panose1 w:val="02010609060101010101"/>
    <w:charset w:val="86"/>
    <w:family w:val="auto"/>
    <w:pitch w:val="default"/>
    <w:sig w:usb0="800002BF" w:usb1="38CF7CFA" w:usb2="00000016" w:usb3="00000000" w:csb0="00040001" w:csb1="00000000"/>
    <w:embedRegular r:id="rId3" w:fontKey="{E4FA6695-C223-4E01-AC38-40F85384BF88}"/>
  </w:font>
  <w:font w:name="Courier New">
    <w:panose1 w:val="02070309020205020404"/>
    <w:charset w:val="01"/>
    <w:family w:val="modern"/>
    <w:pitch w:val="default"/>
    <w:sig w:usb0="E0002EFF" w:usb1="C0007843" w:usb2="00000009" w:usb3="00000000" w:csb0="400001FF" w:csb1="FFFF0000"/>
    <w:embedRegular r:id="rId4" w:fontKey="{CA015DEF-3D5B-456A-AB45-2079C556F070}"/>
  </w:font>
  <w:font w:name="Symbol">
    <w:panose1 w:val="05050102010706020507"/>
    <w:charset w:val="02"/>
    <w:family w:val="roman"/>
    <w:pitch w:val="default"/>
    <w:sig w:usb0="00000000" w:usb1="00000000" w:usb2="00000000" w:usb3="00000000" w:csb0="80000000" w:csb1="00000000"/>
    <w:embedRegular r:id="rId5" w:fontKey="{EB19472D-B343-405A-B459-13C9EDDAE8DA}"/>
  </w:font>
  <w:font w:name="Calibri">
    <w:panose1 w:val="020F0502020204030204"/>
    <w:charset w:val="00"/>
    <w:family w:val="swiss"/>
    <w:pitch w:val="default"/>
    <w:sig w:usb0="E4002EFF" w:usb1="C200247B" w:usb2="00000009" w:usb3="00000000" w:csb0="200001FF" w:csb1="00000000"/>
    <w:embedRegular r:id="rId6" w:fontKey="{65D8C00D-E1FE-43C6-9F5E-096FCF1A6B84}"/>
  </w:font>
  <w:font w:name="仿宋">
    <w:panose1 w:val="02010609060101010101"/>
    <w:charset w:val="86"/>
    <w:family w:val="modern"/>
    <w:pitch w:val="default"/>
    <w:sig w:usb0="800002BF" w:usb1="38CF7CFA" w:usb2="00000016" w:usb3="00000000" w:csb0="00040001" w:csb1="00000000"/>
    <w:embedRegular r:id="rId7" w:fontKey="{FD2429C9-0C9B-425B-A051-6DA2643D3957}"/>
  </w:font>
  <w:font w:name="Cambria">
    <w:panose1 w:val="02040503050406030204"/>
    <w:charset w:val="00"/>
    <w:family w:val="roman"/>
    <w:pitch w:val="default"/>
    <w:sig w:usb0="E00006FF" w:usb1="420024FF" w:usb2="02000000" w:usb3="00000000" w:csb0="2000019F" w:csb1="00000000"/>
    <w:embedRegular r:id="rId8" w:fontKey="{00CCF677-0D0D-4073-A56D-63A1BE41EA5E}"/>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5624492E-AB75-411B-A765-E27C8E66F56D}"/>
  </w:font>
  <w:font w:name="微软雅黑">
    <w:panose1 w:val="020B0503020204020204"/>
    <w:charset w:val="86"/>
    <w:family w:val="auto"/>
    <w:pitch w:val="default"/>
    <w:sig w:usb0="80000287" w:usb1="2ACF3C50" w:usb2="00000016" w:usb3="00000000" w:csb0="0004001F" w:csb1="00000000"/>
    <w:embedRegular r:id="rId10" w:fontKey="{AFBDBAFA-5CF8-484D-9128-7674846ECA84}"/>
  </w:font>
  <w:font w:name="方正小标宋_GBK">
    <w:panose1 w:val="02000000000000000000"/>
    <w:charset w:val="86"/>
    <w:family w:val="script"/>
    <w:pitch w:val="default"/>
    <w:sig w:usb0="A00002BF" w:usb1="38CF7CFA" w:usb2="00082016" w:usb3="00000000" w:csb0="00040001" w:csb1="00000000"/>
    <w:embedRegular r:id="rId11" w:fontKey="{E413EEC7-B861-40B3-B8FD-19FE7F12288A}"/>
  </w:font>
  <w:font w:name="华文中宋">
    <w:panose1 w:val="02010600040101010101"/>
    <w:charset w:val="86"/>
    <w:family w:val="auto"/>
    <w:pitch w:val="default"/>
    <w:sig w:usb0="00000287" w:usb1="080F0000" w:usb2="00000000" w:usb3="00000000" w:csb0="0004009F" w:csb1="DFD70000"/>
    <w:embedRegular r:id="rId12" w:fontKey="{9821D3E5-44C6-4A10-9D75-2D41535F445E}"/>
  </w:font>
  <w:font w:name="楷体">
    <w:panose1 w:val="02010609060101010101"/>
    <w:charset w:val="86"/>
    <w:family w:val="modern"/>
    <w:pitch w:val="default"/>
    <w:sig w:usb0="800002BF" w:usb1="38CF7CFA" w:usb2="00000016" w:usb3="00000000" w:csb0="00040001" w:csb1="00000000"/>
    <w:embedRegular r:id="rId13" w:fontKey="{E819ACAB-3E60-44A0-8D36-8F1C2EEA0BE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222B48">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77B2160">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177B2160">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ED537D19"/>
    <w:multiLevelType w:val="singleLevel"/>
    <w:tmpl w:val="ED537D19"/>
    <w:lvl w:ilvl="0" w:tentative="0">
      <w:start w:val="2"/>
      <w:numFmt w:val="decimal"/>
      <w:lvlText w:val="(%1)"/>
      <w:lvlJc w:val="left"/>
      <w:pPr>
        <w:tabs>
          <w:tab w:val="left" w:pos="312"/>
        </w:tabs>
      </w:pPr>
    </w:lvl>
  </w:abstractNum>
  <w:abstractNum w:abstractNumId="4">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4BBB029A"/>
    <w:multiLevelType w:val="multilevel"/>
    <w:tmpl w:val="4BBB029A"/>
    <w:lvl w:ilvl="0" w:tentative="0">
      <w:start w:val="1"/>
      <w:numFmt w:val="decimal"/>
      <w:pStyle w:val="4"/>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86DE0EC"/>
    <w:multiLevelType w:val="singleLevel"/>
    <w:tmpl w:val="586DE0EC"/>
    <w:lvl w:ilvl="0" w:tentative="0">
      <w:start w:val="1"/>
      <w:numFmt w:val="decimal"/>
      <w:suff w:val="nothing"/>
      <w:lvlText w:val="（%1）"/>
      <w:lvlJc w:val="left"/>
    </w:lvl>
  </w:abstractNum>
  <w:abstractNum w:abstractNumId="7">
    <w:nsid w:val="6EA16E0C"/>
    <w:multiLevelType w:val="multilevel"/>
    <w:tmpl w:val="6EA16E0C"/>
    <w:lvl w:ilvl="0" w:tentative="0">
      <w:start w:val="1"/>
      <w:numFmt w:val="decimal"/>
      <w:pStyle w:val="5"/>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7"/>
  </w:num>
  <w:num w:numId="3">
    <w:abstractNumId w:val="4"/>
  </w:num>
  <w:num w:numId="4">
    <w:abstractNumId w:val="6"/>
  </w:num>
  <w:num w:numId="5">
    <w:abstractNumId w:val="3"/>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D42AB7"/>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B7644F"/>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817EA5"/>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0C1267"/>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9165ED3"/>
    <w:rsid w:val="196116C8"/>
    <w:rsid w:val="19837757"/>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480EBB"/>
    <w:rsid w:val="2D5C5C1B"/>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4A404B"/>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9C1760"/>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18682D"/>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910D6F"/>
    <w:rsid w:val="4CF31CB8"/>
    <w:rsid w:val="4D1E0B50"/>
    <w:rsid w:val="4D917D31"/>
    <w:rsid w:val="4E002236"/>
    <w:rsid w:val="4E4179EE"/>
    <w:rsid w:val="4E470433"/>
    <w:rsid w:val="4E767DC2"/>
    <w:rsid w:val="4E8F6F3C"/>
    <w:rsid w:val="4ED57ECB"/>
    <w:rsid w:val="4F9F7B0F"/>
    <w:rsid w:val="4FCE03C2"/>
    <w:rsid w:val="50372AC6"/>
    <w:rsid w:val="50BF3579"/>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5947F7"/>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D777B6"/>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89142E"/>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8F3681"/>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4">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5">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6">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pPr>
      <w:tabs>
        <w:tab w:val="left" w:pos="180"/>
        <w:tab w:val="left" w:pos="540"/>
      </w:tabs>
      <w:ind w:firstLine="420" w:firstLineChars="200"/>
    </w:pPr>
  </w:style>
  <w:style w:type="paragraph" w:styleId="3">
    <w:name w:val="Body Text Indent"/>
    <w:basedOn w:val="1"/>
    <w:qFormat/>
    <w:uiPriority w:val="0"/>
    <w:pPr>
      <w:ind w:firstLine="660"/>
    </w:pPr>
    <w:rPr>
      <w:sz w:val="30"/>
    </w:rPr>
  </w:style>
  <w:style w:type="paragraph" w:styleId="7">
    <w:name w:val="caption"/>
    <w:basedOn w:val="1"/>
    <w:next w:val="1"/>
    <w:unhideWhenUsed/>
    <w:qFormat/>
    <w:uiPriority w:val="35"/>
    <w:rPr>
      <w:rFonts w:eastAsia="黑体" w:asciiTheme="majorHAnsi" w:hAnsiTheme="majorHAnsi" w:cstheme="majorBidi"/>
      <w:sz w:val="20"/>
      <w:szCs w:val="20"/>
    </w:rPr>
  </w:style>
  <w:style w:type="paragraph" w:styleId="8">
    <w:name w:val="annotation text"/>
    <w:basedOn w:val="1"/>
    <w:link w:val="38"/>
    <w:semiHidden/>
    <w:unhideWhenUsed/>
    <w:qFormat/>
    <w:uiPriority w:val="99"/>
    <w:pPr>
      <w:jc w:val="left"/>
    </w:pPr>
  </w:style>
  <w:style w:type="paragraph" w:styleId="9">
    <w:name w:val="Body Text"/>
    <w:basedOn w:val="1"/>
    <w:qFormat/>
    <w:uiPriority w:val="0"/>
  </w:style>
  <w:style w:type="paragraph" w:styleId="10">
    <w:name w:val="toc 3"/>
    <w:basedOn w:val="1"/>
    <w:next w:val="1"/>
    <w:semiHidden/>
    <w:unhideWhenUsed/>
    <w:qFormat/>
    <w:uiPriority w:val="39"/>
    <w:pPr>
      <w:ind w:left="840" w:leftChars="400"/>
    </w:pPr>
  </w:style>
  <w:style w:type="paragraph" w:styleId="11">
    <w:name w:val="Balloon Text"/>
    <w:basedOn w:val="1"/>
    <w:link w:val="37"/>
    <w:semiHidden/>
    <w:unhideWhenUsed/>
    <w:qFormat/>
    <w:uiPriority w:val="99"/>
    <w:rPr>
      <w:sz w:val="18"/>
      <w:szCs w:val="18"/>
    </w:rPr>
  </w:style>
  <w:style w:type="paragraph" w:styleId="12">
    <w:name w:val="footer"/>
    <w:basedOn w:val="1"/>
    <w:link w:val="29"/>
    <w:unhideWhenUsed/>
    <w:qFormat/>
    <w:uiPriority w:val="99"/>
    <w:pPr>
      <w:tabs>
        <w:tab w:val="center" w:pos="4153"/>
        <w:tab w:val="right" w:pos="8306"/>
      </w:tabs>
      <w:snapToGrid w:val="0"/>
      <w:jc w:val="left"/>
    </w:pPr>
    <w:rPr>
      <w:sz w:val="18"/>
      <w:szCs w:val="18"/>
    </w:rPr>
  </w:style>
  <w:style w:type="paragraph" w:styleId="13">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8"/>
    <w:next w:val="8"/>
    <w:link w:val="39"/>
    <w:semiHidden/>
    <w:unhideWhenUsed/>
    <w:qFormat/>
    <w:uiPriority w:val="99"/>
    <w:rPr>
      <w:b/>
      <w:bCs/>
    </w:rPr>
  </w:style>
  <w:style w:type="paragraph" w:styleId="18">
    <w:name w:val="Body Text First Indent"/>
    <w:basedOn w:val="9"/>
    <w:semiHidden/>
    <w:unhideWhenUsed/>
    <w:qFormat/>
    <w:uiPriority w:val="99"/>
    <w:pPr>
      <w:ind w:firstLine="420" w:firstLineChars="1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3"/>
    <w:qFormat/>
    <w:uiPriority w:val="99"/>
    <w:rPr>
      <w:sz w:val="18"/>
      <w:szCs w:val="18"/>
    </w:rPr>
  </w:style>
  <w:style w:type="character" w:customStyle="1" w:styleId="29">
    <w:name w:val="页脚 Char"/>
    <w:basedOn w:val="21"/>
    <w:link w:val="12"/>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4"/>
    <w:qFormat/>
    <w:uiPriority w:val="9"/>
    <w:rPr>
      <w:rFonts w:eastAsia="仿宋"/>
      <w:b/>
      <w:bCs/>
      <w:kern w:val="44"/>
      <w:sz w:val="32"/>
      <w:szCs w:val="44"/>
    </w:rPr>
  </w:style>
  <w:style w:type="character" w:customStyle="1" w:styleId="32">
    <w:name w:val="标题 2 Char"/>
    <w:basedOn w:val="21"/>
    <w:link w:val="5"/>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1"/>
    <w:semiHidden/>
    <w:qFormat/>
    <w:uiPriority w:val="99"/>
    <w:rPr>
      <w:kern w:val="2"/>
      <w:sz w:val="18"/>
      <w:szCs w:val="18"/>
    </w:rPr>
  </w:style>
  <w:style w:type="character" w:customStyle="1" w:styleId="38">
    <w:name w:val="批注文字 Char"/>
    <w:basedOn w:val="21"/>
    <w:link w:val="8"/>
    <w:semiHidden/>
    <w:qFormat/>
    <w:uiPriority w:val="99"/>
    <w:rPr>
      <w:kern w:val="2"/>
      <w:sz w:val="21"/>
      <w:szCs w:val="24"/>
    </w:rPr>
  </w:style>
  <w:style w:type="character" w:customStyle="1" w:styleId="39">
    <w:name w:val="批注主题 Char"/>
    <w:basedOn w:val="38"/>
    <w:link w:val="17"/>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30</Pages>
  <Words>12077</Words>
  <Characters>12781</Characters>
  <Lines>79</Lines>
  <Paragraphs>22</Paragraphs>
  <TotalTime>34</TotalTime>
  <ScaleCrop>false</ScaleCrop>
  <LinksUpToDate>false</LinksUpToDate>
  <CharactersWithSpaces>12867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2025-03-12T10:49:55Z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