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08C110F">
      <w:pPr>
        <w:jc w:val="both"/>
        <w:rPr>
          <w:rFonts w:ascii="微软雅黑" w:hAnsi="黑体" w:eastAsia="微软雅黑" w:cs="宋体"/>
          <w:kern w:val="0"/>
          <w:sz w:val="44"/>
          <w:szCs w:val="44"/>
        </w:rPr>
      </w:pPr>
    </w:p>
    <w:p w14:paraId="6C552B2A">
      <w:pPr>
        <w:jc w:val="center"/>
        <w:rPr>
          <w:rFonts w:hint="eastAsia" w:ascii="微软雅黑" w:hAnsi="微软雅黑" w:eastAsia="微软雅黑" w:cs="微软雅黑"/>
          <w:b w:val="0"/>
          <w:bCs w:val="0"/>
          <w:kern w:val="0"/>
          <w:sz w:val="44"/>
          <w:szCs w:val="44"/>
          <w:lang w:eastAsia="zh-CN"/>
        </w:rPr>
      </w:pPr>
      <w:r>
        <w:rPr>
          <w:rFonts w:hint="eastAsia" w:ascii="微软雅黑" w:hAnsi="微软雅黑" w:eastAsia="微软雅黑" w:cs="微软雅黑"/>
          <w:b w:val="0"/>
          <w:bCs w:val="0"/>
          <w:kern w:val="0"/>
          <w:sz w:val="44"/>
          <w:szCs w:val="44"/>
          <w:lang w:eastAsia="zh-CN"/>
        </w:rPr>
        <w:t>洛浦县商务和工业信息化局</w:t>
      </w:r>
    </w:p>
    <w:p w14:paraId="6A427211">
      <w:pPr>
        <w:jc w:val="center"/>
        <w:rPr>
          <w:rFonts w:hint="eastAsia" w:ascii="微软雅黑" w:hAnsi="微软雅黑" w:eastAsia="微软雅黑" w:cs="微软雅黑"/>
          <w:b w:val="0"/>
          <w:bCs w:val="0"/>
          <w:kern w:val="0"/>
          <w:sz w:val="44"/>
          <w:szCs w:val="44"/>
          <w:highlight w:val="none"/>
          <w:lang w:val="en-US" w:eastAsia="zh-CN"/>
        </w:rPr>
      </w:pPr>
      <w:r>
        <w:rPr>
          <w:rFonts w:hint="eastAsia" w:ascii="微软雅黑" w:hAnsi="微软雅黑" w:eastAsia="微软雅黑" w:cs="微软雅黑"/>
          <w:b w:val="0"/>
          <w:bCs w:val="0"/>
          <w:kern w:val="0"/>
          <w:sz w:val="44"/>
          <w:szCs w:val="44"/>
          <w:lang w:eastAsia="zh-CN"/>
        </w:rPr>
        <w:t>2021年春节期间畜禽类肉类补贴项目</w:t>
      </w:r>
    </w:p>
    <w:p w14:paraId="4987CE33">
      <w:pPr>
        <w:rPr>
          <w:rFonts w:hint="eastAsia" w:ascii="仿宋" w:hAnsi="仿宋" w:eastAsia="仿宋" w:cs="仿宋"/>
          <w:b/>
          <w:bCs/>
          <w:kern w:val="0"/>
          <w:sz w:val="24"/>
        </w:rPr>
      </w:pPr>
    </w:p>
    <w:p w14:paraId="0A8D2CB7">
      <w:pPr>
        <w:rPr>
          <w:rFonts w:hint="eastAsia" w:ascii="仿宋" w:hAnsi="仿宋" w:eastAsia="仿宋" w:cs="仿宋"/>
          <w:b/>
          <w:bCs/>
          <w:kern w:val="0"/>
          <w:sz w:val="24"/>
        </w:rPr>
      </w:pPr>
    </w:p>
    <w:p w14:paraId="42F26BBD">
      <w:pPr>
        <w:rPr>
          <w:rFonts w:hint="eastAsia" w:ascii="仿宋" w:hAnsi="仿宋" w:eastAsia="仿宋" w:cs="仿宋"/>
          <w:b/>
          <w:bCs/>
          <w:kern w:val="0"/>
          <w:sz w:val="24"/>
        </w:rPr>
      </w:pPr>
    </w:p>
    <w:p w14:paraId="75A4361D">
      <w:pPr>
        <w:rPr>
          <w:rFonts w:hint="eastAsia" w:ascii="仿宋" w:hAnsi="仿宋" w:eastAsia="仿宋" w:cs="仿宋"/>
          <w:b/>
          <w:bCs/>
          <w:kern w:val="0"/>
          <w:sz w:val="24"/>
        </w:rPr>
      </w:pPr>
    </w:p>
    <w:p w14:paraId="1EE0356A">
      <w:pPr>
        <w:rPr>
          <w:rFonts w:hint="eastAsia" w:ascii="仿宋" w:hAnsi="仿宋" w:eastAsia="仿宋" w:cs="仿宋"/>
          <w:b/>
          <w:bCs/>
          <w:kern w:val="0"/>
          <w:sz w:val="24"/>
        </w:rPr>
      </w:pPr>
    </w:p>
    <w:p w14:paraId="769FAA2C">
      <w:pPr>
        <w:rPr>
          <w:rFonts w:hint="eastAsia" w:ascii="仿宋" w:hAnsi="仿宋" w:eastAsia="仿宋" w:cs="仿宋"/>
          <w:b/>
          <w:bCs/>
          <w:kern w:val="0"/>
          <w:sz w:val="24"/>
        </w:rPr>
      </w:pPr>
    </w:p>
    <w:p w14:paraId="3F13FB05">
      <w:pPr>
        <w:rPr>
          <w:rFonts w:hint="eastAsia" w:ascii="仿宋" w:hAnsi="仿宋" w:eastAsia="仿宋" w:cs="仿宋"/>
          <w:b/>
          <w:bCs/>
          <w:kern w:val="0"/>
          <w:sz w:val="24"/>
        </w:rPr>
      </w:pPr>
    </w:p>
    <w:p w14:paraId="5B3301CA">
      <w:pPr>
        <w:jc w:val="center"/>
        <w:rPr>
          <w:rFonts w:hint="eastAsia" w:ascii="仿宋" w:hAnsi="仿宋" w:eastAsia="仿宋" w:cs="仿宋"/>
          <w:b/>
          <w:bCs/>
          <w:kern w:val="0"/>
          <w:sz w:val="96"/>
          <w:szCs w:val="96"/>
        </w:rPr>
      </w:pPr>
      <w:r>
        <w:rPr>
          <w:rFonts w:hint="eastAsia" w:ascii="仿宋" w:hAnsi="仿宋" w:eastAsia="仿宋" w:cs="仿宋"/>
          <w:b/>
          <w:bCs/>
          <w:kern w:val="0"/>
          <w:sz w:val="72"/>
          <w:szCs w:val="72"/>
        </w:rPr>
        <w:t>绩效评价报告</w:t>
      </w:r>
    </w:p>
    <w:p w14:paraId="08399726">
      <w:pPr>
        <w:rPr>
          <w:rFonts w:ascii="Times New Roman" w:hAnsi="黑体" w:eastAsia="黑体" w:cs="宋体"/>
          <w:kern w:val="0"/>
          <w:sz w:val="24"/>
        </w:rPr>
      </w:pPr>
    </w:p>
    <w:p w14:paraId="47ECB8E5">
      <w:pPr>
        <w:rPr>
          <w:rFonts w:ascii="Times New Roman" w:hAnsi="黑体" w:eastAsia="黑体" w:cs="宋体"/>
          <w:kern w:val="0"/>
          <w:sz w:val="24"/>
        </w:rPr>
      </w:pPr>
    </w:p>
    <w:p w14:paraId="07E816FE">
      <w:pPr>
        <w:rPr>
          <w:rFonts w:ascii="Times New Roman" w:hAnsi="黑体" w:eastAsia="黑体" w:cs="宋体"/>
          <w:kern w:val="0"/>
          <w:sz w:val="24"/>
        </w:rPr>
      </w:pPr>
    </w:p>
    <w:p w14:paraId="656B4BCC">
      <w:pPr>
        <w:rPr>
          <w:rFonts w:ascii="Times New Roman" w:hAnsi="黑体" w:eastAsia="黑体" w:cs="宋体"/>
          <w:kern w:val="0"/>
          <w:sz w:val="24"/>
        </w:rPr>
      </w:pPr>
    </w:p>
    <w:p w14:paraId="56357FF2">
      <w:pPr>
        <w:rPr>
          <w:rFonts w:ascii="Times New Roman" w:hAnsi="黑体" w:eastAsia="黑体" w:cs="宋体"/>
          <w:kern w:val="0"/>
          <w:sz w:val="24"/>
        </w:rPr>
      </w:pPr>
    </w:p>
    <w:p w14:paraId="2987FB23">
      <w:pPr>
        <w:rPr>
          <w:rFonts w:ascii="Times New Roman" w:hAnsi="黑体" w:eastAsia="黑体" w:cs="宋体"/>
          <w:kern w:val="0"/>
          <w:sz w:val="24"/>
        </w:rPr>
      </w:pPr>
    </w:p>
    <w:p w14:paraId="3E31BD48">
      <w:pPr>
        <w:rPr>
          <w:rFonts w:ascii="Times New Roman" w:hAnsi="黑体" w:eastAsia="黑体" w:cs="宋体"/>
          <w:kern w:val="0"/>
          <w:sz w:val="24"/>
        </w:rPr>
      </w:pPr>
    </w:p>
    <w:p w14:paraId="273D0A71">
      <w:pPr>
        <w:rPr>
          <w:rFonts w:ascii="Times New Roman" w:hAnsi="黑体" w:eastAsia="黑体" w:cs="宋体"/>
          <w:kern w:val="0"/>
          <w:sz w:val="24"/>
        </w:rPr>
      </w:pPr>
    </w:p>
    <w:p w14:paraId="14655BC4">
      <w:pPr>
        <w:pStyle w:val="4"/>
        <w:numPr>
          <w:ilvl w:val="0"/>
          <w:numId w:val="0"/>
        </w:numPr>
        <w:ind w:leftChars="0"/>
        <w:rPr>
          <w:rFonts w:ascii="Times New Roman" w:hAnsi="黑体" w:eastAsia="黑体" w:cs="宋体"/>
          <w:kern w:val="0"/>
          <w:sz w:val="24"/>
        </w:rPr>
      </w:pPr>
    </w:p>
    <w:p w14:paraId="067C9648"/>
    <w:p w14:paraId="7BC3064C">
      <w:pPr>
        <w:spacing w:line="400" w:lineRule="exact"/>
        <w:ind w:firstLine="2040" w:firstLineChars="850"/>
        <w:jc w:val="left"/>
        <w:rPr>
          <w:rFonts w:ascii="黑体" w:hAnsi="黑体" w:eastAsia="黑体" w:cs="宋体"/>
          <w:kern w:val="0"/>
          <w:sz w:val="24"/>
        </w:rPr>
      </w:pPr>
      <w:r>
        <w:rPr>
          <w:rFonts w:hint="eastAsia" w:ascii="黑体" w:hAnsi="黑体" w:eastAsia="黑体" w:cs="宋体"/>
          <w:kern w:val="0"/>
          <w:sz w:val="24"/>
        </w:rPr>
        <w:t>报告编号：</w:t>
      </w:r>
      <w:r>
        <w:rPr>
          <w:rFonts w:hint="eastAsia" w:ascii="黑体" w:hAnsi="黑体" w:eastAsia="黑体" w:cs="宋体"/>
          <w:kern w:val="0"/>
          <w:sz w:val="24"/>
          <w:highlight w:val="none"/>
        </w:rPr>
        <w:t>中瑞诚喀绩评字[202</w:t>
      </w:r>
      <w:r>
        <w:rPr>
          <w:rFonts w:hint="eastAsia" w:ascii="黑体" w:hAnsi="黑体" w:eastAsia="黑体" w:cs="宋体"/>
          <w:kern w:val="0"/>
          <w:sz w:val="24"/>
          <w:highlight w:val="none"/>
          <w:lang w:val="en-US" w:eastAsia="zh-CN"/>
        </w:rPr>
        <w:t>2</w:t>
      </w:r>
      <w:r>
        <w:rPr>
          <w:rFonts w:hint="eastAsia" w:ascii="黑体" w:hAnsi="黑体" w:eastAsia="黑体" w:cs="宋体"/>
          <w:kern w:val="0"/>
          <w:sz w:val="24"/>
          <w:highlight w:val="none"/>
        </w:rPr>
        <w:t>]</w:t>
      </w:r>
      <w:r>
        <w:rPr>
          <w:rFonts w:hint="eastAsia" w:ascii="黑体" w:hAnsi="黑体" w:eastAsia="黑体" w:cs="宋体"/>
          <w:kern w:val="0"/>
          <w:sz w:val="24"/>
          <w:highlight w:val="none"/>
          <w:lang w:val="en-US" w:eastAsia="zh-CN"/>
        </w:rPr>
        <w:t>148</w:t>
      </w:r>
      <w:r>
        <w:rPr>
          <w:rFonts w:hint="eastAsia" w:ascii="黑体" w:hAnsi="黑体" w:eastAsia="黑体" w:cs="宋体"/>
          <w:kern w:val="0"/>
          <w:sz w:val="24"/>
          <w:highlight w:val="none"/>
        </w:rPr>
        <w:t>号</w:t>
      </w:r>
    </w:p>
    <w:p w14:paraId="108754BD">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委托单位：</w:t>
      </w:r>
      <w:r>
        <w:rPr>
          <w:rFonts w:hint="eastAsia" w:ascii="黑体" w:hAnsi="黑体" w:eastAsia="黑体" w:cs="宋体"/>
          <w:kern w:val="0"/>
          <w:sz w:val="24"/>
          <w:lang w:eastAsia="zh-CN"/>
        </w:rPr>
        <w:t>洛浦</w:t>
      </w:r>
      <w:r>
        <w:rPr>
          <w:rFonts w:hint="eastAsia" w:ascii="黑体" w:hAnsi="黑体" w:eastAsia="黑体" w:cs="宋体"/>
          <w:kern w:val="0"/>
          <w:sz w:val="24"/>
        </w:rPr>
        <w:t>县财政局</w:t>
      </w:r>
    </w:p>
    <w:p w14:paraId="48A82A4C">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评价机构：中瑞诚会计师事务所</w:t>
      </w:r>
      <w:r>
        <w:rPr>
          <w:rFonts w:hint="eastAsia" w:ascii="黑体" w:hAnsi="黑体" w:eastAsia="黑体" w:cs="宋体"/>
          <w:kern w:val="0"/>
          <w:sz w:val="24"/>
          <w:lang w:eastAsia="zh-CN"/>
        </w:rPr>
        <w:t>（特殊普通合伙）</w:t>
      </w:r>
      <w:r>
        <w:rPr>
          <w:rFonts w:hint="eastAsia" w:ascii="黑体" w:hAnsi="黑体" w:eastAsia="黑体" w:cs="宋体"/>
          <w:kern w:val="0"/>
          <w:sz w:val="24"/>
        </w:rPr>
        <w:t>喀什分所</w:t>
      </w:r>
    </w:p>
    <w:p w14:paraId="3B51B587">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报告时间：</w:t>
      </w:r>
      <w:r>
        <w:rPr>
          <w:rFonts w:hint="eastAsia" w:ascii="黑体" w:hAnsi="黑体" w:eastAsia="黑体" w:cs="宋体"/>
          <w:kern w:val="0"/>
          <w:sz w:val="24"/>
          <w:lang w:eastAsia="zh-CN"/>
        </w:rPr>
        <w:t>202</w:t>
      </w:r>
      <w:r>
        <w:rPr>
          <w:rFonts w:hint="eastAsia" w:ascii="黑体" w:hAnsi="黑体" w:eastAsia="黑体" w:cs="宋体"/>
          <w:kern w:val="0"/>
          <w:sz w:val="24"/>
          <w:lang w:val="en-US" w:eastAsia="zh-CN"/>
        </w:rPr>
        <w:t>2</w:t>
      </w:r>
      <w:r>
        <w:rPr>
          <w:rFonts w:hint="eastAsia" w:ascii="黑体" w:hAnsi="黑体" w:eastAsia="黑体" w:cs="宋体"/>
          <w:kern w:val="0"/>
          <w:sz w:val="24"/>
        </w:rPr>
        <w:t>年</w:t>
      </w:r>
      <w:r>
        <w:rPr>
          <w:rFonts w:hint="eastAsia" w:ascii="黑体" w:hAnsi="黑体" w:eastAsia="黑体" w:cs="宋体"/>
          <w:kern w:val="0"/>
          <w:sz w:val="24"/>
          <w:lang w:val="en-US" w:eastAsia="zh-CN"/>
        </w:rPr>
        <w:t>06</w:t>
      </w:r>
      <w:r>
        <w:rPr>
          <w:rFonts w:hint="eastAsia" w:ascii="黑体" w:hAnsi="黑体" w:eastAsia="黑体" w:cs="宋体"/>
          <w:kern w:val="0"/>
          <w:sz w:val="24"/>
        </w:rPr>
        <w:t>月</w:t>
      </w:r>
      <w:r>
        <w:rPr>
          <w:rFonts w:hint="eastAsia" w:ascii="黑体" w:hAnsi="黑体" w:eastAsia="黑体" w:cs="宋体"/>
          <w:kern w:val="0"/>
          <w:sz w:val="24"/>
          <w:lang w:val="en-US" w:eastAsia="zh-CN"/>
        </w:rPr>
        <w:t>30</w:t>
      </w:r>
      <w:r>
        <w:rPr>
          <w:rFonts w:hint="eastAsia" w:ascii="黑体" w:hAnsi="黑体" w:eastAsia="黑体" w:cs="宋体"/>
          <w:kern w:val="0"/>
          <w:sz w:val="24"/>
        </w:rPr>
        <w:t>日</w:t>
      </w:r>
    </w:p>
    <w:tbl>
      <w:tblPr>
        <w:tblStyle w:val="20"/>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14:paraId="405E3749">
        <w:tblPrEx>
          <w:tblCellMar>
            <w:top w:w="15" w:type="dxa"/>
            <w:left w:w="15" w:type="dxa"/>
            <w:bottom w:w="15" w:type="dxa"/>
            <w:right w:w="15" w:type="dxa"/>
          </w:tblCellMar>
        </w:tblPrEx>
        <w:trPr>
          <w:trHeight w:val="301" w:hRule="atLeast"/>
        </w:trPr>
        <w:tc>
          <w:tcPr>
            <w:tcW w:w="8983" w:type="dxa"/>
            <w:gridSpan w:val="13"/>
            <w:shd w:val="clear" w:color="auto" w:fill="auto"/>
            <w:vAlign w:val="center"/>
          </w:tcPr>
          <w:p w14:paraId="29706A2F">
            <w:pPr>
              <w:widowControl/>
              <w:jc w:val="left"/>
              <w:textAlignment w:val="center"/>
              <w:rPr>
                <w:rFonts w:hint="eastAsia" w:ascii="仿宋_GB2312" w:hAnsi="宋体" w:eastAsia="仿宋_GB2312" w:cs="仿宋_GB2312"/>
                <w:b w:val="0"/>
                <w:bCs w:val="0"/>
                <w:color w:val="000000"/>
                <w:kern w:val="2"/>
                <w:sz w:val="20"/>
                <w:szCs w:val="20"/>
                <w:lang w:val="en-US" w:eastAsia="zh-CN" w:bidi="ar-SA"/>
              </w:rPr>
            </w:pPr>
            <w:r>
              <w:rPr>
                <w:rFonts w:hint="eastAsia" w:ascii="黑体" w:hAnsi="宋体" w:eastAsia="黑体" w:cs="黑体"/>
                <w:color w:val="000000"/>
                <w:kern w:val="0"/>
                <w:sz w:val="24"/>
                <w:highlight w:val="none"/>
                <w:lang w:val="en-US" w:eastAsia="zh-CN"/>
              </w:rPr>
              <w:t>评价分值：95.45 评价等级：优</w:t>
            </w:r>
          </w:p>
        </w:tc>
      </w:tr>
      <w:tr w14:paraId="78DFB1DA">
        <w:tblPrEx>
          <w:tblCellMar>
            <w:top w:w="15" w:type="dxa"/>
            <w:left w:w="15" w:type="dxa"/>
            <w:bottom w:w="15" w:type="dxa"/>
            <w:right w:w="15" w:type="dxa"/>
          </w:tblCellMar>
        </w:tblPrEx>
        <w:trPr>
          <w:trHeight w:val="510" w:hRule="atLeast"/>
        </w:trPr>
        <w:tc>
          <w:tcPr>
            <w:tcW w:w="8983" w:type="dxa"/>
            <w:gridSpan w:val="13"/>
            <w:shd w:val="clear" w:color="auto" w:fill="auto"/>
            <w:vAlign w:val="center"/>
          </w:tcPr>
          <w:p w14:paraId="522AB434">
            <w:pPr>
              <w:widowControl/>
              <w:jc w:val="center"/>
              <w:textAlignment w:val="center"/>
              <w:rPr>
                <w:rFonts w:hint="eastAsia" w:ascii="仿宋_GB2312" w:hAnsi="宋体" w:eastAsia="仿宋_GB2312" w:cs="仿宋_GB2312"/>
                <w:b w:val="0"/>
                <w:bCs w:val="0"/>
                <w:color w:val="000000"/>
                <w:kern w:val="2"/>
                <w:sz w:val="20"/>
                <w:szCs w:val="20"/>
                <w:lang w:val="en-US" w:eastAsia="zh-CN" w:bidi="ar-SA"/>
              </w:rPr>
            </w:pPr>
            <w:r>
              <w:rPr>
                <w:rFonts w:hint="eastAsia" w:ascii="黑体" w:hAnsi="宋体" w:eastAsia="黑体" w:cs="黑体"/>
                <w:b/>
                <w:color w:val="000000"/>
                <w:kern w:val="0"/>
                <w:sz w:val="36"/>
                <w:szCs w:val="36"/>
                <w:lang w:val="en-US" w:eastAsia="zh-CN"/>
              </w:rPr>
              <w:t>概   要</w:t>
            </w:r>
          </w:p>
        </w:tc>
      </w:tr>
      <w:tr w14:paraId="6B16DE67">
        <w:tblPrEx>
          <w:tblCellMar>
            <w:top w:w="15" w:type="dxa"/>
            <w:left w:w="15" w:type="dxa"/>
            <w:bottom w:w="15" w:type="dxa"/>
            <w:right w:w="15" w:type="dxa"/>
          </w:tblCellMar>
        </w:tblPrEx>
        <w:trPr>
          <w:trHeight w:val="330" w:hRule="atLeast"/>
        </w:trPr>
        <w:tc>
          <w:tcPr>
            <w:tcW w:w="8983" w:type="dxa"/>
            <w:gridSpan w:val="13"/>
            <w:shd w:val="clear" w:color="auto" w:fill="auto"/>
            <w:vAlign w:val="center"/>
          </w:tcPr>
          <w:p w14:paraId="5C55167D">
            <w:pPr>
              <w:widowControl/>
              <w:jc w:val="left"/>
              <w:textAlignment w:val="center"/>
              <w:rPr>
                <w:rFonts w:hint="eastAsia" w:ascii="仿宋_GB2312" w:hAnsi="宋体" w:eastAsia="仿宋_GB2312" w:cs="仿宋_GB2312"/>
                <w:b w:val="0"/>
                <w:bCs w:val="0"/>
                <w:color w:val="000000"/>
                <w:kern w:val="2"/>
                <w:sz w:val="20"/>
                <w:szCs w:val="20"/>
                <w:lang w:val="en-US" w:eastAsia="zh-CN" w:bidi="ar-SA"/>
              </w:rPr>
            </w:pPr>
            <w:r>
              <w:rPr>
                <w:rFonts w:hint="eastAsia" w:ascii="仿宋_GB2312" w:hAnsi="宋体" w:eastAsia="仿宋_GB2312" w:cs="仿宋_GB2312"/>
                <w:b w:val="0"/>
                <w:bCs w:val="0"/>
                <w:color w:val="000000"/>
                <w:kern w:val="2"/>
                <w:sz w:val="20"/>
                <w:szCs w:val="20"/>
                <w:lang w:val="en-US" w:eastAsia="zh-CN" w:bidi="ar-SA"/>
              </w:rPr>
              <w:t>评价机构全称（盖章）：中瑞诚会计师事务所（特殊普通合伙）喀什分所    单位：万元、类、个</w:t>
            </w:r>
          </w:p>
        </w:tc>
      </w:tr>
      <w:tr w14:paraId="2614FF76">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9A2732">
            <w:pPr>
              <w:keepNext w:val="0"/>
              <w:keepLines w:val="0"/>
              <w:pageBreakBefore w:val="0"/>
              <w:widowControl/>
              <w:kinsoku/>
              <w:wordWrap/>
              <w:overflowPunct/>
              <w:topLinePunct w:val="0"/>
              <w:autoSpaceDE/>
              <w:autoSpaceDN/>
              <w:bidi w:val="0"/>
              <w:adjustRightInd/>
              <w:snapToGrid/>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45F56637">
            <w:pPr>
              <w:keepNext w:val="0"/>
              <w:keepLines w:val="0"/>
              <w:pageBreakBefore w:val="0"/>
              <w:widowControl/>
              <w:kinsoku/>
              <w:wordWrap/>
              <w:overflowPunct/>
              <w:topLinePunct w:val="0"/>
              <w:autoSpaceDE/>
              <w:autoSpaceDN/>
              <w:bidi w:val="0"/>
              <w:adjustRightInd/>
              <w:snapToGrid/>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2021年春节期间畜禽类肉类补贴项目</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90206A0">
            <w:pPr>
              <w:keepNext w:val="0"/>
              <w:keepLines w:val="0"/>
              <w:pageBreakBefore w:val="0"/>
              <w:widowControl/>
              <w:kinsoku/>
              <w:wordWrap/>
              <w:overflowPunct/>
              <w:topLinePunct w:val="0"/>
              <w:autoSpaceDE/>
              <w:autoSpaceDN/>
              <w:bidi w:val="0"/>
              <w:adjustRightInd/>
              <w:snapToGrid/>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2E1D20">
            <w:pPr>
              <w:keepNext w:val="0"/>
              <w:keepLines w:val="0"/>
              <w:pageBreakBefore w:val="0"/>
              <w:widowControl/>
              <w:kinsoku/>
              <w:wordWrap/>
              <w:overflowPunct/>
              <w:topLinePunct w:val="0"/>
              <w:autoSpaceDE/>
              <w:autoSpaceDN/>
              <w:bidi w:val="0"/>
              <w:adjustRightInd/>
              <w:snapToGrid/>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2021</w:t>
            </w:r>
          </w:p>
        </w:tc>
      </w:tr>
      <w:tr w14:paraId="53C5D6F7">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99EDC">
            <w:pPr>
              <w:widowControl/>
              <w:spacing w:line="240" w:lineRule="exact"/>
              <w:jc w:val="center"/>
              <w:textAlignment w:val="center"/>
              <w:rPr>
                <w:rFonts w:hint="eastAsia" w:ascii="仿宋_GB2312" w:hAnsi="宋体" w:eastAsia="仿宋_GB2312" w:cs="仿宋_GB2312"/>
                <w:b w:val="0"/>
                <w:bCs w:val="0"/>
                <w:color w:val="000000"/>
                <w:kern w:val="2"/>
                <w:sz w:val="20"/>
                <w:szCs w:val="20"/>
                <w:lang w:val="en-US" w:eastAsia="zh-CN" w:bidi="ar-SA"/>
              </w:rPr>
            </w:pPr>
            <w:r>
              <w:rPr>
                <w:rFonts w:hint="eastAsia" w:ascii="仿宋_GB2312" w:hAnsi="宋体" w:eastAsia="仿宋_GB2312" w:cs="仿宋_GB2312"/>
                <w:b w:val="0"/>
                <w:bCs w:val="0"/>
                <w:color w:val="000000"/>
                <w:kern w:val="2"/>
                <w:sz w:val="20"/>
                <w:szCs w:val="20"/>
                <w:lang w:val="en-US" w:eastAsia="zh-CN" w:bidi="ar-SA"/>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44916067">
            <w:pPr>
              <w:keepNext w:val="0"/>
              <w:keepLines w:val="0"/>
              <w:pageBreakBefore w:val="0"/>
              <w:widowControl/>
              <w:kinsoku/>
              <w:wordWrap/>
              <w:overflowPunct/>
              <w:topLinePunct w:val="0"/>
              <w:autoSpaceDE/>
              <w:autoSpaceDN/>
              <w:bidi w:val="0"/>
              <w:adjustRightInd/>
              <w:snapToGrid/>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EFCA6B1">
            <w:pPr>
              <w:keepNext w:val="0"/>
              <w:keepLines w:val="0"/>
              <w:pageBreakBefore w:val="0"/>
              <w:widowControl/>
              <w:kinsoku/>
              <w:wordWrap/>
              <w:overflowPunct/>
              <w:topLinePunct w:val="0"/>
              <w:autoSpaceDE/>
              <w:autoSpaceDN/>
              <w:bidi w:val="0"/>
              <w:adjustRightInd/>
              <w:snapToGrid/>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F623707">
            <w:pPr>
              <w:keepNext w:val="0"/>
              <w:keepLines w:val="0"/>
              <w:pageBreakBefore w:val="0"/>
              <w:widowControl/>
              <w:kinsoku/>
              <w:wordWrap/>
              <w:overflowPunct/>
              <w:topLinePunct w:val="0"/>
              <w:autoSpaceDE/>
              <w:autoSpaceDN/>
              <w:bidi w:val="0"/>
              <w:adjustRightInd/>
              <w:snapToGrid/>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高月仙15713865046</w:t>
            </w:r>
          </w:p>
        </w:tc>
      </w:tr>
      <w:tr w14:paraId="239FEC8A">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D33C5">
            <w:pPr>
              <w:widowControl/>
              <w:spacing w:line="240" w:lineRule="exact"/>
              <w:jc w:val="center"/>
              <w:textAlignment w:val="center"/>
              <w:rPr>
                <w:rFonts w:hint="eastAsia" w:ascii="仿宋_GB2312" w:hAnsi="宋体" w:eastAsia="仿宋_GB2312" w:cs="仿宋_GB2312"/>
                <w:b w:val="0"/>
                <w:bCs w:val="0"/>
                <w:color w:val="000000"/>
                <w:kern w:val="2"/>
                <w:sz w:val="20"/>
                <w:szCs w:val="20"/>
                <w:lang w:val="en-US" w:eastAsia="zh-CN" w:bidi="ar-SA"/>
              </w:rPr>
            </w:pPr>
            <w:r>
              <w:rPr>
                <w:rFonts w:hint="eastAsia" w:ascii="仿宋_GB2312" w:hAnsi="宋体" w:eastAsia="仿宋_GB2312" w:cs="仿宋_GB2312"/>
                <w:b w:val="0"/>
                <w:bCs w:val="0"/>
                <w:color w:val="000000"/>
                <w:kern w:val="2"/>
                <w:sz w:val="20"/>
                <w:szCs w:val="20"/>
                <w:lang w:val="en-US" w:eastAsia="zh-CN" w:bidi="ar-SA"/>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576F3E42">
            <w:pPr>
              <w:keepNext w:val="0"/>
              <w:keepLines w:val="0"/>
              <w:pageBreakBefore w:val="0"/>
              <w:widowControl/>
              <w:kinsoku/>
              <w:wordWrap/>
              <w:overflowPunct/>
              <w:topLinePunct w:val="0"/>
              <w:autoSpaceDE/>
              <w:autoSpaceDN/>
              <w:bidi w:val="0"/>
              <w:adjustRightInd/>
              <w:snapToGrid/>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洛浦县商务和工业信息化局</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41A056C">
            <w:pPr>
              <w:keepNext w:val="0"/>
              <w:keepLines w:val="0"/>
              <w:pageBreakBefore w:val="0"/>
              <w:widowControl/>
              <w:kinsoku/>
              <w:wordWrap/>
              <w:overflowPunct/>
              <w:topLinePunct w:val="0"/>
              <w:autoSpaceDE/>
              <w:autoSpaceDN/>
              <w:bidi w:val="0"/>
              <w:adjustRightInd/>
              <w:snapToGrid/>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BA29D9F">
            <w:pPr>
              <w:keepNext w:val="0"/>
              <w:keepLines w:val="0"/>
              <w:pageBreakBefore w:val="0"/>
              <w:widowControl/>
              <w:kinsoku/>
              <w:wordWrap/>
              <w:overflowPunct/>
              <w:topLinePunct w:val="0"/>
              <w:autoSpaceDE/>
              <w:autoSpaceDN/>
              <w:bidi w:val="0"/>
              <w:adjustRightInd/>
              <w:snapToGrid/>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李琪15001525288</w:t>
            </w:r>
          </w:p>
        </w:tc>
      </w:tr>
      <w:tr w14:paraId="703958CF">
        <w:tblPrEx>
          <w:tblCellMar>
            <w:top w:w="15" w:type="dxa"/>
            <w:left w:w="15" w:type="dxa"/>
            <w:bottom w:w="15" w:type="dxa"/>
            <w:right w:w="15" w:type="dxa"/>
          </w:tblCellMar>
        </w:tblPrEx>
        <w:trPr>
          <w:trHeight w:val="511"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3955AE">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1EDAA03">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 xml:space="preserve"> 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9F26B2B">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F8A4898">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90.71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BCF18D4">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0F7727">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优</w:t>
            </w:r>
          </w:p>
        </w:tc>
      </w:tr>
      <w:tr w14:paraId="4DAE8F9E">
        <w:tblPrEx>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F7E9A8">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各级资金</w:t>
            </w:r>
          </w:p>
          <w:p w14:paraId="069D2574">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525BF08">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169.40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32A4BC4">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EC60CF7">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160.22</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CD81E38">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35FF89">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94.58%</w:t>
            </w:r>
          </w:p>
        </w:tc>
      </w:tr>
      <w:tr w14:paraId="384CD144">
        <w:tblPrEx>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2B6DA4">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14:paraId="4E63C844">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F366BE8">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160.22</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0E32CE1">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14:paraId="4731E86D">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6D11C745">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160.22</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D111B86">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中央财政资金</w:t>
            </w:r>
          </w:p>
          <w:p w14:paraId="73EB7166">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DBC2DA">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0%</w:t>
            </w:r>
          </w:p>
        </w:tc>
      </w:tr>
      <w:tr w14:paraId="5387EDDE">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5E65E3">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752D21E5">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补助类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4528CF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75AE46E">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补助类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67F3AF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CDC833">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14:paraId="6573E7E0">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CC61AA">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0AAF635">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4931D86">
            <w:pPr>
              <w:widowControl/>
              <w:spacing w:line="240" w:lineRule="exact"/>
              <w:jc w:val="center"/>
              <w:textAlignment w:val="center"/>
              <w:rPr>
                <w:rFonts w:hint="eastAsia" w:ascii="黑体" w:hAnsi="宋体" w:eastAsia="黑体" w:cs="黑体"/>
                <w:color w:val="000000"/>
                <w:sz w:val="20"/>
                <w:szCs w:val="20"/>
                <w:lang w:val="en-US" w:eastAsia="zh-CN"/>
              </w:rPr>
            </w:pPr>
            <w:r>
              <w:rPr>
                <w:rFonts w:hint="eastAsia" w:ascii="黑体" w:hAnsi="宋体" w:eastAsia="黑体" w:cs="黑体"/>
                <w:color w:val="000000"/>
                <w:kern w:val="0"/>
                <w:sz w:val="20"/>
                <w:szCs w:val="20"/>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3EE5BAD4">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44EADF6">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888671">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14:paraId="2283FB82">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3E9B8CC5">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涉及市县数</w:t>
            </w:r>
          </w:p>
          <w:p w14:paraId="46ECAC0F">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41847AB0">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557A078C">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抽查市县数</w:t>
            </w:r>
          </w:p>
          <w:p w14:paraId="08369423">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5166467B">
            <w:pPr>
              <w:widowControl/>
              <w:spacing w:line="240" w:lineRule="exact"/>
              <w:jc w:val="center"/>
              <w:textAlignment w:val="center"/>
              <w:rPr>
                <w:rFonts w:hint="default" w:ascii="黑体" w:hAnsi="宋体" w:eastAsia="仿宋_GB2312" w:cs="黑体"/>
                <w:color w:val="000000"/>
                <w:kern w:val="0"/>
                <w:sz w:val="20"/>
                <w:szCs w:val="20"/>
                <w:lang w:val="en-US" w:eastAsia="zh-CN"/>
              </w:rPr>
            </w:pPr>
            <w:r>
              <w:rPr>
                <w:rFonts w:hint="eastAsia" w:ascii="黑体" w:hAnsi="宋体" w:eastAsia="仿宋_GB2312" w:cs="黑体"/>
                <w:color w:val="000000"/>
                <w:kern w:val="0"/>
                <w:sz w:val="20"/>
                <w:szCs w:val="20"/>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7F0AC8B1">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w:t>
            </w:r>
          </w:p>
          <w:p w14:paraId="49907515">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749F0527">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 xml:space="preserve">洛浦县9个乡镇 </w:t>
            </w:r>
          </w:p>
        </w:tc>
      </w:tr>
      <w:tr w14:paraId="3C4DF98E">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072E9F0E">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发放调查</w:t>
            </w:r>
          </w:p>
          <w:p w14:paraId="19CF57E3">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35E9DDA3">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145</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0FC92F24">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有效调查</w:t>
            </w:r>
          </w:p>
          <w:p w14:paraId="15F08C12">
            <w:pPr>
              <w:widowControl/>
              <w:spacing w:line="240" w:lineRule="exact"/>
              <w:jc w:val="center"/>
              <w:textAlignment w:val="center"/>
              <w:rPr>
                <w:rFonts w:ascii="黑体" w:hAnsi="黑体" w:eastAsia="黑体" w:cs="仿宋_GB2312"/>
                <w:color w:val="000000"/>
                <w:kern w:val="0"/>
                <w:sz w:val="20"/>
                <w:szCs w:val="20"/>
              </w:rPr>
            </w:pPr>
            <w:r>
              <w:rPr>
                <w:rFonts w:hint="eastAsia" w:ascii="黑体" w:hAnsi="宋体" w:eastAsia="黑体" w:cs="黑体"/>
                <w:color w:val="000000"/>
                <w:kern w:val="0"/>
                <w:sz w:val="20"/>
                <w:szCs w:val="20"/>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66D13656">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145</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0692E16E">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满意度</w:t>
            </w:r>
          </w:p>
          <w:p w14:paraId="4A472A0D">
            <w:pPr>
              <w:widowControl/>
              <w:spacing w:line="240" w:lineRule="exact"/>
              <w:jc w:val="center"/>
              <w:textAlignment w:val="center"/>
              <w:rPr>
                <w:rFonts w:ascii="仿宋_GB2312" w:hAnsi="宋体" w:eastAsia="仿宋_GB2312" w:cs="仿宋_GB2312"/>
                <w:color w:val="000000"/>
                <w:kern w:val="0"/>
                <w:sz w:val="20"/>
                <w:szCs w:val="20"/>
              </w:rPr>
            </w:pPr>
            <w:r>
              <w:rPr>
                <w:rFonts w:hint="eastAsia" w:ascii="黑体" w:hAnsi="宋体" w:eastAsia="黑体" w:cs="黑体"/>
                <w:color w:val="000000"/>
                <w:kern w:val="0"/>
                <w:sz w:val="20"/>
                <w:szCs w:val="20"/>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7B8C17E2">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100%</w:t>
            </w:r>
          </w:p>
        </w:tc>
      </w:tr>
      <w:tr w14:paraId="2E1E103B">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6F42F7B0">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绩效目标</w:t>
            </w:r>
          </w:p>
          <w:p w14:paraId="1562D8D4">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14:paraId="6BE75E7F">
            <w:pPr>
              <w:pStyle w:val="19"/>
              <w:keepNext w:val="0"/>
              <w:keepLines w:val="0"/>
              <w:pageBreakBefore w:val="0"/>
              <w:widowControl w:val="0"/>
              <w:numPr>
                <w:ilvl w:val="0"/>
                <w:numId w:val="0"/>
              </w:numPr>
              <w:kinsoku/>
              <w:wordWrap/>
              <w:overflowPunct/>
              <w:topLinePunct w:val="0"/>
              <w:autoSpaceDE/>
              <w:autoSpaceDN/>
              <w:bidi w:val="0"/>
              <w:adjustRightInd/>
              <w:snapToGrid/>
              <w:spacing w:line="240" w:lineRule="exact"/>
              <w:textAlignment w:val="auto"/>
              <w:rPr>
                <w:rFonts w:hint="eastAsia" w:ascii="仿宋_GB2312" w:hAnsi="宋体" w:eastAsia="仿宋_GB2312" w:cs="仿宋_GB2312"/>
                <w:color w:val="000000"/>
                <w:sz w:val="20"/>
                <w:szCs w:val="20"/>
                <w:highlight w:val="none"/>
              </w:rPr>
            </w:pPr>
            <w:r>
              <w:rPr>
                <w:rFonts w:hint="eastAsia" w:ascii="仿宋_GB2312" w:hAnsi="仿宋_GB2312" w:eastAsia="仿宋_GB2312" w:cs="仿宋_GB2312"/>
                <w:kern w:val="2"/>
                <w:sz w:val="20"/>
                <w:szCs w:val="20"/>
                <w:lang w:val="en-US" w:eastAsia="zh-CN" w:bidi="ar"/>
              </w:rPr>
              <w:t>截止评价日，该项目完成了为2021年春节期间提供畜禽类肉的供应方发放补助，其中：新鲜猪肉40690.65公斤，补贴标准20元/每公斤；羊肉46468.02公斤，补贴标准10元/每公斤；牛肉33854.98公斤，补贴标准10元/每公斤；鸡肉6079.53公斤，补贴标准5元/每公斤；鸭肉9315.25公斤，补贴标准5元/每公斤；经相关检疫部门检疫均合格。通过实施该项目，确保了春节期间我县畜禽肉类供应充足、价格稳定，为2万名购买群体每公斤肉节省了5块钱，有效保障和改善了民生，努力营造了繁荣稳定、欢乐祥和、安全有序的节日。</w:t>
            </w:r>
          </w:p>
        </w:tc>
      </w:tr>
      <w:tr w14:paraId="4B51B9DF">
        <w:tblPrEx>
          <w:tblCellMar>
            <w:top w:w="15" w:type="dxa"/>
            <w:left w:w="15" w:type="dxa"/>
            <w:bottom w:w="15" w:type="dxa"/>
            <w:right w:w="15" w:type="dxa"/>
          </w:tblCellMar>
        </w:tblPrEx>
        <w:trPr>
          <w:trHeight w:val="9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14:paraId="4975305F">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14:paraId="07307C03">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14:paraId="37515668">
            <w:pPr>
              <w:pStyle w:val="19"/>
              <w:keepNext w:val="0"/>
              <w:keepLines w:val="0"/>
              <w:pageBreakBefore w:val="0"/>
              <w:widowControl w:val="0"/>
              <w:numPr>
                <w:ilvl w:val="0"/>
                <w:numId w:val="0"/>
              </w:numPr>
              <w:kinsoku/>
              <w:wordWrap/>
              <w:overflowPunct/>
              <w:topLinePunct w:val="0"/>
              <w:autoSpaceDE/>
              <w:autoSpaceDN/>
              <w:bidi w:val="0"/>
              <w:adjustRightInd/>
              <w:snapToGrid/>
              <w:spacing w:line="240" w:lineRule="exact"/>
              <w:textAlignment w:val="auto"/>
              <w:rPr>
                <w:rFonts w:hint="eastAsia" w:ascii="仿宋_GB2312" w:hAnsi="宋体" w:eastAsia="仿宋_GB2312" w:cs="仿宋_GB2312"/>
                <w:color w:val="000000"/>
                <w:sz w:val="20"/>
                <w:szCs w:val="20"/>
                <w:highlight w:val="none"/>
                <w:lang w:eastAsia="zh-CN"/>
              </w:rPr>
            </w:pPr>
            <w:r>
              <w:rPr>
                <w:rFonts w:hint="eastAsia" w:ascii="仿宋_GB2312" w:hAnsi="仿宋_GB2312" w:eastAsia="仿宋_GB2312" w:cs="仿宋_GB2312"/>
                <w:kern w:val="2"/>
                <w:sz w:val="20"/>
                <w:szCs w:val="20"/>
                <w:lang w:val="en-US" w:eastAsia="zh-CN" w:bidi="ar"/>
              </w:rPr>
              <w:t>洛浦县商务和工业信息化局认真实施项目，按照实际需求基本完成了年度绩效目标，但是由于项目涉及乡镇对该项目的前期督促工作不到位，导致鸭肉供应商未及时提供相关的支付材料，资金均未支付。</w:t>
            </w:r>
          </w:p>
        </w:tc>
      </w:tr>
      <w:tr w14:paraId="31F92DFB">
        <w:tblPrEx>
          <w:tblCellMar>
            <w:top w:w="15" w:type="dxa"/>
            <w:left w:w="15" w:type="dxa"/>
            <w:bottom w:w="15" w:type="dxa"/>
            <w:right w:w="15" w:type="dxa"/>
          </w:tblCellMar>
        </w:tblPrEx>
        <w:trPr>
          <w:trHeight w:val="512"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14:paraId="0804729E">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评价问题</w:t>
            </w:r>
          </w:p>
          <w:p w14:paraId="742B2F7D">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14:paraId="45FD5187">
            <w:pPr>
              <w:widowControl/>
              <w:spacing w:line="240" w:lineRule="exact"/>
              <w:jc w:val="left"/>
              <w:textAlignment w:val="center"/>
              <w:rPr>
                <w:rFonts w:hint="eastAsia" w:ascii="仿宋_GB2312" w:hAnsi="宋体" w:eastAsia="仿宋_GB2312" w:cs="仿宋_GB2312"/>
                <w:color w:val="000000"/>
                <w:sz w:val="20"/>
                <w:szCs w:val="20"/>
                <w:highlight w:val="none"/>
                <w:lang w:eastAsia="zh-CN"/>
              </w:rPr>
            </w:pPr>
            <w:r>
              <w:rPr>
                <w:rFonts w:hint="eastAsia" w:ascii="仿宋_GB2312" w:hAnsi="仿宋_GB2312" w:eastAsia="仿宋_GB2312" w:cs="仿宋_GB2312"/>
                <w:kern w:val="2"/>
                <w:sz w:val="20"/>
                <w:szCs w:val="20"/>
                <w:lang w:val="en-US" w:eastAsia="zh-CN" w:bidi="ar"/>
              </w:rPr>
              <w:t>进一步落实单位项目管理办法，提高项目管理规范性，明确各级管理部门对项目管理的责任，进一步完善项目监督管理机制，与相关单位协调，争取尽快拨付完毕鸭肉补助。</w:t>
            </w:r>
          </w:p>
        </w:tc>
      </w:tr>
      <w:tr w14:paraId="0F15C4CB">
        <w:tblPrEx>
          <w:tblCellMar>
            <w:top w:w="15" w:type="dxa"/>
            <w:left w:w="15" w:type="dxa"/>
            <w:bottom w:w="15" w:type="dxa"/>
            <w:right w:w="15" w:type="dxa"/>
          </w:tblCellMar>
        </w:tblPrEx>
        <w:trPr>
          <w:trHeight w:val="962"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14:paraId="3B9B14F6">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评价结果</w:t>
            </w:r>
          </w:p>
          <w:p w14:paraId="04EFB26F">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14:paraId="19130EDD">
            <w:pPr>
              <w:keepNext w:val="0"/>
              <w:keepLines w:val="0"/>
              <w:pageBreakBefore w:val="0"/>
              <w:widowControl/>
              <w:kinsoku/>
              <w:wordWrap/>
              <w:overflowPunct/>
              <w:topLinePunct w:val="0"/>
              <w:autoSpaceDE/>
              <w:autoSpaceDN/>
              <w:bidi w:val="0"/>
              <w:adjustRightInd/>
              <w:snapToGrid/>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1.建议将此次绩效评价过程中发现的问题进行及时整改；</w:t>
            </w:r>
          </w:p>
          <w:p w14:paraId="67DC4668">
            <w:pPr>
              <w:keepNext w:val="0"/>
              <w:keepLines w:val="0"/>
              <w:pageBreakBefore w:val="0"/>
              <w:widowControl/>
              <w:kinsoku/>
              <w:wordWrap/>
              <w:overflowPunct/>
              <w:topLinePunct w:val="0"/>
              <w:autoSpaceDE/>
              <w:autoSpaceDN/>
              <w:bidi w:val="0"/>
              <w:adjustRightInd/>
              <w:snapToGrid/>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2.建议加大对绩效评价结果的应用，此次绩效评价结果，可作为202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年各部门（单位）改进管理、调整财政支出方向、预算编制和安排财政资金的重要依据；</w:t>
            </w:r>
          </w:p>
          <w:p w14:paraId="455B5D3F">
            <w:pPr>
              <w:keepNext w:val="0"/>
              <w:keepLines w:val="0"/>
              <w:pageBreakBefore w:val="0"/>
              <w:widowControl/>
              <w:kinsoku/>
              <w:wordWrap/>
              <w:overflowPunct/>
              <w:topLinePunct w:val="0"/>
              <w:autoSpaceDE/>
              <w:autoSpaceDN/>
              <w:bidi w:val="0"/>
              <w:adjustRightInd/>
              <w:snapToGrid/>
              <w:spacing w:line="240" w:lineRule="exact"/>
              <w:jc w:val="left"/>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highlight w:val="none"/>
              </w:rPr>
              <w:t>3.建议建立绩效评价结果应用制度，将</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年绩效评价结果进行公示、公开。</w:t>
            </w:r>
          </w:p>
        </w:tc>
      </w:tr>
      <w:tr w14:paraId="2BCCA352">
        <w:tblPrEx>
          <w:tblCellMar>
            <w:top w:w="15" w:type="dxa"/>
            <w:left w:w="15" w:type="dxa"/>
            <w:bottom w:w="15" w:type="dxa"/>
            <w:right w:w="15" w:type="dxa"/>
          </w:tblCellMar>
        </w:tblPrEx>
        <w:trPr>
          <w:trHeight w:val="424"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00A079B0">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14:paraId="366304C3">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日至</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06</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30</w:t>
            </w:r>
            <w:r>
              <w:rPr>
                <w:rFonts w:hint="eastAsia" w:ascii="仿宋_GB2312" w:hAnsi="宋体" w:eastAsia="仿宋_GB2312" w:cs="仿宋_GB2312"/>
                <w:color w:val="000000"/>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14:paraId="01B8F1D7">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068607A3">
            <w:pPr>
              <w:widowControl/>
              <w:spacing w:line="240" w:lineRule="exact"/>
              <w:jc w:val="center"/>
              <w:textAlignment w:val="center"/>
              <w:rPr>
                <w:rFonts w:hint="eastAsia" w:ascii="黑体" w:hAnsi="黑体" w:eastAsia="黑体" w:cs="仿宋_GB2312"/>
                <w:color w:val="000000"/>
                <w:sz w:val="20"/>
                <w:szCs w:val="20"/>
              </w:rPr>
            </w:pPr>
            <w:r>
              <w:rPr>
                <w:rFonts w:hint="eastAsia" w:ascii="黑体" w:hAnsi="黑体" w:eastAsia="黑体" w:cs="仿宋_GB2312"/>
                <w:color w:val="000000"/>
                <w:sz w:val="20"/>
                <w:szCs w:val="20"/>
              </w:rPr>
              <w:t>中瑞诚喀绩评字[202</w:t>
            </w:r>
            <w:r>
              <w:rPr>
                <w:rFonts w:hint="eastAsia" w:ascii="黑体" w:hAnsi="黑体" w:eastAsia="黑体" w:cs="仿宋_GB2312"/>
                <w:color w:val="000000"/>
                <w:sz w:val="20"/>
                <w:szCs w:val="20"/>
                <w:lang w:val="en-US" w:eastAsia="zh-CN"/>
              </w:rPr>
              <w:t>2</w:t>
            </w:r>
            <w:r>
              <w:rPr>
                <w:rFonts w:hint="eastAsia" w:ascii="黑体" w:hAnsi="黑体" w:eastAsia="黑体" w:cs="仿宋_GB2312"/>
                <w:color w:val="000000"/>
                <w:sz w:val="20"/>
                <w:szCs w:val="20"/>
              </w:rPr>
              <w:t>]</w:t>
            </w:r>
            <w:r>
              <w:rPr>
                <w:rFonts w:hint="eastAsia" w:ascii="黑体" w:hAnsi="黑体" w:eastAsia="黑体" w:cs="仿宋_GB2312"/>
                <w:color w:val="000000"/>
                <w:sz w:val="20"/>
                <w:szCs w:val="20"/>
                <w:lang w:val="en-US" w:eastAsia="zh-CN"/>
              </w:rPr>
              <w:t>148</w:t>
            </w:r>
            <w:r>
              <w:rPr>
                <w:rFonts w:hint="eastAsia" w:ascii="黑体" w:hAnsi="黑体" w:eastAsia="黑体" w:cs="仿宋_GB2312"/>
                <w:color w:val="000000"/>
                <w:sz w:val="20"/>
                <w:szCs w:val="20"/>
              </w:rPr>
              <w:t>号</w:t>
            </w:r>
          </w:p>
        </w:tc>
      </w:tr>
      <w:tr w14:paraId="3A9A9D2A">
        <w:tblPrEx>
          <w:tblCellMar>
            <w:top w:w="15" w:type="dxa"/>
            <w:left w:w="15" w:type="dxa"/>
            <w:bottom w:w="15" w:type="dxa"/>
            <w:right w:w="15" w:type="dxa"/>
          </w:tblCellMar>
        </w:tblPrEx>
        <w:trPr>
          <w:trHeight w:val="955" w:hRule="atLeast"/>
        </w:trPr>
        <w:tc>
          <w:tcPr>
            <w:tcW w:w="224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6FE0514C">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项目负责人（签字）</w:t>
            </w:r>
          </w:p>
          <w:p w14:paraId="133FEBC8">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14:paraId="6020B9A6">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highlight w:val="none"/>
                <w:lang w:val="en-US" w:eastAsia="zh-CN"/>
              </w:rPr>
              <w:t>古丽热依汉 13079918673</w:t>
            </w:r>
          </w:p>
        </w:tc>
        <w:tc>
          <w:tcPr>
            <w:tcW w:w="2246"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14:paraId="4E47AFC5">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法定代表人（签字）</w:t>
            </w:r>
          </w:p>
          <w:p w14:paraId="58BD9C8D">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5E538149">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叶金玲 13899129971</w:t>
            </w:r>
          </w:p>
        </w:tc>
      </w:tr>
    </w:tbl>
    <w:p w14:paraId="0FC37FBE">
      <w:pPr>
        <w:pStyle w:val="14"/>
        <w:tabs>
          <w:tab w:val="right" w:leader="dot" w:pos="8302"/>
        </w:tabs>
        <w:jc w:val="center"/>
        <w:rPr>
          <w:rFonts w:hint="eastAsia" w:ascii="微软雅黑" w:hAnsi="微软雅黑" w:eastAsia="微软雅黑" w:cs="微软雅黑"/>
          <w:sz w:val="44"/>
          <w:szCs w:val="44"/>
        </w:rPr>
      </w:pPr>
      <w:r>
        <w:rPr>
          <w:rFonts w:hint="eastAsia" w:ascii="微软雅黑" w:hAnsi="微软雅黑" w:eastAsia="微软雅黑" w:cs="微软雅黑"/>
          <w:sz w:val="44"/>
          <w:szCs w:val="44"/>
        </w:rPr>
        <w:t>摘   要</w:t>
      </w:r>
    </w:p>
    <w:p w14:paraId="561889D0">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ascii="仿宋" w:hAnsi="仿宋" w:eastAsia="仿宋" w:cs="仿宋"/>
          <w:sz w:val="32"/>
          <w:szCs w:val="32"/>
        </w:rPr>
      </w:pPr>
      <w:r>
        <w:rPr>
          <w:rFonts w:hint="eastAsia" w:ascii="仿宋_GB2312" w:hAnsi="仿宋_GB2312" w:eastAsia="仿宋_GB2312" w:cs="仿宋_GB2312"/>
          <w:sz w:val="32"/>
          <w:szCs w:val="32"/>
          <w:highlight w:val="none"/>
        </w:rPr>
        <w:t>为规范和加强财政资金的管理，</w:t>
      </w:r>
      <w:r>
        <w:rPr>
          <w:rFonts w:hint="eastAsia" w:ascii="仿宋_GB2312" w:hAnsi="仿宋_GB2312" w:eastAsia="仿宋_GB2312" w:cs="仿宋_GB2312"/>
          <w:sz w:val="32"/>
          <w:szCs w:val="32"/>
          <w:highlight w:val="none"/>
          <w:lang w:eastAsia="zh-CN"/>
        </w:rPr>
        <w:t>优化财政支出结构、</w:t>
      </w:r>
      <w:r>
        <w:rPr>
          <w:rFonts w:hint="eastAsia" w:ascii="仿宋_GB2312" w:hAnsi="仿宋_GB2312" w:eastAsia="仿宋_GB2312" w:cs="仿宋_GB2312"/>
          <w:sz w:val="32"/>
          <w:szCs w:val="32"/>
          <w:highlight w:val="none"/>
        </w:rPr>
        <w:t>进一步发挥绩效管理工作对财政资金使用管理的导向和激励作用，提高资金使用效益</w:t>
      </w:r>
      <w:r>
        <w:rPr>
          <w:rFonts w:hint="eastAsia" w:ascii="仿宋_GB2312" w:hAnsi="仿宋_GB2312" w:eastAsia="仿宋_GB2312" w:cs="仿宋_GB2312"/>
          <w:sz w:val="32"/>
          <w:szCs w:val="32"/>
          <w:highlight w:val="none"/>
          <w:lang w:eastAsia="zh-CN"/>
        </w:rPr>
        <w:t>，根据财政部《项目支出绩效评价管理办法》（财预〔2020〕10 号）</w:t>
      </w:r>
      <w:r>
        <w:rPr>
          <w:rFonts w:hint="eastAsia" w:ascii="仿宋_GB2312" w:hAnsi="仿宋_GB2312" w:eastAsia="仿宋_GB2312" w:cs="仿宋_GB2312"/>
          <w:sz w:val="32"/>
          <w:szCs w:val="32"/>
          <w:highlight w:val="none"/>
          <w:lang w:val="en-US" w:eastAsia="zh-CN"/>
        </w:rPr>
        <w:t>及</w:t>
      </w:r>
      <w:r>
        <w:rPr>
          <w:rFonts w:hint="eastAsia" w:ascii="仿宋_GB2312" w:hAnsi="仿宋_GB2312" w:eastAsia="仿宋_GB2312" w:cs="仿宋_GB2312"/>
          <w:sz w:val="32"/>
          <w:szCs w:val="32"/>
          <w:highlight w:val="none"/>
          <w:lang w:eastAsia="zh-CN"/>
        </w:rPr>
        <w:t>《自治区财政支出绩效评价管理暂行办法》（新财预〔2018〕189号）</w:t>
      </w:r>
      <w:r>
        <w:rPr>
          <w:rFonts w:hint="eastAsia" w:ascii="仿宋_GB2312" w:hAnsi="仿宋_GB2312" w:eastAsia="仿宋_GB2312" w:cs="仿宋_GB2312"/>
          <w:spacing w:val="-5"/>
          <w:sz w:val="32"/>
          <w:szCs w:val="32"/>
          <w:highlight w:val="none"/>
        </w:rPr>
        <w:t>相关规定，</w:t>
      </w:r>
      <w:r>
        <w:rPr>
          <w:rFonts w:hint="eastAsia" w:ascii="仿宋_GB2312" w:hAnsi="宋体" w:eastAsia="仿宋_GB2312" w:cs="仿宋_GB2312"/>
          <w:color w:val="000000"/>
          <w:sz w:val="32"/>
          <w:szCs w:val="32"/>
          <w:highlight w:val="none"/>
          <w:lang w:val="en-US" w:eastAsia="zh-CN"/>
        </w:rPr>
        <w:t>受洛浦县财政局委托，中瑞诚会计师事务所（特殊普通合伙）喀什分所作为第三方评价机构于2021年01月01日至2022年06月30日对洛浦县商务和工业信息化局管理的2021年春节期间畜禽类肉类补贴项目开展了绩效评价，评价情况如下：</w:t>
      </w:r>
    </w:p>
    <w:p w14:paraId="29D9E318">
      <w:pPr>
        <w:adjustRightInd w:val="0"/>
        <w:snapToGrid w:val="0"/>
        <w:spacing w:line="560" w:lineRule="exact"/>
        <w:ind w:firstLine="640" w:firstLineChars="200"/>
        <w:jc w:val="left"/>
        <w:outlineLvl w:val="0"/>
        <w:rPr>
          <w:rFonts w:hint="eastAsia" w:ascii="黑体" w:hAnsi="黑体" w:eastAsia="黑体" w:cs="宋体"/>
          <w:sz w:val="32"/>
          <w:szCs w:val="32"/>
        </w:rPr>
      </w:pPr>
      <w:bookmarkStart w:id="0" w:name="_Toc1784"/>
      <w:r>
        <w:rPr>
          <w:rFonts w:hint="eastAsia" w:ascii="黑体" w:hAnsi="黑体" w:eastAsia="黑体" w:cs="宋体"/>
          <w:sz w:val="32"/>
          <w:szCs w:val="32"/>
        </w:rPr>
        <w:t>一、项目概述</w:t>
      </w:r>
      <w:bookmarkEnd w:id="0"/>
    </w:p>
    <w:p w14:paraId="0C82F4D8">
      <w:pPr>
        <w:adjustRightInd w:val="0"/>
        <w:snapToGrid w:val="0"/>
        <w:spacing w:line="560" w:lineRule="exact"/>
        <w:ind w:firstLine="640" w:firstLineChars="200"/>
        <w:jc w:val="left"/>
        <w:outlineLvl w:val="0"/>
        <w:rPr>
          <w:rFonts w:hint="eastAsia" w:ascii="仿宋_GB2312" w:hAnsi="宋体" w:eastAsia="仿宋_GB2312" w:cs="仿宋_GB2312"/>
          <w:color w:val="000000"/>
          <w:sz w:val="32"/>
          <w:szCs w:val="32"/>
          <w:highlight w:val="none"/>
          <w:lang w:val="en-US" w:eastAsia="zh-CN"/>
        </w:rPr>
      </w:pPr>
      <w:bookmarkStart w:id="1" w:name="_Toc4382"/>
      <w:r>
        <w:rPr>
          <w:rFonts w:hint="eastAsia" w:ascii="仿宋_GB2312" w:hAnsi="宋体" w:eastAsia="仿宋_GB2312" w:cs="仿宋_GB2312"/>
          <w:color w:val="000000"/>
          <w:sz w:val="32"/>
          <w:szCs w:val="32"/>
          <w:highlight w:val="none"/>
          <w:lang w:val="en-US" w:eastAsia="zh-CN"/>
        </w:rPr>
        <w:t>为确保春节期间我县畜禽肉类供应充足、价格稳定，有效保障和改善民生，努力营造繁荣稳定、欢乐祥和、安全有序的节日氛围。经县委统筹安排，2021年1月25日至2月10日(共17天)，我县在市场投放补贴畜禽肉类，其中:羊牛肉设置40个点位(县城15个点位、乡镇25个点位)，按照10元/公斤补贴;猪肉设置4个点位，按照20元/公斤补贴，鸭肉、鸡肉设置1个点位，按照5元/公斤补贴。</w:t>
      </w:r>
    </w:p>
    <w:p w14:paraId="027E21D2">
      <w:pPr>
        <w:adjustRightInd w:val="0"/>
        <w:snapToGrid w:val="0"/>
        <w:spacing w:line="560" w:lineRule="exact"/>
        <w:ind w:firstLine="640" w:firstLineChars="200"/>
        <w:jc w:val="left"/>
        <w:outlineLvl w:val="0"/>
        <w:rPr>
          <w:rFonts w:hint="eastAsia" w:ascii="仿宋_GB2312" w:hAnsi="宋体" w:eastAsia="仿宋_GB2312" w:cs="仿宋_GB2312"/>
          <w:color w:val="000000"/>
          <w:sz w:val="32"/>
          <w:szCs w:val="32"/>
          <w:highlight w:val="none"/>
          <w:lang w:val="en-US" w:eastAsia="zh-CN"/>
        </w:rPr>
      </w:pPr>
      <w:r>
        <w:rPr>
          <w:rFonts w:hint="eastAsia" w:ascii="仿宋_GB2312" w:hAnsi="宋体" w:eastAsia="仿宋_GB2312" w:cs="仿宋_GB2312"/>
          <w:color w:val="000000"/>
          <w:sz w:val="32"/>
          <w:szCs w:val="32"/>
          <w:highlight w:val="none"/>
          <w:lang w:val="en-US" w:eastAsia="zh-CN"/>
        </w:rPr>
        <w:t xml:space="preserve">经统计，羊肉投放46468.02公斤、补贴464680.2元，牛肉投放33854.98公斤、补贴338549.8元,猪肉投放40690.65公斤、补贴813813元，鸭肉投放9315.25公斤、补贴46576.25元，鸡肉投放6079.53公斤、补贴30397.65元;共计补贴1694016.9元。  </w:t>
      </w:r>
    </w:p>
    <w:p w14:paraId="72C4F5B3">
      <w:pPr>
        <w:adjustRightInd w:val="0"/>
        <w:snapToGrid w:val="0"/>
        <w:spacing w:line="560" w:lineRule="exact"/>
        <w:ind w:firstLine="640" w:firstLineChars="200"/>
        <w:jc w:val="left"/>
        <w:outlineLvl w:val="0"/>
        <w:rPr>
          <w:rFonts w:hint="eastAsia" w:ascii="黑体" w:hAnsi="黑体" w:eastAsia="黑体" w:cs="宋体"/>
          <w:sz w:val="32"/>
          <w:szCs w:val="32"/>
          <w:highlight w:val="yellow"/>
          <w:lang w:eastAsia="zh-CN"/>
        </w:rPr>
      </w:pPr>
      <w:r>
        <w:rPr>
          <w:rFonts w:hint="eastAsia" w:ascii="黑体" w:hAnsi="黑体" w:eastAsia="黑体" w:cs="宋体"/>
          <w:sz w:val="32"/>
          <w:szCs w:val="32"/>
        </w:rPr>
        <w:t>二、评价工作简述</w:t>
      </w:r>
      <w:bookmarkEnd w:id="1"/>
    </w:p>
    <w:p w14:paraId="54B430B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eastAsia="zh-CN"/>
        </w:rPr>
      </w:pPr>
      <w:bookmarkStart w:id="2" w:name="_Toc13087"/>
      <w:r>
        <w:rPr>
          <w:rFonts w:hint="eastAsia" w:ascii="仿宋_GB2312" w:hAnsi="仿宋_GB2312" w:eastAsia="仿宋_GB2312" w:cs="仿宋_GB2312"/>
          <w:sz w:val="32"/>
          <w:szCs w:val="32"/>
          <w:highlight w:val="none"/>
        </w:rPr>
        <w:t>评价组自承接本项目后，立足于</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项目特点，本次评价关注重点：一是针对预算编制、资金执行的相关情况评价项目预算编制、财务核算是否到位</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二是评价</w:t>
      </w:r>
      <w:r>
        <w:rPr>
          <w:rFonts w:hint="eastAsia" w:ascii="仿宋_GB2312" w:hAnsi="仿宋_GB2312" w:eastAsia="仿宋_GB2312" w:cs="仿宋_GB2312"/>
          <w:sz w:val="32"/>
          <w:szCs w:val="32"/>
          <w:highlight w:val="none"/>
          <w:lang w:eastAsia="zh-CN"/>
        </w:rPr>
        <w:t>项目实施</w:t>
      </w:r>
      <w:r>
        <w:rPr>
          <w:rFonts w:hint="eastAsia" w:ascii="仿宋_GB2312" w:hAnsi="仿宋_GB2312" w:eastAsia="仿宋_GB2312" w:cs="仿宋_GB2312"/>
          <w:sz w:val="32"/>
          <w:szCs w:val="32"/>
          <w:highlight w:val="none"/>
        </w:rPr>
        <w:t>单位的管理制度、监管考核机制是否健全；三是评价项目是否按照目标执行，项目实施效果是否达到预期目标</w:t>
      </w:r>
      <w:r>
        <w:rPr>
          <w:rFonts w:hint="eastAsia" w:ascii="仿宋_GB2312" w:hAnsi="仿宋_GB2312" w:eastAsia="仿宋_GB2312" w:cs="仿宋_GB2312"/>
          <w:sz w:val="32"/>
          <w:szCs w:val="32"/>
          <w:highlight w:val="none"/>
          <w:lang w:eastAsia="zh-CN"/>
        </w:rPr>
        <w:t>。</w:t>
      </w:r>
    </w:p>
    <w:p w14:paraId="64E247C2">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default"/>
          <w:highlight w:val="yellow"/>
          <w:lang w:val="en-US" w:eastAsia="zh-CN"/>
        </w:rPr>
      </w:pPr>
      <w:r>
        <w:rPr>
          <w:rFonts w:hint="eastAsia" w:ascii="仿宋_GB2312" w:hAnsi="仿宋_GB2312" w:eastAsia="仿宋_GB2312" w:cs="仿宋_GB2312"/>
          <w:sz w:val="32"/>
          <w:szCs w:val="32"/>
          <w:highlight w:val="none"/>
          <w:lang w:val="en-US" w:eastAsia="zh-CN"/>
        </w:rPr>
        <w:t>评价工作组通过前期调研，</w:t>
      </w:r>
      <w:r>
        <w:rPr>
          <w:rFonts w:hint="eastAsia" w:ascii="仿宋_GB2312" w:hAnsi="仿宋_GB2312" w:eastAsia="仿宋_GB2312" w:cs="仿宋_GB2312"/>
          <w:sz w:val="32"/>
          <w:szCs w:val="32"/>
          <w:highlight w:val="none"/>
        </w:rPr>
        <w:t>了解项目管理流程及效果</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lang w:val="en-US" w:eastAsia="zh-CN"/>
        </w:rPr>
        <w:t>从项目决策、项目过程、项目产出和项目效益四个维度制定了工作方案，明确了评价的目的、方法、原则、指标、标准、社会调查方案等，重点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14:paraId="7E2379DC">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三、绩效评价分析</w:t>
      </w:r>
      <w:bookmarkEnd w:id="2"/>
    </w:p>
    <w:p w14:paraId="23AFA950">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3" w:name="_Toc24046"/>
      <w:bookmarkStart w:id="4" w:name="_Toc4082"/>
      <w:r>
        <w:rPr>
          <w:rFonts w:hint="eastAsia" w:ascii="仿宋_GB2312" w:hAnsi="仿宋_GB2312" w:eastAsia="仿宋_GB2312" w:cs="仿宋_GB2312"/>
          <w:sz w:val="32"/>
          <w:szCs w:val="32"/>
          <w:highlight w:val="none"/>
          <w:lang w:val="en-US" w:eastAsia="zh-CN"/>
        </w:rPr>
        <w:t>依据《自治区财政支出绩效评价管理暂行办法》（新财预〔2018〕189号）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14:paraId="3F66869B">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四、评价结论</w:t>
      </w:r>
      <w:bookmarkEnd w:id="4"/>
    </w:p>
    <w:p w14:paraId="056DC513">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经综合评价，项目得分为95.45分，其中：项目决策得分20分、项目过程得分19.83分；项目产出得分25.62分、项目效益得分30分，评价等级为优。</w:t>
      </w:r>
    </w:p>
    <w:p w14:paraId="7A4ECDC0">
      <w:pPr>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立项较规范，绩效目标合理绩效指标明确，项目管理制度较健全。该项目预算资金169.40万元，实际支出160.22万元，预算资金执行率94.58%。通过文件研读、实地调研、数据分析等方式，全面了解该项目的使用效果，项目管理过程较规范；总的来看，该项目的实施确保了春节期间我县畜禽肉类供应充足、价格稳定，为2万名购买群体每公斤肉节省了5块钱，有效保障和改善了民生，努力营造了繁荣稳定、欢乐祥和、安全有序的节日。</w:t>
      </w:r>
    </w:p>
    <w:p w14:paraId="5E5DFF89">
      <w:pPr>
        <w:adjustRightInd w:val="0"/>
        <w:snapToGrid w:val="0"/>
        <w:spacing w:line="560" w:lineRule="exact"/>
        <w:ind w:firstLine="960" w:firstLineChars="300"/>
        <w:jc w:val="left"/>
        <w:outlineLvl w:val="0"/>
        <w:rPr>
          <w:rFonts w:hint="eastAsia" w:ascii="黑体" w:hAnsi="黑体" w:eastAsia="黑体" w:cs="宋体"/>
          <w:sz w:val="32"/>
          <w:szCs w:val="32"/>
          <w:highlight w:val="none"/>
        </w:rPr>
      </w:pPr>
      <w:bookmarkStart w:id="5" w:name="_Toc25703"/>
      <w:r>
        <w:rPr>
          <w:rFonts w:hint="eastAsia" w:ascii="黑体" w:hAnsi="黑体" w:eastAsia="黑体" w:cs="宋体"/>
          <w:sz w:val="32"/>
          <w:szCs w:val="32"/>
          <w:highlight w:val="none"/>
          <w:lang w:val="en-US" w:eastAsia="zh-CN"/>
        </w:rPr>
        <w:t>五、</w:t>
      </w:r>
      <w:r>
        <w:rPr>
          <w:rFonts w:hint="eastAsia" w:ascii="黑体" w:hAnsi="黑体" w:eastAsia="黑体" w:cs="宋体"/>
          <w:sz w:val="32"/>
          <w:szCs w:val="32"/>
          <w:highlight w:val="none"/>
        </w:rPr>
        <w:t>问题</w:t>
      </w:r>
      <w:r>
        <w:rPr>
          <w:rFonts w:hint="eastAsia" w:ascii="黑体" w:hAnsi="黑体" w:eastAsia="黑体" w:cs="宋体"/>
          <w:sz w:val="32"/>
          <w:szCs w:val="32"/>
          <w:highlight w:val="none"/>
          <w:lang w:val="en-US" w:eastAsia="zh-CN"/>
        </w:rPr>
        <w:t>及</w:t>
      </w:r>
      <w:r>
        <w:rPr>
          <w:rFonts w:hint="eastAsia" w:ascii="黑体" w:hAnsi="黑体" w:eastAsia="黑体" w:cs="宋体"/>
          <w:sz w:val="32"/>
          <w:szCs w:val="32"/>
          <w:highlight w:val="none"/>
        </w:rPr>
        <w:t>建议</w:t>
      </w:r>
      <w:bookmarkEnd w:id="5"/>
    </w:p>
    <w:p w14:paraId="701631CF">
      <w:pPr>
        <w:pStyle w:val="34"/>
        <w:adjustRightInd w:val="0"/>
        <w:snapToGrid w:val="0"/>
        <w:spacing w:line="560" w:lineRule="exact"/>
        <w:ind w:left="420" w:leftChars="200" w:firstLine="321" w:firstLineChars="100"/>
        <w:outlineLvl w:val="1"/>
        <w:rPr>
          <w:rFonts w:hint="eastAsia" w:ascii="仿宋_GB2312" w:hAnsi="仿宋" w:eastAsia="仿宋_GB2312" w:cs="宋体"/>
          <w:b/>
          <w:bCs/>
          <w:sz w:val="32"/>
          <w:szCs w:val="32"/>
          <w:highlight w:val="none"/>
        </w:rPr>
      </w:pPr>
      <w:bookmarkStart w:id="6" w:name="_Toc11063"/>
      <w:bookmarkStart w:id="7" w:name="_Toc5400"/>
      <w:bookmarkStart w:id="8" w:name="_Toc22139"/>
      <w:bookmarkStart w:id="9" w:name="_Toc19437"/>
      <w:bookmarkStart w:id="10" w:name="_Toc24350"/>
      <w:bookmarkStart w:id="11" w:name="_Toc6009"/>
      <w:r>
        <w:rPr>
          <w:rFonts w:hint="eastAsia" w:ascii="仿宋_GB2312" w:hAnsi="仿宋" w:eastAsia="仿宋_GB2312" w:cs="宋体"/>
          <w:b/>
          <w:bCs/>
          <w:sz w:val="32"/>
          <w:szCs w:val="32"/>
          <w:highlight w:val="none"/>
        </w:rPr>
        <w:t>（一）问题</w:t>
      </w:r>
      <w:bookmarkEnd w:id="6"/>
      <w:bookmarkEnd w:id="7"/>
      <w:bookmarkEnd w:id="8"/>
      <w:bookmarkEnd w:id="9"/>
      <w:bookmarkEnd w:id="10"/>
      <w:bookmarkEnd w:id="11"/>
    </w:p>
    <w:p w14:paraId="101DFC82">
      <w:pPr>
        <w:pStyle w:val="19"/>
        <w:numPr>
          <w:ilvl w:val="0"/>
          <w:numId w:val="0"/>
        </w:numPr>
        <w:ind w:firstLine="640" w:firstLineChars="200"/>
        <w:rPr>
          <w:rFonts w:hint="eastAsia" w:ascii="仿宋_GB2312" w:hAnsi="仿宋_GB2312" w:eastAsia="仿宋_GB2312" w:cs="仿宋_GB2312"/>
          <w:kern w:val="2"/>
          <w:sz w:val="32"/>
          <w:szCs w:val="32"/>
          <w:highlight w:val="none"/>
          <w:lang w:val="en-US" w:eastAsia="zh-CN" w:bidi="ar-SA"/>
        </w:rPr>
      </w:pPr>
      <w:bookmarkStart w:id="12" w:name="_Toc3933"/>
      <w:bookmarkStart w:id="13" w:name="_Toc32170"/>
      <w:bookmarkStart w:id="14" w:name="_Toc25341"/>
      <w:bookmarkStart w:id="15" w:name="_Toc21456"/>
      <w:bookmarkStart w:id="16" w:name="_Toc13719"/>
      <w:bookmarkStart w:id="17" w:name="_Toc23428"/>
      <w:r>
        <w:rPr>
          <w:rFonts w:hint="eastAsia" w:ascii="仿宋_GB2312" w:hAnsi="仿宋_GB2312" w:eastAsia="仿宋_GB2312" w:cs="仿宋_GB2312"/>
          <w:kern w:val="2"/>
          <w:sz w:val="32"/>
          <w:szCs w:val="32"/>
          <w:highlight w:val="none"/>
          <w:lang w:val="en-US" w:eastAsia="zh-CN" w:bidi="ar-SA"/>
        </w:rPr>
        <w:t>洛浦县商务和工业信息化局认真实施项目，按照实际需求基本完成了年度绩效目标，但是由于项目涉及乡镇对该项目的前期督促工作不到位，导致鸭肉供应商未及时提供相关的支付材料，资金均未支付。</w:t>
      </w:r>
    </w:p>
    <w:p w14:paraId="7C1421A3">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eastAsia="zh-CN"/>
        </w:rPr>
        <w:t>二</w:t>
      </w:r>
      <w:r>
        <w:rPr>
          <w:rFonts w:hint="eastAsia" w:ascii="仿宋_GB2312" w:hAnsi="仿宋" w:eastAsia="仿宋_GB2312" w:cs="宋体"/>
          <w:b/>
          <w:bCs/>
          <w:sz w:val="32"/>
          <w:szCs w:val="32"/>
          <w:highlight w:val="none"/>
        </w:rPr>
        <w:t>）意见和建议</w:t>
      </w:r>
      <w:bookmarkEnd w:id="12"/>
      <w:bookmarkEnd w:id="13"/>
      <w:bookmarkEnd w:id="14"/>
      <w:bookmarkEnd w:id="15"/>
      <w:bookmarkEnd w:id="16"/>
      <w:bookmarkEnd w:id="17"/>
    </w:p>
    <w:p w14:paraId="4BB6F069">
      <w:pPr>
        <w:pStyle w:val="19"/>
        <w:numPr>
          <w:ilvl w:val="0"/>
          <w:numId w:val="0"/>
        </w:numPr>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进一步落实单位项目管理办法，提高项目管理规范性，明确各级管理部门对项目管理的责任，进一步完善项目监督管理机制，与相关单位协调，争取尽快拨付完毕鸭肉补助。</w:t>
      </w:r>
    </w:p>
    <w:p w14:paraId="032F286B">
      <w:pPr>
        <w:pStyle w:val="2"/>
        <w:rPr>
          <w:rFonts w:hint="eastAsia" w:ascii="黑体" w:hAnsi="黑体" w:eastAsia="黑体" w:cs="黑体"/>
          <w:b w:val="0"/>
          <w:bCs w:val="0"/>
          <w:sz w:val="44"/>
          <w:szCs w:val="44"/>
        </w:rPr>
      </w:pPr>
    </w:p>
    <w:p w14:paraId="61D096E9">
      <w:pPr>
        <w:rPr>
          <w:rFonts w:hint="eastAsia" w:ascii="黑体" w:hAnsi="黑体" w:eastAsia="黑体" w:cs="黑体"/>
          <w:b w:val="0"/>
          <w:bCs w:val="0"/>
          <w:sz w:val="44"/>
          <w:szCs w:val="44"/>
        </w:rPr>
      </w:pPr>
    </w:p>
    <w:p w14:paraId="420B9ABD">
      <w:pPr>
        <w:pStyle w:val="2"/>
        <w:rPr>
          <w:rFonts w:hint="eastAsia" w:ascii="黑体" w:hAnsi="黑体" w:eastAsia="黑体" w:cs="黑体"/>
          <w:b w:val="0"/>
          <w:bCs w:val="0"/>
          <w:sz w:val="44"/>
          <w:szCs w:val="44"/>
        </w:rPr>
      </w:pPr>
    </w:p>
    <w:p w14:paraId="2F13354D">
      <w:pPr>
        <w:rPr>
          <w:rFonts w:hint="eastAsia"/>
        </w:rPr>
      </w:pPr>
    </w:p>
    <w:p w14:paraId="376DE412">
      <w:pPr>
        <w:ind w:firstLine="2200" w:firstLineChars="500"/>
        <w:jc w:val="both"/>
        <w:rPr>
          <w:rFonts w:hint="eastAsia" w:ascii="黑体" w:hAnsi="黑体" w:eastAsia="黑体" w:cs="黑体"/>
          <w:b w:val="0"/>
          <w:bCs w:val="0"/>
          <w:sz w:val="44"/>
          <w:szCs w:val="44"/>
        </w:rPr>
      </w:pPr>
      <w:r>
        <w:rPr>
          <w:rFonts w:hint="eastAsia" w:ascii="黑体" w:hAnsi="黑体" w:eastAsia="黑体" w:cs="黑体"/>
          <w:b w:val="0"/>
          <w:bCs w:val="0"/>
          <w:sz w:val="44"/>
          <w:szCs w:val="44"/>
        </w:rPr>
        <w:t>绩效评价工作组成员</w:t>
      </w:r>
    </w:p>
    <w:p w14:paraId="016BF7A2">
      <w:pPr>
        <w:jc w:val="center"/>
      </w:pPr>
    </w:p>
    <w:tbl>
      <w:tblPr>
        <w:tblStyle w:val="21"/>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7"/>
        <w:gridCol w:w="1605"/>
        <w:gridCol w:w="1960"/>
        <w:gridCol w:w="1640"/>
        <w:gridCol w:w="1510"/>
        <w:gridCol w:w="1480"/>
      </w:tblGrid>
      <w:tr w14:paraId="50A5E6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527" w:type="dxa"/>
            <w:vAlign w:val="center"/>
          </w:tcPr>
          <w:p w14:paraId="49B13E0A">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序号</w:t>
            </w:r>
          </w:p>
        </w:tc>
        <w:tc>
          <w:tcPr>
            <w:tcW w:w="1605" w:type="dxa"/>
            <w:vAlign w:val="center"/>
          </w:tcPr>
          <w:p w14:paraId="599DAFF0">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项目职务</w:t>
            </w:r>
          </w:p>
        </w:tc>
        <w:tc>
          <w:tcPr>
            <w:tcW w:w="1960" w:type="dxa"/>
            <w:vAlign w:val="center"/>
          </w:tcPr>
          <w:p w14:paraId="329EEAEC">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姓名</w:t>
            </w:r>
          </w:p>
        </w:tc>
        <w:tc>
          <w:tcPr>
            <w:tcW w:w="1640" w:type="dxa"/>
            <w:vAlign w:val="center"/>
          </w:tcPr>
          <w:p w14:paraId="5E3D3E54">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执业（从业）</w:t>
            </w:r>
          </w:p>
          <w:p w14:paraId="2DE6E9B5">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资格</w:t>
            </w:r>
          </w:p>
        </w:tc>
        <w:tc>
          <w:tcPr>
            <w:tcW w:w="1510" w:type="dxa"/>
            <w:vAlign w:val="center"/>
          </w:tcPr>
          <w:p w14:paraId="1663AEC7">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职称</w:t>
            </w:r>
          </w:p>
        </w:tc>
        <w:tc>
          <w:tcPr>
            <w:tcW w:w="1480" w:type="dxa"/>
            <w:vAlign w:val="center"/>
          </w:tcPr>
          <w:p w14:paraId="51AF6B84">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备注</w:t>
            </w:r>
          </w:p>
        </w:tc>
      </w:tr>
      <w:tr w14:paraId="1E2FAC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527" w:type="dxa"/>
            <w:vAlign w:val="center"/>
          </w:tcPr>
          <w:p w14:paraId="48EFB8F4">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1</w:t>
            </w:r>
          </w:p>
        </w:tc>
        <w:tc>
          <w:tcPr>
            <w:tcW w:w="1605" w:type="dxa"/>
            <w:vAlign w:val="center"/>
          </w:tcPr>
          <w:p w14:paraId="12E9F3FF">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项目负责人</w:t>
            </w:r>
          </w:p>
        </w:tc>
        <w:tc>
          <w:tcPr>
            <w:tcW w:w="1960" w:type="dxa"/>
            <w:vAlign w:val="center"/>
          </w:tcPr>
          <w:p w14:paraId="4CD1446D">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叶金玲</w:t>
            </w:r>
          </w:p>
        </w:tc>
        <w:tc>
          <w:tcPr>
            <w:tcW w:w="1640" w:type="dxa"/>
            <w:vAlign w:val="center"/>
          </w:tcPr>
          <w:p w14:paraId="4DA6B448">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0E9CBA17">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437828DD">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项目总负责</w:t>
            </w:r>
          </w:p>
        </w:tc>
      </w:tr>
      <w:tr w14:paraId="707C5A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0B0F3C69">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2</w:t>
            </w:r>
          </w:p>
        </w:tc>
        <w:tc>
          <w:tcPr>
            <w:tcW w:w="1605" w:type="dxa"/>
            <w:vAlign w:val="center"/>
          </w:tcPr>
          <w:p w14:paraId="4290B8B0">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项目财务专家</w:t>
            </w:r>
          </w:p>
        </w:tc>
        <w:tc>
          <w:tcPr>
            <w:tcW w:w="1960" w:type="dxa"/>
            <w:vAlign w:val="center"/>
          </w:tcPr>
          <w:p w14:paraId="3641C776">
            <w:pPr>
              <w:pStyle w:val="14"/>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冯琼</w:t>
            </w:r>
          </w:p>
        </w:tc>
        <w:tc>
          <w:tcPr>
            <w:tcW w:w="1640" w:type="dxa"/>
            <w:vAlign w:val="center"/>
          </w:tcPr>
          <w:p w14:paraId="6453CE04">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2FC64279">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5143DCA9">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资金审查</w:t>
            </w:r>
          </w:p>
        </w:tc>
      </w:tr>
      <w:tr w14:paraId="7CC941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08AB32C8">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3</w:t>
            </w:r>
          </w:p>
        </w:tc>
        <w:tc>
          <w:tcPr>
            <w:tcW w:w="1605" w:type="dxa"/>
            <w:vAlign w:val="center"/>
          </w:tcPr>
          <w:p w14:paraId="166C7C58">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项目行业专家</w:t>
            </w:r>
          </w:p>
        </w:tc>
        <w:tc>
          <w:tcPr>
            <w:tcW w:w="1960" w:type="dxa"/>
            <w:vAlign w:val="center"/>
          </w:tcPr>
          <w:p w14:paraId="42F48038">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曹堂哲</w:t>
            </w:r>
          </w:p>
        </w:tc>
        <w:tc>
          <w:tcPr>
            <w:tcW w:w="1640" w:type="dxa"/>
            <w:vAlign w:val="center"/>
          </w:tcPr>
          <w:p w14:paraId="013AD61D">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风险稳定评估师、高级投资管理师、计算机辅助设计师、信息管理师、物流工程师</w:t>
            </w:r>
          </w:p>
        </w:tc>
        <w:tc>
          <w:tcPr>
            <w:tcW w:w="1510" w:type="dxa"/>
            <w:vAlign w:val="center"/>
          </w:tcPr>
          <w:p w14:paraId="48761A77">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中级经济师</w:t>
            </w:r>
          </w:p>
        </w:tc>
        <w:tc>
          <w:tcPr>
            <w:tcW w:w="1480" w:type="dxa"/>
            <w:vAlign w:val="center"/>
          </w:tcPr>
          <w:p w14:paraId="7AD3ED64">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审核指导   质量审核</w:t>
            </w:r>
          </w:p>
        </w:tc>
      </w:tr>
      <w:tr w14:paraId="00DD1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527" w:type="dxa"/>
            <w:vAlign w:val="center"/>
          </w:tcPr>
          <w:p w14:paraId="4ED9E80A">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4</w:t>
            </w:r>
          </w:p>
        </w:tc>
        <w:tc>
          <w:tcPr>
            <w:tcW w:w="1605" w:type="dxa"/>
            <w:vAlign w:val="center"/>
          </w:tcPr>
          <w:p w14:paraId="7E855FCF">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rPr>
              <w:t>项目</w:t>
            </w:r>
            <w:r>
              <w:rPr>
                <w:rFonts w:hint="eastAsia" w:ascii="仿宋_GB2312" w:hAnsi="黑体" w:eastAsia="仿宋_GB2312" w:cs="宋体"/>
                <w:kern w:val="0"/>
                <w:sz w:val="24"/>
                <w:lang w:val="en-US" w:eastAsia="zh-CN"/>
              </w:rPr>
              <w:t>组成员</w:t>
            </w:r>
          </w:p>
        </w:tc>
        <w:tc>
          <w:tcPr>
            <w:tcW w:w="1960" w:type="dxa"/>
            <w:vAlign w:val="center"/>
          </w:tcPr>
          <w:p w14:paraId="1FBC3695">
            <w:pPr>
              <w:pStyle w:val="14"/>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古丽热依汉</w:t>
            </w:r>
          </w:p>
        </w:tc>
        <w:tc>
          <w:tcPr>
            <w:tcW w:w="1640" w:type="dxa"/>
            <w:vAlign w:val="center"/>
          </w:tcPr>
          <w:p w14:paraId="3A983A0F">
            <w:pPr>
              <w:pStyle w:val="14"/>
              <w:tabs>
                <w:tab w:val="right" w:leader="dot" w:pos="8302"/>
              </w:tabs>
              <w:spacing w:line="340" w:lineRule="exact"/>
              <w:jc w:val="center"/>
              <w:rPr>
                <w:rFonts w:hint="eastAsia" w:ascii="仿宋_GB2312" w:hAnsi="黑体" w:eastAsia="仿宋_GB2312" w:cs="宋体"/>
                <w:kern w:val="0"/>
                <w:sz w:val="24"/>
                <w:lang w:val="en-US" w:eastAsia="zh-CN"/>
              </w:rPr>
            </w:pPr>
          </w:p>
        </w:tc>
        <w:tc>
          <w:tcPr>
            <w:tcW w:w="1510" w:type="dxa"/>
            <w:vAlign w:val="center"/>
          </w:tcPr>
          <w:p w14:paraId="3AB3785E">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助理</w:t>
            </w:r>
            <w:r>
              <w:rPr>
                <w:rFonts w:hint="eastAsia" w:ascii="仿宋_GB2312" w:hAnsi="黑体" w:eastAsia="仿宋_GB2312" w:cs="宋体"/>
                <w:kern w:val="0"/>
                <w:sz w:val="24"/>
              </w:rPr>
              <w:t>会计师</w:t>
            </w:r>
          </w:p>
        </w:tc>
        <w:tc>
          <w:tcPr>
            <w:tcW w:w="1480" w:type="dxa"/>
            <w:vAlign w:val="center"/>
          </w:tcPr>
          <w:p w14:paraId="1CADDBD9">
            <w:pPr>
              <w:pStyle w:val="14"/>
              <w:tabs>
                <w:tab w:val="right" w:leader="dot" w:pos="8302"/>
              </w:tabs>
              <w:spacing w:line="340" w:lineRule="exact"/>
              <w:jc w:val="center"/>
              <w:rPr>
                <w:rFonts w:ascii="仿宋_GB2312" w:hAnsi="黑体" w:eastAsia="仿宋_GB2312" w:cs="宋体"/>
                <w:kern w:val="0"/>
                <w:sz w:val="24"/>
              </w:rPr>
            </w:pPr>
          </w:p>
        </w:tc>
      </w:tr>
      <w:tr w14:paraId="7E11A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27" w:type="dxa"/>
            <w:vAlign w:val="center"/>
          </w:tcPr>
          <w:p w14:paraId="3990738F">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5</w:t>
            </w:r>
          </w:p>
        </w:tc>
        <w:tc>
          <w:tcPr>
            <w:tcW w:w="1605" w:type="dxa"/>
            <w:vAlign w:val="center"/>
          </w:tcPr>
          <w:p w14:paraId="634BDB82">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项目组成员</w:t>
            </w:r>
          </w:p>
        </w:tc>
        <w:tc>
          <w:tcPr>
            <w:tcW w:w="1960" w:type="dxa"/>
            <w:vAlign w:val="center"/>
          </w:tcPr>
          <w:p w14:paraId="03544622">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阿曼古丽</w:t>
            </w:r>
          </w:p>
        </w:tc>
        <w:tc>
          <w:tcPr>
            <w:tcW w:w="1640" w:type="dxa"/>
            <w:vAlign w:val="center"/>
          </w:tcPr>
          <w:p w14:paraId="626F87CA">
            <w:pPr>
              <w:pStyle w:val="14"/>
              <w:tabs>
                <w:tab w:val="right" w:leader="dot" w:pos="8302"/>
              </w:tabs>
              <w:spacing w:line="340" w:lineRule="exact"/>
              <w:jc w:val="center"/>
              <w:rPr>
                <w:rFonts w:ascii="仿宋_GB2312" w:hAnsi="黑体" w:eastAsia="仿宋_GB2312" w:cs="宋体"/>
                <w:kern w:val="0"/>
                <w:sz w:val="24"/>
              </w:rPr>
            </w:pPr>
          </w:p>
        </w:tc>
        <w:tc>
          <w:tcPr>
            <w:tcW w:w="1510" w:type="dxa"/>
            <w:vAlign w:val="center"/>
          </w:tcPr>
          <w:p w14:paraId="66603E61">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14:paraId="1995D103">
            <w:pPr>
              <w:pStyle w:val="14"/>
              <w:tabs>
                <w:tab w:val="right" w:leader="dot" w:pos="8302"/>
              </w:tabs>
              <w:spacing w:line="340" w:lineRule="exact"/>
              <w:jc w:val="center"/>
              <w:rPr>
                <w:rFonts w:ascii="仿宋_GB2312" w:hAnsi="黑体" w:eastAsia="仿宋_GB2312" w:cs="宋体"/>
                <w:kern w:val="0"/>
                <w:sz w:val="24"/>
              </w:rPr>
            </w:pPr>
          </w:p>
        </w:tc>
      </w:tr>
    </w:tbl>
    <w:p w14:paraId="128E013A">
      <w:pPr>
        <w:ind w:firstLine="640" w:firstLineChars="200"/>
        <w:rPr>
          <w:rFonts w:ascii="仿宋_GB2312" w:eastAsia="仿宋_GB2312"/>
          <w:sz w:val="32"/>
          <w:szCs w:val="32"/>
        </w:rPr>
      </w:pPr>
    </w:p>
    <w:p w14:paraId="51B722EC">
      <w:pPr>
        <w:pStyle w:val="14"/>
        <w:tabs>
          <w:tab w:val="right" w:leader="dot" w:pos="8302"/>
        </w:tabs>
        <w:spacing w:line="340" w:lineRule="exact"/>
        <w:rPr>
          <w:rFonts w:ascii="黑体" w:hAnsi="黑体" w:eastAsia="黑体" w:cs="宋体"/>
          <w:sz w:val="24"/>
        </w:rPr>
      </w:pPr>
    </w:p>
    <w:p w14:paraId="0BD5CA7D"/>
    <w:p w14:paraId="6ECCA481">
      <w:pPr>
        <w:pStyle w:val="14"/>
        <w:tabs>
          <w:tab w:val="right" w:leader="dot" w:pos="8302"/>
        </w:tabs>
        <w:spacing w:line="340" w:lineRule="exact"/>
        <w:jc w:val="both"/>
        <w:rPr>
          <w:rFonts w:ascii="宋体" w:hAnsi="宋体" w:cs="宋体"/>
          <w:b/>
          <w:sz w:val="28"/>
          <w:szCs w:val="28"/>
        </w:rPr>
        <w:sectPr>
          <w:pgSz w:w="11906" w:h="16838"/>
          <w:pgMar w:top="2098" w:right="1531" w:bottom="1984" w:left="1531" w:header="851" w:footer="992" w:gutter="0"/>
          <w:pgBorders>
            <w:top w:val="none" w:sz="0" w:space="0"/>
            <w:left w:val="none" w:sz="0" w:space="0"/>
            <w:bottom w:val="none" w:sz="0" w:space="0"/>
            <w:right w:val="none" w:sz="0" w:space="0"/>
          </w:pgBorders>
          <w:cols w:space="425" w:num="1"/>
          <w:docGrid w:type="lines" w:linePitch="312" w:charSpace="0"/>
        </w:sectPr>
      </w:pPr>
    </w:p>
    <w:p w14:paraId="4E7D95F0">
      <w:pPr>
        <w:pStyle w:val="14"/>
        <w:tabs>
          <w:tab w:val="right" w:leader="dot" w:pos="8302"/>
        </w:tabs>
        <w:spacing w:line="340" w:lineRule="exact"/>
        <w:jc w:val="center"/>
        <w:rPr>
          <w:rFonts w:hint="eastAsia" w:ascii="黑体" w:hAnsi="黑体" w:eastAsia="黑体" w:cs="黑体"/>
          <w:b/>
          <w:sz w:val="36"/>
          <w:szCs w:val="36"/>
        </w:rPr>
      </w:pPr>
      <w:r>
        <w:rPr>
          <w:rFonts w:hint="eastAsia" w:ascii="黑体" w:hAnsi="黑体" w:eastAsia="黑体" w:cs="黑体"/>
          <w:b/>
          <w:sz w:val="36"/>
          <w:szCs w:val="36"/>
        </w:rPr>
        <w:t>目 录</w:t>
      </w:r>
    </w:p>
    <w:sdt>
      <w:sdtPr>
        <w:rPr>
          <w:rFonts w:ascii="宋体" w:hAnsi="宋体" w:eastAsia="宋体" w:cstheme="minorBidi"/>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kern w:val="2"/>
          <w:sz w:val="21"/>
          <w:szCs w:val="24"/>
          <w:highlight w:val="none"/>
          <w:lang w:val="en-US" w:eastAsia="zh-CN" w:bidi="ar-SA"/>
        </w:rPr>
      </w:sdtEndPr>
      <w:sdtContent>
        <w:p w14:paraId="7A0FE172">
          <w:pPr>
            <w:spacing w:before="0" w:beforeLines="0" w:after="0" w:afterLines="0" w:line="240" w:lineRule="auto"/>
            <w:ind w:left="0" w:leftChars="0" w:right="0" w:rightChars="0" w:firstLine="0" w:firstLineChars="0"/>
            <w:jc w:val="center"/>
            <w:rPr>
              <w:rFonts w:asciiTheme="minorHAnsi" w:hAnsiTheme="minorHAnsi" w:eastAsiaTheme="minorEastAsia" w:cstheme="minorBidi"/>
              <w:b w:val="0"/>
              <w:bCs w:val="0"/>
              <w:kern w:val="2"/>
              <w:sz w:val="24"/>
              <w:szCs w:val="24"/>
              <w:highlight w:val="none"/>
              <w:lang w:val="en-US" w:eastAsia="zh-CN" w:bidi="ar-SA"/>
            </w:rPr>
          </w:pPr>
          <w:r>
            <w:rPr>
              <w:b w:val="0"/>
              <w:bCs w:val="0"/>
              <w:sz w:val="24"/>
              <w:szCs w:val="24"/>
              <w:highlight w:val="none"/>
            </w:rPr>
            <w:fldChar w:fldCharType="begin"/>
          </w:r>
          <w:r>
            <w:rPr>
              <w:b w:val="0"/>
              <w:bCs w:val="0"/>
              <w:sz w:val="24"/>
              <w:szCs w:val="24"/>
              <w:highlight w:val="none"/>
            </w:rPr>
            <w:instrText xml:space="preserve">TOC \o "1-2" \h \u </w:instrText>
          </w:r>
          <w:r>
            <w:rPr>
              <w:b w:val="0"/>
              <w:bCs w:val="0"/>
              <w:sz w:val="24"/>
              <w:szCs w:val="24"/>
              <w:highlight w:val="none"/>
            </w:rPr>
            <w:fldChar w:fldCharType="separate"/>
          </w:r>
        </w:p>
        <w:p w14:paraId="38A14759">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_Toc28183 </w:instrText>
          </w:r>
          <w:r>
            <w:rPr>
              <w:bCs w:val="0"/>
              <w:szCs w:val="24"/>
              <w:highlight w:val="none"/>
            </w:rPr>
            <w:fldChar w:fldCharType="separate"/>
          </w:r>
          <w:r>
            <w:rPr>
              <w:rFonts w:hint="eastAsia" w:ascii="黑体" w:hAnsi="黑体" w:eastAsia="黑体" w:cs="宋体"/>
              <w:szCs w:val="32"/>
              <w:highlight w:val="none"/>
            </w:rPr>
            <w:t>一、项目概述</w:t>
          </w:r>
          <w:r>
            <w:rPr>
              <w:highlight w:val="none"/>
            </w:rPr>
            <w:tab/>
          </w:r>
          <w:r>
            <w:rPr>
              <w:highlight w:val="none"/>
            </w:rPr>
            <w:fldChar w:fldCharType="begin"/>
          </w:r>
          <w:r>
            <w:rPr>
              <w:highlight w:val="none"/>
            </w:rPr>
            <w:instrText xml:space="preserve"> PAGEREF _Toc28183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064847CE">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_Toc27345 </w:instrText>
          </w:r>
          <w:r>
            <w:rPr>
              <w:bCs w:val="0"/>
              <w:szCs w:val="24"/>
              <w:highlight w:val="none"/>
            </w:rPr>
            <w:fldChar w:fldCharType="separate"/>
          </w:r>
          <w:r>
            <w:rPr>
              <w:rFonts w:hint="eastAsia" w:ascii="仿宋_GB2312" w:hAnsi="仿宋" w:eastAsia="仿宋_GB2312" w:cs="宋体"/>
              <w:bCs/>
              <w:szCs w:val="32"/>
              <w:highlight w:val="none"/>
            </w:rPr>
            <w:t>（一）项目基本情况</w:t>
          </w:r>
          <w:r>
            <w:rPr>
              <w:highlight w:val="none"/>
            </w:rPr>
            <w:tab/>
          </w:r>
          <w:r>
            <w:rPr>
              <w:highlight w:val="none"/>
            </w:rPr>
            <w:fldChar w:fldCharType="begin"/>
          </w:r>
          <w:r>
            <w:rPr>
              <w:highlight w:val="none"/>
            </w:rPr>
            <w:instrText xml:space="preserve"> PAGEREF _Toc27345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2AF5E777">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_Toc30597 </w:instrText>
          </w:r>
          <w:r>
            <w:rPr>
              <w:bCs w:val="0"/>
              <w:szCs w:val="24"/>
              <w:highlight w:val="none"/>
            </w:rPr>
            <w:fldChar w:fldCharType="separate"/>
          </w:r>
          <w:r>
            <w:rPr>
              <w:rFonts w:hint="eastAsia" w:ascii="仿宋_GB2312" w:hAnsi="仿宋" w:eastAsia="仿宋_GB2312" w:cs="宋体"/>
              <w:bCs/>
              <w:szCs w:val="32"/>
              <w:highlight w:val="none"/>
            </w:rPr>
            <w:t>（二）项目资金情况</w:t>
          </w:r>
          <w:r>
            <w:rPr>
              <w:highlight w:val="none"/>
            </w:rPr>
            <w:tab/>
          </w:r>
          <w:r>
            <w:rPr>
              <w:highlight w:val="none"/>
            </w:rPr>
            <w:fldChar w:fldCharType="begin"/>
          </w:r>
          <w:r>
            <w:rPr>
              <w:highlight w:val="none"/>
            </w:rPr>
            <w:instrText xml:space="preserve"> PAGEREF _Toc30597 </w:instrText>
          </w:r>
          <w:r>
            <w:rPr>
              <w:highlight w:val="none"/>
            </w:rPr>
            <w:fldChar w:fldCharType="separate"/>
          </w:r>
          <w:r>
            <w:rPr>
              <w:highlight w:val="none"/>
            </w:rPr>
            <w:t>5</w:t>
          </w:r>
          <w:r>
            <w:rPr>
              <w:highlight w:val="none"/>
            </w:rPr>
            <w:fldChar w:fldCharType="end"/>
          </w:r>
          <w:r>
            <w:rPr>
              <w:bCs w:val="0"/>
              <w:szCs w:val="24"/>
              <w:highlight w:val="none"/>
            </w:rPr>
            <w:fldChar w:fldCharType="end"/>
          </w:r>
        </w:p>
        <w:p w14:paraId="1C79F99B">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_Toc4656 </w:instrText>
          </w:r>
          <w:r>
            <w:rPr>
              <w:bCs w:val="0"/>
              <w:szCs w:val="24"/>
              <w:highlight w:val="none"/>
            </w:rPr>
            <w:fldChar w:fldCharType="separate"/>
          </w:r>
          <w:r>
            <w:rPr>
              <w:rFonts w:hint="eastAsia" w:ascii="仿宋_GB2312" w:hAnsi="仿宋" w:eastAsia="仿宋_GB2312" w:cs="宋体"/>
              <w:bCs/>
              <w:szCs w:val="32"/>
              <w:highlight w:val="none"/>
            </w:rPr>
            <w:t>（三）绩效目标设置情况</w:t>
          </w:r>
          <w:r>
            <w:rPr>
              <w:highlight w:val="none"/>
            </w:rPr>
            <w:tab/>
          </w:r>
          <w:r>
            <w:rPr>
              <w:highlight w:val="none"/>
            </w:rPr>
            <w:fldChar w:fldCharType="begin"/>
          </w:r>
          <w:r>
            <w:rPr>
              <w:highlight w:val="none"/>
            </w:rPr>
            <w:instrText xml:space="preserve"> PAGEREF _Toc4656 </w:instrText>
          </w:r>
          <w:r>
            <w:rPr>
              <w:highlight w:val="none"/>
            </w:rPr>
            <w:fldChar w:fldCharType="separate"/>
          </w:r>
          <w:r>
            <w:rPr>
              <w:highlight w:val="none"/>
            </w:rPr>
            <w:t>6</w:t>
          </w:r>
          <w:r>
            <w:rPr>
              <w:highlight w:val="none"/>
            </w:rPr>
            <w:fldChar w:fldCharType="end"/>
          </w:r>
          <w:r>
            <w:rPr>
              <w:bCs w:val="0"/>
              <w:szCs w:val="24"/>
              <w:highlight w:val="none"/>
            </w:rPr>
            <w:fldChar w:fldCharType="end"/>
          </w:r>
        </w:p>
        <w:p w14:paraId="0CA98F85">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_Toc25486 </w:instrText>
          </w:r>
          <w:r>
            <w:rPr>
              <w:bCs w:val="0"/>
              <w:szCs w:val="24"/>
              <w:highlight w:val="none"/>
            </w:rPr>
            <w:fldChar w:fldCharType="separate"/>
          </w:r>
          <w:r>
            <w:rPr>
              <w:rFonts w:hint="eastAsia" w:ascii="黑体" w:hAnsi="黑体" w:eastAsia="黑体" w:cs="宋体"/>
              <w:szCs w:val="32"/>
              <w:highlight w:val="none"/>
            </w:rPr>
            <w:t>二、评价工作简述</w:t>
          </w:r>
          <w:r>
            <w:rPr>
              <w:highlight w:val="none"/>
            </w:rPr>
            <w:tab/>
          </w:r>
          <w:r>
            <w:rPr>
              <w:highlight w:val="none"/>
            </w:rPr>
            <w:fldChar w:fldCharType="begin"/>
          </w:r>
          <w:r>
            <w:rPr>
              <w:highlight w:val="none"/>
            </w:rPr>
            <w:instrText xml:space="preserve"> PAGEREF _Toc25486 </w:instrText>
          </w:r>
          <w:r>
            <w:rPr>
              <w:highlight w:val="none"/>
            </w:rPr>
            <w:fldChar w:fldCharType="separate"/>
          </w:r>
          <w:r>
            <w:rPr>
              <w:highlight w:val="none"/>
            </w:rPr>
            <w:t>6</w:t>
          </w:r>
          <w:r>
            <w:rPr>
              <w:highlight w:val="none"/>
            </w:rPr>
            <w:fldChar w:fldCharType="end"/>
          </w:r>
          <w:r>
            <w:rPr>
              <w:bCs w:val="0"/>
              <w:szCs w:val="24"/>
              <w:highlight w:val="none"/>
            </w:rPr>
            <w:fldChar w:fldCharType="end"/>
          </w:r>
        </w:p>
        <w:p w14:paraId="07FDAB28">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_Toc8259 </w:instrText>
          </w:r>
          <w:r>
            <w:rPr>
              <w:bCs w:val="0"/>
              <w:szCs w:val="24"/>
              <w:highlight w:val="none"/>
            </w:rPr>
            <w:fldChar w:fldCharType="separate"/>
          </w:r>
          <w:r>
            <w:rPr>
              <w:rFonts w:hint="eastAsia" w:ascii="仿宋_GB2312" w:hAnsi="仿宋" w:eastAsia="仿宋_GB2312" w:cs="宋体"/>
              <w:bCs/>
              <w:szCs w:val="32"/>
              <w:highlight w:val="none"/>
            </w:rPr>
            <w:t>（一）评价目的</w:t>
          </w:r>
          <w:r>
            <w:rPr>
              <w:highlight w:val="none"/>
            </w:rPr>
            <w:tab/>
          </w:r>
          <w:r>
            <w:rPr>
              <w:highlight w:val="none"/>
            </w:rPr>
            <w:fldChar w:fldCharType="begin"/>
          </w:r>
          <w:r>
            <w:rPr>
              <w:highlight w:val="none"/>
            </w:rPr>
            <w:instrText xml:space="preserve"> PAGEREF _Toc8259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1F5F711A">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_Toc22761 </w:instrText>
          </w:r>
          <w:r>
            <w:rPr>
              <w:bCs w:val="0"/>
              <w:szCs w:val="24"/>
              <w:highlight w:val="none"/>
            </w:rPr>
            <w:fldChar w:fldCharType="separate"/>
          </w:r>
          <w:r>
            <w:rPr>
              <w:rFonts w:hint="eastAsia" w:ascii="仿宋_GB2312" w:hAnsi="仿宋" w:eastAsia="仿宋_GB2312" w:cs="宋体"/>
              <w:bCs/>
              <w:szCs w:val="32"/>
              <w:highlight w:val="none"/>
            </w:rPr>
            <w:t>（二）绩效评价工作</w:t>
          </w:r>
          <w:r>
            <w:rPr>
              <w:rFonts w:hint="eastAsia" w:ascii="仿宋_GB2312" w:hAnsi="仿宋" w:eastAsia="仿宋_GB2312" w:cs="宋体"/>
              <w:bCs/>
              <w:szCs w:val="32"/>
              <w:highlight w:val="none"/>
              <w:lang w:val="en-US" w:eastAsia="zh-CN"/>
            </w:rPr>
            <w:t>的基本</w:t>
          </w:r>
          <w:r>
            <w:rPr>
              <w:rFonts w:hint="eastAsia" w:ascii="仿宋_GB2312" w:hAnsi="仿宋" w:eastAsia="仿宋_GB2312" w:cs="宋体"/>
              <w:bCs/>
              <w:szCs w:val="32"/>
              <w:highlight w:val="none"/>
            </w:rPr>
            <w:t>思路</w:t>
          </w:r>
          <w:r>
            <w:rPr>
              <w:highlight w:val="none"/>
            </w:rPr>
            <w:tab/>
          </w:r>
          <w:r>
            <w:rPr>
              <w:highlight w:val="none"/>
            </w:rPr>
            <w:fldChar w:fldCharType="begin"/>
          </w:r>
          <w:r>
            <w:rPr>
              <w:highlight w:val="none"/>
            </w:rPr>
            <w:instrText xml:space="preserve"> PAGEREF _Toc22761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5D4E3ACA">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_Toc7962 </w:instrText>
          </w:r>
          <w:r>
            <w:rPr>
              <w:bCs w:val="0"/>
              <w:szCs w:val="24"/>
              <w:highlight w:val="none"/>
            </w:rPr>
            <w:fldChar w:fldCharType="separate"/>
          </w:r>
          <w:r>
            <w:rPr>
              <w:rFonts w:hint="eastAsia" w:ascii="仿宋_GB2312" w:hAnsi="仿宋" w:eastAsia="仿宋_GB2312" w:cs="宋体"/>
              <w:bCs/>
              <w:szCs w:val="32"/>
              <w:highlight w:val="none"/>
            </w:rPr>
            <w:t>（三）评价原则</w:t>
          </w:r>
          <w:r>
            <w:rPr>
              <w:highlight w:val="none"/>
            </w:rPr>
            <w:tab/>
          </w:r>
          <w:r>
            <w:rPr>
              <w:highlight w:val="none"/>
            </w:rPr>
            <w:fldChar w:fldCharType="begin"/>
          </w:r>
          <w:r>
            <w:rPr>
              <w:highlight w:val="none"/>
            </w:rPr>
            <w:instrText xml:space="preserve"> PAGEREF _Toc7962 </w:instrText>
          </w:r>
          <w:r>
            <w:rPr>
              <w:highlight w:val="none"/>
            </w:rPr>
            <w:fldChar w:fldCharType="separate"/>
          </w:r>
          <w:r>
            <w:rPr>
              <w:highlight w:val="none"/>
            </w:rPr>
            <w:t>9</w:t>
          </w:r>
          <w:r>
            <w:rPr>
              <w:highlight w:val="none"/>
            </w:rPr>
            <w:fldChar w:fldCharType="end"/>
          </w:r>
          <w:r>
            <w:rPr>
              <w:bCs w:val="0"/>
              <w:szCs w:val="24"/>
              <w:highlight w:val="none"/>
            </w:rPr>
            <w:fldChar w:fldCharType="end"/>
          </w:r>
        </w:p>
        <w:p w14:paraId="7232D571">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_Toc1742 </w:instrText>
          </w:r>
          <w:r>
            <w:rPr>
              <w:bCs w:val="0"/>
              <w:szCs w:val="24"/>
              <w:highlight w:val="none"/>
            </w:rPr>
            <w:fldChar w:fldCharType="separate"/>
          </w:r>
          <w:r>
            <w:rPr>
              <w:rFonts w:hint="eastAsia" w:ascii="仿宋_GB2312" w:hAnsi="仿宋" w:eastAsia="仿宋_GB2312" w:cs="宋体"/>
              <w:bCs/>
              <w:szCs w:val="32"/>
              <w:highlight w:val="none"/>
            </w:rPr>
            <w:t>（四）评价方法</w:t>
          </w:r>
          <w:r>
            <w:rPr>
              <w:highlight w:val="none"/>
            </w:rPr>
            <w:tab/>
          </w:r>
          <w:r>
            <w:rPr>
              <w:highlight w:val="none"/>
            </w:rPr>
            <w:fldChar w:fldCharType="begin"/>
          </w:r>
          <w:r>
            <w:rPr>
              <w:highlight w:val="none"/>
            </w:rPr>
            <w:instrText xml:space="preserve"> PAGEREF _Toc1742 </w:instrText>
          </w:r>
          <w:r>
            <w:rPr>
              <w:highlight w:val="none"/>
            </w:rPr>
            <w:fldChar w:fldCharType="separate"/>
          </w:r>
          <w:r>
            <w:rPr>
              <w:highlight w:val="none"/>
            </w:rPr>
            <w:t>9</w:t>
          </w:r>
          <w:r>
            <w:rPr>
              <w:highlight w:val="none"/>
            </w:rPr>
            <w:fldChar w:fldCharType="end"/>
          </w:r>
          <w:r>
            <w:rPr>
              <w:bCs w:val="0"/>
              <w:szCs w:val="24"/>
              <w:highlight w:val="none"/>
            </w:rPr>
            <w:fldChar w:fldCharType="end"/>
          </w:r>
        </w:p>
        <w:p w14:paraId="2886B4E2">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_Toc16588 </w:instrText>
          </w:r>
          <w:r>
            <w:rPr>
              <w:bCs w:val="0"/>
              <w:szCs w:val="24"/>
              <w:highlight w:val="none"/>
            </w:rPr>
            <w:fldChar w:fldCharType="separate"/>
          </w:r>
          <w:r>
            <w:rPr>
              <w:rFonts w:hint="eastAsia" w:ascii="仿宋_GB2312" w:hAnsi="仿宋" w:eastAsia="仿宋_GB2312" w:cs="宋体"/>
              <w:bCs/>
              <w:szCs w:val="32"/>
              <w:highlight w:val="none"/>
            </w:rPr>
            <w:t>（五） 指标体系</w:t>
          </w:r>
          <w:r>
            <w:rPr>
              <w:highlight w:val="none"/>
            </w:rPr>
            <w:tab/>
          </w:r>
          <w:r>
            <w:rPr>
              <w:highlight w:val="none"/>
            </w:rPr>
            <w:fldChar w:fldCharType="begin"/>
          </w:r>
          <w:r>
            <w:rPr>
              <w:highlight w:val="none"/>
            </w:rPr>
            <w:instrText xml:space="preserve"> PAGEREF _Toc16588 </w:instrText>
          </w:r>
          <w:r>
            <w:rPr>
              <w:highlight w:val="none"/>
            </w:rPr>
            <w:fldChar w:fldCharType="separate"/>
          </w:r>
          <w:r>
            <w:rPr>
              <w:highlight w:val="none"/>
            </w:rPr>
            <w:t>9</w:t>
          </w:r>
          <w:r>
            <w:rPr>
              <w:highlight w:val="none"/>
            </w:rPr>
            <w:fldChar w:fldCharType="end"/>
          </w:r>
          <w:r>
            <w:rPr>
              <w:bCs w:val="0"/>
              <w:szCs w:val="24"/>
              <w:highlight w:val="none"/>
            </w:rPr>
            <w:fldChar w:fldCharType="end"/>
          </w:r>
        </w:p>
        <w:p w14:paraId="316F7A64">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_Toc31692 </w:instrText>
          </w:r>
          <w:r>
            <w:rPr>
              <w:bCs w:val="0"/>
              <w:szCs w:val="24"/>
              <w:highlight w:val="none"/>
            </w:rPr>
            <w:fldChar w:fldCharType="separate"/>
          </w:r>
          <w:r>
            <w:rPr>
              <w:rFonts w:hint="eastAsia" w:ascii="仿宋_GB2312" w:hAnsi="仿宋" w:eastAsia="仿宋_GB2312" w:cs="宋体"/>
              <w:bCs/>
              <w:szCs w:val="32"/>
              <w:highlight w:val="none"/>
            </w:rPr>
            <w:t>（六）评价等级划分</w:t>
          </w:r>
          <w:r>
            <w:rPr>
              <w:highlight w:val="none"/>
            </w:rPr>
            <w:tab/>
          </w:r>
          <w:r>
            <w:rPr>
              <w:highlight w:val="none"/>
            </w:rPr>
            <w:fldChar w:fldCharType="begin"/>
          </w:r>
          <w:r>
            <w:rPr>
              <w:highlight w:val="none"/>
            </w:rPr>
            <w:instrText xml:space="preserve"> PAGEREF _Toc31692 </w:instrText>
          </w:r>
          <w:r>
            <w:rPr>
              <w:highlight w:val="none"/>
            </w:rPr>
            <w:fldChar w:fldCharType="separate"/>
          </w:r>
          <w:r>
            <w:rPr>
              <w:highlight w:val="none"/>
            </w:rPr>
            <w:t>10</w:t>
          </w:r>
          <w:r>
            <w:rPr>
              <w:highlight w:val="none"/>
            </w:rPr>
            <w:fldChar w:fldCharType="end"/>
          </w:r>
          <w:r>
            <w:rPr>
              <w:bCs w:val="0"/>
              <w:szCs w:val="24"/>
              <w:highlight w:val="none"/>
            </w:rPr>
            <w:fldChar w:fldCharType="end"/>
          </w:r>
        </w:p>
        <w:p w14:paraId="4650494C">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_Toc24267 </w:instrText>
          </w:r>
          <w:r>
            <w:rPr>
              <w:bCs w:val="0"/>
              <w:szCs w:val="24"/>
              <w:highlight w:val="none"/>
            </w:rPr>
            <w:fldChar w:fldCharType="separate"/>
          </w:r>
          <w:r>
            <w:rPr>
              <w:rFonts w:hint="eastAsia" w:ascii="仿宋_GB2312" w:hAnsi="仿宋" w:eastAsia="仿宋_GB2312" w:cs="宋体"/>
              <w:bCs/>
              <w:szCs w:val="32"/>
              <w:highlight w:val="none"/>
            </w:rPr>
            <w:t>（七）评价工作实施情况</w:t>
          </w:r>
          <w:r>
            <w:rPr>
              <w:highlight w:val="none"/>
            </w:rPr>
            <w:tab/>
          </w:r>
          <w:r>
            <w:rPr>
              <w:highlight w:val="none"/>
            </w:rPr>
            <w:fldChar w:fldCharType="begin"/>
          </w:r>
          <w:r>
            <w:rPr>
              <w:highlight w:val="none"/>
            </w:rPr>
            <w:instrText xml:space="preserve"> PAGEREF _Toc24267 </w:instrText>
          </w:r>
          <w:r>
            <w:rPr>
              <w:highlight w:val="none"/>
            </w:rPr>
            <w:fldChar w:fldCharType="separate"/>
          </w:r>
          <w:r>
            <w:rPr>
              <w:highlight w:val="none"/>
            </w:rPr>
            <w:t>10</w:t>
          </w:r>
          <w:r>
            <w:rPr>
              <w:highlight w:val="none"/>
            </w:rPr>
            <w:fldChar w:fldCharType="end"/>
          </w:r>
          <w:r>
            <w:rPr>
              <w:bCs w:val="0"/>
              <w:szCs w:val="24"/>
              <w:highlight w:val="none"/>
            </w:rPr>
            <w:fldChar w:fldCharType="end"/>
          </w:r>
        </w:p>
        <w:p w14:paraId="097824D4">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_Toc27359 </w:instrText>
          </w:r>
          <w:r>
            <w:rPr>
              <w:bCs w:val="0"/>
              <w:szCs w:val="24"/>
              <w:highlight w:val="none"/>
            </w:rPr>
            <w:fldChar w:fldCharType="separate"/>
          </w:r>
          <w:r>
            <w:rPr>
              <w:rFonts w:hint="eastAsia" w:ascii="黑体" w:hAnsi="黑体" w:eastAsia="黑体" w:cs="宋体"/>
              <w:szCs w:val="32"/>
              <w:highlight w:val="none"/>
            </w:rPr>
            <w:t>三、绩效评价分析</w:t>
          </w:r>
          <w:r>
            <w:rPr>
              <w:highlight w:val="none"/>
            </w:rPr>
            <w:tab/>
          </w:r>
          <w:r>
            <w:rPr>
              <w:highlight w:val="none"/>
            </w:rPr>
            <w:fldChar w:fldCharType="begin"/>
          </w:r>
          <w:r>
            <w:rPr>
              <w:highlight w:val="none"/>
            </w:rPr>
            <w:instrText xml:space="preserve"> PAGEREF _Toc27359 </w:instrText>
          </w:r>
          <w:r>
            <w:rPr>
              <w:highlight w:val="none"/>
            </w:rPr>
            <w:fldChar w:fldCharType="separate"/>
          </w:r>
          <w:r>
            <w:rPr>
              <w:highlight w:val="none"/>
            </w:rPr>
            <w:t>12</w:t>
          </w:r>
          <w:r>
            <w:rPr>
              <w:highlight w:val="none"/>
            </w:rPr>
            <w:fldChar w:fldCharType="end"/>
          </w:r>
          <w:r>
            <w:rPr>
              <w:bCs w:val="0"/>
              <w:szCs w:val="24"/>
              <w:highlight w:val="none"/>
            </w:rPr>
            <w:fldChar w:fldCharType="end"/>
          </w:r>
        </w:p>
        <w:p w14:paraId="44A46215">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_Toc5787 </w:instrText>
          </w:r>
          <w:r>
            <w:rPr>
              <w:bCs w:val="0"/>
              <w:szCs w:val="24"/>
              <w:highlight w:val="none"/>
            </w:rPr>
            <w:fldChar w:fldCharType="separate"/>
          </w:r>
          <w:r>
            <w:rPr>
              <w:rFonts w:hint="eastAsia" w:ascii="仿宋_GB2312" w:hAnsi="仿宋" w:eastAsia="仿宋_GB2312" w:cs="宋体"/>
              <w:bCs/>
              <w:szCs w:val="32"/>
              <w:highlight w:val="none"/>
            </w:rPr>
            <w:t>（一）项目决策分析</w:t>
          </w:r>
          <w:r>
            <w:rPr>
              <w:highlight w:val="none"/>
            </w:rPr>
            <w:tab/>
          </w:r>
          <w:r>
            <w:rPr>
              <w:highlight w:val="none"/>
            </w:rPr>
            <w:fldChar w:fldCharType="begin"/>
          </w:r>
          <w:r>
            <w:rPr>
              <w:highlight w:val="none"/>
            </w:rPr>
            <w:instrText xml:space="preserve"> PAGEREF _Toc5787 </w:instrText>
          </w:r>
          <w:r>
            <w:rPr>
              <w:highlight w:val="none"/>
            </w:rPr>
            <w:fldChar w:fldCharType="separate"/>
          </w:r>
          <w:r>
            <w:rPr>
              <w:highlight w:val="none"/>
            </w:rPr>
            <w:t>12</w:t>
          </w:r>
          <w:r>
            <w:rPr>
              <w:highlight w:val="none"/>
            </w:rPr>
            <w:fldChar w:fldCharType="end"/>
          </w:r>
          <w:r>
            <w:rPr>
              <w:bCs w:val="0"/>
              <w:szCs w:val="24"/>
              <w:highlight w:val="none"/>
            </w:rPr>
            <w:fldChar w:fldCharType="end"/>
          </w:r>
        </w:p>
        <w:p w14:paraId="30494426">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_Toc5610 </w:instrText>
          </w:r>
          <w:r>
            <w:rPr>
              <w:bCs w:val="0"/>
              <w:szCs w:val="24"/>
              <w:highlight w:val="none"/>
            </w:rPr>
            <w:fldChar w:fldCharType="separate"/>
          </w:r>
          <w:r>
            <w:rPr>
              <w:rFonts w:hint="eastAsia" w:ascii="仿宋_GB2312" w:hAnsi="仿宋" w:eastAsia="仿宋_GB2312" w:cs="宋体"/>
              <w:bCs/>
              <w:szCs w:val="32"/>
              <w:highlight w:val="none"/>
            </w:rPr>
            <w:t>（二）项目管理</w:t>
          </w:r>
          <w:r>
            <w:rPr>
              <w:rFonts w:hint="eastAsia" w:ascii="仿宋_GB2312" w:hAnsi="仿宋" w:eastAsia="仿宋_GB2312" w:cs="宋体"/>
              <w:bCs/>
              <w:szCs w:val="32"/>
              <w:highlight w:val="none"/>
              <w:lang w:val="en-US" w:eastAsia="zh-CN"/>
            </w:rPr>
            <w:t>过程</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_Toc5610 </w:instrText>
          </w:r>
          <w:r>
            <w:rPr>
              <w:highlight w:val="none"/>
            </w:rPr>
            <w:fldChar w:fldCharType="separate"/>
          </w:r>
          <w:r>
            <w:rPr>
              <w:highlight w:val="none"/>
            </w:rPr>
            <w:t>14</w:t>
          </w:r>
          <w:r>
            <w:rPr>
              <w:highlight w:val="none"/>
            </w:rPr>
            <w:fldChar w:fldCharType="end"/>
          </w:r>
          <w:r>
            <w:rPr>
              <w:bCs w:val="0"/>
              <w:szCs w:val="24"/>
              <w:highlight w:val="none"/>
            </w:rPr>
            <w:fldChar w:fldCharType="end"/>
          </w:r>
        </w:p>
        <w:p w14:paraId="1BADE1B9">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_Toc31015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三</w:t>
          </w:r>
          <w:r>
            <w:rPr>
              <w:rFonts w:hint="eastAsia" w:ascii="仿宋_GB2312" w:hAnsi="仿宋" w:eastAsia="仿宋_GB2312" w:cs="宋体"/>
              <w:bCs/>
              <w:szCs w:val="32"/>
              <w:highlight w:val="none"/>
            </w:rPr>
            <w:t>）项目</w:t>
          </w:r>
          <w:r>
            <w:rPr>
              <w:rFonts w:hint="eastAsia" w:ascii="仿宋_GB2312" w:hAnsi="仿宋" w:eastAsia="仿宋_GB2312" w:cs="宋体"/>
              <w:bCs/>
              <w:szCs w:val="32"/>
              <w:highlight w:val="none"/>
              <w:lang w:val="en-US" w:eastAsia="zh-CN"/>
            </w:rPr>
            <w:t>产出</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_Toc31015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5C4C3680">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_Toc3708 </w:instrText>
          </w:r>
          <w:r>
            <w:rPr>
              <w:bCs w:val="0"/>
              <w:szCs w:val="24"/>
              <w:highlight w:val="none"/>
            </w:rPr>
            <w:fldChar w:fldCharType="separate"/>
          </w:r>
          <w:r>
            <w:rPr>
              <w:rFonts w:hint="eastAsia" w:ascii="仿宋_GB2312" w:hAnsi="仿宋" w:eastAsia="仿宋_GB2312" w:cs="宋体"/>
              <w:bCs/>
              <w:szCs w:val="32"/>
              <w:highlight w:val="none"/>
              <w:lang w:val="en-US" w:eastAsia="zh-CN"/>
            </w:rPr>
            <w:t>（四）项目效益评价分析</w:t>
          </w:r>
          <w:r>
            <w:rPr>
              <w:highlight w:val="none"/>
            </w:rPr>
            <w:tab/>
          </w:r>
          <w:r>
            <w:rPr>
              <w:highlight w:val="none"/>
            </w:rPr>
            <w:fldChar w:fldCharType="begin"/>
          </w:r>
          <w:r>
            <w:rPr>
              <w:highlight w:val="none"/>
            </w:rPr>
            <w:instrText xml:space="preserve"> PAGEREF _Toc3708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235A346B">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_Toc6584 </w:instrText>
          </w:r>
          <w:r>
            <w:rPr>
              <w:bCs w:val="0"/>
              <w:szCs w:val="24"/>
              <w:highlight w:val="none"/>
            </w:rPr>
            <w:fldChar w:fldCharType="separate"/>
          </w:r>
          <w:r>
            <w:rPr>
              <w:rFonts w:hint="eastAsia" w:ascii="黑体" w:hAnsi="黑体" w:eastAsia="黑体" w:cs="宋体"/>
              <w:szCs w:val="32"/>
              <w:highlight w:val="none"/>
              <w:lang w:val="en-US" w:eastAsia="zh-CN"/>
            </w:rPr>
            <w:t>四、</w:t>
          </w:r>
          <w:r>
            <w:rPr>
              <w:rFonts w:hint="eastAsia" w:ascii="黑体" w:hAnsi="黑体" w:eastAsia="黑体" w:cs="宋体"/>
              <w:szCs w:val="32"/>
              <w:highlight w:val="none"/>
            </w:rPr>
            <w:t>评价结论</w:t>
          </w:r>
          <w:r>
            <w:rPr>
              <w:highlight w:val="none"/>
            </w:rPr>
            <w:tab/>
          </w:r>
          <w:r>
            <w:rPr>
              <w:highlight w:val="none"/>
            </w:rPr>
            <w:fldChar w:fldCharType="begin"/>
          </w:r>
          <w:r>
            <w:rPr>
              <w:highlight w:val="none"/>
            </w:rPr>
            <w:instrText xml:space="preserve"> PAGEREF _Toc6584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00B63FB4">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_Toc13481 </w:instrText>
          </w:r>
          <w:r>
            <w:rPr>
              <w:bCs w:val="0"/>
              <w:szCs w:val="24"/>
              <w:highlight w:val="none"/>
            </w:rPr>
            <w:fldChar w:fldCharType="separate"/>
          </w:r>
          <w:r>
            <w:rPr>
              <w:rFonts w:hint="eastAsia" w:ascii="仿宋_GB2312" w:hAnsi="仿宋" w:eastAsia="仿宋_GB2312" w:cs="宋体"/>
              <w:bCs/>
              <w:szCs w:val="32"/>
              <w:highlight w:val="none"/>
            </w:rPr>
            <w:t>（一）评分结果</w:t>
          </w:r>
          <w:r>
            <w:rPr>
              <w:highlight w:val="none"/>
            </w:rPr>
            <w:tab/>
          </w:r>
          <w:r>
            <w:rPr>
              <w:highlight w:val="none"/>
            </w:rPr>
            <w:fldChar w:fldCharType="begin"/>
          </w:r>
          <w:r>
            <w:rPr>
              <w:highlight w:val="none"/>
            </w:rPr>
            <w:instrText xml:space="preserve"> PAGEREF _Toc13481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71FCC11C">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_Toc3803 </w:instrText>
          </w:r>
          <w:r>
            <w:rPr>
              <w:bCs w:val="0"/>
              <w:szCs w:val="24"/>
              <w:highlight w:val="none"/>
            </w:rPr>
            <w:fldChar w:fldCharType="separate"/>
          </w:r>
          <w:r>
            <w:rPr>
              <w:rFonts w:hint="eastAsia" w:ascii="仿宋_GB2312" w:hAnsi="仿宋" w:eastAsia="仿宋_GB2312" w:cs="宋体"/>
              <w:bCs/>
              <w:szCs w:val="32"/>
              <w:highlight w:val="none"/>
            </w:rPr>
            <w:t>（二）项目总体评价结论</w:t>
          </w:r>
          <w:r>
            <w:rPr>
              <w:highlight w:val="none"/>
            </w:rPr>
            <w:tab/>
          </w:r>
          <w:r>
            <w:rPr>
              <w:highlight w:val="none"/>
            </w:rPr>
            <w:fldChar w:fldCharType="begin"/>
          </w:r>
          <w:r>
            <w:rPr>
              <w:highlight w:val="none"/>
            </w:rPr>
            <w:instrText xml:space="preserve"> PAGEREF _Toc3803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7775902F">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_Toc7267 </w:instrText>
          </w:r>
          <w:r>
            <w:rPr>
              <w:bCs w:val="0"/>
              <w:szCs w:val="24"/>
              <w:highlight w:val="none"/>
            </w:rPr>
            <w:fldChar w:fldCharType="separate"/>
          </w:r>
          <w:r>
            <w:rPr>
              <w:rFonts w:hint="eastAsia" w:ascii="黑体" w:hAnsi="黑体" w:eastAsia="黑体" w:cs="宋体"/>
              <w:szCs w:val="32"/>
              <w:highlight w:val="none"/>
            </w:rPr>
            <w:t>五、问题</w:t>
          </w:r>
          <w:r>
            <w:rPr>
              <w:rFonts w:hint="eastAsia" w:ascii="黑体" w:hAnsi="黑体" w:eastAsia="黑体" w:cs="宋体"/>
              <w:szCs w:val="32"/>
              <w:highlight w:val="none"/>
              <w:lang w:val="en-US" w:eastAsia="zh-CN"/>
            </w:rPr>
            <w:t>及建议</w:t>
          </w:r>
          <w:r>
            <w:rPr>
              <w:highlight w:val="none"/>
            </w:rPr>
            <w:tab/>
          </w:r>
          <w:r>
            <w:rPr>
              <w:highlight w:val="none"/>
            </w:rPr>
            <w:fldChar w:fldCharType="begin"/>
          </w:r>
          <w:r>
            <w:rPr>
              <w:highlight w:val="none"/>
            </w:rPr>
            <w:instrText xml:space="preserve"> PAGEREF _Toc7267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23FBA378">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_Toc2013 </w:instrText>
          </w:r>
          <w:r>
            <w:rPr>
              <w:bCs w:val="0"/>
              <w:szCs w:val="24"/>
              <w:highlight w:val="none"/>
            </w:rPr>
            <w:fldChar w:fldCharType="separate"/>
          </w:r>
          <w:r>
            <w:rPr>
              <w:rFonts w:hint="eastAsia" w:ascii="仿宋_GB2312" w:hAnsi="仿宋" w:eastAsia="仿宋_GB2312" w:cs="宋体"/>
              <w:bCs/>
              <w:szCs w:val="32"/>
              <w:highlight w:val="none"/>
            </w:rPr>
            <w:t>（一）问题</w:t>
          </w:r>
          <w:r>
            <w:rPr>
              <w:highlight w:val="none"/>
            </w:rPr>
            <w:tab/>
          </w:r>
          <w:r>
            <w:rPr>
              <w:highlight w:val="none"/>
            </w:rPr>
            <w:fldChar w:fldCharType="begin"/>
          </w:r>
          <w:r>
            <w:rPr>
              <w:highlight w:val="none"/>
            </w:rPr>
            <w:instrText xml:space="preserve"> PAGEREF _Toc2013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26786ACB">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_Toc4075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二</w:t>
          </w:r>
          <w:r>
            <w:rPr>
              <w:rFonts w:hint="eastAsia" w:ascii="仿宋_GB2312" w:hAnsi="仿宋" w:eastAsia="仿宋_GB2312" w:cs="宋体"/>
              <w:bCs/>
              <w:szCs w:val="32"/>
              <w:highlight w:val="none"/>
            </w:rPr>
            <w:t>）意见和建议</w:t>
          </w:r>
          <w:r>
            <w:rPr>
              <w:highlight w:val="none"/>
            </w:rPr>
            <w:tab/>
          </w:r>
          <w:r>
            <w:rPr>
              <w:highlight w:val="none"/>
            </w:rPr>
            <w:fldChar w:fldCharType="begin"/>
          </w:r>
          <w:r>
            <w:rPr>
              <w:highlight w:val="none"/>
            </w:rPr>
            <w:instrText xml:space="preserve"> PAGEREF _Toc4075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42663140">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_Toc17475 </w:instrText>
          </w:r>
          <w:r>
            <w:rPr>
              <w:bCs w:val="0"/>
              <w:szCs w:val="24"/>
              <w:highlight w:val="none"/>
            </w:rPr>
            <w:fldChar w:fldCharType="separate"/>
          </w:r>
          <w:r>
            <w:rPr>
              <w:rFonts w:hint="eastAsia" w:ascii="黑体" w:hAnsi="黑体" w:eastAsia="黑体" w:cs="宋体"/>
              <w:szCs w:val="32"/>
              <w:highlight w:val="none"/>
            </w:rPr>
            <w:t>六、主要经验及做法</w:t>
          </w:r>
          <w:r>
            <w:rPr>
              <w:highlight w:val="none"/>
            </w:rPr>
            <w:tab/>
          </w:r>
          <w:r>
            <w:rPr>
              <w:highlight w:val="none"/>
            </w:rPr>
            <w:fldChar w:fldCharType="begin"/>
          </w:r>
          <w:r>
            <w:rPr>
              <w:highlight w:val="none"/>
            </w:rPr>
            <w:instrText xml:space="preserve"> PAGEREF _Toc17475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41E79367">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_Toc32230 </w:instrText>
          </w:r>
          <w:r>
            <w:rPr>
              <w:bCs w:val="0"/>
              <w:szCs w:val="24"/>
              <w:highlight w:val="none"/>
            </w:rPr>
            <w:fldChar w:fldCharType="separate"/>
          </w:r>
          <w:r>
            <w:rPr>
              <w:rFonts w:hint="eastAsia" w:ascii="仿宋_GB2312" w:hAnsi="仿宋" w:eastAsia="仿宋_GB2312" w:cs="宋体"/>
              <w:bCs/>
              <w:szCs w:val="32"/>
              <w:highlight w:val="none"/>
            </w:rPr>
            <w:t>（一）项目实施过程有效监控</w:t>
          </w:r>
          <w:r>
            <w:rPr>
              <w:highlight w:val="none"/>
            </w:rPr>
            <w:tab/>
          </w:r>
          <w:r>
            <w:rPr>
              <w:highlight w:val="none"/>
            </w:rPr>
            <w:fldChar w:fldCharType="begin"/>
          </w:r>
          <w:r>
            <w:rPr>
              <w:highlight w:val="none"/>
            </w:rPr>
            <w:instrText xml:space="preserve"> PAGEREF _Toc32230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00494AAF">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_Toc22631 </w:instrText>
          </w:r>
          <w:r>
            <w:rPr>
              <w:bCs w:val="0"/>
              <w:szCs w:val="24"/>
              <w:highlight w:val="none"/>
            </w:rPr>
            <w:fldChar w:fldCharType="separate"/>
          </w:r>
          <w:r>
            <w:rPr>
              <w:rFonts w:hint="eastAsia" w:ascii="仿宋_GB2312" w:hAnsi="仿宋" w:eastAsia="仿宋_GB2312" w:cs="宋体"/>
              <w:bCs/>
              <w:szCs w:val="32"/>
              <w:highlight w:val="none"/>
            </w:rPr>
            <w:t>（二）强化领导，明确职责，合理安排使用资金</w:t>
          </w:r>
          <w:r>
            <w:rPr>
              <w:highlight w:val="none"/>
            </w:rPr>
            <w:tab/>
          </w:r>
          <w:r>
            <w:rPr>
              <w:highlight w:val="none"/>
            </w:rPr>
            <w:fldChar w:fldCharType="begin"/>
          </w:r>
          <w:r>
            <w:rPr>
              <w:highlight w:val="none"/>
            </w:rPr>
            <w:instrText xml:space="preserve"> PAGEREF _Toc22631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19694233">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_Toc14650 </w:instrText>
          </w:r>
          <w:r>
            <w:rPr>
              <w:bCs w:val="0"/>
              <w:szCs w:val="24"/>
              <w:highlight w:val="none"/>
            </w:rPr>
            <w:fldChar w:fldCharType="separate"/>
          </w:r>
          <w:r>
            <w:rPr>
              <w:rFonts w:hint="eastAsia" w:ascii="黑体" w:hAnsi="黑体" w:eastAsia="黑体" w:cs="宋体"/>
              <w:szCs w:val="32"/>
              <w:highlight w:val="none"/>
            </w:rPr>
            <w:t>七、评价结果应用建议</w:t>
          </w:r>
          <w:r>
            <w:rPr>
              <w:highlight w:val="none"/>
            </w:rPr>
            <w:tab/>
          </w:r>
          <w:r>
            <w:rPr>
              <w:highlight w:val="none"/>
            </w:rPr>
            <w:fldChar w:fldCharType="begin"/>
          </w:r>
          <w:r>
            <w:rPr>
              <w:highlight w:val="none"/>
            </w:rPr>
            <w:instrText xml:space="preserve"> PAGEREF _Toc14650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244501DF">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_Toc6072 </w:instrText>
          </w:r>
          <w:r>
            <w:rPr>
              <w:bCs w:val="0"/>
              <w:szCs w:val="24"/>
              <w:highlight w:val="none"/>
            </w:rPr>
            <w:fldChar w:fldCharType="separate"/>
          </w:r>
          <w:r>
            <w:rPr>
              <w:rFonts w:hint="eastAsia" w:ascii="仿宋_GB2312" w:hAnsi="黑体" w:eastAsia="仿宋_GB2312" w:cs="Times New Roman"/>
              <w:bCs/>
              <w:szCs w:val="32"/>
              <w:highlight w:val="none"/>
            </w:rPr>
            <w:t>（一）及时对发现的问题进行整改</w:t>
          </w:r>
          <w:r>
            <w:rPr>
              <w:highlight w:val="none"/>
            </w:rPr>
            <w:tab/>
          </w:r>
          <w:r>
            <w:rPr>
              <w:highlight w:val="none"/>
            </w:rPr>
            <w:fldChar w:fldCharType="begin"/>
          </w:r>
          <w:r>
            <w:rPr>
              <w:highlight w:val="none"/>
            </w:rPr>
            <w:instrText xml:space="preserve"> PAGEREF _Toc6072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67A482D7">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_Toc20240 </w:instrText>
          </w:r>
          <w:r>
            <w:rPr>
              <w:bCs w:val="0"/>
              <w:szCs w:val="24"/>
              <w:highlight w:val="none"/>
            </w:rPr>
            <w:fldChar w:fldCharType="separate"/>
          </w:r>
          <w:r>
            <w:rPr>
              <w:rFonts w:hint="eastAsia" w:ascii="仿宋_GB2312" w:hAnsi="黑体" w:eastAsia="仿宋_GB2312" w:cs="Times New Roman"/>
              <w:bCs/>
              <w:szCs w:val="32"/>
              <w:highlight w:val="none"/>
            </w:rPr>
            <w:t>（二） 建立绩效评价结果应用制度</w:t>
          </w:r>
          <w:r>
            <w:rPr>
              <w:highlight w:val="none"/>
            </w:rPr>
            <w:tab/>
          </w:r>
          <w:r>
            <w:rPr>
              <w:highlight w:val="none"/>
            </w:rPr>
            <w:fldChar w:fldCharType="begin"/>
          </w:r>
          <w:r>
            <w:rPr>
              <w:highlight w:val="none"/>
            </w:rPr>
            <w:instrText xml:space="preserve"> PAGEREF _Toc20240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14231E9B">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_Toc5443 </w:instrText>
          </w:r>
          <w:r>
            <w:rPr>
              <w:bCs w:val="0"/>
              <w:szCs w:val="24"/>
              <w:highlight w:val="none"/>
            </w:rPr>
            <w:fldChar w:fldCharType="separate"/>
          </w:r>
          <w:r>
            <w:rPr>
              <w:rFonts w:hint="eastAsia" w:ascii="仿宋_GB2312" w:hAnsi="黑体" w:eastAsia="仿宋_GB2312" w:cs="Times New Roman"/>
              <w:bCs/>
              <w:szCs w:val="32"/>
              <w:highlight w:val="none"/>
            </w:rPr>
            <w:t>（三）</w:t>
          </w:r>
          <w:r>
            <w:rPr>
              <w:rFonts w:hint="eastAsia" w:ascii="仿宋_GB2312" w:hAnsi="黑体" w:eastAsia="仿宋_GB2312" w:cs="Times New Roman"/>
              <w:bCs/>
              <w:szCs w:val="32"/>
              <w:highlight w:val="none"/>
              <w:lang w:val="en-US" w:eastAsia="zh-CN"/>
            </w:rPr>
            <w:t>强化</w:t>
          </w:r>
          <w:r>
            <w:rPr>
              <w:rFonts w:hint="eastAsia" w:ascii="仿宋_GB2312" w:hAnsi="黑体" w:eastAsia="仿宋_GB2312" w:cs="Times New Roman"/>
              <w:bCs/>
              <w:szCs w:val="32"/>
              <w:highlight w:val="none"/>
            </w:rPr>
            <w:t>绩效评价结果应用</w:t>
          </w:r>
          <w:r>
            <w:rPr>
              <w:highlight w:val="none"/>
            </w:rPr>
            <w:tab/>
          </w:r>
          <w:r>
            <w:rPr>
              <w:highlight w:val="none"/>
            </w:rPr>
            <w:fldChar w:fldCharType="begin"/>
          </w:r>
          <w:r>
            <w:rPr>
              <w:highlight w:val="none"/>
            </w:rPr>
            <w:instrText xml:space="preserve"> PAGEREF _Toc5443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4BCB2233">
          <w:pPr>
            <w:pStyle w:val="16"/>
            <w:tabs>
              <w:tab w:val="right" w:leader="dot" w:pos="8306"/>
            </w:tabs>
            <w:rPr>
              <w:highlight w:val="none"/>
            </w:rPr>
          </w:pPr>
          <w:r>
            <w:rPr>
              <w:bCs w:val="0"/>
              <w:szCs w:val="24"/>
              <w:highlight w:val="none"/>
            </w:rPr>
            <w:fldChar w:fldCharType="begin"/>
          </w:r>
          <w:r>
            <w:rPr>
              <w:bCs w:val="0"/>
              <w:szCs w:val="24"/>
              <w:highlight w:val="none"/>
            </w:rPr>
            <w:instrText xml:space="preserve"> HYPERLINK \l _Toc4069 </w:instrText>
          </w:r>
          <w:r>
            <w:rPr>
              <w:bCs w:val="0"/>
              <w:szCs w:val="24"/>
              <w:highlight w:val="none"/>
            </w:rPr>
            <w:fldChar w:fldCharType="separate"/>
          </w:r>
          <w:r>
            <w:rPr>
              <w:rFonts w:hint="eastAsia" w:ascii="仿宋_GB2312" w:hAnsi="黑体" w:eastAsia="仿宋_GB2312" w:cs="Times New Roman"/>
              <w:bCs/>
              <w:szCs w:val="32"/>
              <w:highlight w:val="none"/>
            </w:rPr>
            <w:t>（四）评价结果公开</w:t>
          </w:r>
          <w:r>
            <w:rPr>
              <w:highlight w:val="none"/>
            </w:rPr>
            <w:tab/>
          </w:r>
          <w:r>
            <w:rPr>
              <w:highlight w:val="none"/>
            </w:rPr>
            <w:fldChar w:fldCharType="begin"/>
          </w:r>
          <w:r>
            <w:rPr>
              <w:highlight w:val="none"/>
            </w:rPr>
            <w:instrText xml:space="preserve"> PAGEREF _Toc4069 </w:instrText>
          </w:r>
          <w:r>
            <w:rPr>
              <w:highlight w:val="none"/>
            </w:rPr>
            <w:fldChar w:fldCharType="separate"/>
          </w:r>
          <w:r>
            <w:rPr>
              <w:highlight w:val="none"/>
            </w:rPr>
            <w:t>20</w:t>
          </w:r>
          <w:r>
            <w:rPr>
              <w:highlight w:val="none"/>
            </w:rPr>
            <w:fldChar w:fldCharType="end"/>
          </w:r>
          <w:r>
            <w:rPr>
              <w:bCs w:val="0"/>
              <w:szCs w:val="24"/>
              <w:highlight w:val="none"/>
            </w:rPr>
            <w:fldChar w:fldCharType="end"/>
          </w:r>
        </w:p>
        <w:p w14:paraId="03716759">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_Toc17018 </w:instrText>
          </w:r>
          <w:r>
            <w:rPr>
              <w:bCs w:val="0"/>
              <w:szCs w:val="24"/>
              <w:highlight w:val="none"/>
            </w:rPr>
            <w:fldChar w:fldCharType="separate"/>
          </w:r>
          <w:r>
            <w:rPr>
              <w:rFonts w:hint="eastAsia" w:ascii="黑体" w:hAnsi="黑体" w:eastAsia="黑体" w:cs="宋体"/>
              <w:szCs w:val="32"/>
              <w:highlight w:val="none"/>
              <w:lang w:val="en-US" w:eastAsia="zh-CN"/>
            </w:rPr>
            <w:t>八、</w:t>
          </w:r>
          <w:r>
            <w:rPr>
              <w:rFonts w:hint="eastAsia" w:ascii="黑体" w:hAnsi="黑体" w:eastAsia="黑体" w:cs="宋体"/>
              <w:szCs w:val="32"/>
              <w:highlight w:val="none"/>
            </w:rPr>
            <w:t>其他需说明的问题</w:t>
          </w:r>
          <w:r>
            <w:rPr>
              <w:highlight w:val="none"/>
            </w:rPr>
            <w:tab/>
          </w:r>
          <w:r>
            <w:rPr>
              <w:highlight w:val="none"/>
            </w:rPr>
            <w:fldChar w:fldCharType="begin"/>
          </w:r>
          <w:r>
            <w:rPr>
              <w:highlight w:val="none"/>
            </w:rPr>
            <w:instrText xml:space="preserve"> PAGEREF _Toc17018 </w:instrText>
          </w:r>
          <w:r>
            <w:rPr>
              <w:highlight w:val="none"/>
            </w:rPr>
            <w:fldChar w:fldCharType="separate"/>
          </w:r>
          <w:r>
            <w:rPr>
              <w:highlight w:val="none"/>
            </w:rPr>
            <w:t>20</w:t>
          </w:r>
          <w:r>
            <w:rPr>
              <w:highlight w:val="none"/>
            </w:rPr>
            <w:fldChar w:fldCharType="end"/>
          </w:r>
          <w:r>
            <w:rPr>
              <w:bCs w:val="0"/>
              <w:szCs w:val="24"/>
              <w:highlight w:val="none"/>
            </w:rPr>
            <w:fldChar w:fldCharType="end"/>
          </w:r>
        </w:p>
        <w:p w14:paraId="0E1843F9">
          <w:pPr>
            <w:pStyle w:val="14"/>
            <w:tabs>
              <w:tab w:val="right" w:leader="dot" w:pos="8306"/>
            </w:tabs>
          </w:pPr>
          <w:r>
            <w:rPr>
              <w:bCs w:val="0"/>
              <w:szCs w:val="24"/>
              <w:highlight w:val="none"/>
            </w:rPr>
            <w:fldChar w:fldCharType="begin"/>
          </w:r>
          <w:r>
            <w:rPr>
              <w:bCs w:val="0"/>
              <w:szCs w:val="24"/>
              <w:highlight w:val="none"/>
            </w:rPr>
            <w:instrText xml:space="preserve"> HYPERLINK \l _Toc25791 </w:instrText>
          </w:r>
          <w:r>
            <w:rPr>
              <w:bCs w:val="0"/>
              <w:szCs w:val="24"/>
              <w:highlight w:val="none"/>
            </w:rPr>
            <w:fldChar w:fldCharType="separate"/>
          </w:r>
          <w:r>
            <w:rPr>
              <w:rFonts w:hint="eastAsia" w:ascii="黑体" w:hAnsi="黑体" w:eastAsia="黑体" w:cs="宋体"/>
              <w:szCs w:val="32"/>
              <w:highlight w:val="none"/>
            </w:rPr>
            <w:t>九、附件</w:t>
          </w:r>
          <w:r>
            <w:rPr>
              <w:highlight w:val="none"/>
            </w:rPr>
            <w:tab/>
          </w:r>
          <w:r>
            <w:rPr>
              <w:highlight w:val="none"/>
            </w:rPr>
            <w:fldChar w:fldCharType="begin"/>
          </w:r>
          <w:r>
            <w:rPr>
              <w:highlight w:val="none"/>
            </w:rPr>
            <w:instrText xml:space="preserve"> PAGEREF _Toc25791 </w:instrText>
          </w:r>
          <w:r>
            <w:rPr>
              <w:highlight w:val="none"/>
            </w:rPr>
            <w:fldChar w:fldCharType="separate"/>
          </w:r>
          <w:r>
            <w:rPr>
              <w:highlight w:val="none"/>
            </w:rPr>
            <w:t>21</w:t>
          </w:r>
          <w:r>
            <w:rPr>
              <w:highlight w:val="none"/>
            </w:rPr>
            <w:fldChar w:fldCharType="end"/>
          </w:r>
          <w:r>
            <w:rPr>
              <w:bCs w:val="0"/>
              <w:szCs w:val="24"/>
              <w:highlight w:val="none"/>
            </w:rPr>
            <w:fldChar w:fldCharType="end"/>
          </w:r>
        </w:p>
        <w:p w14:paraId="3701DCDD">
          <w:pPr>
            <w:spacing w:before="0" w:beforeLines="0" w:after="0" w:afterLines="0" w:line="240" w:lineRule="auto"/>
            <w:ind w:left="0" w:leftChars="0" w:right="0" w:rightChars="0" w:firstLine="0" w:firstLineChars="0"/>
            <w:jc w:val="center"/>
            <w:rPr>
              <w:b w:val="0"/>
              <w:bCs w:val="0"/>
              <w:highlight w:val="none"/>
            </w:rPr>
          </w:pPr>
          <w:r>
            <w:rPr>
              <w:b w:val="0"/>
              <w:bCs w:val="0"/>
              <w:sz w:val="24"/>
              <w:szCs w:val="24"/>
              <w:highlight w:val="none"/>
            </w:rPr>
            <w:fldChar w:fldCharType="end"/>
          </w:r>
        </w:p>
      </w:sdtContent>
    </w:sdt>
    <w:p w14:paraId="50C0A9A9">
      <w:pPr>
        <w:pStyle w:val="14"/>
        <w:tabs>
          <w:tab w:val="right" w:leader="dot" w:pos="8302"/>
        </w:tabs>
        <w:spacing w:line="340" w:lineRule="exact"/>
        <w:rPr>
          <w:rFonts w:ascii="黑体" w:hAnsi="黑体" w:eastAsia="黑体" w:cs="宋体"/>
          <w:sz w:val="32"/>
          <w:szCs w:val="32"/>
        </w:rPr>
      </w:pPr>
    </w:p>
    <w:p w14:paraId="4BD8FF09">
      <w:pPr>
        <w:spacing w:line="600" w:lineRule="exact"/>
        <w:jc w:val="center"/>
        <w:outlineLvl w:val="9"/>
        <w:rPr>
          <w:rFonts w:ascii="方正小标宋_GBK" w:hAnsi="黑体" w:eastAsia="方正小标宋_GBK" w:cs="宋体"/>
          <w:sz w:val="40"/>
          <w:szCs w:val="40"/>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48"/>
          <w:cols w:space="425" w:num="1"/>
          <w:docGrid w:type="lines" w:linePitch="312" w:charSpace="0"/>
        </w:sectPr>
      </w:pPr>
      <w:bookmarkStart w:id="18" w:name="_Toc18687"/>
    </w:p>
    <w:p w14:paraId="38C75237">
      <w:pPr>
        <w:spacing w:line="600" w:lineRule="exact"/>
        <w:jc w:val="center"/>
        <w:outlineLvl w:val="0"/>
        <w:rPr>
          <w:rFonts w:hint="eastAsia" w:ascii="方正小标宋_GBK" w:hAnsi="黑体" w:eastAsia="方正小标宋_GBK" w:cs="宋体"/>
          <w:b w:val="0"/>
          <w:bCs w:val="0"/>
          <w:sz w:val="44"/>
          <w:szCs w:val="44"/>
          <w:lang w:eastAsia="zh-CN"/>
        </w:rPr>
      </w:pPr>
      <w:bookmarkStart w:id="19" w:name="_Toc14725"/>
      <w:bookmarkStart w:id="20" w:name="_Toc19311"/>
      <w:bookmarkStart w:id="21" w:name="_Toc7636"/>
      <w:bookmarkStart w:id="22" w:name="_Toc12923"/>
      <w:bookmarkStart w:id="23" w:name="_Toc16603"/>
      <w:bookmarkStart w:id="24" w:name="_Toc24347"/>
      <w:bookmarkStart w:id="25" w:name="_Toc28273"/>
      <w:bookmarkStart w:id="26" w:name="_Toc1397"/>
      <w:bookmarkStart w:id="27" w:name="_Toc29218"/>
      <w:bookmarkStart w:id="28" w:name="_Toc31819"/>
      <w:r>
        <w:rPr>
          <w:rFonts w:hint="eastAsia" w:ascii="华文中宋" w:hAnsi="华文中宋" w:eastAsia="华文中宋" w:cs="华文中宋"/>
          <w:b w:val="0"/>
          <w:bCs w:val="0"/>
          <w:sz w:val="44"/>
          <w:szCs w:val="44"/>
          <w:lang w:val="en-US" w:eastAsia="zh-CN"/>
        </w:rPr>
        <w:t>洛浦</w:t>
      </w:r>
      <w:r>
        <w:rPr>
          <w:rFonts w:hint="eastAsia" w:ascii="华文中宋" w:hAnsi="华文中宋" w:eastAsia="华文中宋" w:cs="华文中宋"/>
          <w:b w:val="0"/>
          <w:bCs w:val="0"/>
          <w:sz w:val="44"/>
          <w:szCs w:val="44"/>
          <w:lang w:eastAsia="zh-CN"/>
        </w:rPr>
        <w:t>县2021年春节期间畜禽类肉类补贴项目绩效评价报告</w:t>
      </w:r>
      <w:bookmarkEnd w:id="18"/>
      <w:bookmarkEnd w:id="19"/>
      <w:bookmarkEnd w:id="20"/>
      <w:bookmarkEnd w:id="21"/>
      <w:bookmarkEnd w:id="22"/>
      <w:bookmarkEnd w:id="23"/>
      <w:bookmarkEnd w:id="24"/>
      <w:bookmarkEnd w:id="25"/>
      <w:bookmarkEnd w:id="26"/>
      <w:bookmarkEnd w:id="27"/>
      <w:bookmarkEnd w:id="28"/>
    </w:p>
    <w:p w14:paraId="61CD62CA">
      <w:pPr>
        <w:adjustRightInd w:val="0"/>
        <w:snapToGrid w:val="0"/>
        <w:spacing w:line="560" w:lineRule="exact"/>
        <w:ind w:firstLine="640" w:firstLineChars="200"/>
        <w:jc w:val="left"/>
        <w:outlineLvl w:val="9"/>
        <w:rPr>
          <w:rFonts w:hint="eastAsia" w:ascii="黑体" w:hAnsi="黑体" w:eastAsia="黑体" w:cs="宋体"/>
          <w:sz w:val="32"/>
          <w:szCs w:val="32"/>
        </w:rPr>
      </w:pPr>
    </w:p>
    <w:p w14:paraId="5BB0E6A4">
      <w:pPr>
        <w:adjustRightInd w:val="0"/>
        <w:snapToGrid w:val="0"/>
        <w:spacing w:line="560" w:lineRule="exact"/>
        <w:ind w:firstLine="640" w:firstLineChars="200"/>
        <w:jc w:val="left"/>
        <w:outlineLvl w:val="0"/>
        <w:rPr>
          <w:rFonts w:ascii="黑体" w:hAnsi="黑体" w:eastAsia="黑体" w:cs="宋体"/>
          <w:sz w:val="32"/>
          <w:szCs w:val="32"/>
        </w:rPr>
      </w:pPr>
      <w:bookmarkStart w:id="29" w:name="_Toc28183"/>
      <w:r>
        <w:rPr>
          <w:rFonts w:hint="eastAsia" w:ascii="黑体" w:hAnsi="黑体" w:eastAsia="黑体" w:cs="宋体"/>
          <w:sz w:val="32"/>
          <w:szCs w:val="32"/>
        </w:rPr>
        <w:t>一、项目概述</w:t>
      </w:r>
      <w:bookmarkEnd w:id="29"/>
    </w:p>
    <w:p w14:paraId="03CDDD93">
      <w:pPr>
        <w:pStyle w:val="34"/>
        <w:numPr>
          <w:ilvl w:val="0"/>
          <w:numId w:val="3"/>
        </w:numPr>
        <w:adjustRightInd w:val="0"/>
        <w:snapToGrid w:val="0"/>
        <w:spacing w:line="560" w:lineRule="exact"/>
        <w:ind w:left="0" w:firstLine="643"/>
        <w:rPr>
          <w:rFonts w:ascii="仿宋_GB2312" w:hAnsi="仿宋" w:eastAsia="仿宋_GB2312" w:cs="宋体"/>
          <w:b/>
          <w:bCs/>
          <w:vanish/>
          <w:sz w:val="32"/>
          <w:szCs w:val="32"/>
        </w:rPr>
      </w:pPr>
      <w:bookmarkStart w:id="30" w:name="_Hlk24028365"/>
      <w:r>
        <w:rPr>
          <w:rFonts w:hint="eastAsia" w:ascii="仿宋_GB2312" w:hAnsi="仿宋" w:eastAsia="仿宋_GB2312" w:cs="宋体"/>
          <w:b/>
          <w:bCs/>
          <w:vanish/>
          <w:sz w:val="32"/>
          <w:szCs w:val="32"/>
        </w:rPr>
        <w:t>项目概述</w:t>
      </w:r>
    </w:p>
    <w:p w14:paraId="24736DEA">
      <w:pPr>
        <w:pStyle w:val="34"/>
        <w:adjustRightInd w:val="0"/>
        <w:snapToGrid w:val="0"/>
        <w:spacing w:line="560" w:lineRule="exact"/>
        <w:ind w:left="0" w:leftChars="0" w:firstLine="321" w:firstLineChars="100"/>
        <w:outlineLvl w:val="1"/>
        <w:rPr>
          <w:rFonts w:ascii="仿宋_GB2312" w:hAnsi="仿宋" w:eastAsia="仿宋_GB2312" w:cs="宋体"/>
          <w:b/>
          <w:bCs/>
          <w:sz w:val="32"/>
          <w:szCs w:val="32"/>
        </w:rPr>
      </w:pPr>
      <w:bookmarkStart w:id="31" w:name="_Toc27345"/>
      <w:r>
        <w:rPr>
          <w:rFonts w:hint="eastAsia" w:ascii="仿宋_GB2312" w:hAnsi="仿宋" w:eastAsia="仿宋_GB2312" w:cs="宋体"/>
          <w:b/>
          <w:bCs/>
          <w:sz w:val="32"/>
          <w:szCs w:val="32"/>
        </w:rPr>
        <w:t>（一）项目基本情况</w:t>
      </w:r>
      <w:bookmarkEnd w:id="31"/>
    </w:p>
    <w:p w14:paraId="5EF89311">
      <w:pPr>
        <w:pStyle w:val="34"/>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1.项目背景</w:t>
      </w:r>
    </w:p>
    <w:p w14:paraId="06E39FDD">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2021年是中国共产党成立100周年，是“十四五”规划开局之年，做好元旦春节期间各项工作十分重要。各地区各部门要以习近平新时代中国特色社会主义思想为指导，全面贯彻党的十九大和十九届二中、三中、四中、五中全会精神，坚持以人民为中心，统筹做好新冠肺炎疫情防控和节日期间各项工作，确保全国各族人民度过欢乐祥和的节日。根据洛浦县实际情况，根据</w:t>
      </w:r>
      <w:bookmarkStart w:id="122" w:name="_GoBack"/>
      <w:bookmarkEnd w:id="122"/>
      <w:r>
        <w:rPr>
          <w:rFonts w:hint="eastAsia" w:ascii="仿宋_GB2312" w:hAnsi="仿宋_GB2312" w:eastAsia="仿宋_GB2312" w:cs="仿宋_GB2312"/>
          <w:bCs/>
          <w:sz w:val="32"/>
          <w:szCs w:val="32"/>
          <w:highlight w:val="none"/>
          <w:lang w:val="en-US" w:eastAsia="zh-CN"/>
        </w:rPr>
        <w:t>《关于做好2021年元旦春节期间有关工作的通知》文件精神，为确保春节期间畜禽肉类价格，响应国家政策导向，洛浦县商务和工业信息化局部门职能申请实施2021年春节期间畜禽类肉类补贴项目，项目总预算资金169.40万元，项目实施期限为2021年1月25日至2月10日。</w:t>
      </w:r>
    </w:p>
    <w:p w14:paraId="3583B34D">
      <w:pPr>
        <w:pStyle w:val="34"/>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rPr>
        <w:t>2.项目实施主体</w:t>
      </w:r>
    </w:p>
    <w:p w14:paraId="57B041F3">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yellow"/>
          <w:lang w:val="en-US" w:eastAsia="zh-CN" w:bidi="ar-SA"/>
        </w:rPr>
      </w:pPr>
      <w:r>
        <w:rPr>
          <w:rFonts w:hint="eastAsia" w:ascii="仿宋_GB2312" w:hAnsi="仿宋_GB2312" w:eastAsia="仿宋_GB2312" w:cs="仿宋_GB2312"/>
          <w:kern w:val="2"/>
          <w:sz w:val="32"/>
          <w:szCs w:val="32"/>
          <w:highlight w:val="none"/>
          <w:lang w:val="en-US" w:eastAsia="zh-CN" w:bidi="ar-SA"/>
        </w:rPr>
        <w:t>该项目由洛浦县商务和工业信息化局负责实施，主要职能是：</w:t>
      </w:r>
    </w:p>
    <w:p w14:paraId="0E99D88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贯彻执行国家、自治区有关国内外贸易、对外经济合作和招商引资及工业和信息化发展综合性的法律、法规、规章和方针政策。指导和协调本级内外贸易、外资、对外经济合作、招商引资发展和推进信息化和工业化融合管理工作。拟订本级商务发展、招商引资发展组织实施。负责我县商务发展、招商引资发展运行情况的监测、调研、考核评价和综合分析，并向县人民政府提出建议。研究“一带一路”建设、区域经济合作、现代流通方式的发展趋势和流通体制改革并提出建议，并及时解决商务工作、招商引资工作中的重大问题。</w:t>
      </w:r>
    </w:p>
    <w:p w14:paraId="329DE91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（2）负责推进商贸流通产业结构调整并拟定本级工业和</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信息</w:t>
      </w:r>
      <w:r>
        <w:rPr>
          <w:rFonts w:hint="eastAsia" w:ascii="仿宋_GB2312" w:hAnsi="仿宋_GB2312" w:eastAsia="仿宋_GB2312" w:cs="仿宋_GB2312"/>
          <w:color w:val="000000" w:themeColor="text1"/>
          <w:sz w:val="32"/>
          <w:szCs w:val="32"/>
          <w14:textFill>
            <w14:solidFill>
              <w14:schemeClr w14:val="tx1"/>
            </w14:solidFill>
          </w14:textFill>
        </w:rPr>
        <w:t>化发展规划，指导流通企业改革、商贸服务业和社区商业发展及产业合理布局和结构调整，提出促进商贸中小企业发展的政策建议，推动流通标准化和连锁经营、商业特许经营、物流配送、电子商务等现代流通方式的发展。组织协调重点产业调整和高质量发展规划的拟定实施。</w:t>
      </w:r>
    </w:p>
    <w:p w14:paraId="0B62235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（3）会同有关部门拟订贸易发展规划，促进城乡市场发展，指导大宗产品批发市场规划和城市商业网点规划、商业体系建设工作，推进农村市场体系建设，组织实施农村现代流通网络工程。</w:t>
      </w:r>
    </w:p>
    <w:p w14:paraId="69F52B4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（4）承担牵头协调整顿和规范市场经济秩序工作的责任，落实规范市场运行、流通秩序的政策，推动商务领域信用建设，指导商业信用销售，按有关规定对特殊流通行业进行监督管理。</w:t>
      </w:r>
    </w:p>
    <w:p w14:paraId="70F3AF1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5）承担组织实施重要消费品市场调控和重要生产资料流通管理的责任，负责建立健全生活必需品市场供应应急管理机制，监测分析市场运行、商品供求状况，调查分析商品价格信息，进行预测预警和信息引导，按分工负责重要消费品储备管理和市场调控工作，按有关规定对成品油流通进行监督管理。</w:t>
      </w:r>
    </w:p>
    <w:p w14:paraId="6D54840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6）落实国家选出口商品、加工贸易管理办法和进出口管理商品、技术目录，执行促进外贸增长方式转变的政策措施；组织实施重要工业品、原材料和重要农产品进出口配额计划，会同有关部门执行大宗进出口商品政策，指导贸易促进活动和外贸促进体系建设。</w:t>
      </w:r>
    </w:p>
    <w:p w14:paraId="2059D4D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7)负责组织、协调、推进区域对外招商、项目发布、洽谈联络等重大招商引资交流活动。承办有关重要会展招商、贸易、推介和洽谈活动。指导地区举办的商务领域交易会、洽谈会、博览会、展览会和有关招商活动等。指导和管理贸易投资促进工作。联系指导部门、行业的有关内外贸易流通、招商引资工作。完善招商引资服务体系，建立健全外来投资企业投诉受理网络。</w:t>
      </w:r>
    </w:p>
    <w:p w14:paraId="044E151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（8)负责编制本级招商引资项目库和招商信息库，协调有关部门做好招商引资项目的筛选、论证、推介和服务工作。协调解决项目洽谈和实施中的问题。负责本级招商引资统计工作。</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负责</w:t>
      </w:r>
      <w:r>
        <w:rPr>
          <w:rFonts w:hint="eastAsia" w:ascii="仿宋_GB2312" w:hAnsi="仿宋_GB2312" w:eastAsia="仿宋_GB2312" w:cs="仿宋_GB2312"/>
          <w:color w:val="000000" w:themeColor="text1"/>
          <w:sz w:val="32"/>
          <w:szCs w:val="32"/>
          <w14:textFill>
            <w14:solidFill>
              <w14:schemeClr w14:val="tx1"/>
            </w14:solidFill>
          </w14:textFill>
        </w:rPr>
        <w:t>招商引资项目的代理、委托和管理，提供招商中介服务。</w:t>
      </w:r>
    </w:p>
    <w:p w14:paraId="4E8ED69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（9)负责商务领域和招商引资项目的跟踪服务和督促检查落实工作，督办在项目签约、落实和实施过程中存在的难点和重大问题的协调、解决和落实情况。</w:t>
      </w:r>
    </w:p>
    <w:p w14:paraId="289EBD4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（10)制定电子商务发展规划和政策措施并组织实施；指导企业信息化及运用电子商务开拓国内外市场；负责建立电子商务行业统计和评价体系，牵头推进电子商务支撑服务体系发展。</w:t>
      </w:r>
    </w:p>
    <w:p w14:paraId="4CA5D89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11）监测分析工业经济运行态势，调节工业经济运行；执行国务院、自治区工业经济运行调控目标、政策措施；统计并发布相关信息，进行预测预警和信息引导；协调解决工业经济运行中的问题并提出建议；负责协调油地关系；协调解决油气运输等重大问题；组织实施现代物流业发展的相关政策措施；负责工业经济运行和产业安全有关工作。</w:t>
      </w:r>
    </w:p>
    <w:p w14:paraId="16F39CC3">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12）负责工业和信息化领域各行业的管理，组织实施行业专项规划、技术规范和标准；执行行业规划和行业法规；负责盐业行业管理；负责园区建设管理工作；负责煤电煤化工产业发展工作；指导冶金、有色金属、黄金、稀土、轻工、纺织、机电、索村等行业</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管理</w:t>
      </w:r>
      <w:r>
        <w:rPr>
          <w:rFonts w:hint="eastAsia" w:ascii="仿宋_GB2312" w:hAnsi="仿宋_GB2312" w:eastAsia="仿宋_GB2312" w:cs="仿宋_GB2312"/>
          <w:color w:val="000000" w:themeColor="text1"/>
          <w:sz w:val="32"/>
          <w:szCs w:val="32"/>
          <w14:textFill>
            <w14:solidFill>
              <w14:schemeClr w14:val="tx1"/>
            </w14:solidFill>
          </w14:textFill>
        </w:rPr>
        <w:t>。</w:t>
      </w:r>
    </w:p>
    <w:p w14:paraId="6569AF8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（13）负责工业和信息产业及信息化建设的技术改造投资管理；蒸实技术改造投资的有关政策措施，</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申报</w:t>
      </w:r>
      <w:r>
        <w:rPr>
          <w:rFonts w:hint="eastAsia" w:ascii="仿宋_GB2312" w:hAnsi="仿宋_GB2312" w:eastAsia="仿宋_GB2312" w:cs="仿宋_GB2312"/>
          <w:color w:val="000000" w:themeColor="text1"/>
          <w:sz w:val="32"/>
          <w:szCs w:val="32"/>
          <w14:textFill>
            <w14:solidFill>
              <w14:schemeClr w14:val="tx1"/>
            </w14:solidFill>
          </w14:textFill>
        </w:rPr>
        <w:t>规划技术改造项目投资方向和布局，及技术改造投资项目。</w:t>
      </w:r>
    </w:p>
    <w:p w14:paraId="27B6DAB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（14）执行工业和信息化领域技术创新政策措施和发展新兴产业；实施装备工业发展规划及政策措施；指导工业和信息化领域对外经济技术合作、交流及招商引资工作。</w:t>
      </w:r>
    </w:p>
    <w:p w14:paraId="133B102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lang w:val="en-US" w:eastAsia="zh-CN"/>
        </w:rPr>
      </w:pPr>
      <w:r>
        <w:rPr>
          <w:rFonts w:hint="eastAsia" w:ascii="仿宋_GB2312" w:hAnsi="仿宋_GB2312" w:eastAsia="仿宋_GB2312" w:cs="仿宋_GB2312"/>
          <w:color w:val="000000" w:themeColor="text1"/>
          <w:sz w:val="32"/>
          <w:szCs w:val="32"/>
          <w14:textFill>
            <w14:solidFill>
              <w14:schemeClr w14:val="tx1"/>
            </w14:solidFill>
          </w14:textFill>
        </w:rPr>
        <w:t>（15）组织实施工业和信息化领域体制改革和管理创新工作；执行促进中小企业发展的相关政策措施，负责对中小企业的宏观指导和服务，指导中小企业改革与发展，建立健全服务体系；负责工业和信息化领域人员的培训；负责组织协调减轻企业负担工作。</w:t>
      </w:r>
    </w:p>
    <w:p w14:paraId="0164CCBD">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val="en-US" w:eastAsia="zh-CN"/>
        </w:rPr>
      </w:pPr>
      <w:r>
        <w:rPr>
          <w:rFonts w:hint="eastAsia" w:ascii="楷体" w:hAnsi="楷体" w:eastAsia="楷体" w:cs="楷体"/>
          <w:bCs/>
          <w:sz w:val="32"/>
          <w:szCs w:val="32"/>
          <w:highlight w:val="none"/>
          <w:lang w:val="en-US" w:eastAsia="zh-CN"/>
        </w:rPr>
        <w:t>3.项目内容</w:t>
      </w:r>
    </w:p>
    <w:p w14:paraId="493F0A02">
      <w:pPr>
        <w:pStyle w:val="34"/>
        <w:tabs>
          <w:tab w:val="left" w:pos="1559"/>
        </w:tabs>
        <w:adjustRightInd w:val="0"/>
        <w:snapToGrid w:val="0"/>
        <w:spacing w:line="560" w:lineRule="exact"/>
        <w:ind w:firstLine="640"/>
        <w:outlineLvl w:val="2"/>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 xml:space="preserve"> 经县委统筹安排，2021年1月25日至2月10日（共17天），我县在市场投放补贴畜禽肉类，其中：羊牛肉设置40个点位（县城15个点位、乡镇25个点位），按照10元/公斤补贴；猪肉设置4个点位，按照20元/公斤补贴；鸭肉、鸡肉设置1个点位，按照5元/公斤补贴；经统计，羊肉投放46468.02公斤，牛肉投放33854.98公斤，猪肉投40690.65公斤，鸭肉投放9315.25公斤，鸡肉投放6079.53公斤。</w:t>
      </w:r>
    </w:p>
    <w:p w14:paraId="38C78C43">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eastAsia="zh-CN"/>
        </w:rPr>
      </w:pPr>
      <w:r>
        <w:rPr>
          <w:rFonts w:hint="eastAsia" w:ascii="楷体" w:hAnsi="楷体" w:eastAsia="楷体" w:cs="楷体"/>
          <w:bCs/>
          <w:sz w:val="32"/>
          <w:szCs w:val="32"/>
          <w:highlight w:val="none"/>
          <w:lang w:val="en-US" w:eastAsia="zh-CN"/>
        </w:rPr>
        <w:t>4</w:t>
      </w:r>
      <w:r>
        <w:rPr>
          <w:rFonts w:hint="eastAsia" w:ascii="楷体" w:hAnsi="楷体" w:eastAsia="楷体" w:cs="楷体"/>
          <w:bCs/>
          <w:sz w:val="32"/>
          <w:szCs w:val="32"/>
          <w:highlight w:val="none"/>
        </w:rPr>
        <w:t>.立项依据</w:t>
      </w:r>
    </w:p>
    <w:p w14:paraId="3C7C0B3C">
      <w:pPr>
        <w:pStyle w:val="42"/>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依据《洛浦县党政联席会议纪要》（洛党办纪字[2021]106号）文件实施该项目。</w:t>
      </w:r>
    </w:p>
    <w:p w14:paraId="3536EF5F">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32" w:name="_Toc30597"/>
      <w:r>
        <w:rPr>
          <w:rFonts w:hint="eastAsia" w:ascii="仿宋_GB2312" w:hAnsi="仿宋" w:eastAsia="仿宋_GB2312" w:cs="宋体"/>
          <w:b/>
          <w:bCs/>
          <w:sz w:val="32"/>
          <w:szCs w:val="32"/>
          <w:highlight w:val="none"/>
        </w:rPr>
        <w:t>（二）项目资金情况</w:t>
      </w:r>
      <w:bookmarkEnd w:id="32"/>
    </w:p>
    <w:p w14:paraId="3C103446">
      <w:pPr>
        <w:pStyle w:val="34"/>
        <w:tabs>
          <w:tab w:val="left" w:pos="1559"/>
        </w:tabs>
        <w:adjustRightInd w:val="0"/>
        <w:snapToGrid w:val="0"/>
        <w:spacing w:line="560" w:lineRule="exact"/>
        <w:ind w:firstLine="640"/>
        <w:outlineLvl w:val="2"/>
        <w:rPr>
          <w:rFonts w:ascii="楷体" w:hAnsi="楷体" w:eastAsia="楷体" w:cs="楷体"/>
          <w:bCs/>
          <w:sz w:val="32"/>
          <w:szCs w:val="32"/>
        </w:rPr>
      </w:pPr>
      <w:r>
        <w:rPr>
          <w:rFonts w:hint="eastAsia" w:ascii="楷体" w:hAnsi="楷体" w:eastAsia="楷体" w:cs="楷体"/>
          <w:bCs/>
          <w:sz w:val="32"/>
          <w:szCs w:val="32"/>
        </w:rPr>
        <w:t>1.项目资金预算及来源</w:t>
      </w:r>
    </w:p>
    <w:p w14:paraId="26885C6E">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该项目预算资金为169.40万元，资金来源为县级配套资金，截止12月31日，到位资金为169.40万元，资金到位率100%。</w:t>
      </w:r>
    </w:p>
    <w:p w14:paraId="11B5DE54">
      <w:pPr>
        <w:pStyle w:val="34"/>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2.预算执行及结果</w:t>
      </w:r>
    </w:p>
    <w:p w14:paraId="5522C0C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截止绩效评价日，项目预算资金169.40万元，实际到位资金169.40万元，资金到位率100%。总支出160.22万元，预算执行率94.58%，该项目资金主要用于为2021年春节期间提供畜禽类肉的供应方发放补助，其中：新鲜猪肉40733.55公斤，补贴标准20元/每公斤；羊肉48144.7公斤，补贴标准10元/每公斤；牛肉27566.33公斤，补贴标准10元/每公斤；鸡肉6079.53公斤，补贴标准5元/每公斤。</w:t>
      </w:r>
    </w:p>
    <w:p w14:paraId="5C9E2B42">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33" w:name="_Toc4656"/>
      <w:r>
        <w:rPr>
          <w:rFonts w:hint="eastAsia" w:ascii="仿宋_GB2312" w:hAnsi="仿宋" w:eastAsia="仿宋_GB2312" w:cs="宋体"/>
          <w:b/>
          <w:bCs/>
          <w:sz w:val="32"/>
          <w:szCs w:val="32"/>
        </w:rPr>
        <w:t>（三）绩效目标设置情况</w:t>
      </w:r>
      <w:bookmarkEnd w:id="33"/>
    </w:p>
    <w:p w14:paraId="3A00DB9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bookmarkStart w:id="34" w:name="_Toc8400"/>
      <w:bookmarkStart w:id="35" w:name="_Toc1757"/>
      <w:bookmarkStart w:id="36" w:name="_Toc26467"/>
      <w:bookmarkStart w:id="37" w:name="_Toc25486"/>
      <w:r>
        <w:rPr>
          <w:rFonts w:hint="eastAsia" w:ascii="仿宋_GB2312" w:hAnsi="仿宋_GB2312" w:eastAsia="仿宋_GB2312" w:cs="仿宋_GB2312"/>
          <w:color w:val="auto"/>
          <w:sz w:val="32"/>
          <w:szCs w:val="32"/>
        </w:rPr>
        <w:t>该项目共设立一级指标3个，二级指标</w:t>
      </w:r>
      <w:r>
        <w:rPr>
          <w:rFonts w:hint="eastAsia" w:ascii="仿宋_GB2312" w:hAnsi="仿宋_GB2312" w:eastAsia="仿宋_GB2312" w:cs="仿宋_GB2312"/>
          <w:color w:val="auto"/>
          <w:sz w:val="32"/>
          <w:szCs w:val="32"/>
          <w:lang w:val="en-US" w:eastAsia="zh-CN"/>
        </w:rPr>
        <w:t>8</w:t>
      </w:r>
      <w:r>
        <w:rPr>
          <w:rFonts w:hint="eastAsia" w:ascii="仿宋_GB2312" w:hAnsi="仿宋_GB2312" w:eastAsia="仿宋_GB2312" w:cs="仿宋_GB2312"/>
          <w:color w:val="auto"/>
          <w:sz w:val="32"/>
          <w:szCs w:val="32"/>
        </w:rPr>
        <w:t>个，三级指标</w:t>
      </w:r>
      <w:r>
        <w:rPr>
          <w:rFonts w:hint="eastAsia" w:ascii="仿宋_GB2312" w:hAnsi="仿宋_GB2312" w:eastAsia="仿宋_GB2312" w:cs="仿宋_GB2312"/>
          <w:color w:val="auto"/>
          <w:sz w:val="32"/>
          <w:szCs w:val="32"/>
          <w:lang w:val="en-US" w:eastAsia="zh-CN"/>
        </w:rPr>
        <w:t>17</w:t>
      </w:r>
      <w:r>
        <w:rPr>
          <w:rFonts w:hint="eastAsia" w:ascii="仿宋_GB2312" w:hAnsi="仿宋_GB2312" w:eastAsia="仿宋_GB2312" w:cs="仿宋_GB2312"/>
          <w:color w:val="auto"/>
          <w:sz w:val="32"/>
          <w:szCs w:val="32"/>
        </w:rPr>
        <w:t>个，指标量化</w:t>
      </w:r>
      <w:r>
        <w:rPr>
          <w:rFonts w:hint="eastAsia" w:ascii="仿宋_GB2312" w:hAnsi="仿宋_GB2312" w:eastAsia="仿宋_GB2312" w:cs="仿宋_GB2312"/>
          <w:color w:val="auto"/>
          <w:sz w:val="32"/>
          <w:szCs w:val="32"/>
          <w:highlight w:val="none"/>
        </w:rPr>
        <w:t>率</w:t>
      </w:r>
      <w:r>
        <w:rPr>
          <w:rFonts w:hint="eastAsia" w:ascii="仿宋_GB2312" w:hAnsi="仿宋_GB2312" w:eastAsia="仿宋_GB2312" w:cs="仿宋_GB2312"/>
          <w:color w:val="auto"/>
          <w:sz w:val="32"/>
          <w:szCs w:val="32"/>
          <w:highlight w:val="none"/>
          <w:lang w:val="en-US" w:eastAsia="zh-CN"/>
        </w:rPr>
        <w:t>94.12</w:t>
      </w:r>
      <w:r>
        <w:rPr>
          <w:rFonts w:hint="eastAsia" w:ascii="仿宋_GB2312" w:hAnsi="仿宋_GB2312" w:eastAsia="仿宋_GB2312" w:cs="仿宋_GB2312"/>
          <w:color w:val="auto"/>
          <w:sz w:val="32"/>
          <w:szCs w:val="32"/>
          <w:highlight w:val="none"/>
        </w:rPr>
        <w:t>%。绩效</w:t>
      </w:r>
      <w:r>
        <w:rPr>
          <w:rFonts w:hint="eastAsia" w:ascii="仿宋_GB2312" w:hAnsi="仿宋_GB2312" w:eastAsia="仿宋_GB2312" w:cs="仿宋_GB2312"/>
          <w:color w:val="auto"/>
          <w:sz w:val="32"/>
          <w:szCs w:val="32"/>
        </w:rPr>
        <w:t>目标明确了项目产出数量和预期达到的效果，绩效目标指标制定明确、细化、量化。整体来看，目标设立合理清晰</w:t>
      </w:r>
      <w:r>
        <w:rPr>
          <w:rFonts w:hint="eastAsia" w:ascii="仿宋_GB2312" w:hAnsi="仿宋_GB2312" w:eastAsia="仿宋_GB2312" w:cs="仿宋_GB2312"/>
          <w:color w:val="auto"/>
          <w:sz w:val="32"/>
          <w:szCs w:val="32"/>
          <w:lang w:val="en-US" w:eastAsia="zh-CN"/>
        </w:rPr>
        <w:t>：</w:t>
      </w:r>
      <w:bookmarkEnd w:id="34"/>
      <w:bookmarkEnd w:id="35"/>
      <w:bookmarkEnd w:id="36"/>
    </w:p>
    <w:p w14:paraId="6D8C89D0">
      <w:pPr>
        <w:pStyle w:val="34"/>
        <w:tabs>
          <w:tab w:val="left" w:pos="1559"/>
        </w:tabs>
        <w:adjustRightInd w:val="0"/>
        <w:snapToGrid w:val="0"/>
        <w:spacing w:line="560" w:lineRule="exact"/>
        <w:ind w:firstLine="640"/>
        <w:outlineLvl w:val="2"/>
        <w:rPr>
          <w:rFonts w:hint="eastAsia"/>
          <w:lang w:val="en-US" w:eastAsia="zh-CN"/>
        </w:rPr>
      </w:pPr>
      <w:r>
        <w:rPr>
          <w:rFonts w:hint="eastAsia" w:ascii="楷体" w:hAnsi="楷体" w:eastAsia="楷体" w:cs="楷体"/>
          <w:bCs/>
          <w:color w:val="auto"/>
          <w:sz w:val="32"/>
          <w:szCs w:val="32"/>
          <w:highlight w:val="none"/>
          <w:lang w:val="en-US" w:eastAsia="zh-CN"/>
        </w:rPr>
        <w:t>1.</w:t>
      </w:r>
      <w:r>
        <w:rPr>
          <w:rFonts w:hint="eastAsia" w:ascii="楷体" w:hAnsi="楷体" w:eastAsia="楷体" w:cs="楷体"/>
          <w:bCs/>
          <w:color w:val="auto"/>
          <w:sz w:val="32"/>
          <w:szCs w:val="32"/>
          <w:highlight w:val="none"/>
        </w:rPr>
        <w:t>年度总目标</w:t>
      </w:r>
    </w:p>
    <w:p w14:paraId="4F2D2A87">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color w:val="auto"/>
          <w:sz w:val="32"/>
          <w:szCs w:val="32"/>
          <w:highlight w:val="none"/>
          <w:lang w:val="en-US" w:eastAsia="zh-CN"/>
        </w:rPr>
      </w:pPr>
      <w:r>
        <w:rPr>
          <w:rFonts w:hint="eastAsia" w:ascii="仿宋_GB2312" w:eastAsia="仿宋_GB2312" w:cs="宋体"/>
          <w:color w:val="auto"/>
          <w:sz w:val="32"/>
          <w:szCs w:val="32"/>
          <w:highlight w:val="none"/>
          <w:lang w:val="en-US" w:eastAsia="zh-CN"/>
        </w:rPr>
        <w:t>为40690.65公斤新鲜猪肉，46468.02公斤羊肉，33854.98公斤牛肉，6079.53公斤鸡肉，9315.25公斤鸭肉供应方发放补贴。通过该项目实施，保障铭胜供应，维护畜禽肉类价格平稳运行，惠及中低收入群体2万人。</w:t>
      </w:r>
    </w:p>
    <w:p w14:paraId="05458355">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楷体" w:hAnsi="楷体" w:eastAsia="楷体" w:cs="楷体"/>
          <w:bCs/>
          <w:color w:val="auto"/>
          <w:sz w:val="32"/>
          <w:szCs w:val="32"/>
          <w:highlight w:val="none"/>
          <w:lang w:val="en-US" w:eastAsia="zh-CN"/>
        </w:rPr>
      </w:pPr>
      <w:r>
        <w:rPr>
          <w:rFonts w:hint="eastAsia" w:ascii="仿宋_GB2312" w:eastAsia="仿宋_GB2312" w:cs="宋体"/>
          <w:color w:val="auto"/>
          <w:sz w:val="32"/>
          <w:szCs w:val="32"/>
          <w:lang w:val="en-US" w:eastAsia="zh-CN"/>
        </w:rPr>
        <w:t>2.</w:t>
      </w:r>
      <w:r>
        <w:rPr>
          <w:rFonts w:hint="eastAsia" w:ascii="楷体" w:hAnsi="楷体" w:eastAsia="楷体" w:cs="楷体"/>
          <w:bCs/>
          <w:color w:val="auto"/>
          <w:sz w:val="32"/>
          <w:szCs w:val="32"/>
          <w:highlight w:val="none"/>
          <w:lang w:val="en-US" w:eastAsia="zh-CN"/>
        </w:rPr>
        <w:t>阶段性绩效目标</w:t>
      </w:r>
    </w:p>
    <w:p w14:paraId="7F6876A1">
      <w:pPr>
        <w:pStyle w:val="34"/>
        <w:numPr>
          <w:ilvl w:val="0"/>
          <w:numId w:val="0"/>
        </w:numPr>
        <w:tabs>
          <w:tab w:val="left" w:pos="1559"/>
        </w:tabs>
        <w:adjustRightInd w:val="0"/>
        <w:snapToGrid w:val="0"/>
        <w:spacing w:line="560" w:lineRule="exact"/>
        <w:ind w:firstLine="640" w:firstLineChars="200"/>
        <w:outlineLvl w:val="2"/>
        <w:rPr>
          <w:rFonts w:hint="eastAsia" w:ascii="仿宋_GB2312" w:eastAsia="仿宋_GB2312" w:cs="宋体"/>
          <w:color w:val="auto"/>
          <w:kern w:val="2"/>
          <w:sz w:val="32"/>
          <w:szCs w:val="32"/>
          <w:lang w:val="en-US" w:eastAsia="zh-CN" w:bidi="ar-SA"/>
        </w:rPr>
      </w:pPr>
      <w:r>
        <w:rPr>
          <w:rFonts w:hint="eastAsia" w:ascii="仿宋_GB2312" w:eastAsia="仿宋_GB2312" w:cs="宋体" w:hAnsiTheme="minorHAnsi"/>
          <w:color w:val="auto"/>
          <w:kern w:val="2"/>
          <w:sz w:val="32"/>
          <w:szCs w:val="32"/>
          <w:highlight w:val="none"/>
          <w:lang w:val="en-US" w:eastAsia="zh-CN" w:bidi="ar-SA"/>
        </w:rPr>
        <w:t>根据</w:t>
      </w:r>
      <w:r>
        <w:rPr>
          <w:rFonts w:hint="eastAsia" w:ascii="仿宋_GB2312" w:hAnsi="仿宋_GB2312" w:eastAsia="仿宋_GB2312" w:cs="仿宋_GB2312"/>
          <w:kern w:val="2"/>
          <w:sz w:val="32"/>
          <w:szCs w:val="32"/>
          <w:highlight w:val="none"/>
          <w:lang w:val="en-US" w:eastAsia="zh-CN" w:bidi="ar-SA"/>
        </w:rPr>
        <w:t>《洛浦县党政联席会议纪要》（洛党办纪字[2021]106号）</w:t>
      </w:r>
      <w:r>
        <w:rPr>
          <w:rFonts w:hint="eastAsia" w:ascii="仿宋_GB2312" w:eastAsia="仿宋_GB2312" w:cs="宋体" w:hAnsiTheme="minorHAnsi"/>
          <w:color w:val="auto"/>
          <w:kern w:val="2"/>
          <w:sz w:val="32"/>
          <w:szCs w:val="32"/>
          <w:highlight w:val="none"/>
          <w:lang w:val="en-US" w:eastAsia="zh-CN" w:bidi="ar-SA"/>
        </w:rPr>
        <w:t>，</w:t>
      </w:r>
      <w:r>
        <w:rPr>
          <w:rFonts w:hint="eastAsia" w:ascii="仿宋_GB2312" w:eastAsia="仿宋_GB2312" w:cs="宋体"/>
          <w:color w:val="auto"/>
          <w:kern w:val="2"/>
          <w:sz w:val="32"/>
          <w:szCs w:val="32"/>
          <w:lang w:val="en-US" w:eastAsia="zh-CN" w:bidi="ar-SA"/>
        </w:rPr>
        <w:t>2021年春节期间畜禽类肉类补贴项目总投资169.40</w:t>
      </w:r>
      <w:r>
        <w:rPr>
          <w:rFonts w:hint="eastAsia" w:ascii="仿宋_GB2312" w:eastAsia="仿宋_GB2312" w:cs="宋体" w:hAnsiTheme="minorHAnsi"/>
          <w:color w:val="auto"/>
          <w:kern w:val="2"/>
          <w:sz w:val="32"/>
          <w:szCs w:val="32"/>
          <w:lang w:val="en-US" w:eastAsia="zh-CN" w:bidi="ar-SA"/>
        </w:rPr>
        <w:t>万元。设置了三个一级指标，</w:t>
      </w:r>
      <w:r>
        <w:rPr>
          <w:rFonts w:hint="eastAsia" w:ascii="仿宋_GB2312" w:eastAsia="仿宋_GB2312" w:cs="宋体"/>
          <w:color w:val="auto"/>
          <w:kern w:val="2"/>
          <w:sz w:val="32"/>
          <w:szCs w:val="32"/>
          <w:lang w:val="en-US" w:eastAsia="zh-CN" w:bidi="ar-SA"/>
        </w:rPr>
        <w:t>8个</w:t>
      </w:r>
      <w:r>
        <w:rPr>
          <w:rFonts w:hint="eastAsia" w:ascii="仿宋_GB2312" w:hAnsi="仿宋_GB2312" w:eastAsia="仿宋_GB2312" w:cs="仿宋_GB2312"/>
          <w:color w:val="auto"/>
          <w:sz w:val="32"/>
          <w:szCs w:val="32"/>
        </w:rPr>
        <w:t>二级指标，</w:t>
      </w:r>
      <w:r>
        <w:rPr>
          <w:rFonts w:hint="eastAsia" w:ascii="仿宋_GB2312" w:hAnsi="仿宋_GB2312" w:eastAsia="仿宋_GB2312" w:cs="仿宋_GB2312"/>
          <w:color w:val="auto"/>
          <w:sz w:val="32"/>
          <w:szCs w:val="32"/>
          <w:lang w:val="en-US" w:eastAsia="zh-CN"/>
        </w:rPr>
        <w:t>17</w:t>
      </w:r>
      <w:r>
        <w:rPr>
          <w:rFonts w:hint="eastAsia" w:ascii="仿宋_GB2312" w:hAnsi="仿宋_GB2312" w:eastAsia="仿宋_GB2312" w:cs="仿宋_GB2312"/>
          <w:color w:val="auto"/>
          <w:sz w:val="32"/>
          <w:szCs w:val="32"/>
        </w:rPr>
        <w:t>个三级指标，</w:t>
      </w:r>
      <w:r>
        <w:rPr>
          <w:rFonts w:hint="eastAsia" w:ascii="仿宋_GB2312" w:eastAsia="仿宋_GB2312" w:cs="宋体" w:hAnsiTheme="minorHAnsi"/>
          <w:color w:val="auto"/>
          <w:kern w:val="2"/>
          <w:sz w:val="32"/>
          <w:szCs w:val="32"/>
          <w:lang w:val="en-US" w:eastAsia="zh-CN" w:bidi="ar-SA"/>
        </w:rPr>
        <w:t>其中</w:t>
      </w:r>
      <w:r>
        <w:rPr>
          <w:rFonts w:hint="eastAsia" w:ascii="仿宋_GB2312" w:eastAsia="仿宋_GB2312" w:cs="宋体"/>
          <w:color w:val="auto"/>
          <w:kern w:val="2"/>
          <w:sz w:val="32"/>
          <w:szCs w:val="32"/>
          <w:lang w:val="en-US" w:eastAsia="zh-CN" w:bidi="ar-SA"/>
        </w:rPr>
        <w:t>：</w:t>
      </w:r>
    </w:p>
    <w:p w14:paraId="7355D60F">
      <w:pPr>
        <w:pStyle w:val="34"/>
        <w:numPr>
          <w:ilvl w:val="0"/>
          <w:numId w:val="4"/>
        </w:numPr>
        <w:tabs>
          <w:tab w:val="left" w:pos="1559"/>
        </w:tabs>
        <w:adjustRightInd w:val="0"/>
        <w:snapToGrid w:val="0"/>
        <w:spacing w:line="560" w:lineRule="exact"/>
        <w:ind w:firstLine="640"/>
        <w:outlineLvl w:val="2"/>
        <w:rPr>
          <w:rFonts w:hint="eastAsia"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产出指标：</w:t>
      </w:r>
    </w:p>
    <w:p w14:paraId="4B037243">
      <w:pPr>
        <w:pStyle w:val="34"/>
        <w:numPr>
          <w:ilvl w:val="0"/>
          <w:numId w:val="0"/>
        </w:numPr>
        <w:tabs>
          <w:tab w:val="left" w:pos="1559"/>
        </w:tabs>
        <w:adjustRightInd w:val="0"/>
        <w:snapToGrid w:val="0"/>
        <w:spacing w:line="560" w:lineRule="exact"/>
        <w:outlineLvl w:val="2"/>
        <w:rPr>
          <w:rFonts w:hint="default"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 xml:space="preserve">     产出数量</w:t>
      </w:r>
    </w:p>
    <w:p w14:paraId="6AA19984">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val="0"/>
          <w:bCs w:val="0"/>
          <w:color w:val="auto"/>
          <w:kern w:val="2"/>
          <w:sz w:val="32"/>
          <w:szCs w:val="32"/>
          <w:lang w:val="en-US" w:eastAsia="zh-CN" w:bidi="ar-SA"/>
        </w:rPr>
        <w:t>该项目供应新鲜猪肉重量指标，预期值为40690.65公斤</w:t>
      </w:r>
      <w:r>
        <w:rPr>
          <w:rFonts w:hint="eastAsia" w:ascii="仿宋_GB2312" w:hAnsi="仿宋_GB2312" w:eastAsia="仿宋_GB2312" w:cs="仿宋_GB2312"/>
          <w:sz w:val="32"/>
          <w:szCs w:val="32"/>
          <w:highlight w:val="none"/>
          <w:lang w:val="en-US" w:eastAsia="zh-CN"/>
        </w:rPr>
        <w:t>。</w:t>
      </w:r>
    </w:p>
    <w:p w14:paraId="5B4B4DDD">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val="0"/>
          <w:bCs w:val="0"/>
          <w:color w:val="auto"/>
          <w:kern w:val="2"/>
          <w:sz w:val="32"/>
          <w:szCs w:val="32"/>
          <w:lang w:val="en-US" w:eastAsia="zh-CN" w:bidi="ar-SA"/>
        </w:rPr>
        <w:t>该项目供应羊肉重量指标，预期值为46468.02公斤</w:t>
      </w:r>
      <w:r>
        <w:rPr>
          <w:rFonts w:hint="eastAsia" w:ascii="仿宋_GB2312" w:hAnsi="仿宋_GB2312" w:eastAsia="仿宋_GB2312" w:cs="仿宋_GB2312"/>
          <w:sz w:val="32"/>
          <w:szCs w:val="32"/>
          <w:highlight w:val="none"/>
          <w:lang w:val="en-US" w:eastAsia="zh-CN"/>
        </w:rPr>
        <w:t>。</w:t>
      </w:r>
    </w:p>
    <w:p w14:paraId="70767FDC">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val="0"/>
          <w:bCs w:val="0"/>
          <w:color w:val="auto"/>
          <w:kern w:val="2"/>
          <w:sz w:val="32"/>
          <w:szCs w:val="32"/>
          <w:lang w:val="en-US" w:eastAsia="zh-CN" w:bidi="ar-SA"/>
        </w:rPr>
        <w:t>该项目供应牛肉重量指标，预期值为33854.98公斤</w:t>
      </w:r>
      <w:r>
        <w:rPr>
          <w:rFonts w:hint="eastAsia" w:ascii="仿宋_GB2312" w:hAnsi="仿宋_GB2312" w:eastAsia="仿宋_GB2312" w:cs="仿宋_GB2312"/>
          <w:sz w:val="32"/>
          <w:szCs w:val="32"/>
          <w:highlight w:val="none"/>
          <w:lang w:val="en-US" w:eastAsia="zh-CN"/>
        </w:rPr>
        <w:t>。</w:t>
      </w:r>
    </w:p>
    <w:p w14:paraId="15CDB9E9">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val="0"/>
          <w:bCs w:val="0"/>
          <w:color w:val="auto"/>
          <w:kern w:val="2"/>
          <w:sz w:val="32"/>
          <w:szCs w:val="32"/>
          <w:lang w:val="en-US" w:eastAsia="zh-CN" w:bidi="ar-SA"/>
        </w:rPr>
        <w:t>该项目供应鸡肉重量指标，预期值为6079.53公斤</w:t>
      </w:r>
      <w:r>
        <w:rPr>
          <w:rFonts w:hint="eastAsia" w:ascii="仿宋_GB2312" w:hAnsi="仿宋_GB2312" w:eastAsia="仿宋_GB2312" w:cs="仿宋_GB2312"/>
          <w:sz w:val="32"/>
          <w:szCs w:val="32"/>
          <w:highlight w:val="none"/>
          <w:lang w:val="en-US" w:eastAsia="zh-CN"/>
        </w:rPr>
        <w:t>。</w:t>
      </w:r>
    </w:p>
    <w:p w14:paraId="06EF077D">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val="0"/>
          <w:bCs w:val="0"/>
          <w:color w:val="auto"/>
          <w:kern w:val="2"/>
          <w:sz w:val="32"/>
          <w:szCs w:val="32"/>
          <w:lang w:val="en-US" w:eastAsia="zh-CN" w:bidi="ar-SA"/>
        </w:rPr>
        <w:t>该项目供应鸭肉重量指标，预期值为9315.25公斤</w:t>
      </w:r>
      <w:r>
        <w:rPr>
          <w:rFonts w:hint="eastAsia" w:ascii="仿宋_GB2312" w:hAnsi="仿宋_GB2312" w:eastAsia="仿宋_GB2312" w:cs="仿宋_GB2312"/>
          <w:sz w:val="32"/>
          <w:szCs w:val="32"/>
          <w:highlight w:val="none"/>
          <w:lang w:val="en-US" w:eastAsia="zh-CN"/>
        </w:rPr>
        <w:t>。</w:t>
      </w:r>
    </w:p>
    <w:p w14:paraId="5CC0E395">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产出质量</w:t>
      </w:r>
    </w:p>
    <w:p w14:paraId="0654007B">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该项目经相关检疫部门检疫合格指标，预期值为100%。</w:t>
      </w:r>
    </w:p>
    <w:p w14:paraId="5ED7BE44">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产出时效</w:t>
      </w:r>
    </w:p>
    <w:p w14:paraId="0C6B08BE">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w:t>
      </w:r>
      <w:r>
        <w:rPr>
          <w:rFonts w:hint="default" w:ascii="仿宋_GB2312" w:hAnsi="仿宋_GB2312" w:eastAsia="仿宋_GB2312" w:cs="仿宋_GB2312"/>
          <w:sz w:val="32"/>
          <w:szCs w:val="32"/>
          <w:highlight w:val="none"/>
          <w:lang w:val="en-US" w:eastAsia="zh-CN"/>
        </w:rPr>
        <w:t>补贴发放及时性</w:t>
      </w:r>
      <w:r>
        <w:rPr>
          <w:rFonts w:hint="eastAsia" w:ascii="仿宋_GB2312" w:hAnsi="仿宋_GB2312" w:eastAsia="仿宋_GB2312" w:cs="仿宋_GB2312"/>
          <w:sz w:val="32"/>
          <w:szCs w:val="32"/>
          <w:highlight w:val="none"/>
          <w:lang w:val="en-US" w:eastAsia="zh-CN"/>
        </w:rPr>
        <w:t>指标，预期值为100%。</w:t>
      </w:r>
    </w:p>
    <w:p w14:paraId="0AFEB697">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该项目截止时间指标，预期值为2021年12月。</w:t>
      </w:r>
    </w:p>
    <w:p w14:paraId="0B7DB7BF">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产出成本</w:t>
      </w:r>
    </w:p>
    <w:p w14:paraId="2859C576">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b w:val="0"/>
          <w:bCs w:val="0"/>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该项目政府猪肉补贴</w:t>
      </w:r>
      <w:r>
        <w:rPr>
          <w:rFonts w:hint="eastAsia" w:ascii="仿宋_GB2312" w:hAnsi="仿宋_GB2312" w:eastAsia="仿宋_GB2312" w:cs="仿宋_GB2312"/>
          <w:b w:val="0"/>
          <w:bCs w:val="0"/>
          <w:sz w:val="32"/>
          <w:szCs w:val="32"/>
          <w:highlight w:val="none"/>
          <w:lang w:val="en-US" w:eastAsia="zh-CN"/>
        </w:rPr>
        <w:t>指标，预期值为20元/公斤。</w:t>
      </w:r>
    </w:p>
    <w:p w14:paraId="5B6DB1D9">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b w:val="0"/>
          <w:bCs w:val="0"/>
          <w:sz w:val="32"/>
          <w:szCs w:val="32"/>
          <w:highlight w:val="none"/>
          <w:lang w:val="en-US" w:eastAsia="zh-CN"/>
        </w:rPr>
      </w:pPr>
      <w:r>
        <w:rPr>
          <w:rFonts w:hint="eastAsia" w:ascii="仿宋_GB2312" w:hAnsi="仿宋_GB2312" w:eastAsia="仿宋_GB2312" w:cs="仿宋_GB2312"/>
          <w:b w:val="0"/>
          <w:bCs w:val="0"/>
          <w:sz w:val="32"/>
          <w:szCs w:val="32"/>
          <w:highlight w:val="none"/>
          <w:lang w:val="en-US" w:eastAsia="zh-CN"/>
        </w:rPr>
        <w:t>该项目政府羊肉补贴指标，预期值为10元/公斤。</w:t>
      </w:r>
    </w:p>
    <w:p w14:paraId="1866F070">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b w:val="0"/>
          <w:bCs w:val="0"/>
          <w:sz w:val="32"/>
          <w:szCs w:val="32"/>
          <w:highlight w:val="none"/>
          <w:lang w:val="en-US" w:eastAsia="zh-CN"/>
        </w:rPr>
      </w:pPr>
      <w:r>
        <w:rPr>
          <w:rFonts w:hint="eastAsia" w:ascii="仿宋_GB2312" w:hAnsi="仿宋_GB2312" w:eastAsia="仿宋_GB2312" w:cs="仿宋_GB2312"/>
          <w:b w:val="0"/>
          <w:bCs w:val="0"/>
          <w:sz w:val="32"/>
          <w:szCs w:val="32"/>
          <w:highlight w:val="none"/>
          <w:lang w:val="en-US" w:eastAsia="zh-CN"/>
        </w:rPr>
        <w:t>该项目政府牛肉补贴指标，预期值为10元/公斤。</w:t>
      </w:r>
    </w:p>
    <w:p w14:paraId="4DF85C9B">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b w:val="0"/>
          <w:bCs w:val="0"/>
          <w:sz w:val="32"/>
          <w:szCs w:val="32"/>
          <w:highlight w:val="none"/>
          <w:lang w:val="en-US" w:eastAsia="zh-CN"/>
        </w:rPr>
      </w:pPr>
      <w:r>
        <w:rPr>
          <w:rFonts w:hint="eastAsia" w:ascii="仿宋_GB2312" w:hAnsi="仿宋_GB2312" w:eastAsia="仿宋_GB2312" w:cs="仿宋_GB2312"/>
          <w:b w:val="0"/>
          <w:bCs w:val="0"/>
          <w:sz w:val="32"/>
          <w:szCs w:val="32"/>
          <w:highlight w:val="none"/>
          <w:lang w:val="en-US" w:eastAsia="zh-CN"/>
        </w:rPr>
        <w:t>该项目政府鸡肉补贴指标，预期值为5元/公斤。</w:t>
      </w:r>
    </w:p>
    <w:p w14:paraId="4D66FC26">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default" w:ascii="仿宋_GB2312" w:hAnsi="仿宋_GB2312" w:eastAsia="仿宋_GB2312" w:cs="仿宋_GB2312"/>
          <w:b w:val="0"/>
          <w:bCs w:val="0"/>
          <w:sz w:val="32"/>
          <w:szCs w:val="32"/>
          <w:highlight w:val="none"/>
          <w:lang w:val="en-US" w:eastAsia="zh-CN"/>
        </w:rPr>
      </w:pPr>
      <w:r>
        <w:rPr>
          <w:rFonts w:hint="eastAsia" w:ascii="仿宋_GB2312" w:hAnsi="仿宋_GB2312" w:eastAsia="仿宋_GB2312" w:cs="仿宋_GB2312"/>
          <w:b w:val="0"/>
          <w:bCs w:val="0"/>
          <w:sz w:val="32"/>
          <w:szCs w:val="32"/>
          <w:highlight w:val="none"/>
          <w:lang w:val="en-US" w:eastAsia="zh-CN"/>
        </w:rPr>
        <w:t>该项目政府鸭肉补贴指标，预期值为5元/公斤。</w:t>
      </w:r>
    </w:p>
    <w:p w14:paraId="67088BC5">
      <w:pPr>
        <w:numPr>
          <w:ilvl w:val="0"/>
          <w:numId w:val="5"/>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效益指标：</w:t>
      </w:r>
    </w:p>
    <w:p w14:paraId="0A951CC7">
      <w:pPr>
        <w:pStyle w:val="7"/>
        <w:ind w:firstLine="640" w:firstLineChars="200"/>
        <w:rPr>
          <w:rFonts w:hint="default"/>
          <w:lang w:val="en-US" w:eastAsia="zh-CN"/>
        </w:rPr>
      </w:pPr>
      <w:r>
        <w:rPr>
          <w:rFonts w:hint="eastAsia" w:ascii="仿宋_GB2312" w:hAnsi="仿宋_GB2312" w:eastAsia="仿宋_GB2312" w:cs="仿宋_GB2312"/>
          <w:b w:val="0"/>
          <w:bCs w:val="0"/>
          <w:color w:val="auto"/>
          <w:kern w:val="2"/>
          <w:sz w:val="32"/>
          <w:szCs w:val="32"/>
          <w:lang w:val="en-US" w:eastAsia="zh-CN" w:bidi="ar-SA"/>
        </w:rPr>
        <w:t>经济效益</w:t>
      </w:r>
    </w:p>
    <w:p w14:paraId="4247DA49">
      <w:pPr>
        <w:numPr>
          <w:ilvl w:val="0"/>
          <w:numId w:val="0"/>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该项目帮助购买群众每公斤肉节省指标，预期值为大于等于5元/公斤。</w:t>
      </w:r>
    </w:p>
    <w:p w14:paraId="5DB76285">
      <w:pPr>
        <w:pStyle w:val="7"/>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社会效益</w:t>
      </w:r>
    </w:p>
    <w:p w14:paraId="21DEC838">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w:t>
      </w:r>
      <w:r>
        <w:rPr>
          <w:rFonts w:hint="default" w:ascii="仿宋_GB2312" w:hAnsi="仿宋_GB2312" w:eastAsia="仿宋_GB2312" w:cs="仿宋_GB2312"/>
          <w:sz w:val="32"/>
          <w:szCs w:val="32"/>
          <w:highlight w:val="none"/>
          <w:lang w:val="en-US" w:eastAsia="zh-CN"/>
        </w:rPr>
        <w:t>惠及中低收入群体人数</w:t>
      </w:r>
      <w:r>
        <w:rPr>
          <w:rFonts w:hint="eastAsia" w:ascii="仿宋_GB2312" w:hAnsi="仿宋_GB2312" w:eastAsia="仿宋_GB2312" w:cs="仿宋_GB2312"/>
          <w:sz w:val="32"/>
          <w:szCs w:val="32"/>
          <w:highlight w:val="none"/>
          <w:lang w:val="en-US" w:eastAsia="zh-CN"/>
        </w:rPr>
        <w:t>指标，预期值为大于等于2万人。</w:t>
      </w:r>
    </w:p>
    <w:p w14:paraId="5FAC8DA6">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生态效益</w:t>
      </w:r>
    </w:p>
    <w:p w14:paraId="148F2303">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kern w:val="2"/>
          <w:sz w:val="32"/>
          <w:szCs w:val="32"/>
          <w:highlight w:val="none"/>
          <w:lang w:val="en-US" w:eastAsia="zh-CN" w:bidi="ar-SA"/>
        </w:rPr>
        <w:t>该项目未涉及生态效益。</w:t>
      </w:r>
    </w:p>
    <w:p w14:paraId="226AA842">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可持续影响指标</w:t>
      </w:r>
    </w:p>
    <w:p w14:paraId="57DCB0A0">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638" w:leftChars="304" w:firstLine="0" w:firstLineChars="0"/>
        <w:textAlignment w:val="auto"/>
        <w:outlineLvl w:val="2"/>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该项目保障时效指标，预期值为1年。</w:t>
      </w:r>
    </w:p>
    <w:p w14:paraId="03B1F680">
      <w:pPr>
        <w:numPr>
          <w:ilvl w:val="0"/>
          <w:numId w:val="5"/>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满意度指标：</w:t>
      </w:r>
    </w:p>
    <w:p w14:paraId="62AB766D">
      <w:pPr>
        <w:numPr>
          <w:ilvl w:val="0"/>
          <w:numId w:val="0"/>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通过走访受益对象，受益人员满意度程度预计能达到大于等于95%。</w:t>
      </w:r>
    </w:p>
    <w:p w14:paraId="724E29A8">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二、评价工作简述</w:t>
      </w:r>
      <w:bookmarkEnd w:id="37"/>
    </w:p>
    <w:p w14:paraId="2C75A8F5">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lang w:val="en-US" w:eastAsia="zh-CN" w:bidi="ar-SA"/>
        </w:rPr>
      </w:pPr>
      <w:bookmarkStart w:id="38" w:name="_Toc3416"/>
      <w:bookmarkStart w:id="39" w:name="_Toc7630"/>
      <w:bookmarkStart w:id="40" w:name="_Toc19614"/>
      <w:r>
        <w:rPr>
          <w:rFonts w:hint="eastAsia" w:ascii="仿宋_GB2312" w:eastAsia="仿宋_GB2312" w:cs="宋体" w:hAnsiTheme="minorHAnsi"/>
          <w:color w:val="auto"/>
          <w:kern w:val="2"/>
          <w:sz w:val="32"/>
          <w:szCs w:val="32"/>
          <w:lang w:val="en-US" w:eastAsia="zh-CN" w:bidi="ar-SA"/>
        </w:rPr>
        <w:t>受</w:t>
      </w:r>
      <w:r>
        <w:rPr>
          <w:rFonts w:hint="eastAsia" w:ascii="仿宋_GB2312" w:eastAsia="仿宋_GB2312" w:cs="宋体"/>
          <w:color w:val="auto"/>
          <w:kern w:val="2"/>
          <w:sz w:val="32"/>
          <w:szCs w:val="32"/>
          <w:lang w:val="en-US" w:eastAsia="zh-CN" w:bidi="ar-SA"/>
        </w:rPr>
        <w:t>洛浦</w:t>
      </w:r>
      <w:r>
        <w:rPr>
          <w:rFonts w:hint="eastAsia" w:ascii="仿宋_GB2312" w:eastAsia="仿宋_GB2312" w:cs="宋体" w:hAnsiTheme="minorHAnsi"/>
          <w:color w:val="auto"/>
          <w:kern w:val="2"/>
          <w:sz w:val="32"/>
          <w:szCs w:val="32"/>
          <w:lang w:val="en-US" w:eastAsia="zh-CN" w:bidi="ar-SA"/>
        </w:rPr>
        <w:t>县财政局委托，中瑞诚会计师事务所（特殊普通合伙）喀什分所（以下简称“评价机构”）承担</w:t>
      </w:r>
      <w:r>
        <w:rPr>
          <w:rFonts w:hint="eastAsia" w:ascii="仿宋_GB2312" w:eastAsia="仿宋_GB2312" w:cs="宋体"/>
          <w:color w:val="auto"/>
          <w:kern w:val="2"/>
          <w:sz w:val="32"/>
          <w:szCs w:val="32"/>
          <w:lang w:val="en-US" w:eastAsia="zh-CN" w:bidi="ar-SA"/>
        </w:rPr>
        <w:t>2021年春节期间畜禽类肉类补贴</w:t>
      </w:r>
      <w:r>
        <w:rPr>
          <w:rFonts w:hint="eastAsia" w:ascii="仿宋_GB2312" w:eastAsia="仿宋_GB2312" w:cs="宋体" w:hAnsiTheme="minorHAnsi"/>
          <w:color w:val="auto"/>
          <w:kern w:val="2"/>
          <w:sz w:val="32"/>
          <w:szCs w:val="32"/>
          <w:lang w:val="en-US" w:eastAsia="zh-CN" w:bidi="ar-SA"/>
        </w:rPr>
        <w:t>项目支出的绩效评价工作。为更好地保障绩效评价工作的顺利实施，根据财政部颁发的《项目支出绩效评价管理办法》（财预〔2020〕10号）、新疆维吾尔自治区财政厅颁发的《自治区财政支出绩效评价管理暂行办法》（新财预〔2018〕189号）等文件规定，评价机构成立绩效评价工作组（以下简称“评价工作组”）对</w:t>
      </w:r>
      <w:r>
        <w:rPr>
          <w:rFonts w:hint="eastAsia" w:ascii="仿宋_GB2312" w:eastAsia="仿宋_GB2312" w:cs="宋体"/>
          <w:color w:val="auto"/>
          <w:kern w:val="2"/>
          <w:sz w:val="32"/>
          <w:szCs w:val="32"/>
          <w:lang w:val="en-US" w:eastAsia="zh-CN" w:bidi="ar-SA"/>
        </w:rPr>
        <w:t>县级配套资金</w:t>
      </w:r>
      <w:r>
        <w:rPr>
          <w:rFonts w:hint="eastAsia" w:ascii="仿宋_GB2312" w:eastAsia="仿宋_GB2312" w:cs="宋体" w:hAnsiTheme="minorHAnsi"/>
          <w:color w:val="auto"/>
          <w:kern w:val="2"/>
          <w:sz w:val="32"/>
          <w:szCs w:val="32"/>
          <w:lang w:val="en-US" w:eastAsia="zh-CN" w:bidi="ar-SA"/>
        </w:rPr>
        <w:t>投入、资金使用和资金使用效益等方面进行了绩效评价。</w:t>
      </w:r>
      <w:bookmarkEnd w:id="38"/>
      <w:bookmarkEnd w:id="39"/>
      <w:bookmarkEnd w:id="40"/>
    </w:p>
    <w:p w14:paraId="4AB27BD8">
      <w:pPr>
        <w:pStyle w:val="34"/>
        <w:numPr>
          <w:ilvl w:val="0"/>
          <w:numId w:val="3"/>
        </w:numPr>
        <w:adjustRightInd w:val="0"/>
        <w:snapToGrid w:val="0"/>
        <w:spacing w:line="560" w:lineRule="exact"/>
        <w:ind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评价工作简述</w:t>
      </w:r>
    </w:p>
    <w:p w14:paraId="63CF8E42">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1" w:name="_Toc8259"/>
      <w:r>
        <w:rPr>
          <w:rFonts w:hint="eastAsia" w:ascii="仿宋_GB2312" w:hAnsi="仿宋" w:eastAsia="仿宋_GB2312" w:cs="宋体"/>
          <w:b/>
          <w:bCs/>
          <w:sz w:val="32"/>
          <w:szCs w:val="32"/>
        </w:rPr>
        <w:t>（一）评价目的</w:t>
      </w:r>
      <w:bookmarkEnd w:id="41"/>
    </w:p>
    <w:p w14:paraId="7ECB3C2C">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bookmarkStart w:id="42" w:name="_Toc18186"/>
      <w:bookmarkStart w:id="43" w:name="_Toc22761"/>
      <w:r>
        <w:rPr>
          <w:rFonts w:hint="eastAsia" w:ascii="仿宋_GB2312" w:hAnsi="仿宋_GB2312" w:eastAsia="仿宋_GB2312" w:cs="仿宋_GB2312"/>
          <w:sz w:val="32"/>
          <w:szCs w:val="32"/>
        </w:rPr>
        <w:t>按照新疆自治区财政厅和</w:t>
      </w:r>
      <w:r>
        <w:rPr>
          <w:rFonts w:hint="eastAsia" w:ascii="仿宋_GB2312" w:hAnsi="仿宋_GB2312" w:eastAsia="仿宋_GB2312" w:cs="仿宋_GB2312"/>
          <w:sz w:val="32"/>
          <w:szCs w:val="32"/>
          <w:lang w:val="en-US" w:eastAsia="zh-CN"/>
        </w:rPr>
        <w:t>洛浦县</w:t>
      </w:r>
      <w:r>
        <w:rPr>
          <w:rFonts w:hint="eastAsia" w:ascii="仿宋_GB2312" w:hAnsi="仿宋_GB2312" w:eastAsia="仿宋_GB2312" w:cs="仿宋_GB2312"/>
          <w:sz w:val="32"/>
          <w:szCs w:val="32"/>
        </w:rPr>
        <w:t>财政局“加强财政支出管理，强化支出责任，建立科学、合理的财政支出绩效评价管理体系，提高财政资金使用效益”的要求，通过</w:t>
      </w:r>
      <w:r>
        <w:rPr>
          <w:rFonts w:hint="eastAsia" w:ascii="仿宋_GB2312" w:hAnsi="仿宋_GB2312" w:eastAsia="仿宋_GB2312" w:cs="仿宋_GB2312"/>
          <w:sz w:val="32"/>
          <w:szCs w:val="32"/>
          <w:lang w:eastAsia="zh-CN"/>
        </w:rPr>
        <w:t>项目</w:t>
      </w:r>
      <w:r>
        <w:rPr>
          <w:rFonts w:hint="eastAsia" w:ascii="仿宋_GB2312" w:hAnsi="仿宋_GB2312" w:eastAsia="仿宋_GB2312" w:cs="仿宋_GB2312"/>
          <w:sz w:val="32"/>
          <w:szCs w:val="32"/>
        </w:rPr>
        <w:t>决策、过程、产出、效益的全过程梳理、评价，客观公正反映项目立项的科学性、项目实施的规范性、项目管理的有效性和项目效果</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总结项目实施经验，发现存在</w:t>
      </w:r>
      <w:r>
        <w:rPr>
          <w:rFonts w:hint="eastAsia" w:ascii="仿宋_GB2312" w:hAnsi="仿宋_GB2312" w:eastAsia="仿宋_GB2312" w:cs="仿宋_GB2312"/>
          <w:sz w:val="32"/>
          <w:szCs w:val="32"/>
          <w:lang w:eastAsia="zh-CN"/>
        </w:rPr>
        <w:t>的</w:t>
      </w:r>
      <w:r>
        <w:rPr>
          <w:rFonts w:hint="eastAsia" w:ascii="仿宋_GB2312" w:hAnsi="仿宋_GB2312" w:eastAsia="仿宋_GB2312" w:cs="仿宋_GB2312"/>
          <w:sz w:val="32"/>
          <w:szCs w:val="32"/>
        </w:rPr>
        <w:t>问题，提出针对性建议</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为</w:t>
      </w:r>
      <w:r>
        <w:rPr>
          <w:rFonts w:hint="eastAsia" w:ascii="仿宋_GB2312" w:hAnsi="仿宋_GB2312" w:eastAsia="仿宋_GB2312" w:cs="仿宋_GB2312"/>
          <w:sz w:val="32"/>
          <w:szCs w:val="32"/>
          <w:lang w:val="en-US" w:eastAsia="zh-CN"/>
        </w:rPr>
        <w:t>后年度</w:t>
      </w:r>
      <w:r>
        <w:rPr>
          <w:rFonts w:hint="eastAsia" w:ascii="仿宋_GB2312" w:eastAsia="仿宋_GB2312" w:cs="宋体"/>
          <w:color w:val="auto"/>
          <w:kern w:val="2"/>
          <w:sz w:val="32"/>
          <w:szCs w:val="32"/>
          <w:lang w:val="en-US" w:eastAsia="zh-CN" w:bidi="ar-SA"/>
        </w:rPr>
        <w:t>县级配套资金</w:t>
      </w:r>
      <w:r>
        <w:rPr>
          <w:rFonts w:hint="eastAsia" w:ascii="仿宋_GB2312" w:hAnsi="仿宋_GB2312" w:eastAsia="仿宋_GB2312" w:cs="仿宋_GB2312"/>
          <w:sz w:val="32"/>
          <w:szCs w:val="32"/>
          <w:lang w:eastAsia="zh-CN"/>
        </w:rPr>
        <w:t>项目的绩效</w:t>
      </w:r>
      <w:r>
        <w:rPr>
          <w:rFonts w:hint="eastAsia" w:ascii="仿宋_GB2312" w:hAnsi="仿宋_GB2312" w:eastAsia="仿宋_GB2312" w:cs="仿宋_GB2312"/>
          <w:sz w:val="32"/>
          <w:szCs w:val="32"/>
        </w:rPr>
        <w:t>管理提供参考依据。</w:t>
      </w:r>
    </w:p>
    <w:p w14:paraId="52A9A31B">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（二）绩效评价工作</w:t>
      </w:r>
      <w:r>
        <w:rPr>
          <w:rFonts w:hint="eastAsia" w:ascii="仿宋_GB2312" w:hAnsi="仿宋" w:eastAsia="仿宋_GB2312" w:cs="宋体"/>
          <w:b/>
          <w:bCs/>
          <w:sz w:val="32"/>
          <w:szCs w:val="32"/>
          <w:lang w:val="en-US" w:eastAsia="zh-CN"/>
        </w:rPr>
        <w:t>的基本</w:t>
      </w:r>
      <w:r>
        <w:rPr>
          <w:rFonts w:hint="eastAsia" w:ascii="仿宋_GB2312" w:hAnsi="仿宋" w:eastAsia="仿宋_GB2312" w:cs="宋体"/>
          <w:b/>
          <w:bCs/>
          <w:sz w:val="32"/>
          <w:szCs w:val="32"/>
        </w:rPr>
        <w:t>思路</w:t>
      </w:r>
      <w:bookmarkEnd w:id="42"/>
      <w:bookmarkEnd w:id="43"/>
    </w:p>
    <w:p w14:paraId="60E82B64">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highlight w:val="none"/>
          <w:lang w:val="en-US" w:eastAsia="zh-CN" w:bidi="ar-SA"/>
        </w:rPr>
      </w:pPr>
      <w:bookmarkStart w:id="44" w:name="_Toc14072"/>
      <w:bookmarkStart w:id="45" w:name="_Toc7209"/>
      <w:bookmarkStart w:id="46" w:name="_Toc27648031"/>
      <w:bookmarkStart w:id="47" w:name="_Toc27493321"/>
      <w:bookmarkStart w:id="48" w:name="_Toc27651416"/>
      <w:r>
        <w:rPr>
          <w:rFonts w:hint="eastAsia" w:ascii="仿宋_GB2312" w:eastAsia="仿宋_GB2312" w:cs="宋体" w:hAnsiTheme="minorHAnsi"/>
          <w:color w:val="auto"/>
          <w:kern w:val="2"/>
          <w:sz w:val="32"/>
          <w:szCs w:val="32"/>
          <w:lang w:val="en-US" w:eastAsia="zh-CN" w:bidi="ar-SA"/>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可持续影响、服务对象满意度）四个维度进</w:t>
      </w:r>
      <w:r>
        <w:rPr>
          <w:rFonts w:hint="eastAsia" w:ascii="仿宋_GB2312" w:eastAsia="仿宋_GB2312" w:cs="宋体" w:hAnsiTheme="minorHAnsi"/>
          <w:color w:val="auto"/>
          <w:kern w:val="2"/>
          <w:sz w:val="32"/>
          <w:szCs w:val="32"/>
          <w:highlight w:val="none"/>
          <w:lang w:val="en-US" w:eastAsia="zh-CN" w:bidi="ar-SA"/>
        </w:rPr>
        <w:t>行评价。评价对象为</w:t>
      </w:r>
      <w:r>
        <w:rPr>
          <w:rFonts w:hint="eastAsia" w:ascii="仿宋_GB2312" w:eastAsia="仿宋_GB2312" w:cs="宋体"/>
          <w:color w:val="auto"/>
          <w:kern w:val="2"/>
          <w:sz w:val="32"/>
          <w:szCs w:val="32"/>
          <w:lang w:val="en-US" w:eastAsia="zh-CN" w:bidi="ar-SA"/>
        </w:rPr>
        <w:t>县级配套资金</w:t>
      </w:r>
      <w:r>
        <w:rPr>
          <w:rFonts w:hint="eastAsia" w:ascii="仿宋_GB2312" w:eastAsia="仿宋_GB2312" w:cs="宋体" w:hAnsiTheme="minorHAnsi"/>
          <w:color w:val="auto"/>
          <w:kern w:val="2"/>
          <w:sz w:val="32"/>
          <w:szCs w:val="32"/>
          <w:highlight w:val="none"/>
          <w:lang w:val="en-US" w:eastAsia="zh-CN" w:bidi="ar-SA"/>
        </w:rPr>
        <w:t>，评价核心为</w:t>
      </w:r>
      <w:r>
        <w:rPr>
          <w:rFonts w:hint="eastAsia" w:ascii="仿宋_GB2312" w:eastAsia="仿宋_GB2312" w:cs="宋体"/>
          <w:color w:val="auto"/>
          <w:kern w:val="2"/>
          <w:sz w:val="32"/>
          <w:szCs w:val="32"/>
          <w:lang w:val="en-US" w:eastAsia="zh-CN" w:bidi="ar-SA"/>
        </w:rPr>
        <w:t>县级配套资金</w:t>
      </w:r>
      <w:r>
        <w:rPr>
          <w:rFonts w:hint="eastAsia" w:ascii="仿宋_GB2312" w:eastAsia="仿宋_GB2312" w:cs="宋体" w:hAnsiTheme="minorHAnsi"/>
          <w:color w:val="auto"/>
          <w:kern w:val="2"/>
          <w:sz w:val="32"/>
          <w:szCs w:val="32"/>
          <w:highlight w:val="none"/>
          <w:lang w:val="en-US" w:eastAsia="zh-CN" w:bidi="ar-SA"/>
        </w:rPr>
        <w:t>的支出完成情况和效果。</w:t>
      </w:r>
      <w:bookmarkEnd w:id="44"/>
      <w:bookmarkEnd w:id="45"/>
      <w:bookmarkEnd w:id="46"/>
      <w:bookmarkEnd w:id="47"/>
      <w:bookmarkEnd w:id="48"/>
    </w:p>
    <w:p w14:paraId="3756A103">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9" w:name="_Toc7962"/>
      <w:r>
        <w:rPr>
          <w:rFonts w:hint="eastAsia" w:ascii="仿宋_GB2312" w:hAnsi="仿宋" w:eastAsia="仿宋_GB2312" w:cs="宋体"/>
          <w:b/>
          <w:bCs/>
          <w:sz w:val="32"/>
          <w:szCs w:val="32"/>
        </w:rPr>
        <w:t>（三）评价原则</w:t>
      </w:r>
      <w:bookmarkEnd w:id="49"/>
    </w:p>
    <w:p w14:paraId="36E22E37">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bookmarkStart w:id="50" w:name="_Toc1742"/>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相关性原则。绩效评价指标与绩效目标有直接的联系，能够恰当反映目标的实现程度。</w:t>
      </w:r>
    </w:p>
    <w:p w14:paraId="6C684CBE">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rPr>
        <w:t>重要性原则。优先使用最具评价对象代表性、最能反映评价要求的核心指标。</w:t>
      </w:r>
    </w:p>
    <w:p w14:paraId="4D620015">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可比性原则。对同类评价对象设定共性的绩效评价指标，以便于评价标准的规范和评价结果可相互比较。</w:t>
      </w:r>
    </w:p>
    <w:p w14:paraId="50210289">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rPr>
        <w:t>系统性原则。将定量指标与定性指标相结合，定量指标量化，定性指标可衡量，系统反映财政支出所产生的社会效益</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经济效益、环境效益和可持续影响等。</w:t>
      </w:r>
    </w:p>
    <w:p w14:paraId="667ADCDB">
      <w:pPr>
        <w:pStyle w:val="34"/>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经济性原则。通俗易懂、简便易行，数据的获得考虑现实条件和可操作性，符合成本效益原则。</w:t>
      </w:r>
    </w:p>
    <w:p w14:paraId="71DE4C19">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（四）评价方法</w:t>
      </w:r>
      <w:bookmarkEnd w:id="50"/>
    </w:p>
    <w:p w14:paraId="4135A44F">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bookmarkStart w:id="51" w:name="_Toc16588"/>
      <w:r>
        <w:rPr>
          <w:rFonts w:hint="eastAsia" w:ascii="仿宋_GB2312" w:hAnsi="仿宋_GB2312" w:eastAsia="仿宋_GB2312" w:cs="仿宋_GB2312"/>
          <w:sz w:val="32"/>
          <w:szCs w:val="32"/>
          <w:lang w:val="en-US" w:eastAsia="zh-CN"/>
        </w:rPr>
        <w:t>本次绩效评价主要采用以下评价方法：</w:t>
      </w:r>
    </w:p>
    <w:p w14:paraId="21A83F8A">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1.比较法，通过对绩效目标与实施效果、历史与当期情况、不同部门和地区同类支出的比较，综合分析绩效目标实现程度。</w:t>
      </w:r>
    </w:p>
    <w:p w14:paraId="6312B9E7">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2.因素分析法，通过综合分析影响绩效目标实现、实施效果的内外因素，评价绩效目标实现程度。</w:t>
      </w:r>
    </w:p>
    <w:p w14:paraId="5849C177">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3.公众评判法，通过专家评估、公众问卷及抽样调查等对财政支出效果进行评判，评价绩效目标实现程度。</w:t>
      </w:r>
    </w:p>
    <w:p w14:paraId="6944DAF7">
      <w:pPr>
        <w:pStyle w:val="34"/>
        <w:numPr>
          <w:ilvl w:val="0"/>
          <w:numId w:val="6"/>
        </w:numPr>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r>
        <w:rPr>
          <w:rFonts w:hint="eastAsia" w:ascii="仿宋_GB2312" w:hAnsi="仿宋" w:eastAsia="仿宋_GB2312" w:cs="宋体"/>
          <w:b/>
          <w:bCs/>
          <w:sz w:val="32"/>
          <w:szCs w:val="32"/>
        </w:rPr>
        <w:t>指标体系</w:t>
      </w:r>
      <w:bookmarkEnd w:id="51"/>
    </w:p>
    <w:p w14:paraId="33E632F1">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52" w:name="_Toc22089"/>
      <w:bookmarkStart w:id="53" w:name="_Toc16677"/>
      <w:bookmarkStart w:id="54" w:name="_Toc986"/>
      <w:bookmarkStart w:id="55" w:name="_Toc32612"/>
      <w:bookmarkStart w:id="56" w:name="_Toc10934"/>
      <w:bookmarkStart w:id="57" w:name="_Toc8115"/>
      <w:bookmarkStart w:id="58" w:name="_Toc31692"/>
      <w:bookmarkStart w:id="59" w:name="_Toc16367"/>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14:paraId="6510E6AF">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（六）评价等级划分</w:t>
      </w:r>
      <w:bookmarkEnd w:id="58"/>
      <w:bookmarkEnd w:id="59"/>
    </w:p>
    <w:p w14:paraId="5980175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本次绩效评价结果主要采取评分和评级相结合的方式，具体分值和等级可根据不同评价的内容设定。总分一般设置为100分，其中项目决策20分、项目过程20分、项目产出30分、项目绩效30分。评价结果分为优、良、中、差四个等级：</w:t>
      </w:r>
    </w:p>
    <w:p w14:paraId="5E891441">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优（90分（含）—100分）；</w:t>
      </w:r>
    </w:p>
    <w:p w14:paraId="288CD6A9">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良（80分（含）—90分）；</w:t>
      </w:r>
    </w:p>
    <w:p w14:paraId="40110544">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中（60分（含）—80分）；</w:t>
      </w:r>
    </w:p>
    <w:p w14:paraId="54E375B0">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差（0分—60分）。</w:t>
      </w:r>
    </w:p>
    <w:p w14:paraId="6D1BECAE">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highlight w:val="none"/>
          <w:lang w:val="en-US" w:eastAsia="zh-CN"/>
        </w:rPr>
        <w:t>对在项目进行绩效评价的过程中，如果实施单位有弄虚作假、瞒报谎报情况之行为，绩效评价组将如实上报至洛浦县商务和工业信息化局、洛浦县财政局，并予以通报批评；情节严重的，绩效评价结果将直接判定为不合格等级。</w:t>
      </w:r>
    </w:p>
    <w:p w14:paraId="167DE175">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0" w:name="_Toc24267"/>
      <w:r>
        <w:rPr>
          <w:rFonts w:hint="eastAsia" w:ascii="仿宋_GB2312" w:hAnsi="仿宋" w:eastAsia="仿宋_GB2312" w:cs="宋体"/>
          <w:b/>
          <w:bCs/>
          <w:sz w:val="32"/>
          <w:szCs w:val="32"/>
        </w:rPr>
        <w:t>（七）评价工作实施情况</w:t>
      </w:r>
      <w:bookmarkEnd w:id="60"/>
    </w:p>
    <w:p w14:paraId="7A5A943A">
      <w:pPr>
        <w:pStyle w:val="34"/>
        <w:tabs>
          <w:tab w:val="left" w:pos="1559"/>
        </w:tabs>
        <w:adjustRightInd w:val="0"/>
        <w:snapToGrid w:val="0"/>
        <w:spacing w:line="560" w:lineRule="exact"/>
        <w:ind w:firstLine="640"/>
        <w:outlineLvl w:val="2"/>
        <w:rPr>
          <w:rFonts w:ascii="楷体" w:hAnsi="楷体" w:eastAsia="楷体" w:cs="楷体"/>
          <w:bCs/>
          <w:sz w:val="32"/>
          <w:szCs w:val="32"/>
        </w:rPr>
      </w:pPr>
      <w:bookmarkStart w:id="61" w:name="_Toc8898"/>
      <w:bookmarkStart w:id="62" w:name="_Toc12973"/>
      <w:r>
        <w:rPr>
          <w:rFonts w:hint="eastAsia" w:ascii="楷体" w:hAnsi="楷体" w:eastAsia="楷体" w:cs="楷体"/>
          <w:bCs/>
          <w:sz w:val="32"/>
          <w:szCs w:val="32"/>
        </w:rPr>
        <w:t>1.评价工作程序和时间安排</w:t>
      </w:r>
      <w:bookmarkEnd w:id="61"/>
      <w:bookmarkEnd w:id="62"/>
    </w:p>
    <w:p w14:paraId="2C452745">
      <w:pPr>
        <w:adjustRightInd w:val="0"/>
        <w:snapToGrid w:val="0"/>
        <w:spacing w:line="560" w:lineRule="exact"/>
        <w:ind w:firstLine="640" w:firstLineChars="200"/>
        <w:rPr>
          <w:rFonts w:ascii="Times New Roman" w:hAnsi="Times New Roman" w:eastAsia="仿宋" w:cs="Times New Roman"/>
          <w:sz w:val="32"/>
          <w:szCs w:val="32"/>
        </w:rPr>
      </w:pPr>
      <w:r>
        <w:rPr>
          <w:rFonts w:hint="eastAsia" w:ascii="仿宋_GB2312" w:hAnsi="仿宋_GB2312" w:eastAsia="仿宋_GB2312" w:cs="仿宋_GB2312"/>
          <w:sz w:val="32"/>
          <w:szCs w:val="32"/>
          <w:highlight w:val="none"/>
          <w:lang w:val="en-US" w:eastAsia="zh-CN"/>
        </w:rPr>
        <w:t>本次绩效评价各阶段具体工作内容及时间进度安排详见</w:t>
      </w:r>
      <w:r>
        <w:rPr>
          <w:rFonts w:hint="eastAsia" w:ascii="仿宋" w:hAnsi="仿宋" w:eastAsia="仿宋" w:cs="仿宋"/>
          <w:sz w:val="32"/>
          <w:szCs w:val="32"/>
        </w:rPr>
        <w:t>下表：</w:t>
      </w:r>
    </w:p>
    <w:p w14:paraId="29FE171C">
      <w:pPr>
        <w:spacing w:after="156" w:afterLines="50" w:line="560" w:lineRule="exact"/>
        <w:jc w:val="center"/>
        <w:rPr>
          <w:rFonts w:ascii="Times New Roman" w:hAnsi="Times New Roman" w:eastAsia="黑体" w:cs="Times New Roman"/>
          <w:sz w:val="32"/>
          <w:szCs w:val="32"/>
          <w:highlight w:val="none"/>
        </w:rPr>
      </w:pPr>
      <w:bookmarkStart w:id="63" w:name="_Toc3615"/>
      <w:bookmarkStart w:id="64" w:name="_Toc28992"/>
      <w:r>
        <w:rPr>
          <w:rFonts w:ascii="Times New Roman" w:hAnsi="Times New Roman" w:eastAsia="黑体" w:cs="Times New Roman"/>
          <w:sz w:val="32"/>
          <w:szCs w:val="32"/>
          <w:highlight w:val="none"/>
        </w:rPr>
        <w:t>绩效评价工作程序和时间安排表</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14:paraId="5E5FA8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688" w:type="dxa"/>
            <w:shd w:val="clear" w:color="auto" w:fill="C0C0C0"/>
            <w:vAlign w:val="center"/>
          </w:tcPr>
          <w:p w14:paraId="07C4A0A4">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阶段</w:t>
            </w:r>
          </w:p>
          <w:p w14:paraId="63AB1231">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安排</w:t>
            </w:r>
          </w:p>
        </w:tc>
        <w:tc>
          <w:tcPr>
            <w:tcW w:w="4827" w:type="dxa"/>
            <w:gridSpan w:val="2"/>
            <w:shd w:val="clear" w:color="auto" w:fill="C0C0C0"/>
            <w:vAlign w:val="center"/>
          </w:tcPr>
          <w:p w14:paraId="7880A366">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工作内容</w:t>
            </w:r>
          </w:p>
        </w:tc>
        <w:tc>
          <w:tcPr>
            <w:tcW w:w="1814" w:type="dxa"/>
            <w:shd w:val="clear" w:color="auto" w:fill="C0C0C0"/>
            <w:vAlign w:val="center"/>
          </w:tcPr>
          <w:p w14:paraId="35C0BFA9">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进度安排</w:t>
            </w:r>
          </w:p>
        </w:tc>
        <w:tc>
          <w:tcPr>
            <w:tcW w:w="1175" w:type="dxa"/>
            <w:shd w:val="clear" w:color="auto" w:fill="C0C0C0"/>
            <w:vAlign w:val="center"/>
          </w:tcPr>
          <w:p w14:paraId="33E9E311">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参与方</w:t>
            </w:r>
          </w:p>
        </w:tc>
      </w:tr>
      <w:tr w14:paraId="171CFE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88" w:type="dxa"/>
            <w:vMerge w:val="restart"/>
            <w:shd w:val="clear" w:color="auto" w:fill="auto"/>
            <w:vAlign w:val="center"/>
          </w:tcPr>
          <w:p w14:paraId="184FC8C9">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b/>
                <w:bCs/>
                <w:spacing w:val="40"/>
                <w:sz w:val="20"/>
                <w:szCs w:val="20"/>
              </w:rPr>
              <w:t>评价准备阶段</w:t>
            </w:r>
          </w:p>
        </w:tc>
        <w:tc>
          <w:tcPr>
            <w:tcW w:w="4827" w:type="dxa"/>
            <w:gridSpan w:val="2"/>
            <w:shd w:val="clear" w:color="auto" w:fill="auto"/>
            <w:vAlign w:val="center"/>
          </w:tcPr>
          <w:p w14:paraId="4474F07D">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制定《项目实施工作方案》，收集并研究分析项目政策资料，编制指标评价体系和资料清单，并发送被评价单位准备资料。</w:t>
            </w:r>
          </w:p>
        </w:tc>
        <w:tc>
          <w:tcPr>
            <w:tcW w:w="1814" w:type="dxa"/>
            <w:shd w:val="clear" w:color="auto" w:fill="auto"/>
            <w:vAlign w:val="center"/>
          </w:tcPr>
          <w:p w14:paraId="6F5DBD9F">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01</w:t>
            </w:r>
            <w:r>
              <w:rPr>
                <w:rFonts w:hint="eastAsia" w:ascii="Times New Roman" w:hAnsi="Times New Roman" w:eastAsia="仿宋_GB2312" w:cs="仿宋"/>
                <w:sz w:val="20"/>
                <w:szCs w:val="20"/>
              </w:rPr>
              <w:t>日</w:t>
            </w:r>
          </w:p>
        </w:tc>
        <w:tc>
          <w:tcPr>
            <w:tcW w:w="1175" w:type="dxa"/>
            <w:shd w:val="clear" w:color="auto" w:fill="auto"/>
            <w:vAlign w:val="center"/>
          </w:tcPr>
          <w:p w14:paraId="48CD76B4">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sz w:val="20"/>
                <w:szCs w:val="20"/>
              </w:rPr>
              <w:t>评价机构</w:t>
            </w:r>
          </w:p>
        </w:tc>
      </w:tr>
      <w:tr w14:paraId="360AB5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14:paraId="06B070CB">
            <w:pPr>
              <w:adjustRightInd w:val="0"/>
              <w:snapToGrid w:val="0"/>
              <w:ind w:firstLine="560" w:firstLineChars="200"/>
              <w:jc w:val="center"/>
              <w:rPr>
                <w:rFonts w:hint="eastAsia" w:ascii="仿宋" w:hAnsi="仿宋" w:eastAsia="仿宋" w:cs="仿宋"/>
                <w:spacing w:val="40"/>
                <w:sz w:val="20"/>
                <w:szCs w:val="20"/>
              </w:rPr>
            </w:pPr>
          </w:p>
        </w:tc>
        <w:tc>
          <w:tcPr>
            <w:tcW w:w="534" w:type="dxa"/>
            <w:vMerge w:val="restart"/>
            <w:shd w:val="clear" w:color="auto" w:fill="auto"/>
            <w:vAlign w:val="center"/>
          </w:tcPr>
          <w:p w14:paraId="75DC517B">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编写相关文本</w:t>
            </w:r>
          </w:p>
          <w:p w14:paraId="5636818B">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w:t>
            </w:r>
          </w:p>
          <w:p w14:paraId="0A90BCDB">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准备资料</w:t>
            </w:r>
          </w:p>
        </w:tc>
        <w:tc>
          <w:tcPr>
            <w:tcW w:w="4293" w:type="dxa"/>
            <w:shd w:val="clear" w:color="auto" w:fill="auto"/>
            <w:vAlign w:val="center"/>
          </w:tcPr>
          <w:p w14:paraId="31A4603A">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首轮提交文本及资料：</w:t>
            </w:r>
          </w:p>
          <w:p w14:paraId="67C5EE1C">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1.项目单位提交自评绩效报告；</w:t>
            </w:r>
          </w:p>
          <w:p w14:paraId="1683BAF9">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2.项目单位按照资料清单要求准备相关资料，提交评价工作组。</w:t>
            </w:r>
          </w:p>
        </w:tc>
        <w:tc>
          <w:tcPr>
            <w:tcW w:w="1814" w:type="dxa"/>
            <w:shd w:val="clear" w:color="auto" w:fill="auto"/>
            <w:vAlign w:val="center"/>
          </w:tcPr>
          <w:p w14:paraId="3FCE8701">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vMerge w:val="restart"/>
            <w:shd w:val="clear" w:color="auto" w:fill="auto"/>
            <w:vAlign w:val="center"/>
          </w:tcPr>
          <w:p w14:paraId="4265B449">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63047A96">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72ACAE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14:paraId="71926840">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14:paraId="710DE4C5">
            <w:pPr>
              <w:adjustRightInd w:val="0"/>
              <w:snapToGrid w:val="0"/>
              <w:jc w:val="left"/>
              <w:rPr>
                <w:rFonts w:hint="eastAsia" w:ascii="仿宋" w:hAnsi="仿宋" w:eastAsia="仿宋" w:cs="仿宋"/>
                <w:sz w:val="20"/>
                <w:szCs w:val="20"/>
              </w:rPr>
            </w:pPr>
          </w:p>
        </w:tc>
        <w:tc>
          <w:tcPr>
            <w:tcW w:w="4293" w:type="dxa"/>
            <w:tcBorders>
              <w:bottom w:val="single" w:color="auto" w:sz="4" w:space="0"/>
            </w:tcBorders>
            <w:shd w:val="clear" w:color="auto" w:fill="auto"/>
            <w:vAlign w:val="center"/>
          </w:tcPr>
          <w:p w14:paraId="5E67B18D">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修改文本及补充资料：</w:t>
            </w:r>
          </w:p>
          <w:p w14:paraId="0457E3B4">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1.评价工作组提出绩效报告修改意见，并反馈项目单位进行修改；</w:t>
            </w:r>
          </w:p>
          <w:p w14:paraId="38DCD6D2">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2.评价工作组对资料进行审核，提出补充修改意见。</w:t>
            </w:r>
          </w:p>
        </w:tc>
        <w:tc>
          <w:tcPr>
            <w:tcW w:w="1814" w:type="dxa"/>
            <w:tcBorders>
              <w:bottom w:val="single" w:color="auto" w:sz="4" w:space="0"/>
            </w:tcBorders>
            <w:shd w:val="clear" w:color="auto" w:fill="auto"/>
            <w:vAlign w:val="center"/>
          </w:tcPr>
          <w:p w14:paraId="3E3D712B">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20</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12C35C5C">
            <w:pPr>
              <w:adjustRightInd w:val="0"/>
              <w:snapToGrid w:val="0"/>
              <w:jc w:val="center"/>
              <w:rPr>
                <w:rFonts w:hint="eastAsia" w:ascii="仿宋" w:hAnsi="仿宋" w:eastAsia="仿宋" w:cs="仿宋"/>
                <w:sz w:val="20"/>
                <w:szCs w:val="20"/>
              </w:rPr>
            </w:pPr>
          </w:p>
        </w:tc>
      </w:tr>
      <w:tr w14:paraId="297079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14:paraId="51CA73CD">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14:paraId="28BD04AC">
            <w:pPr>
              <w:adjustRightInd w:val="0"/>
              <w:snapToGrid w:val="0"/>
              <w:spacing w:after="120"/>
              <w:jc w:val="left"/>
              <w:rPr>
                <w:rFonts w:hint="eastAsia" w:ascii="仿宋" w:hAnsi="仿宋" w:eastAsia="仿宋" w:cs="仿宋"/>
                <w:b/>
                <w:bCs/>
                <w:sz w:val="20"/>
                <w:szCs w:val="20"/>
              </w:rPr>
            </w:pPr>
          </w:p>
        </w:tc>
        <w:tc>
          <w:tcPr>
            <w:tcW w:w="4293" w:type="dxa"/>
            <w:shd w:val="clear" w:color="auto" w:fill="auto"/>
            <w:vAlign w:val="center"/>
          </w:tcPr>
          <w:p w14:paraId="04985556">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确定终版文本及资料：</w:t>
            </w:r>
          </w:p>
          <w:p w14:paraId="34E2A431">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1.评价工作组再次审核绩效报告，项目单位参照修改意见进行修改并定稿；</w:t>
            </w:r>
          </w:p>
          <w:p w14:paraId="5FCD79D0">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2.项目单位按照补充修改意见完善资料，并将终版资料提交评价工作组，并签署资料确认单。</w:t>
            </w:r>
          </w:p>
        </w:tc>
        <w:tc>
          <w:tcPr>
            <w:tcW w:w="1814" w:type="dxa"/>
            <w:shd w:val="clear" w:color="auto" w:fill="auto"/>
            <w:vAlign w:val="center"/>
          </w:tcPr>
          <w:p w14:paraId="0F1A012D">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22</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33FDF75B">
            <w:pPr>
              <w:adjustRightInd w:val="0"/>
              <w:snapToGrid w:val="0"/>
              <w:jc w:val="center"/>
              <w:rPr>
                <w:rFonts w:hint="eastAsia" w:ascii="仿宋" w:hAnsi="仿宋" w:eastAsia="仿宋" w:cs="仿宋"/>
                <w:sz w:val="20"/>
                <w:szCs w:val="20"/>
              </w:rPr>
            </w:pPr>
          </w:p>
        </w:tc>
      </w:tr>
      <w:tr w14:paraId="124DF7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14:paraId="60FFE15E">
            <w:pPr>
              <w:adjustRightInd w:val="0"/>
              <w:snapToGrid w:val="0"/>
              <w:ind w:firstLine="560" w:firstLineChars="200"/>
              <w:jc w:val="center"/>
              <w:rPr>
                <w:rFonts w:hint="eastAsia" w:ascii="仿宋" w:hAnsi="仿宋" w:eastAsia="仿宋" w:cs="仿宋"/>
                <w:spacing w:val="40"/>
                <w:sz w:val="20"/>
                <w:szCs w:val="20"/>
              </w:rPr>
            </w:pPr>
          </w:p>
        </w:tc>
        <w:tc>
          <w:tcPr>
            <w:tcW w:w="4827" w:type="dxa"/>
            <w:gridSpan w:val="2"/>
            <w:shd w:val="clear" w:color="auto" w:fill="auto"/>
            <w:vAlign w:val="center"/>
          </w:tcPr>
          <w:p w14:paraId="6794D451">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整理、分析资料：</w:t>
            </w:r>
            <w:r>
              <w:rPr>
                <w:rFonts w:hint="eastAsia" w:ascii="Times New Roman" w:hAnsi="Times New Roman" w:eastAsia="仿宋_GB2312" w:cs="仿宋"/>
                <w:sz w:val="20"/>
                <w:szCs w:val="20"/>
              </w:rPr>
              <w:t>评价工作组对所收集资料进行整理、对资金支出情况进行分析，就有关问题与项目单位核实。</w:t>
            </w:r>
          </w:p>
        </w:tc>
        <w:tc>
          <w:tcPr>
            <w:tcW w:w="1814" w:type="dxa"/>
            <w:shd w:val="clear" w:color="auto" w:fill="auto"/>
            <w:vAlign w:val="center"/>
          </w:tcPr>
          <w:p w14:paraId="071B6F07">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3</w:t>
            </w:r>
            <w:r>
              <w:rPr>
                <w:rFonts w:hint="eastAsia" w:ascii="Times New Roman" w:hAnsi="Times New Roman" w:eastAsia="仿宋_GB2312" w:cs="仿宋"/>
                <w:sz w:val="20"/>
                <w:szCs w:val="20"/>
              </w:rPr>
              <w:t>日</w:t>
            </w:r>
          </w:p>
        </w:tc>
        <w:tc>
          <w:tcPr>
            <w:tcW w:w="1175" w:type="dxa"/>
            <w:shd w:val="clear" w:color="auto" w:fill="auto"/>
            <w:vAlign w:val="center"/>
          </w:tcPr>
          <w:p w14:paraId="0376D494">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244F9EBC">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项目单位</w:t>
            </w:r>
          </w:p>
        </w:tc>
      </w:tr>
      <w:tr w14:paraId="77AED4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14:paraId="3EFC93FF">
            <w:pPr>
              <w:adjustRightInd w:val="0"/>
              <w:snapToGrid w:val="0"/>
              <w:ind w:left="113" w:leftChars="0" w:firstLine="560" w:firstLineChars="200"/>
              <w:jc w:val="center"/>
              <w:rPr>
                <w:rFonts w:hint="eastAsia" w:ascii="仿宋" w:hAnsi="仿宋" w:eastAsia="仿宋" w:cs="仿宋"/>
                <w:spacing w:val="40"/>
                <w:sz w:val="20"/>
                <w:szCs w:val="20"/>
              </w:rPr>
            </w:pPr>
          </w:p>
        </w:tc>
        <w:tc>
          <w:tcPr>
            <w:tcW w:w="4827" w:type="dxa"/>
            <w:gridSpan w:val="2"/>
            <w:tcBorders>
              <w:bottom w:val="single" w:color="auto" w:sz="4" w:space="0"/>
            </w:tcBorders>
            <w:shd w:val="clear" w:color="auto" w:fill="auto"/>
            <w:vAlign w:val="center"/>
          </w:tcPr>
          <w:p w14:paraId="245342B6">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成立评价工作小组：</w:t>
            </w:r>
            <w:r>
              <w:rPr>
                <w:rFonts w:hint="eastAsia" w:ascii="Times New Roman" w:hAnsi="Times New Roman" w:eastAsia="仿宋_GB2312" w:cs="仿宋"/>
                <w:sz w:val="20"/>
                <w:szCs w:val="20"/>
              </w:rPr>
              <w:t>遴选相关业务、财务、管理等组成评价工作小组，并对小组成员进行培训。</w:t>
            </w:r>
          </w:p>
        </w:tc>
        <w:tc>
          <w:tcPr>
            <w:tcW w:w="1814" w:type="dxa"/>
            <w:tcBorders>
              <w:bottom w:val="single" w:color="auto" w:sz="4" w:space="0"/>
            </w:tcBorders>
            <w:shd w:val="clear" w:color="auto" w:fill="auto"/>
            <w:vAlign w:val="center"/>
          </w:tcPr>
          <w:p w14:paraId="7BC38D3F">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4</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76DC5D25">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6E98D8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14:paraId="4406B0E8">
            <w:pPr>
              <w:adjustRightInd w:val="0"/>
              <w:snapToGrid w:val="0"/>
              <w:ind w:firstLine="281" w:firstLineChars="100"/>
              <w:rPr>
                <w:rFonts w:hint="eastAsia" w:ascii="仿宋" w:hAnsi="仿宋" w:eastAsia="仿宋" w:cs="仿宋"/>
                <w:spacing w:val="40"/>
                <w:sz w:val="20"/>
                <w:szCs w:val="20"/>
              </w:rPr>
            </w:pPr>
            <w:r>
              <w:rPr>
                <w:rFonts w:hint="eastAsia" w:ascii="Times New Roman" w:hAnsi="Times New Roman" w:eastAsia="仿宋_GB2312" w:cs="仿宋"/>
                <w:b/>
                <w:bCs/>
                <w:spacing w:val="40"/>
                <w:sz w:val="20"/>
                <w:szCs w:val="20"/>
              </w:rPr>
              <w:t>评价实施阶段</w:t>
            </w:r>
          </w:p>
        </w:tc>
        <w:tc>
          <w:tcPr>
            <w:tcW w:w="4827" w:type="dxa"/>
            <w:gridSpan w:val="2"/>
            <w:tcBorders>
              <w:bottom w:val="single" w:color="auto" w:sz="4" w:space="0"/>
            </w:tcBorders>
            <w:shd w:val="clear" w:color="auto" w:fill="auto"/>
            <w:vAlign w:val="center"/>
          </w:tcPr>
          <w:p w14:paraId="011AF435">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现场调研：</w:t>
            </w:r>
            <w:r>
              <w:rPr>
                <w:rFonts w:hint="eastAsia" w:ascii="Times New Roman" w:hAnsi="Times New Roman" w:eastAsia="仿宋_GB2312" w:cs="仿宋"/>
                <w:sz w:val="20"/>
                <w:szCs w:val="20"/>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14:paraId="74B4444C">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10</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5EEE3993">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257A1911">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02BC2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14:paraId="1CA78AEC">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5DAFA399">
            <w:pPr>
              <w:rPr>
                <w:rFonts w:hint="eastAsia" w:ascii="仿宋" w:hAnsi="仿宋" w:eastAsia="仿宋" w:cs="仿宋"/>
                <w:b/>
                <w:bCs/>
                <w:sz w:val="20"/>
                <w:szCs w:val="20"/>
              </w:rPr>
            </w:pPr>
            <w:r>
              <w:rPr>
                <w:rFonts w:hint="eastAsia" w:ascii="Times New Roman" w:hAnsi="Times New Roman" w:eastAsia="仿宋_GB2312" w:cs="仿宋"/>
                <w:b/>
                <w:bCs/>
                <w:sz w:val="20"/>
                <w:szCs w:val="20"/>
              </w:rPr>
              <w:t>组织针对性培训：</w:t>
            </w:r>
            <w:r>
              <w:rPr>
                <w:rFonts w:hint="eastAsia" w:ascii="Times New Roman" w:hAnsi="Times New Roman" w:eastAsia="仿宋_GB2312" w:cs="仿宋"/>
                <w:sz w:val="20"/>
                <w:szCs w:val="20"/>
              </w:rPr>
              <w:t>评价工作组根据预算部门（单位）的不同需求，开展有针对性的培训工作。</w:t>
            </w:r>
          </w:p>
        </w:tc>
        <w:tc>
          <w:tcPr>
            <w:tcW w:w="1814" w:type="dxa"/>
            <w:shd w:val="clear" w:color="auto" w:fill="auto"/>
            <w:vAlign w:val="center"/>
          </w:tcPr>
          <w:p w14:paraId="366A49CF">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12</w:t>
            </w:r>
            <w:r>
              <w:rPr>
                <w:rFonts w:hint="eastAsia" w:ascii="Times New Roman" w:hAnsi="Times New Roman" w:eastAsia="仿宋_GB2312" w:cs="仿宋"/>
                <w:sz w:val="20"/>
                <w:szCs w:val="20"/>
              </w:rPr>
              <w:t>日</w:t>
            </w:r>
          </w:p>
        </w:tc>
        <w:tc>
          <w:tcPr>
            <w:tcW w:w="1175" w:type="dxa"/>
            <w:shd w:val="clear" w:color="auto" w:fill="auto"/>
            <w:vAlign w:val="center"/>
          </w:tcPr>
          <w:p w14:paraId="6D1E7A6F">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4A5E2B7C">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45B162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14:paraId="194BF79D">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3D647BCA">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现场评价会：</w:t>
            </w:r>
            <w:r>
              <w:rPr>
                <w:rFonts w:hint="eastAsia" w:ascii="Times New Roman" w:hAnsi="Times New Roman" w:eastAsia="仿宋_GB2312" w:cs="仿宋"/>
                <w:sz w:val="20"/>
                <w:szCs w:val="20"/>
              </w:rPr>
              <w:t>召开现场评价会议，核实项目执行情况，出具评价意见。</w:t>
            </w:r>
          </w:p>
        </w:tc>
        <w:tc>
          <w:tcPr>
            <w:tcW w:w="1814" w:type="dxa"/>
            <w:shd w:val="clear" w:color="auto" w:fill="auto"/>
            <w:vAlign w:val="center"/>
          </w:tcPr>
          <w:p w14:paraId="6195B40D">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shd w:val="clear" w:color="auto" w:fill="auto"/>
            <w:vAlign w:val="center"/>
          </w:tcPr>
          <w:p w14:paraId="222F5041">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203441A0">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513028C5">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3FCBD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14:paraId="5930DA32">
            <w:pPr>
              <w:adjustRightInd w:val="0"/>
              <w:snapToGrid w:val="0"/>
              <w:ind w:firstLine="120" w:firstLineChars="50"/>
              <w:rPr>
                <w:rFonts w:hint="eastAsia" w:ascii="仿宋" w:hAnsi="仿宋" w:eastAsia="仿宋" w:cs="仿宋"/>
                <w:spacing w:val="20"/>
                <w:sz w:val="20"/>
                <w:szCs w:val="20"/>
              </w:rPr>
            </w:pPr>
            <w:r>
              <w:rPr>
                <w:rFonts w:hint="eastAsia" w:ascii="Times New Roman" w:hAnsi="Times New Roman" w:eastAsia="仿宋_GB2312" w:cs="仿宋"/>
                <w:b/>
                <w:bCs/>
                <w:spacing w:val="20"/>
                <w:sz w:val="20"/>
                <w:szCs w:val="20"/>
              </w:rPr>
              <w:t>形成报告阶段</w:t>
            </w:r>
          </w:p>
        </w:tc>
        <w:tc>
          <w:tcPr>
            <w:tcW w:w="4827" w:type="dxa"/>
            <w:gridSpan w:val="2"/>
            <w:shd w:val="clear" w:color="auto" w:fill="auto"/>
            <w:vAlign w:val="center"/>
          </w:tcPr>
          <w:p w14:paraId="6F0AF556">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撰写报告：</w:t>
            </w:r>
            <w:r>
              <w:rPr>
                <w:rFonts w:hint="eastAsia" w:ascii="Times New Roman" w:hAnsi="Times New Roman" w:eastAsia="仿宋_GB2312" w:cs="仿宋"/>
                <w:sz w:val="20"/>
                <w:szCs w:val="20"/>
              </w:rPr>
              <w:t>评价工作组撰写项目绩效评价报告。</w:t>
            </w:r>
          </w:p>
        </w:tc>
        <w:tc>
          <w:tcPr>
            <w:tcW w:w="1814" w:type="dxa"/>
            <w:shd w:val="clear" w:color="auto" w:fill="auto"/>
            <w:vAlign w:val="center"/>
          </w:tcPr>
          <w:p w14:paraId="62716892">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16</w:t>
            </w:r>
            <w:r>
              <w:rPr>
                <w:rFonts w:hint="eastAsia" w:ascii="Times New Roman" w:hAnsi="Times New Roman" w:eastAsia="仿宋_GB2312" w:cs="仿宋"/>
                <w:sz w:val="20"/>
                <w:szCs w:val="20"/>
              </w:rPr>
              <w:t>日</w:t>
            </w:r>
          </w:p>
        </w:tc>
        <w:tc>
          <w:tcPr>
            <w:tcW w:w="1175" w:type="dxa"/>
            <w:shd w:val="clear" w:color="auto" w:fill="auto"/>
            <w:vAlign w:val="center"/>
          </w:tcPr>
          <w:p w14:paraId="6CE11DE1">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1DBBEB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688" w:type="dxa"/>
            <w:vMerge w:val="continue"/>
            <w:shd w:val="clear" w:color="auto" w:fill="auto"/>
            <w:vAlign w:val="center"/>
          </w:tcPr>
          <w:p w14:paraId="02D6B53A">
            <w:pPr>
              <w:adjustRightInd w:val="0"/>
              <w:snapToGrid w:val="0"/>
              <w:ind w:firstLine="400" w:firstLineChars="200"/>
              <w:jc w:val="center"/>
              <w:rPr>
                <w:rFonts w:hint="eastAsia" w:ascii="仿宋" w:hAnsi="仿宋" w:eastAsia="仿宋" w:cs="仿宋"/>
                <w:sz w:val="20"/>
                <w:szCs w:val="20"/>
              </w:rPr>
            </w:pPr>
          </w:p>
        </w:tc>
        <w:tc>
          <w:tcPr>
            <w:tcW w:w="4827" w:type="dxa"/>
            <w:gridSpan w:val="2"/>
            <w:tcBorders>
              <w:bottom w:val="single" w:color="auto" w:sz="4" w:space="0"/>
            </w:tcBorders>
            <w:shd w:val="clear" w:color="auto" w:fill="auto"/>
            <w:vAlign w:val="center"/>
          </w:tcPr>
          <w:p w14:paraId="0454AD31">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报告征求意见：</w:t>
            </w:r>
            <w:r>
              <w:rPr>
                <w:rFonts w:hint="eastAsia" w:ascii="Times New Roman" w:hAnsi="Times New Roman" w:eastAsia="仿宋_GB2312" w:cs="仿宋"/>
                <w:sz w:val="20"/>
                <w:szCs w:val="20"/>
              </w:rPr>
              <w:t>评价报告经评价机构三级审核后，送交委托方及项目单位征求意见。</w:t>
            </w:r>
          </w:p>
        </w:tc>
        <w:tc>
          <w:tcPr>
            <w:tcW w:w="1814" w:type="dxa"/>
            <w:tcBorders>
              <w:bottom w:val="single" w:color="auto" w:sz="4" w:space="0"/>
            </w:tcBorders>
            <w:shd w:val="clear" w:color="auto" w:fill="auto"/>
            <w:vAlign w:val="center"/>
          </w:tcPr>
          <w:p w14:paraId="26A5578E">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23</w:t>
            </w:r>
            <w:r>
              <w:rPr>
                <w:rFonts w:hint="eastAsia" w:ascii="Times New Roman" w:hAnsi="Times New Roman" w:eastAsia="仿宋_GB2312" w:cs="仿宋"/>
                <w:sz w:val="20"/>
                <w:szCs w:val="20"/>
              </w:rPr>
              <w:t>日</w:t>
            </w:r>
          </w:p>
        </w:tc>
        <w:tc>
          <w:tcPr>
            <w:tcW w:w="1175" w:type="dxa"/>
            <w:shd w:val="clear" w:color="auto" w:fill="auto"/>
            <w:vAlign w:val="center"/>
          </w:tcPr>
          <w:p w14:paraId="4F53B0DC">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542A7594">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109C8C32">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3646DC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8" w:hRule="atLeast"/>
          <w:jc w:val="center"/>
        </w:trPr>
        <w:tc>
          <w:tcPr>
            <w:tcW w:w="688" w:type="dxa"/>
            <w:vMerge w:val="continue"/>
            <w:shd w:val="clear" w:color="auto" w:fill="auto"/>
            <w:vAlign w:val="center"/>
          </w:tcPr>
          <w:p w14:paraId="5159CB45">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2E433B35">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报送报告：</w:t>
            </w:r>
            <w:r>
              <w:rPr>
                <w:rFonts w:hint="eastAsia" w:ascii="Times New Roman" w:hAnsi="Times New Roman" w:eastAsia="仿宋_GB2312" w:cs="仿宋"/>
                <w:sz w:val="20"/>
                <w:szCs w:val="20"/>
              </w:rPr>
              <w:t>根据委托方意见修改报告，在规定时间内正式向委托方报送绩效评价报告。</w:t>
            </w:r>
          </w:p>
        </w:tc>
        <w:tc>
          <w:tcPr>
            <w:tcW w:w="1814" w:type="dxa"/>
            <w:shd w:val="clear" w:color="auto" w:fill="auto"/>
            <w:vAlign w:val="center"/>
          </w:tcPr>
          <w:p w14:paraId="133E09A8">
            <w:pPr>
              <w:adjustRightInd w:val="0"/>
              <w:snapToGrid w:val="0"/>
              <w:spacing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highlight w:val="none"/>
                <w:lang w:val="en-US" w:eastAsia="zh-CN"/>
              </w:rPr>
              <w:t>30</w:t>
            </w:r>
            <w:r>
              <w:rPr>
                <w:rFonts w:hint="eastAsia" w:ascii="Times New Roman" w:hAnsi="Times New Roman" w:eastAsia="仿宋_GB2312" w:cs="仿宋"/>
                <w:sz w:val="20"/>
                <w:szCs w:val="20"/>
              </w:rPr>
              <w:t>日</w:t>
            </w:r>
          </w:p>
        </w:tc>
        <w:tc>
          <w:tcPr>
            <w:tcW w:w="1175" w:type="dxa"/>
            <w:shd w:val="clear" w:color="auto" w:fill="auto"/>
            <w:vAlign w:val="center"/>
          </w:tcPr>
          <w:p w14:paraId="64AA06DA">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259CB419">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0ABCF845">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bl>
    <w:p w14:paraId="6E39C915">
      <w:pPr>
        <w:pStyle w:val="34"/>
        <w:tabs>
          <w:tab w:val="left" w:pos="1559"/>
        </w:tabs>
        <w:adjustRightInd w:val="0"/>
        <w:snapToGrid w:val="0"/>
        <w:spacing w:line="560" w:lineRule="exact"/>
        <w:ind w:left="0" w:leftChars="0" w:firstLine="640" w:firstLineChars="200"/>
        <w:outlineLvl w:val="2"/>
        <w:rPr>
          <w:rFonts w:ascii="楷体" w:hAnsi="楷体" w:eastAsia="楷体" w:cs="楷体"/>
          <w:bCs/>
          <w:sz w:val="32"/>
          <w:szCs w:val="32"/>
        </w:rPr>
      </w:pPr>
      <w:r>
        <w:rPr>
          <w:rFonts w:hint="eastAsia" w:ascii="楷体" w:hAnsi="楷体" w:eastAsia="楷体" w:cs="楷体"/>
          <w:bCs/>
          <w:sz w:val="32"/>
          <w:szCs w:val="32"/>
        </w:rPr>
        <w:t>2.实地调研概况</w:t>
      </w:r>
      <w:bookmarkEnd w:id="63"/>
      <w:bookmarkEnd w:id="64"/>
    </w:p>
    <w:p w14:paraId="1477445D">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14:paraId="7881D46D">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研读文件：通过检查实施单位自评（总结）报告、研读相关制度文件等，了解在项目实施过程中，作为项目主管单位，是否对项目实施进行协调监督管理，是否制定相关、有效的监督管理制度，是否监督落实项目建设质量情况。</w:t>
      </w:r>
    </w:p>
    <w:p w14:paraId="04719F14">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审阅项目财务收支情况：审阅该项目实施单位记录资金收支的凭证、后附单据及相关文件，审阅该项目的相关规定，审核资金收支是否合规等。</w:t>
      </w:r>
    </w:p>
    <w:p w14:paraId="322EFBFA">
      <w:pPr>
        <w:adjustRightInd w:val="0"/>
        <w:snapToGrid w:val="0"/>
        <w:spacing w:line="560" w:lineRule="exact"/>
        <w:ind w:firstLine="640" w:firstLineChars="200"/>
        <w:jc w:val="left"/>
        <w:outlineLvl w:val="0"/>
        <w:rPr>
          <w:rFonts w:ascii="黑体" w:hAnsi="黑体" w:eastAsia="黑体" w:cs="宋体"/>
          <w:sz w:val="32"/>
          <w:szCs w:val="32"/>
        </w:rPr>
      </w:pPr>
      <w:bookmarkStart w:id="65" w:name="_Toc27359"/>
      <w:r>
        <w:rPr>
          <w:rFonts w:hint="eastAsia" w:ascii="黑体" w:hAnsi="黑体" w:eastAsia="黑体" w:cs="宋体"/>
          <w:sz w:val="32"/>
          <w:szCs w:val="32"/>
        </w:rPr>
        <w:t>三、绩效评价分析</w:t>
      </w:r>
      <w:bookmarkEnd w:id="65"/>
    </w:p>
    <w:p w14:paraId="686286AE">
      <w:pPr>
        <w:pStyle w:val="34"/>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绩效评价分析</w:t>
      </w:r>
    </w:p>
    <w:p w14:paraId="3E64C470">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6" w:name="_Toc5787"/>
      <w:r>
        <w:rPr>
          <w:rFonts w:hint="eastAsia" w:ascii="仿宋_GB2312" w:hAnsi="仿宋" w:eastAsia="仿宋_GB2312" w:cs="宋体"/>
          <w:b/>
          <w:bCs/>
          <w:sz w:val="32"/>
          <w:szCs w:val="32"/>
          <w:highlight w:val="none"/>
        </w:rPr>
        <w:t>（一）项目决策分析</w:t>
      </w:r>
      <w:bookmarkEnd w:id="66"/>
    </w:p>
    <w:p w14:paraId="46C52A30">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val="en-US" w:eastAsia="zh-CN"/>
        </w:rPr>
      </w:pPr>
      <w:bookmarkStart w:id="67" w:name="_Toc27861"/>
      <w:r>
        <w:rPr>
          <w:rFonts w:hint="eastAsia" w:ascii="楷体" w:hAnsi="楷体" w:eastAsia="楷体" w:cs="楷体"/>
          <w:bCs/>
          <w:sz w:val="32"/>
          <w:szCs w:val="32"/>
          <w:highlight w:val="none"/>
        </w:rPr>
        <w:t>1.</w:t>
      </w:r>
      <w:r>
        <w:rPr>
          <w:rFonts w:hint="eastAsia" w:ascii="楷体" w:hAnsi="楷体" w:eastAsia="楷体" w:cs="楷体"/>
          <w:bCs/>
          <w:sz w:val="32"/>
          <w:szCs w:val="32"/>
          <w:highlight w:val="none"/>
          <w:lang w:val="en-US" w:eastAsia="zh-CN"/>
        </w:rPr>
        <w:t xml:space="preserve">项目立项情况  </w:t>
      </w:r>
    </w:p>
    <w:p w14:paraId="3812DEB0">
      <w:pPr>
        <w:adjustRightInd w:val="0"/>
        <w:snapToGrid w:val="0"/>
        <w:spacing w:line="560" w:lineRule="exact"/>
        <w:ind w:firstLine="640" w:firstLineChars="200"/>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立项依据的充分性</w:t>
      </w:r>
    </w:p>
    <w:p w14:paraId="71EA1AE4">
      <w:pPr>
        <w:pStyle w:val="42"/>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符合《洛浦县党政联席会议纪要》（洛党办纪字[2021]106号）文件内容，项目的立项符合相关法规政策及部门职责，依据充分；项目是按照规定的程序申请设立；审批文件、材料符合相关要求，项目前期是已经过必要的集体决策。</w:t>
      </w:r>
    </w:p>
    <w:p w14:paraId="4EA88CFA">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（2）立项程序规范性</w:t>
      </w:r>
    </w:p>
    <w:p w14:paraId="0EE18579">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决策依据情况：项目符合经济社会发展规划和部门年度工作计划，为全面贯彻落实党的十九大和十九届二中、三中、四中、五中全会精神，坚持以人民为中心，统筹做好新冠肺炎疫情防控和节日期间各项工作，确保全国各族人民度过欢乐祥和的节日，制定《洛浦县2021年春节期间畜禽类肉类补贴项目实施方案》，对该项目进行实施。</w:t>
      </w:r>
    </w:p>
    <w:p w14:paraId="2088BE3B">
      <w:pPr>
        <w:pStyle w:val="42"/>
        <w:keepNext w:val="0"/>
        <w:keepLines w:val="0"/>
        <w:pageBreakBefore w:val="0"/>
        <w:widowControl w:val="0"/>
        <w:kinsoku/>
        <w:wordWrap/>
        <w:overflowPunct/>
        <w:topLinePunct w:val="0"/>
        <w:autoSpaceDE/>
        <w:autoSpaceDN/>
        <w:bidi w:val="0"/>
        <w:adjustRightInd/>
        <w:snapToGrid/>
        <w:spacing w:line="560" w:lineRule="exact"/>
        <w:ind w:firstLine="560"/>
        <w:textAlignment w:val="auto"/>
        <w:rPr>
          <w:rFonts w:hint="eastAsia" w:ascii="仿宋_GB2312" w:hAnsi="仿宋_GB2312" w:eastAsia="仿宋_GB2312" w:cs="仿宋_GB2312"/>
          <w:bCs/>
          <w:sz w:val="32"/>
          <w:szCs w:val="32"/>
          <w:highlight w:val="cyan"/>
          <w:lang w:val="en-US"/>
        </w:rPr>
      </w:pPr>
      <w:r>
        <w:rPr>
          <w:rFonts w:hint="eastAsia" w:ascii="仿宋_GB2312" w:hAnsi="仿宋_GB2312" w:eastAsia="仿宋_GB2312" w:cs="仿宋_GB2312"/>
          <w:sz w:val="32"/>
          <w:szCs w:val="32"/>
          <w:highlight w:val="none"/>
          <w:lang w:val="en-US" w:eastAsia="zh-CN"/>
        </w:rPr>
        <w:t>决策程序情况：根据县委安排，由洛浦县商务和工业信息化局牵头编辑实施方案并报人民政府审批，</w:t>
      </w:r>
      <w:bookmarkEnd w:id="67"/>
      <w:r>
        <w:rPr>
          <w:rFonts w:hint="eastAsia" w:ascii="仿宋_GB2312" w:hAnsi="仿宋_GB2312" w:eastAsia="仿宋_GB2312" w:cs="仿宋_GB2312"/>
          <w:sz w:val="32"/>
          <w:szCs w:val="32"/>
          <w:highlight w:val="none"/>
          <w:lang w:val="en-US" w:eastAsia="zh-CN"/>
        </w:rPr>
        <w:t>等项目过会并允许实施之后，</w:t>
      </w:r>
      <w:r>
        <w:rPr>
          <w:rFonts w:hint="eastAsia" w:ascii="仿宋_GB2312" w:hAnsi="仿宋_GB2312" w:eastAsia="仿宋_GB2312" w:cs="仿宋_GB2312"/>
          <w:kern w:val="2"/>
          <w:sz w:val="32"/>
          <w:szCs w:val="32"/>
          <w:highlight w:val="none"/>
          <w:lang w:val="en-US" w:eastAsia="zh-CN" w:bidi="ar"/>
        </w:rPr>
        <w:t>农业农村局负责羊肉、牛肉点位的选址以及补贴兑现工作，</w:t>
      </w:r>
      <w:r>
        <w:rPr>
          <w:rFonts w:hint="eastAsia" w:ascii="仿宋_GB2312" w:hAnsi="仿宋_GB2312" w:eastAsia="仿宋_GB2312" w:cs="仿宋_GB2312"/>
          <w:sz w:val="32"/>
          <w:szCs w:val="32"/>
          <w:highlight w:val="none"/>
          <w:lang w:val="en-US" w:eastAsia="zh-CN"/>
        </w:rPr>
        <w:t>商务和工业信息化局兑现补贴，</w:t>
      </w:r>
      <w:r>
        <w:rPr>
          <w:rFonts w:hint="eastAsia" w:ascii="仿宋_GB2312" w:hAnsi="仿宋_GB2312" w:eastAsia="仿宋_GB2312" w:cs="仿宋_GB2312"/>
          <w:kern w:val="2"/>
          <w:sz w:val="32"/>
          <w:szCs w:val="32"/>
          <w:highlight w:val="none"/>
          <w:lang w:val="en-US" w:eastAsia="zh-CN" w:bidi="ar"/>
        </w:rPr>
        <w:t>市场监督管理局负责乡镇及县城区域投放秩序、肉品检疫等监督指导工作，财政局:负责筹措补贴资金，及时对农业农村局、商工局申报的补贴进行核算、发放</w:t>
      </w:r>
      <w:r>
        <w:rPr>
          <w:rFonts w:hint="eastAsia" w:ascii="仿宋_GB2312" w:hAnsi="仿宋_GB2312" w:eastAsia="仿宋_GB2312" w:cs="仿宋_GB2312"/>
          <w:sz w:val="32"/>
          <w:szCs w:val="32"/>
          <w:highlight w:val="none"/>
          <w:lang w:val="en-US" w:eastAsia="zh-CN"/>
        </w:rPr>
        <w:t>；由此可见项目立项程序简洁规范。</w:t>
      </w:r>
    </w:p>
    <w:p w14:paraId="532A289C">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2.绩效目标设立情况</w:t>
      </w:r>
    </w:p>
    <w:p w14:paraId="7C204C94">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（1）绩效目标合理性</w:t>
      </w:r>
    </w:p>
    <w:p w14:paraId="694BA323">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绩效目标的内涵明确、具体、可衡量。所设立的绩效目标可以考核并能够指导洛浦县商务和工业信息化局2021年春节期间畜禽类肉类补贴项目的业务工作。指标与评价对象密切相关，全面反映项目实施内容及项目预期绩效情况，绩效目标设立符合洛浦县推动消费扶贫，保障民生供应，维护畜禽肉类价格稳定等工作要求和洛浦县商务和工业信息化局2021年工作计划，明确了项目产出数量和预期达到的效果。整体来看，绩效目标设立比较明确。</w:t>
      </w:r>
    </w:p>
    <w:p w14:paraId="21974481">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（2）绩效指标明确性</w:t>
      </w:r>
    </w:p>
    <w:p w14:paraId="68320EF0">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该项目所设置绩效目标是：一级指标3条，二级指标8条，三级指标17条，可量化指标16条，指标量化率94.12%，该项目总体绩效目标明确，符合绩效目标明确、细化、量化条件。</w:t>
      </w:r>
    </w:p>
    <w:p w14:paraId="2D4AE915">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3.资金投入情况</w:t>
      </w:r>
    </w:p>
    <w:p w14:paraId="78196154">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（1）预算编制科学性</w:t>
      </w:r>
    </w:p>
    <w:p w14:paraId="76C8D775">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320" w:firstLineChars="1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根据《关于2021年项目年初预算的报告》，该项目需要申请预算资金169.40万元，其中：财政资金160.22万元，资金具体用途为如下：</w:t>
      </w:r>
    </w:p>
    <w:p w14:paraId="6BBC0877">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320" w:firstLineChars="1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羊肉投放48144.7公斤、补贴481447元，牛肉投放27566.33公斤、补贴275663.3元，猪肉投放40733.55公斤、补贴814671元，鸡肉投放6079.53公斤、补贴30397.65元；共计补贴169.4万元。</w:t>
      </w:r>
    </w:p>
    <w:p w14:paraId="5B3BFA01">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320" w:firstLineChars="100"/>
        <w:textAlignment w:val="auto"/>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highlight w:val="none"/>
          <w:lang w:val="en-US" w:eastAsia="zh-CN"/>
        </w:rPr>
        <w:t>洛浦县商务和工业信息化局根据项目情况进行预算编制，使项目的资金额度与年度目标相适应，制定了明确详细的项目资金支出计划和进度，该项目预算编制比较科学合理。</w:t>
      </w:r>
    </w:p>
    <w:p w14:paraId="058F3A90">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（2）资金分配合理性</w:t>
      </w:r>
    </w:p>
    <w:p w14:paraId="68364925">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68" w:name="_Toc5610"/>
      <w:r>
        <w:rPr>
          <w:rFonts w:hint="eastAsia" w:ascii="仿宋_GB2312" w:hAnsi="仿宋_GB2312" w:eastAsia="仿宋_GB2312" w:cs="仿宋_GB2312"/>
          <w:sz w:val="32"/>
          <w:szCs w:val="32"/>
          <w:highlight w:val="none"/>
          <w:lang w:val="en-US" w:eastAsia="zh-CN"/>
        </w:rPr>
        <w:t>项目预算资金分配具有测算依据，分配额度合理，与补助单位或地方实际相适应，与工作任务相匹配，充分体现了资金分配的合理性。</w:t>
      </w:r>
    </w:p>
    <w:p w14:paraId="1133AD92">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（二）项目管理</w:t>
      </w:r>
      <w:r>
        <w:rPr>
          <w:rFonts w:hint="eastAsia" w:ascii="仿宋_GB2312" w:hAnsi="仿宋" w:eastAsia="仿宋_GB2312" w:cs="宋体"/>
          <w:b/>
          <w:bCs/>
          <w:sz w:val="32"/>
          <w:szCs w:val="32"/>
          <w:lang w:val="en-US" w:eastAsia="zh-CN"/>
        </w:rPr>
        <w:t>过程</w:t>
      </w:r>
      <w:r>
        <w:rPr>
          <w:rFonts w:hint="eastAsia" w:ascii="仿宋_GB2312" w:hAnsi="仿宋" w:eastAsia="仿宋_GB2312" w:cs="宋体"/>
          <w:b/>
          <w:bCs/>
          <w:sz w:val="32"/>
          <w:szCs w:val="32"/>
        </w:rPr>
        <w:t>情况分析</w:t>
      </w:r>
      <w:bookmarkEnd w:id="68"/>
    </w:p>
    <w:p w14:paraId="0E6560FD">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bookmarkStart w:id="69" w:name="_Toc11398"/>
      <w:r>
        <w:rPr>
          <w:rFonts w:hint="eastAsia" w:ascii="楷体" w:hAnsi="楷体" w:eastAsia="楷体" w:cs="楷体"/>
          <w:bCs/>
          <w:sz w:val="32"/>
          <w:szCs w:val="32"/>
        </w:rPr>
        <w:t>1.项目资金</w:t>
      </w:r>
      <w:bookmarkEnd w:id="69"/>
      <w:r>
        <w:rPr>
          <w:rFonts w:hint="eastAsia" w:ascii="楷体" w:hAnsi="楷体" w:eastAsia="楷体" w:cs="楷体"/>
          <w:bCs/>
          <w:sz w:val="32"/>
          <w:szCs w:val="32"/>
          <w:lang w:val="en-US" w:eastAsia="zh-CN"/>
        </w:rPr>
        <w:t>情况</w:t>
      </w:r>
    </w:p>
    <w:p w14:paraId="06E113BC">
      <w:pPr>
        <w:adjustRightInd w:val="0"/>
        <w:snapToGrid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）资金到位情况</w:t>
      </w:r>
    </w:p>
    <w:p w14:paraId="7D0605AB">
      <w:pPr>
        <w:pStyle w:val="42"/>
        <w:keepNext w:val="0"/>
        <w:keepLines w:val="0"/>
        <w:pageBreakBefore w:val="0"/>
        <w:widowControl w:val="0"/>
        <w:kinsoku/>
        <w:wordWrap/>
        <w:overflowPunct/>
        <w:topLinePunct w:val="0"/>
        <w:autoSpaceDE/>
        <w:autoSpaceDN/>
        <w:bidi w:val="0"/>
        <w:adjustRightInd/>
        <w:snapToGrid/>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本项目预算资金为169.40万元，实际到位资金为169.40万元；资金来源为县级配套资金</w:t>
      </w:r>
      <w:r>
        <w:rPr>
          <w:rFonts w:hint="eastAsia" w:ascii="仿宋_GB2312" w:hAnsi="仿宋_GB2312" w:eastAsia="仿宋_GB2312" w:cs="仿宋_GB2312"/>
          <w:kern w:val="2"/>
          <w:sz w:val="32"/>
          <w:szCs w:val="32"/>
          <w:highlight w:val="none"/>
          <w:lang w:val="en-US" w:eastAsia="zh-CN" w:bidi="ar-SA"/>
        </w:rPr>
        <w:t>。</w:t>
      </w:r>
      <w:r>
        <w:rPr>
          <w:rFonts w:hint="eastAsia" w:ascii="仿宋_GB2312" w:hAnsi="仿宋_GB2312" w:eastAsia="仿宋_GB2312" w:cs="仿宋_GB2312"/>
          <w:sz w:val="32"/>
          <w:szCs w:val="32"/>
          <w:highlight w:val="none"/>
          <w:lang w:val="en-US" w:eastAsia="zh-CN"/>
        </w:rPr>
        <w:t>资金到位率100%。</w:t>
      </w:r>
    </w:p>
    <w:p w14:paraId="481907DC">
      <w:pPr>
        <w:pStyle w:val="42"/>
        <w:keepNext w:val="0"/>
        <w:keepLines w:val="0"/>
        <w:pageBreakBefore w:val="0"/>
        <w:widowControl w:val="0"/>
        <w:kinsoku/>
        <w:wordWrap/>
        <w:overflowPunct/>
        <w:topLinePunct w:val="0"/>
        <w:autoSpaceDE/>
        <w:autoSpaceDN/>
        <w:bidi w:val="0"/>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（2）预算管理情况</w:t>
      </w:r>
    </w:p>
    <w:p w14:paraId="296710E3">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预算执行与预算编制基本一致，项目预算169.40万元，实际支出160.22万元，预算执行率94.58%。</w:t>
      </w:r>
    </w:p>
    <w:p w14:paraId="23B18916">
      <w:pPr>
        <w:numPr>
          <w:ilvl w:val="0"/>
          <w:numId w:val="7"/>
        </w:numPr>
        <w:adjustRightInd w:val="0"/>
        <w:snapToGrid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资金使用合规性</w:t>
      </w:r>
    </w:p>
    <w:p w14:paraId="4E362924">
      <w:pPr>
        <w:pStyle w:val="7"/>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资金严格按照洛浦县财政资金管理制度支付资金；资金的支付有完整的审批程序和手续，符合制度要求；项目资金进行单独核算，财务手续基本合理、完整，资金支付是按照自治区和洛浦县县级配套资金管理办法规定执行，资金使用规范合理。未发现专项资金有截留、挤占、挪用、虚列开支等情况。</w:t>
      </w:r>
    </w:p>
    <w:p w14:paraId="5BF78C5A">
      <w:pPr>
        <w:pStyle w:val="34"/>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w:t>
      </w:r>
      <w:r>
        <w:rPr>
          <w:rFonts w:hint="eastAsia" w:ascii="楷体" w:hAnsi="楷体" w:eastAsia="楷体" w:cs="楷体"/>
          <w:bCs/>
          <w:sz w:val="32"/>
          <w:szCs w:val="32"/>
        </w:rPr>
        <w:t>.</w:t>
      </w:r>
      <w:r>
        <w:rPr>
          <w:rFonts w:hint="eastAsia" w:ascii="楷体" w:hAnsi="楷体" w:eastAsia="楷体" w:cs="楷体"/>
          <w:bCs/>
          <w:sz w:val="32"/>
          <w:szCs w:val="32"/>
          <w:lang w:val="en-US" w:eastAsia="zh-CN"/>
        </w:rPr>
        <w:t>组织实施情况</w:t>
      </w:r>
    </w:p>
    <w:p w14:paraId="7DA460FF">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（1）管理制度健全性</w:t>
      </w:r>
    </w:p>
    <w:p w14:paraId="1CBC211B">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洛浦县商务和工业信息化局项目资金管理参照《洛浦县财政资金拨付管理暂行办法》等文件，规范了项目资金使用标准，确保项目实施单位的资金预算申请、资金执行、资金调整、监督检查、验收等过程在相关制度和流程的有效监督管控之下。项目单位建立《项目管理制度》，制度涵盖了项目的设立、质量管理、安全管理、成本控制、项目验收等流程管理制度，项目管理制度健全。</w:t>
      </w:r>
    </w:p>
    <w:p w14:paraId="033EC1BF">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（2）制度执行有效性</w:t>
      </w:r>
    </w:p>
    <w:p w14:paraId="78E1E54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资金支出严格按照县项目资金管理办法运行，项目启动实施后，为了加快该项目的实施，项目严格按照有关管理制度和资金管理制度实施。单位不定期下项目现场进行视察，督促项目进度，把控项目质量，要求按时按标准完成项目。按照项目实际实施情况提出资金拨付申请，按程序审批后报账。</w:t>
      </w:r>
      <w:r>
        <w:rPr>
          <w:rFonts w:hint="eastAsia" w:ascii="仿宋_GB2312" w:hAnsi="仿宋_GB2312" w:eastAsia="仿宋_GB2312" w:cs="仿宋_GB2312"/>
          <w:kern w:val="2"/>
          <w:sz w:val="32"/>
          <w:szCs w:val="32"/>
          <w:highlight w:val="none"/>
          <w:lang w:val="en-US" w:eastAsia="zh-CN" w:bidi="ar-SA"/>
        </w:rPr>
        <w:t>建立健全财务管理制度，健全补助资金发放台账，</w:t>
      </w:r>
      <w:r>
        <w:rPr>
          <w:rFonts w:hint="eastAsia" w:ascii="仿宋_GB2312" w:hAnsi="仿宋_GB2312" w:eastAsia="仿宋_GB2312" w:cs="仿宋_GB2312"/>
          <w:kern w:val="2"/>
          <w:sz w:val="32"/>
          <w:szCs w:val="32"/>
          <w:lang w:val="en-US" w:eastAsia="zh-CN" w:bidi="ar-SA"/>
        </w:rPr>
        <w:t>做好与金融机构的定期对账工作，确保项目专项资金安全使用，</w:t>
      </w:r>
      <w:r>
        <w:rPr>
          <w:rFonts w:hint="eastAsia" w:ascii="仿宋_GB2312" w:hAnsi="仿宋_GB2312" w:eastAsia="仿宋_GB2312" w:cs="仿宋_GB2312"/>
          <w:sz w:val="32"/>
          <w:szCs w:val="32"/>
          <w:lang w:val="en-US" w:eastAsia="zh-CN"/>
        </w:rPr>
        <w:t>资金的支付有完整的审批程序和手续，符合制度要求；项目资金进行单独核算，财务手续基本合理、完整，未发现专项资金有截留、挤占、挪用、虚列开支等情况。</w:t>
      </w:r>
    </w:p>
    <w:p w14:paraId="2DA89B8D">
      <w:pPr>
        <w:pStyle w:val="34"/>
        <w:adjustRightInd w:val="0"/>
        <w:snapToGrid w:val="0"/>
        <w:spacing w:line="560" w:lineRule="exact"/>
        <w:ind w:left="420" w:leftChars="200" w:firstLine="321" w:firstLineChars="100"/>
        <w:outlineLvl w:val="1"/>
        <w:rPr>
          <w:rFonts w:hint="eastAsia" w:ascii="楷体" w:hAnsi="楷体" w:eastAsia="楷体" w:cs="楷体"/>
          <w:bCs/>
          <w:sz w:val="32"/>
          <w:szCs w:val="32"/>
          <w:lang w:val="en-US" w:eastAsia="zh-CN"/>
        </w:rPr>
      </w:pPr>
      <w:bookmarkStart w:id="70" w:name="_Toc31015"/>
      <w:r>
        <w:rPr>
          <w:rFonts w:hint="eastAsia" w:ascii="仿宋_GB2312" w:hAnsi="仿宋" w:eastAsia="仿宋_GB2312" w:cs="宋体"/>
          <w:b/>
          <w:bCs/>
          <w:sz w:val="32"/>
          <w:szCs w:val="32"/>
        </w:rPr>
        <w:t>（</w:t>
      </w:r>
      <w:r>
        <w:rPr>
          <w:rFonts w:hint="eastAsia" w:ascii="仿宋_GB2312" w:hAnsi="仿宋" w:eastAsia="仿宋_GB2312" w:cs="宋体"/>
          <w:b/>
          <w:bCs/>
          <w:sz w:val="32"/>
          <w:szCs w:val="32"/>
          <w:lang w:val="en-US" w:eastAsia="zh-CN"/>
        </w:rPr>
        <w:t>三</w:t>
      </w:r>
      <w:r>
        <w:rPr>
          <w:rFonts w:hint="eastAsia" w:ascii="仿宋_GB2312" w:hAnsi="仿宋" w:eastAsia="仿宋_GB2312" w:cs="宋体"/>
          <w:b/>
          <w:bCs/>
          <w:sz w:val="32"/>
          <w:szCs w:val="32"/>
        </w:rPr>
        <w:t>）项目</w:t>
      </w:r>
      <w:r>
        <w:rPr>
          <w:rFonts w:hint="eastAsia" w:ascii="仿宋_GB2312" w:hAnsi="仿宋" w:eastAsia="仿宋_GB2312" w:cs="宋体"/>
          <w:b/>
          <w:bCs/>
          <w:sz w:val="32"/>
          <w:szCs w:val="32"/>
          <w:lang w:val="en-US" w:eastAsia="zh-CN"/>
        </w:rPr>
        <w:t>产出</w:t>
      </w:r>
      <w:r>
        <w:rPr>
          <w:rFonts w:hint="eastAsia" w:ascii="仿宋_GB2312" w:hAnsi="仿宋" w:eastAsia="仿宋_GB2312" w:cs="宋体"/>
          <w:b/>
          <w:bCs/>
          <w:sz w:val="32"/>
          <w:szCs w:val="32"/>
        </w:rPr>
        <w:t>情况分析</w:t>
      </w:r>
      <w:bookmarkEnd w:id="70"/>
    </w:p>
    <w:p w14:paraId="2AD54632">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1.产出数量情况</w:t>
      </w:r>
    </w:p>
    <w:p w14:paraId="071D5830">
      <w:pPr>
        <w:pStyle w:val="34"/>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截止评价日，该项目前完成了对洛浦县40733.55公斤新鲜猪肉，48144.7公斤羊肉，27566.33公斤牛肉，6079.53公斤鸡肉供应方发放补贴。</w:t>
      </w:r>
    </w:p>
    <w:p w14:paraId="59E18045">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2.产出质量情况</w:t>
      </w:r>
    </w:p>
    <w:p w14:paraId="09E83660">
      <w:pPr>
        <w:pStyle w:val="34"/>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该项目经相关检疫部门检疫合格率达到了100%，达到了年初预期指标。</w:t>
      </w:r>
    </w:p>
    <w:p w14:paraId="423EE713">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3.产出时效情况</w:t>
      </w:r>
    </w:p>
    <w:p w14:paraId="4047F686">
      <w:pPr>
        <w:pStyle w:val="34"/>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yellow"/>
          <w:lang w:val="en-US" w:eastAsia="zh-CN" w:bidi="ar-SA"/>
        </w:rPr>
      </w:pPr>
      <w:r>
        <w:rPr>
          <w:rFonts w:hint="eastAsia" w:ascii="仿宋_GB2312" w:hAnsi="仿宋_GB2312" w:eastAsia="仿宋_GB2312" w:cs="仿宋_GB2312"/>
          <w:kern w:val="2"/>
          <w:sz w:val="32"/>
          <w:szCs w:val="32"/>
          <w:highlight w:val="none"/>
          <w:lang w:val="en-US" w:eastAsia="zh-CN" w:bidi="ar-SA"/>
        </w:rPr>
        <w:t>该项目补贴发放及时性达到了100%，项目截止时间为2021年6月，此指标达到了年初预期指标。</w:t>
      </w:r>
    </w:p>
    <w:p w14:paraId="61A19FC0">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yellow"/>
          <w:lang w:val="en-US" w:eastAsia="zh-CN"/>
        </w:rPr>
      </w:pPr>
      <w:r>
        <w:rPr>
          <w:rFonts w:hint="eastAsia" w:ascii="楷体" w:hAnsi="楷体" w:eastAsia="楷体" w:cs="楷体"/>
          <w:bCs/>
          <w:sz w:val="32"/>
          <w:szCs w:val="32"/>
          <w:highlight w:val="none"/>
          <w:lang w:val="en-US" w:eastAsia="zh-CN"/>
        </w:rPr>
        <w:t>4.产出成本情况</w:t>
      </w:r>
    </w:p>
    <w:p w14:paraId="2EE1FE7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yellow"/>
          <w:lang w:val="en-US" w:eastAsia="zh-CN" w:bidi="ar-SA"/>
        </w:rPr>
      </w:pPr>
      <w:bookmarkStart w:id="71" w:name="_Toc3708"/>
      <w:r>
        <w:rPr>
          <w:rFonts w:hint="eastAsia" w:ascii="仿宋_GB2312" w:hAnsi="仿宋_GB2312" w:eastAsia="仿宋_GB2312" w:cs="仿宋_GB2312"/>
          <w:kern w:val="2"/>
          <w:sz w:val="32"/>
          <w:szCs w:val="32"/>
          <w:highlight w:val="none"/>
          <w:lang w:val="en-US" w:eastAsia="zh-CN" w:bidi="ar-SA"/>
        </w:rPr>
        <w:t>项目计划总投资169.40万元，项目实际支出金额为 160.22万元，项目支出有效控制在预算范围内。</w:t>
      </w:r>
    </w:p>
    <w:p w14:paraId="0027BA53">
      <w:pPr>
        <w:pStyle w:val="6"/>
        <w:ind w:firstLine="321" w:firstLineChars="100"/>
        <w:rPr>
          <w:rFonts w:hint="eastAsia" w:ascii="仿宋_GB2312" w:hAnsi="仿宋" w:eastAsia="仿宋_GB2312" w:cs="宋体"/>
          <w:b/>
          <w:bCs/>
          <w:sz w:val="32"/>
          <w:szCs w:val="32"/>
          <w:lang w:val="en-US" w:eastAsia="zh-CN"/>
        </w:rPr>
      </w:pPr>
      <w:r>
        <w:rPr>
          <w:rFonts w:hint="eastAsia" w:ascii="仿宋_GB2312" w:hAnsi="仿宋" w:eastAsia="仿宋_GB2312" w:cs="宋体"/>
          <w:b/>
          <w:bCs/>
          <w:sz w:val="32"/>
          <w:szCs w:val="32"/>
          <w:lang w:val="en-US" w:eastAsia="zh-CN"/>
        </w:rPr>
        <w:t>（四）项目效益评价分析</w:t>
      </w:r>
      <w:bookmarkEnd w:id="71"/>
    </w:p>
    <w:p w14:paraId="5FEA56F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1.经济效益情况</w:t>
      </w:r>
    </w:p>
    <w:p w14:paraId="064DC12D">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该项目的实施帮助购买群众节省了5元/公斤，此指标达到了年初预期指标。</w:t>
      </w:r>
    </w:p>
    <w:p w14:paraId="78CB856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2.社会效益情况</w:t>
      </w:r>
    </w:p>
    <w:p w14:paraId="347A489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通过实施2021年春节期间畜禽类肉类补贴项目，保障了铭胜供应，维护了畜禽肉类价格平稳运行，惠及中低收入群体达到了2万人。</w:t>
      </w:r>
    </w:p>
    <w:p w14:paraId="70385412">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3.生态效益情况</w:t>
      </w:r>
    </w:p>
    <w:p w14:paraId="5938A83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该项目未涉及生态效益。</w:t>
      </w:r>
    </w:p>
    <w:p w14:paraId="539A50AC">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4.可持续影响情况</w:t>
      </w:r>
    </w:p>
    <w:p w14:paraId="48569FD2">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项目保障时效为1年。</w:t>
      </w:r>
    </w:p>
    <w:p w14:paraId="3DDBB2C8">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5.服务对象满意度情况</w:t>
      </w:r>
    </w:p>
    <w:p w14:paraId="33D86F2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bookmarkStart w:id="72" w:name="_Toc6584"/>
      <w:r>
        <w:rPr>
          <w:rFonts w:hint="eastAsia" w:ascii="仿宋_GB2312" w:hAnsi="仿宋_GB2312" w:eastAsia="仿宋_GB2312" w:cs="仿宋_GB2312"/>
          <w:kern w:val="2"/>
          <w:sz w:val="32"/>
          <w:szCs w:val="32"/>
          <w:highlight w:val="none"/>
          <w:lang w:val="en-US" w:eastAsia="zh-CN" w:bidi="ar-SA"/>
        </w:rPr>
        <w:t>通过走访受益对象，发放调查问卷一共145份，回收有效问卷共计145份，按照调查问卷来看，受益人对该项目实施效果的满意程度达到了100%。</w:t>
      </w:r>
    </w:p>
    <w:p w14:paraId="38161F02">
      <w:pPr>
        <w:numPr>
          <w:ilvl w:val="0"/>
          <w:numId w:val="0"/>
        </w:num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lang w:val="en-US" w:eastAsia="zh-CN"/>
        </w:rPr>
        <w:t>四、</w:t>
      </w:r>
      <w:r>
        <w:rPr>
          <w:rFonts w:hint="eastAsia" w:ascii="黑体" w:hAnsi="黑体" w:eastAsia="黑体" w:cs="宋体"/>
          <w:sz w:val="32"/>
          <w:szCs w:val="32"/>
          <w:highlight w:val="none"/>
        </w:rPr>
        <w:t>评价结论</w:t>
      </w:r>
      <w:bookmarkEnd w:id="72"/>
    </w:p>
    <w:p w14:paraId="6C9855FC">
      <w:pPr>
        <w:pStyle w:val="34"/>
        <w:adjustRightInd w:val="0"/>
        <w:snapToGrid w:val="0"/>
        <w:spacing w:line="560" w:lineRule="exact"/>
        <w:ind w:firstLine="643"/>
        <w:outlineLvl w:val="1"/>
        <w:rPr>
          <w:rFonts w:ascii="仿宋_GB2312" w:hAnsi="仿宋" w:eastAsia="仿宋_GB2312" w:cs="宋体"/>
          <w:b/>
          <w:bCs/>
          <w:sz w:val="32"/>
          <w:szCs w:val="32"/>
        </w:rPr>
      </w:pPr>
      <w:bookmarkStart w:id="73" w:name="_Toc13481"/>
      <w:r>
        <w:rPr>
          <w:rFonts w:hint="eastAsia" w:ascii="仿宋_GB2312" w:hAnsi="仿宋" w:eastAsia="仿宋_GB2312" w:cs="宋体"/>
          <w:b/>
          <w:bCs/>
          <w:sz w:val="32"/>
          <w:szCs w:val="32"/>
        </w:rPr>
        <w:t>（一）评分结果</w:t>
      </w:r>
      <w:bookmarkEnd w:id="73"/>
    </w:p>
    <w:p w14:paraId="0D8DF0C1">
      <w:pPr>
        <w:spacing w:line="560" w:lineRule="exact"/>
        <w:ind w:firstLine="640" w:firstLineChars="200"/>
        <w:rPr>
          <w:rFonts w:ascii="仿宋" w:hAnsi="仿宋" w:eastAsia="仿宋" w:cs="仿宋_GB2312"/>
          <w:sz w:val="32"/>
          <w:szCs w:val="32"/>
          <w:highlight w:val="none"/>
        </w:rPr>
      </w:pPr>
      <w:r>
        <w:rPr>
          <w:rFonts w:hint="eastAsia" w:ascii="仿宋_GB2312" w:hAnsi="仿宋_GB2312" w:eastAsia="仿宋_GB2312" w:cs="仿宋_GB2312"/>
          <w:kern w:val="2"/>
          <w:sz w:val="32"/>
          <w:szCs w:val="32"/>
          <w:highlight w:val="none"/>
          <w:lang w:val="en-US" w:eastAsia="zh-CN" w:bidi="ar-SA"/>
        </w:rPr>
        <w:t>经综合评价，项目得分为100分，评价等级为优，一级指标各项得分情况见下表：</w:t>
      </w:r>
    </w:p>
    <w:p w14:paraId="6523B3D7">
      <w:pPr>
        <w:pStyle w:val="41"/>
        <w:rPr>
          <w:highlight w:val="none"/>
        </w:rPr>
      </w:pPr>
      <w:r>
        <w:rPr>
          <w:rFonts w:hint="eastAsia"/>
          <w:highlight w:val="none"/>
          <w:lang w:eastAsia="zh-CN"/>
        </w:rPr>
        <w:t>202</w:t>
      </w:r>
      <w:r>
        <w:rPr>
          <w:rFonts w:hint="eastAsia"/>
          <w:highlight w:val="none"/>
          <w:lang w:val="en-US" w:eastAsia="zh-CN"/>
        </w:rPr>
        <w:t>1</w:t>
      </w:r>
      <w:r>
        <w:rPr>
          <w:rFonts w:hint="eastAsia"/>
          <w:highlight w:val="none"/>
        </w:rPr>
        <w:t>年度该项目绩效评价</w:t>
      </w:r>
      <w:r>
        <w:rPr>
          <w:highlight w:val="none"/>
        </w:rPr>
        <w:t>得分情况表</w:t>
      </w:r>
    </w:p>
    <w:tbl>
      <w:tblPr>
        <w:tblStyle w:val="20"/>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7"/>
        <w:gridCol w:w="1543"/>
        <w:gridCol w:w="1413"/>
        <w:gridCol w:w="1152"/>
        <w:gridCol w:w="1290"/>
        <w:gridCol w:w="1388"/>
      </w:tblGrid>
      <w:tr w14:paraId="580C2A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517" w:type="dxa"/>
            <w:tcBorders>
              <w:bottom w:val="single" w:color="auto" w:sz="4" w:space="0"/>
            </w:tcBorders>
            <w:shd w:val="clear" w:color="auto" w:fill="A6A6A6"/>
            <w:vAlign w:val="center"/>
          </w:tcPr>
          <w:p w14:paraId="7C323AF4">
            <w:pPr>
              <w:pStyle w:val="41"/>
              <w:rPr>
                <w:rFonts w:ascii="仿宋" w:hAnsi="仿宋" w:eastAsia="仿宋" w:cs="仿宋"/>
                <w:sz w:val="21"/>
                <w:szCs w:val="21"/>
                <w:highlight w:val="none"/>
              </w:rPr>
            </w:pPr>
            <w:r>
              <w:rPr>
                <w:rFonts w:hint="eastAsia" w:ascii="仿宋" w:hAnsi="仿宋" w:eastAsia="仿宋" w:cs="仿宋"/>
                <w:sz w:val="21"/>
                <w:szCs w:val="21"/>
                <w:highlight w:val="none"/>
              </w:rPr>
              <w:t>指标</w:t>
            </w:r>
          </w:p>
        </w:tc>
        <w:tc>
          <w:tcPr>
            <w:tcW w:w="1543" w:type="dxa"/>
            <w:tcBorders>
              <w:bottom w:val="single" w:color="auto" w:sz="4" w:space="0"/>
            </w:tcBorders>
            <w:shd w:val="clear" w:color="auto" w:fill="A6A6A6"/>
            <w:vAlign w:val="center"/>
          </w:tcPr>
          <w:p w14:paraId="00C1D498">
            <w:pPr>
              <w:pStyle w:val="41"/>
              <w:rPr>
                <w:rFonts w:ascii="仿宋" w:hAnsi="仿宋" w:eastAsia="仿宋" w:cs="仿宋"/>
                <w:sz w:val="21"/>
                <w:szCs w:val="21"/>
                <w:highlight w:val="none"/>
              </w:rPr>
            </w:pPr>
            <w:r>
              <w:rPr>
                <w:rFonts w:hint="eastAsia" w:ascii="仿宋" w:hAnsi="仿宋" w:eastAsia="仿宋" w:cs="仿宋"/>
                <w:sz w:val="21"/>
                <w:szCs w:val="21"/>
                <w:highlight w:val="none"/>
              </w:rPr>
              <w:t>项目决策</w:t>
            </w:r>
          </w:p>
        </w:tc>
        <w:tc>
          <w:tcPr>
            <w:tcW w:w="1413" w:type="dxa"/>
            <w:tcBorders>
              <w:bottom w:val="single" w:color="auto" w:sz="4" w:space="0"/>
            </w:tcBorders>
            <w:shd w:val="clear" w:color="auto" w:fill="A6A6A6"/>
            <w:vAlign w:val="center"/>
          </w:tcPr>
          <w:p w14:paraId="3B33CB2F">
            <w:pPr>
              <w:pStyle w:val="41"/>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过程</w:t>
            </w:r>
          </w:p>
        </w:tc>
        <w:tc>
          <w:tcPr>
            <w:tcW w:w="1152" w:type="dxa"/>
            <w:tcBorders>
              <w:bottom w:val="single" w:color="auto" w:sz="4" w:space="0"/>
            </w:tcBorders>
            <w:shd w:val="clear" w:color="auto" w:fill="A6A6A6"/>
            <w:vAlign w:val="center"/>
          </w:tcPr>
          <w:p w14:paraId="79BBDEEC">
            <w:pPr>
              <w:pStyle w:val="41"/>
              <w:rPr>
                <w:rFonts w:hint="default" w:ascii="仿宋" w:hAnsi="仿宋" w:eastAsia="仿宋" w:cs="仿宋"/>
                <w:sz w:val="21"/>
                <w:szCs w:val="21"/>
                <w:highlight w:val="none"/>
                <w:lang w:val="en-US" w:eastAsia="zh-CN"/>
              </w:rPr>
            </w:pPr>
            <w:r>
              <w:rPr>
                <w:rFonts w:hint="eastAsia" w:ascii="仿宋" w:hAnsi="仿宋" w:eastAsia="仿宋" w:cs="仿宋"/>
                <w:sz w:val="21"/>
                <w:szCs w:val="21"/>
                <w:highlight w:val="none"/>
                <w:lang w:val="en-US" w:eastAsia="zh-CN"/>
              </w:rPr>
              <w:t>项目产出</w:t>
            </w:r>
          </w:p>
        </w:tc>
        <w:tc>
          <w:tcPr>
            <w:tcW w:w="1290" w:type="dxa"/>
            <w:tcBorders>
              <w:bottom w:val="single" w:color="auto" w:sz="4" w:space="0"/>
            </w:tcBorders>
            <w:shd w:val="clear" w:color="auto" w:fill="A6A6A6"/>
            <w:vAlign w:val="center"/>
          </w:tcPr>
          <w:p w14:paraId="11DC475E">
            <w:pPr>
              <w:pStyle w:val="41"/>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效益</w:t>
            </w:r>
          </w:p>
        </w:tc>
        <w:tc>
          <w:tcPr>
            <w:tcW w:w="1388" w:type="dxa"/>
            <w:tcBorders>
              <w:bottom w:val="single" w:color="auto" w:sz="4" w:space="0"/>
            </w:tcBorders>
            <w:shd w:val="clear" w:color="auto" w:fill="A6A6A6"/>
            <w:vAlign w:val="center"/>
          </w:tcPr>
          <w:p w14:paraId="13C0C35D">
            <w:pPr>
              <w:pStyle w:val="41"/>
              <w:rPr>
                <w:rFonts w:ascii="仿宋" w:hAnsi="仿宋" w:eastAsia="仿宋" w:cs="仿宋"/>
                <w:sz w:val="21"/>
                <w:szCs w:val="21"/>
                <w:highlight w:val="none"/>
              </w:rPr>
            </w:pPr>
            <w:r>
              <w:rPr>
                <w:rFonts w:hint="eastAsia" w:ascii="仿宋" w:hAnsi="仿宋" w:eastAsia="仿宋" w:cs="仿宋"/>
                <w:sz w:val="21"/>
                <w:szCs w:val="21"/>
                <w:highlight w:val="none"/>
              </w:rPr>
              <w:t>合计</w:t>
            </w:r>
          </w:p>
        </w:tc>
      </w:tr>
      <w:tr w14:paraId="5A9A9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67AF3606">
            <w:pPr>
              <w:pStyle w:val="41"/>
              <w:rPr>
                <w:rFonts w:ascii="仿宋" w:hAnsi="仿宋" w:eastAsia="仿宋" w:cs="仿宋"/>
                <w:sz w:val="21"/>
                <w:szCs w:val="21"/>
                <w:highlight w:val="none"/>
              </w:rPr>
            </w:pPr>
            <w:r>
              <w:rPr>
                <w:rFonts w:hint="eastAsia" w:ascii="仿宋" w:hAnsi="仿宋" w:eastAsia="仿宋" w:cs="仿宋"/>
                <w:sz w:val="21"/>
                <w:szCs w:val="21"/>
                <w:highlight w:val="none"/>
              </w:rPr>
              <w:t>权重</w:t>
            </w:r>
          </w:p>
        </w:tc>
        <w:tc>
          <w:tcPr>
            <w:tcW w:w="1543" w:type="dxa"/>
            <w:vAlign w:val="center"/>
          </w:tcPr>
          <w:p w14:paraId="66CDC8F4">
            <w:pPr>
              <w:pStyle w:val="41"/>
              <w:rPr>
                <w:rFonts w:hint="eastAsia" w:ascii="仿宋" w:hAnsi="仿宋" w:eastAsia="仿宋" w:cs="仿宋"/>
                <w:b w:val="0"/>
                <w:sz w:val="21"/>
                <w:szCs w:val="21"/>
                <w:highlight w:val="none"/>
                <w:lang w:eastAsia="zh-CN"/>
              </w:rPr>
            </w:pPr>
            <w:r>
              <w:rPr>
                <w:rFonts w:hint="eastAsia" w:ascii="仿宋" w:hAnsi="仿宋" w:eastAsia="仿宋" w:cs="仿宋"/>
                <w:b w:val="0"/>
                <w:sz w:val="21"/>
                <w:szCs w:val="21"/>
                <w:highlight w:val="none"/>
              </w:rPr>
              <w:t>2</w:t>
            </w:r>
            <w:r>
              <w:rPr>
                <w:rFonts w:hint="eastAsia" w:ascii="仿宋" w:hAnsi="仿宋" w:eastAsia="仿宋" w:cs="仿宋"/>
                <w:b w:val="0"/>
                <w:sz w:val="21"/>
                <w:szCs w:val="21"/>
                <w:highlight w:val="none"/>
                <w:lang w:val="en-US" w:eastAsia="zh-CN"/>
              </w:rPr>
              <w:t>0</w:t>
            </w:r>
          </w:p>
        </w:tc>
        <w:tc>
          <w:tcPr>
            <w:tcW w:w="1413" w:type="dxa"/>
            <w:vAlign w:val="center"/>
          </w:tcPr>
          <w:p w14:paraId="4A540B7E">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152" w:type="dxa"/>
            <w:vAlign w:val="center"/>
          </w:tcPr>
          <w:p w14:paraId="244BC0DE">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14:paraId="09D842EA">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14:paraId="6E2DC8CE">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rPr>
              <w:t>100</w:t>
            </w:r>
          </w:p>
        </w:tc>
      </w:tr>
      <w:tr w14:paraId="18156C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71386907">
            <w:pPr>
              <w:pStyle w:val="41"/>
              <w:rPr>
                <w:rFonts w:ascii="仿宋" w:hAnsi="仿宋" w:eastAsia="仿宋" w:cs="仿宋"/>
                <w:sz w:val="21"/>
                <w:szCs w:val="21"/>
                <w:highlight w:val="none"/>
              </w:rPr>
            </w:pPr>
            <w:r>
              <w:rPr>
                <w:rFonts w:hint="eastAsia" w:ascii="仿宋" w:hAnsi="仿宋" w:eastAsia="仿宋" w:cs="仿宋"/>
                <w:sz w:val="21"/>
                <w:szCs w:val="21"/>
                <w:highlight w:val="none"/>
              </w:rPr>
              <w:t>分值</w:t>
            </w:r>
          </w:p>
        </w:tc>
        <w:tc>
          <w:tcPr>
            <w:tcW w:w="1543" w:type="dxa"/>
            <w:vAlign w:val="center"/>
          </w:tcPr>
          <w:p w14:paraId="2BA11212">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413" w:type="dxa"/>
            <w:vAlign w:val="center"/>
          </w:tcPr>
          <w:p w14:paraId="60E9B307">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19.83</w:t>
            </w:r>
          </w:p>
        </w:tc>
        <w:tc>
          <w:tcPr>
            <w:tcW w:w="1152" w:type="dxa"/>
            <w:vAlign w:val="center"/>
          </w:tcPr>
          <w:p w14:paraId="1482C87C">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25.62</w:t>
            </w:r>
          </w:p>
        </w:tc>
        <w:tc>
          <w:tcPr>
            <w:tcW w:w="1290" w:type="dxa"/>
            <w:vAlign w:val="center"/>
          </w:tcPr>
          <w:p w14:paraId="4D0728E7">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14:paraId="34CD68D0">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95.45</w:t>
            </w:r>
          </w:p>
        </w:tc>
      </w:tr>
      <w:tr w14:paraId="65E5FC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717F7BEA">
            <w:pPr>
              <w:pStyle w:val="41"/>
              <w:rPr>
                <w:rFonts w:ascii="仿宋" w:hAnsi="仿宋" w:eastAsia="仿宋" w:cs="仿宋"/>
                <w:sz w:val="21"/>
                <w:szCs w:val="21"/>
                <w:highlight w:val="none"/>
              </w:rPr>
            </w:pPr>
            <w:r>
              <w:rPr>
                <w:rFonts w:hint="eastAsia" w:ascii="仿宋" w:hAnsi="仿宋" w:eastAsia="仿宋" w:cs="仿宋"/>
                <w:sz w:val="21"/>
                <w:szCs w:val="21"/>
                <w:highlight w:val="none"/>
              </w:rPr>
              <w:t>得分率</w:t>
            </w:r>
          </w:p>
        </w:tc>
        <w:tc>
          <w:tcPr>
            <w:tcW w:w="1543" w:type="dxa"/>
            <w:vAlign w:val="center"/>
          </w:tcPr>
          <w:p w14:paraId="382301A0">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413" w:type="dxa"/>
            <w:vAlign w:val="center"/>
          </w:tcPr>
          <w:p w14:paraId="4F08E14E">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152" w:type="dxa"/>
            <w:vAlign w:val="center"/>
          </w:tcPr>
          <w:p w14:paraId="7AA14FE5">
            <w:pPr>
              <w:pStyle w:val="41"/>
              <w:rPr>
                <w:rFonts w:hint="eastAsia"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290" w:type="dxa"/>
            <w:vAlign w:val="center"/>
          </w:tcPr>
          <w:p w14:paraId="72F56F0A">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388" w:type="dxa"/>
            <w:vAlign w:val="center"/>
          </w:tcPr>
          <w:p w14:paraId="6D6D8D15">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95.45</w:t>
            </w:r>
            <w:r>
              <w:rPr>
                <w:rFonts w:hint="eastAsia" w:ascii="仿宋" w:hAnsi="仿宋" w:eastAsia="仿宋" w:cs="仿宋"/>
                <w:b w:val="0"/>
                <w:sz w:val="21"/>
                <w:szCs w:val="21"/>
                <w:highlight w:val="none"/>
              </w:rPr>
              <w:t>%</w:t>
            </w:r>
          </w:p>
        </w:tc>
      </w:tr>
    </w:tbl>
    <w:p w14:paraId="5F1A88E0">
      <w:pPr>
        <w:pStyle w:val="8"/>
        <w:ind w:firstLine="0" w:firstLineChars="0"/>
        <w:rPr>
          <w:highlight w:val="yellow"/>
        </w:rPr>
      </w:pPr>
    </w:p>
    <w:p w14:paraId="2F29436C">
      <w:pPr>
        <w:pStyle w:val="34"/>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评价结论</w:t>
      </w:r>
    </w:p>
    <w:p w14:paraId="77FEF321">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4" w:name="_Toc3803"/>
      <w:r>
        <w:rPr>
          <w:rFonts w:hint="eastAsia" w:ascii="仿宋_GB2312" w:hAnsi="仿宋" w:eastAsia="仿宋_GB2312" w:cs="宋体"/>
          <w:b/>
          <w:bCs/>
          <w:sz w:val="32"/>
          <w:szCs w:val="32"/>
        </w:rPr>
        <w:t>（二）项目总体评价结论</w:t>
      </w:r>
      <w:bookmarkEnd w:id="74"/>
    </w:p>
    <w:p w14:paraId="2E510E7E">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项目立项较规范，绩效目标合理，绩效指标明确，项目管理制度较健全，制度建设基本有效执行。项目总投资169.40万元，财政资金到位率100%，实际支出160.22万元，预算资金执行率94.58%。资金使用程序较规范，能够做到县级配套资金专款专用，未发现截留、挤占、挪用、虚列支出等情况。项目实施后，确保了春节期间我县畜禽肉类供应充足、价格稳定，为2万名购买群体每公斤肉节省了5块钱，有效保障和改善了民生，努力营造了繁荣稳定、欢乐祥和、安全有序的节日。</w:t>
      </w:r>
    </w:p>
    <w:p w14:paraId="544F35F6">
      <w:pPr>
        <w:adjustRightInd w:val="0"/>
        <w:snapToGrid w:val="0"/>
        <w:spacing w:line="560" w:lineRule="exact"/>
        <w:ind w:firstLine="640" w:firstLineChars="200"/>
        <w:jc w:val="left"/>
        <w:outlineLvl w:val="0"/>
        <w:rPr>
          <w:rFonts w:hint="default" w:ascii="黑体" w:hAnsi="黑体" w:eastAsia="黑体" w:cs="宋体"/>
          <w:sz w:val="32"/>
          <w:szCs w:val="32"/>
          <w:highlight w:val="none"/>
          <w:lang w:val="en-US" w:eastAsia="zh-CN"/>
        </w:rPr>
      </w:pPr>
      <w:bookmarkStart w:id="75" w:name="_Toc7267"/>
      <w:r>
        <w:rPr>
          <w:rFonts w:hint="eastAsia" w:ascii="黑体" w:hAnsi="黑体" w:eastAsia="黑体" w:cs="宋体"/>
          <w:sz w:val="32"/>
          <w:szCs w:val="32"/>
          <w:highlight w:val="none"/>
        </w:rPr>
        <w:t>五、问题</w:t>
      </w:r>
      <w:bookmarkEnd w:id="75"/>
      <w:r>
        <w:rPr>
          <w:rFonts w:hint="eastAsia" w:ascii="黑体" w:hAnsi="黑体" w:eastAsia="黑体" w:cs="宋体"/>
          <w:sz w:val="32"/>
          <w:szCs w:val="32"/>
          <w:highlight w:val="none"/>
          <w:lang w:val="en-US" w:eastAsia="zh-CN"/>
        </w:rPr>
        <w:t>及建议</w:t>
      </w:r>
    </w:p>
    <w:p w14:paraId="41CEA565">
      <w:pPr>
        <w:pStyle w:val="34"/>
        <w:adjustRightInd w:val="0"/>
        <w:snapToGrid w:val="0"/>
        <w:spacing w:line="560" w:lineRule="exact"/>
        <w:ind w:left="0" w:leftChars="0" w:firstLine="643" w:firstLineChars="200"/>
        <w:outlineLvl w:val="1"/>
        <w:rPr>
          <w:rFonts w:ascii="仿宋_GB2312" w:hAnsi="仿宋" w:eastAsia="仿宋_GB2312" w:cs="宋体"/>
          <w:b/>
          <w:bCs/>
          <w:sz w:val="32"/>
          <w:szCs w:val="32"/>
        </w:rPr>
      </w:pPr>
      <w:bookmarkStart w:id="76" w:name="_Toc2013"/>
      <w:bookmarkStart w:id="77" w:name="_Toc14039"/>
      <w:r>
        <w:rPr>
          <w:rFonts w:hint="eastAsia" w:ascii="仿宋_GB2312" w:hAnsi="仿宋" w:eastAsia="仿宋_GB2312" w:cs="宋体"/>
          <w:b/>
          <w:bCs/>
          <w:sz w:val="32"/>
          <w:szCs w:val="32"/>
        </w:rPr>
        <w:t>（一）问题</w:t>
      </w:r>
      <w:bookmarkEnd w:id="76"/>
    </w:p>
    <w:p w14:paraId="48B70F58">
      <w:pPr>
        <w:pStyle w:val="19"/>
        <w:numPr>
          <w:ilvl w:val="0"/>
          <w:numId w:val="0"/>
        </w:numPr>
        <w:ind w:firstLine="640" w:firstLineChars="200"/>
        <w:rPr>
          <w:rFonts w:hint="eastAsia" w:ascii="仿宋_GB2312" w:hAnsi="仿宋_GB2312" w:eastAsia="仿宋_GB2312" w:cs="仿宋_GB2312"/>
          <w:kern w:val="2"/>
          <w:sz w:val="32"/>
          <w:szCs w:val="32"/>
          <w:highlight w:val="none"/>
          <w:lang w:val="en-US" w:eastAsia="zh-CN" w:bidi="ar-SA"/>
        </w:rPr>
      </w:pPr>
      <w:bookmarkStart w:id="78" w:name="_Toc4075"/>
      <w:r>
        <w:rPr>
          <w:rFonts w:hint="eastAsia" w:ascii="仿宋_GB2312" w:hAnsi="仿宋_GB2312" w:eastAsia="仿宋_GB2312" w:cs="仿宋_GB2312"/>
          <w:kern w:val="2"/>
          <w:sz w:val="32"/>
          <w:szCs w:val="32"/>
          <w:highlight w:val="none"/>
          <w:lang w:val="en-US" w:eastAsia="zh-CN" w:bidi="ar-SA"/>
        </w:rPr>
        <w:t>洛浦县商务和工业信息化局认真实施项目，按照实际需求基本完成了年度绩效目标，但是由于项目涉及乡镇对该项目的前期督促工作不到位，导致鸭肉供应商未及时提供相关的支付材料，资金均未支付。</w:t>
      </w:r>
    </w:p>
    <w:p w14:paraId="25FEBBFA">
      <w:pPr>
        <w:pStyle w:val="34"/>
        <w:adjustRightInd w:val="0"/>
        <w:snapToGrid w:val="0"/>
        <w:spacing w:line="560" w:lineRule="exact"/>
        <w:ind w:left="0" w:leftChars="0" w:firstLine="643" w:firstLineChars="200"/>
        <w:outlineLvl w:val="1"/>
        <w:rPr>
          <w:rFonts w:ascii="仿宋_GB2312" w:hAnsi="仿宋" w:eastAsia="仿宋_GB2312" w:cs="宋体"/>
          <w:b/>
          <w:bCs/>
          <w:sz w:val="32"/>
          <w:szCs w:val="32"/>
        </w:rPr>
      </w:pPr>
      <w:r>
        <w:rPr>
          <w:rFonts w:hint="eastAsia" w:ascii="仿宋_GB2312" w:hAnsi="仿宋" w:eastAsia="仿宋_GB2312" w:cs="宋体"/>
          <w:b/>
          <w:bCs/>
          <w:sz w:val="32"/>
          <w:szCs w:val="32"/>
        </w:rPr>
        <w:t>（</w:t>
      </w:r>
      <w:r>
        <w:rPr>
          <w:rFonts w:hint="eastAsia" w:ascii="仿宋_GB2312" w:hAnsi="仿宋" w:eastAsia="仿宋_GB2312" w:cs="宋体"/>
          <w:b/>
          <w:bCs/>
          <w:sz w:val="32"/>
          <w:szCs w:val="32"/>
          <w:lang w:val="en-US" w:eastAsia="zh-CN"/>
        </w:rPr>
        <w:t>二</w:t>
      </w:r>
      <w:r>
        <w:rPr>
          <w:rFonts w:hint="eastAsia" w:ascii="仿宋_GB2312" w:hAnsi="仿宋" w:eastAsia="仿宋_GB2312" w:cs="宋体"/>
          <w:b/>
          <w:bCs/>
          <w:sz w:val="32"/>
          <w:szCs w:val="32"/>
        </w:rPr>
        <w:t>）意见和建议</w:t>
      </w:r>
      <w:bookmarkEnd w:id="78"/>
    </w:p>
    <w:p w14:paraId="73E3A5CE">
      <w:pPr>
        <w:pStyle w:val="19"/>
        <w:numPr>
          <w:ilvl w:val="0"/>
          <w:numId w:val="0"/>
        </w:numPr>
        <w:ind w:firstLine="640" w:firstLineChars="200"/>
        <w:rPr>
          <w:rFonts w:hint="eastAsia" w:ascii="仿宋_GB2312" w:hAnsi="仿宋_GB2312" w:eastAsia="仿宋_GB2312" w:cs="仿宋_GB2312"/>
          <w:kern w:val="2"/>
          <w:sz w:val="32"/>
          <w:szCs w:val="32"/>
          <w:highlight w:val="none"/>
          <w:lang w:val="en-US" w:eastAsia="zh-CN" w:bidi="ar-SA"/>
        </w:rPr>
      </w:pPr>
      <w:bookmarkStart w:id="79" w:name="_Toc17475"/>
      <w:r>
        <w:rPr>
          <w:rFonts w:hint="eastAsia" w:ascii="仿宋_GB2312" w:hAnsi="仿宋_GB2312" w:eastAsia="仿宋_GB2312" w:cs="仿宋_GB2312"/>
          <w:kern w:val="2"/>
          <w:sz w:val="32"/>
          <w:szCs w:val="32"/>
          <w:highlight w:val="none"/>
          <w:lang w:val="en-US" w:eastAsia="zh-CN" w:bidi="ar-SA"/>
        </w:rPr>
        <w:t>进一步落实单位项目管理办法，提高项目管理规范性，明确各级管理部门对项目管理的责任，进一步完善项目监督管理机制，与相关单位协调，争取尽快拨付完毕鸭肉补助。</w:t>
      </w:r>
    </w:p>
    <w:p w14:paraId="4F81ABB6">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六、主要经验及做法</w:t>
      </w:r>
      <w:bookmarkEnd w:id="77"/>
      <w:bookmarkEnd w:id="79"/>
    </w:p>
    <w:p w14:paraId="2D91489D">
      <w:pPr>
        <w:pStyle w:val="34"/>
        <w:adjustRightInd w:val="0"/>
        <w:snapToGrid w:val="0"/>
        <w:spacing w:line="560" w:lineRule="exact"/>
        <w:ind w:left="0" w:leftChars="0" w:firstLine="643" w:firstLineChars="200"/>
        <w:outlineLvl w:val="1"/>
        <w:rPr>
          <w:rFonts w:ascii="仿宋_GB2312" w:hAnsi="仿宋" w:eastAsia="仿宋_GB2312" w:cs="宋体"/>
          <w:b/>
          <w:bCs/>
          <w:sz w:val="32"/>
          <w:szCs w:val="32"/>
        </w:rPr>
      </w:pPr>
      <w:bookmarkStart w:id="80" w:name="_Toc25465"/>
      <w:bookmarkStart w:id="81" w:name="_Toc32230"/>
      <w:bookmarkStart w:id="82" w:name="_Toc16919"/>
      <w:r>
        <w:rPr>
          <w:rFonts w:hint="eastAsia" w:ascii="仿宋_GB2312" w:hAnsi="仿宋" w:eastAsia="仿宋_GB2312" w:cs="宋体"/>
          <w:b/>
          <w:bCs/>
          <w:sz w:val="32"/>
          <w:szCs w:val="32"/>
        </w:rPr>
        <w:t>（一）项目实施过程有效监控</w:t>
      </w:r>
      <w:bookmarkEnd w:id="80"/>
      <w:bookmarkEnd w:id="81"/>
    </w:p>
    <w:p w14:paraId="0E835249">
      <w:pPr>
        <w:adjustRightInd w:val="0"/>
        <w:snapToGrid w:val="0"/>
        <w:spacing w:line="560" w:lineRule="exact"/>
        <w:ind w:firstLine="640" w:firstLineChars="200"/>
        <w:rPr>
          <w:rFonts w:hint="eastAsia" w:ascii="仿宋_GB2312" w:hAnsi="仿宋_GB2312" w:eastAsia="仿宋_GB2312" w:cs="仿宋_GB2312"/>
          <w:sz w:val="32"/>
          <w:szCs w:val="32"/>
          <w:highlight w:val="none"/>
        </w:rPr>
      </w:pPr>
      <w:bookmarkStart w:id="83" w:name="_Toc22631"/>
      <w:bookmarkStart w:id="84" w:name="_Toc191"/>
      <w:r>
        <w:rPr>
          <w:rFonts w:hint="eastAsia" w:ascii="仿宋_GB2312" w:hAnsi="仿宋_GB2312" w:eastAsia="仿宋_GB2312" w:cs="仿宋_GB2312"/>
          <w:sz w:val="32"/>
          <w:szCs w:val="32"/>
          <w:highlight w:val="none"/>
          <w:lang w:val="en-US" w:eastAsia="zh-CN"/>
        </w:rPr>
        <w:t>洛浦县</w:t>
      </w:r>
      <w:r>
        <w:rPr>
          <w:rFonts w:hint="eastAsia" w:ascii="仿宋_GB2312" w:hAnsi="仿宋_GB2312" w:eastAsia="仿宋_GB2312" w:cs="仿宋_GB2312"/>
          <w:sz w:val="32"/>
          <w:szCs w:val="32"/>
          <w:highlight w:val="none"/>
        </w:rPr>
        <w:t>财政局</w:t>
      </w:r>
      <w:r>
        <w:rPr>
          <w:rFonts w:hint="eastAsia" w:ascii="仿宋_GB2312" w:hAnsi="仿宋_GB2312" w:eastAsia="仿宋_GB2312" w:cs="仿宋_GB2312"/>
          <w:sz w:val="32"/>
          <w:szCs w:val="32"/>
          <w:highlight w:val="none"/>
          <w:lang w:val="en-US" w:eastAsia="zh-CN"/>
        </w:rPr>
        <w:t>针对项目</w:t>
      </w:r>
      <w:r>
        <w:rPr>
          <w:rFonts w:hint="eastAsia" w:ascii="仿宋_GB2312" w:hAnsi="仿宋_GB2312" w:eastAsia="仿宋_GB2312" w:cs="仿宋_GB2312"/>
          <w:sz w:val="32"/>
          <w:szCs w:val="32"/>
          <w:highlight w:val="none"/>
        </w:rPr>
        <w:t>实施全过程</w:t>
      </w:r>
      <w:r>
        <w:rPr>
          <w:rFonts w:hint="eastAsia" w:ascii="仿宋_GB2312" w:hAnsi="仿宋_GB2312" w:eastAsia="仿宋_GB2312" w:cs="仿宋_GB2312"/>
          <w:sz w:val="32"/>
          <w:szCs w:val="32"/>
          <w:highlight w:val="none"/>
          <w:lang w:val="en-US" w:eastAsia="zh-CN"/>
        </w:rPr>
        <w:t>进行</w:t>
      </w:r>
      <w:r>
        <w:rPr>
          <w:rFonts w:hint="eastAsia" w:ascii="仿宋_GB2312" w:hAnsi="仿宋_GB2312" w:eastAsia="仿宋_GB2312" w:cs="仿宋_GB2312"/>
          <w:sz w:val="32"/>
          <w:szCs w:val="32"/>
          <w:highlight w:val="none"/>
        </w:rPr>
        <w:t>绩效管理</w:t>
      </w:r>
      <w:r>
        <w:rPr>
          <w:rFonts w:hint="eastAsia" w:ascii="仿宋_GB2312" w:hAnsi="仿宋_GB2312" w:eastAsia="仿宋_GB2312" w:cs="仿宋_GB2312"/>
          <w:sz w:val="32"/>
          <w:szCs w:val="32"/>
          <w:highlight w:val="none"/>
          <w:lang w:eastAsia="zh-CN"/>
        </w:rPr>
        <w:t>；根据</w:t>
      </w:r>
      <w:r>
        <w:rPr>
          <w:rFonts w:hint="eastAsia" w:ascii="仿宋_GB2312" w:hAnsi="仿宋_GB2312" w:eastAsia="仿宋_GB2312" w:cs="仿宋_GB2312"/>
          <w:sz w:val="32"/>
          <w:szCs w:val="32"/>
          <w:highlight w:val="none"/>
          <w:lang w:val="en-US" w:eastAsia="zh-CN"/>
        </w:rPr>
        <w:t>专项</w:t>
      </w:r>
      <w:r>
        <w:rPr>
          <w:rFonts w:hint="eastAsia" w:ascii="仿宋_GB2312" w:hAnsi="仿宋_GB2312" w:eastAsia="仿宋_GB2312" w:cs="仿宋_GB2312"/>
          <w:sz w:val="32"/>
          <w:szCs w:val="32"/>
          <w:highlight w:val="none"/>
          <w:lang w:eastAsia="zh-CN"/>
        </w:rPr>
        <w:t>资金管理工作，于</w:t>
      </w:r>
      <w:r>
        <w:rPr>
          <w:rFonts w:hint="eastAsia" w:ascii="仿宋_GB2312" w:hAnsi="仿宋_GB2312" w:eastAsia="仿宋_GB2312" w:cs="仿宋_GB2312"/>
          <w:sz w:val="32"/>
          <w:szCs w:val="32"/>
          <w:highlight w:val="none"/>
          <w:lang w:val="en-US" w:eastAsia="zh-CN"/>
        </w:rPr>
        <w:t>5月、8月</w:t>
      </w:r>
      <w:r>
        <w:rPr>
          <w:rFonts w:hint="eastAsia" w:ascii="仿宋_GB2312" w:hAnsi="仿宋_GB2312" w:eastAsia="仿宋_GB2312" w:cs="仿宋_GB2312"/>
          <w:sz w:val="32"/>
          <w:szCs w:val="32"/>
          <w:highlight w:val="none"/>
        </w:rPr>
        <w:t>对</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项目开展绩效监控，实行项目</w:t>
      </w:r>
      <w:r>
        <w:rPr>
          <w:rFonts w:hint="eastAsia" w:ascii="仿宋_GB2312" w:hAnsi="仿宋_GB2312" w:eastAsia="仿宋_GB2312" w:cs="仿宋_GB2312"/>
          <w:sz w:val="32"/>
          <w:szCs w:val="32"/>
          <w:highlight w:val="none"/>
          <w:lang w:eastAsia="zh-CN"/>
        </w:rPr>
        <w:t>预算执行率与</w:t>
      </w:r>
      <w:r>
        <w:rPr>
          <w:rFonts w:hint="eastAsia" w:ascii="仿宋_GB2312" w:hAnsi="仿宋_GB2312" w:eastAsia="仿宋_GB2312" w:cs="仿宋_GB2312"/>
          <w:sz w:val="32"/>
          <w:szCs w:val="32"/>
          <w:highlight w:val="none"/>
        </w:rPr>
        <w:t>工作完成进度双监控</w:t>
      </w:r>
      <w:r>
        <w:rPr>
          <w:rFonts w:hint="eastAsia" w:ascii="仿宋_GB2312" w:hAnsi="仿宋_GB2312" w:eastAsia="仿宋_GB2312" w:cs="仿宋_GB2312"/>
          <w:sz w:val="32"/>
          <w:szCs w:val="32"/>
          <w:highlight w:val="none"/>
          <w:lang w:eastAsia="zh-CN"/>
        </w:rPr>
        <w:t>，并</w:t>
      </w:r>
      <w:r>
        <w:rPr>
          <w:rFonts w:hint="eastAsia" w:ascii="仿宋_GB2312" w:hAnsi="仿宋_GB2312" w:eastAsia="仿宋_GB2312" w:cs="仿宋_GB2312"/>
          <w:sz w:val="32"/>
          <w:szCs w:val="32"/>
          <w:highlight w:val="none"/>
        </w:rPr>
        <w:t>全面把握资金使用效率和项目实施开展进度，督促相关责任人按期保质完成工作。</w:t>
      </w:r>
    </w:p>
    <w:p w14:paraId="69FD0B26">
      <w:pPr>
        <w:adjustRightInd w:val="0"/>
        <w:snapToGrid w:val="0"/>
        <w:spacing w:line="560" w:lineRule="exact"/>
        <w:ind w:firstLine="640"/>
        <w:outlineLvl w:val="1"/>
        <w:rPr>
          <w:rFonts w:ascii="仿宋_GB2312" w:hAnsi="仿宋" w:eastAsia="仿宋_GB2312" w:cs="宋体"/>
          <w:b/>
          <w:bCs/>
          <w:sz w:val="32"/>
          <w:szCs w:val="32"/>
        </w:rPr>
      </w:pPr>
      <w:r>
        <w:rPr>
          <w:rFonts w:hint="eastAsia" w:ascii="仿宋_GB2312" w:hAnsi="仿宋" w:eastAsia="仿宋_GB2312" w:cs="宋体"/>
          <w:b/>
          <w:bCs/>
          <w:sz w:val="32"/>
          <w:szCs w:val="32"/>
        </w:rPr>
        <w:t>（二）强化领导，明确职责，合理安排使用资金</w:t>
      </w:r>
      <w:bookmarkEnd w:id="83"/>
      <w:bookmarkEnd w:id="84"/>
    </w:p>
    <w:bookmarkEnd w:id="82"/>
    <w:p w14:paraId="4F85A267">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85" w:name="_Toc13108"/>
      <w:bookmarkStart w:id="86" w:name="_Toc20562"/>
      <w:bookmarkStart w:id="87" w:name="_Toc31915"/>
      <w:bookmarkStart w:id="88" w:name="_Toc14650"/>
      <w:bookmarkStart w:id="89" w:name="_Toc30107"/>
      <w:bookmarkStart w:id="90" w:name="_Toc24288"/>
      <w:bookmarkStart w:id="91" w:name="_Toc7837"/>
      <w:bookmarkStart w:id="92" w:name="_Toc14723"/>
      <w:bookmarkStart w:id="93" w:name="_Toc22725"/>
      <w:r>
        <w:rPr>
          <w:rFonts w:hint="eastAsia" w:ascii="仿宋_GB2312" w:hAnsi="仿宋_GB2312" w:eastAsia="仿宋_GB2312" w:cs="仿宋_GB2312"/>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5"/>
      <w:bookmarkEnd w:id="86"/>
      <w:bookmarkEnd w:id="87"/>
    </w:p>
    <w:p w14:paraId="35363EF1">
      <w:pPr>
        <w:tabs>
          <w:tab w:val="left" w:pos="938"/>
        </w:tabs>
        <w:spacing w:line="560" w:lineRule="exact"/>
        <w:ind w:firstLine="640" w:firstLineChars="200"/>
        <w:outlineLvl w:val="0"/>
        <w:rPr>
          <w:rFonts w:ascii="黑体" w:hAnsi="黑体" w:eastAsia="黑体" w:cs="宋体"/>
          <w:sz w:val="32"/>
          <w:szCs w:val="32"/>
        </w:rPr>
      </w:pPr>
      <w:r>
        <w:rPr>
          <w:rFonts w:hint="eastAsia" w:ascii="黑体" w:hAnsi="黑体" w:eastAsia="黑体" w:cs="宋体"/>
          <w:sz w:val="32"/>
          <w:szCs w:val="32"/>
        </w:rPr>
        <w:t>七、评价结果应用建议</w:t>
      </w:r>
      <w:bookmarkEnd w:id="88"/>
      <w:bookmarkEnd w:id="89"/>
    </w:p>
    <w:p w14:paraId="6A858AFE">
      <w:pPr>
        <w:spacing w:line="560" w:lineRule="exact"/>
        <w:ind w:firstLine="643" w:firstLineChars="200"/>
        <w:outlineLvl w:val="1"/>
        <w:rPr>
          <w:rFonts w:ascii="仿宋_GB2312" w:hAnsi="黑体" w:eastAsia="仿宋_GB2312" w:cs="Times New Roman"/>
          <w:b/>
          <w:bCs/>
          <w:sz w:val="32"/>
          <w:szCs w:val="32"/>
        </w:rPr>
      </w:pPr>
      <w:bookmarkStart w:id="94" w:name="_Toc6072"/>
      <w:r>
        <w:rPr>
          <w:rFonts w:hint="eastAsia" w:ascii="仿宋_GB2312" w:hAnsi="黑体" w:eastAsia="仿宋_GB2312" w:cs="Times New Roman"/>
          <w:b/>
          <w:bCs/>
          <w:sz w:val="32"/>
          <w:szCs w:val="32"/>
        </w:rPr>
        <w:t>（一）及时对发现的问题进行整改</w:t>
      </w:r>
      <w:bookmarkEnd w:id="90"/>
      <w:bookmarkEnd w:id="94"/>
    </w:p>
    <w:p w14:paraId="40C5FBE1">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95" w:name="_Toc20240"/>
      <w:bookmarkStart w:id="96" w:name="_Toc31513"/>
      <w:r>
        <w:rPr>
          <w:rFonts w:hint="eastAsia" w:ascii="仿宋_GB2312" w:hAnsi="仿宋_GB2312" w:eastAsia="仿宋_GB2312" w:cs="仿宋_GB2312"/>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14:paraId="1D3AA44C">
      <w:pPr>
        <w:numPr>
          <w:ilvl w:val="0"/>
          <w:numId w:val="8"/>
        </w:numPr>
        <w:spacing w:line="560" w:lineRule="exact"/>
        <w:ind w:firstLine="643" w:firstLineChars="200"/>
        <w:outlineLvl w:val="1"/>
        <w:rPr>
          <w:rFonts w:hint="eastAsia" w:ascii="仿宋_GB2312" w:hAnsi="黑体" w:eastAsia="仿宋_GB2312" w:cs="Times New Roman"/>
          <w:b/>
          <w:bCs/>
          <w:sz w:val="32"/>
          <w:szCs w:val="32"/>
        </w:rPr>
      </w:pPr>
      <w:r>
        <w:rPr>
          <w:rFonts w:hint="eastAsia" w:ascii="仿宋_GB2312" w:hAnsi="黑体" w:eastAsia="仿宋_GB2312" w:cs="Times New Roman"/>
          <w:b/>
          <w:bCs/>
          <w:sz w:val="32"/>
          <w:szCs w:val="32"/>
        </w:rPr>
        <w:t>建立绩效评价结果应用制度</w:t>
      </w:r>
      <w:bookmarkEnd w:id="95"/>
      <w:bookmarkEnd w:id="96"/>
    </w:p>
    <w:p w14:paraId="23E058B0">
      <w:pPr>
        <w:pStyle w:val="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14:paraId="6448080E">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1.建议建立实施绩效评价结果公开制度（结果反馈制度、结果共享制度、结果报告制度、结果公示制度）；</w:t>
      </w:r>
    </w:p>
    <w:p w14:paraId="01418C5A">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2.建议建立绩效评价结果通报、约谈和问责机制；</w:t>
      </w:r>
    </w:p>
    <w:p w14:paraId="3DAEF7E2">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3.建议建立绩效评价结果在部门预算中激励与约束挂钩机制；</w:t>
      </w:r>
    </w:p>
    <w:p w14:paraId="7AE6E75D">
      <w:pPr>
        <w:tabs>
          <w:tab w:val="left" w:pos="938"/>
        </w:tabs>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kern w:val="2"/>
          <w:sz w:val="32"/>
          <w:szCs w:val="32"/>
          <w:highlight w:val="none"/>
          <w:lang w:val="en-US" w:eastAsia="zh-CN" w:bidi="ar-SA"/>
        </w:rPr>
        <w:t>4.建议建立评价结果惩处机制。</w:t>
      </w:r>
    </w:p>
    <w:p w14:paraId="432C270F">
      <w:pPr>
        <w:spacing w:line="560" w:lineRule="exact"/>
        <w:ind w:firstLine="643" w:firstLineChars="200"/>
        <w:outlineLvl w:val="1"/>
        <w:rPr>
          <w:rFonts w:ascii="仿宋_GB2312" w:hAnsi="黑体" w:eastAsia="仿宋_GB2312" w:cs="Times New Roman"/>
          <w:b/>
          <w:bCs/>
          <w:sz w:val="32"/>
          <w:szCs w:val="32"/>
        </w:rPr>
      </w:pPr>
      <w:bookmarkStart w:id="97" w:name="_Toc5443"/>
      <w:bookmarkStart w:id="98" w:name="_Toc10628"/>
      <w:r>
        <w:rPr>
          <w:rFonts w:hint="eastAsia" w:ascii="仿宋_GB2312" w:hAnsi="黑体" w:eastAsia="仿宋_GB2312" w:cs="Times New Roman"/>
          <w:b/>
          <w:bCs/>
          <w:sz w:val="32"/>
          <w:szCs w:val="32"/>
        </w:rPr>
        <w:t>（三）</w:t>
      </w:r>
      <w:r>
        <w:rPr>
          <w:rFonts w:hint="eastAsia" w:ascii="仿宋_GB2312" w:hAnsi="黑体" w:eastAsia="仿宋_GB2312" w:cs="Times New Roman"/>
          <w:b/>
          <w:bCs/>
          <w:sz w:val="32"/>
          <w:szCs w:val="32"/>
          <w:lang w:val="en-US" w:eastAsia="zh-CN"/>
        </w:rPr>
        <w:t>强化</w:t>
      </w:r>
      <w:r>
        <w:rPr>
          <w:rFonts w:hint="eastAsia" w:ascii="仿宋_GB2312" w:hAnsi="黑体" w:eastAsia="仿宋_GB2312" w:cs="Times New Roman"/>
          <w:b/>
          <w:bCs/>
          <w:sz w:val="32"/>
          <w:szCs w:val="32"/>
        </w:rPr>
        <w:t>绩效评价结果应用</w:t>
      </w:r>
      <w:bookmarkEnd w:id="97"/>
      <w:bookmarkEnd w:id="98"/>
    </w:p>
    <w:p w14:paraId="19B17EEB">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一是严格落实评价结果与预算安排挂钩制度。要严格执行《洛浦县财政支出绩效评价结果应用暂行办法》文件规定，充分应用评价结果，对低效无效资金一律削减或取消。</w:t>
      </w:r>
    </w:p>
    <w:p w14:paraId="507E6C60">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二是将此次评价工作开展情况及评价结果纳入洛浦县全面实施预算绩效管理年度综合评价考核范畴，年终形成总结报告，上报县政府、发改委和县人大。</w:t>
      </w:r>
    </w:p>
    <w:p w14:paraId="6B72BE40">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三是进一步加大对评价结果的应用，洛浦县2021年度项目绩效评价情况，可作为以后年度部门单位项目预算编制和安排财政资金的重要依据。</w:t>
      </w:r>
    </w:p>
    <w:p w14:paraId="7DBD279E">
      <w:pPr>
        <w:spacing w:line="560" w:lineRule="exact"/>
        <w:ind w:firstLine="643" w:firstLineChars="200"/>
        <w:outlineLvl w:val="1"/>
        <w:rPr>
          <w:rFonts w:ascii="仿宋_GB2312" w:hAnsi="黑体" w:eastAsia="仿宋_GB2312" w:cs="Times New Roman"/>
          <w:b/>
          <w:bCs/>
          <w:sz w:val="32"/>
          <w:szCs w:val="32"/>
        </w:rPr>
      </w:pPr>
      <w:bookmarkStart w:id="99" w:name="_Toc4069"/>
      <w:bookmarkStart w:id="100" w:name="_Toc13172"/>
      <w:r>
        <w:rPr>
          <w:rFonts w:hint="eastAsia" w:ascii="仿宋_GB2312" w:hAnsi="黑体" w:eastAsia="仿宋_GB2312" w:cs="Times New Roman"/>
          <w:b/>
          <w:bCs/>
          <w:sz w:val="32"/>
          <w:szCs w:val="32"/>
        </w:rPr>
        <w:t>（四）评价结果公开</w:t>
      </w:r>
      <w:bookmarkEnd w:id="99"/>
      <w:bookmarkEnd w:id="100"/>
    </w:p>
    <w:p w14:paraId="0B83FD33">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建议按照政府信息公开管理的相关规定将绩效评价结果（涉密信息除外）向社会公开评价结果，提高工作透明度，接受社会公众的监督。</w:t>
      </w:r>
      <w:bookmarkEnd w:id="91"/>
    </w:p>
    <w:p w14:paraId="58434509">
      <w:pPr>
        <w:tabs>
          <w:tab w:val="left" w:pos="938"/>
        </w:tabs>
        <w:spacing w:line="560" w:lineRule="exact"/>
        <w:ind w:firstLine="640" w:firstLineChars="200"/>
        <w:outlineLvl w:val="0"/>
        <w:rPr>
          <w:rFonts w:hint="eastAsia" w:ascii="黑体" w:hAnsi="黑体" w:eastAsia="黑体" w:cs="宋体"/>
          <w:sz w:val="32"/>
          <w:szCs w:val="32"/>
          <w:lang w:val="en-US" w:eastAsia="zh-CN"/>
        </w:rPr>
      </w:pPr>
      <w:bookmarkStart w:id="101" w:name="_Toc17018"/>
      <w:r>
        <w:rPr>
          <w:rFonts w:hint="eastAsia" w:ascii="黑体" w:hAnsi="黑体" w:eastAsia="黑体" w:cs="宋体"/>
          <w:sz w:val="32"/>
          <w:szCs w:val="32"/>
          <w:lang w:val="en-US" w:eastAsia="zh-CN"/>
        </w:rPr>
        <w:t>八、其他需说明的问题</w:t>
      </w:r>
      <w:bookmarkEnd w:id="92"/>
      <w:bookmarkEnd w:id="93"/>
      <w:bookmarkEnd w:id="101"/>
    </w:p>
    <w:p w14:paraId="0A577019">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第一，该项目部分间接产生的效果无法准确在短期内衡量，因此很难认定项目产生的全部效果。通过指标来反映绩效，指标的科学性和全面性需要不断地完善和研究。</w:t>
      </w:r>
    </w:p>
    <w:p w14:paraId="4D8FCB70">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第二，评价结果作为安排政府预算、完善政策和改进管理的重要依据。原则上，对评价等级为优、良的，根据情况予以支持；对评价等级为中、差的，要完善政策、改进管理，根据情况核减预算。</w:t>
      </w:r>
    </w:p>
    <w:p w14:paraId="431637E9">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第三，评价结果分别编入政府决算和部门预算，报送本级人民代表大会常务委员会，并依法予以公开。</w:t>
      </w:r>
    </w:p>
    <w:p w14:paraId="65D69690">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14:paraId="24AED6E7">
      <w:pPr>
        <w:pStyle w:val="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五，各级财政部门、预算部门和单位及其工作人员在绩效评价管理工作中存在违反《项目支出绩效评价管理办法》（财预〔2020〕10号）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p>
    <w:p w14:paraId="2651E853">
      <w:pPr>
        <w:adjustRightInd w:val="0"/>
        <w:snapToGrid w:val="0"/>
        <w:spacing w:line="560" w:lineRule="exact"/>
        <w:ind w:firstLine="640" w:firstLineChars="200"/>
        <w:jc w:val="left"/>
        <w:outlineLvl w:val="0"/>
        <w:rPr>
          <w:rFonts w:ascii="黑体" w:hAnsi="黑体" w:eastAsia="黑体" w:cs="宋体"/>
          <w:sz w:val="32"/>
          <w:szCs w:val="32"/>
        </w:rPr>
      </w:pPr>
      <w:bookmarkStart w:id="102" w:name="_Toc25791"/>
      <w:r>
        <w:rPr>
          <w:rFonts w:hint="eastAsia" w:ascii="黑体" w:hAnsi="黑体" w:eastAsia="黑体" w:cs="宋体"/>
          <w:sz w:val="32"/>
          <w:szCs w:val="32"/>
        </w:rPr>
        <w:t>九、附件</w:t>
      </w:r>
      <w:bookmarkEnd w:id="102"/>
    </w:p>
    <w:bookmarkEnd w:id="30"/>
    <w:p w14:paraId="7BA32D29">
      <w:pPr>
        <w:pStyle w:val="34"/>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附件</w:t>
      </w:r>
    </w:p>
    <w:p w14:paraId="560A1C92">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3" w:name="_Toc11156"/>
      <w:bookmarkStart w:id="104" w:name="_Toc9070"/>
      <w:bookmarkStart w:id="105" w:name="_Toc5066"/>
      <w:bookmarkStart w:id="106" w:name="_Toc13969"/>
      <w:bookmarkStart w:id="107" w:name="_Toc3379"/>
      <w:r>
        <w:rPr>
          <w:rFonts w:hint="eastAsia" w:ascii="仿宋_GB2312" w:hAnsi="仿宋_GB2312" w:eastAsia="仿宋_GB2312" w:cs="仿宋_GB2312"/>
          <w:kern w:val="2"/>
          <w:sz w:val="32"/>
          <w:szCs w:val="32"/>
          <w:highlight w:val="none"/>
          <w:lang w:val="en-US" w:eastAsia="zh-CN" w:bidi="ar-SA"/>
        </w:rPr>
        <w:t>附件一、2021年春节期间畜禽类肉类补贴项目支出绩效评价指标体系</w:t>
      </w:r>
      <w:bookmarkEnd w:id="103"/>
      <w:bookmarkEnd w:id="104"/>
      <w:bookmarkEnd w:id="105"/>
      <w:bookmarkEnd w:id="106"/>
      <w:bookmarkEnd w:id="107"/>
    </w:p>
    <w:p w14:paraId="16846A57">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8" w:name="_Toc32762"/>
      <w:bookmarkStart w:id="109" w:name="_Toc5753"/>
      <w:bookmarkStart w:id="110" w:name="_Toc31506"/>
      <w:bookmarkStart w:id="111" w:name="_Toc19426"/>
      <w:bookmarkStart w:id="112" w:name="_Toc17647"/>
      <w:r>
        <w:rPr>
          <w:rFonts w:hint="eastAsia" w:ascii="仿宋_GB2312" w:hAnsi="仿宋_GB2312" w:eastAsia="仿宋_GB2312" w:cs="仿宋_GB2312"/>
          <w:kern w:val="2"/>
          <w:sz w:val="32"/>
          <w:szCs w:val="32"/>
          <w:highlight w:val="none"/>
          <w:lang w:val="en-US" w:eastAsia="zh-CN" w:bidi="ar-SA"/>
        </w:rPr>
        <w:t>附件二、2021年春节期间畜禽类肉类补贴项目资金使用明细表</w:t>
      </w:r>
      <w:bookmarkEnd w:id="108"/>
      <w:bookmarkEnd w:id="109"/>
      <w:bookmarkEnd w:id="110"/>
      <w:bookmarkEnd w:id="111"/>
      <w:bookmarkEnd w:id="112"/>
    </w:p>
    <w:p w14:paraId="12AC9442">
      <w:pPr>
        <w:pStyle w:val="34"/>
        <w:spacing w:line="560" w:lineRule="exact"/>
        <w:ind w:firstLine="640"/>
        <w:outlineLvl w:val="0"/>
        <w:rPr>
          <w:rFonts w:hint="eastAsia" w:ascii="仿宋_GB2312" w:hAnsi="仿宋_GB2312" w:eastAsia="仿宋_GB2312" w:cs="仿宋_GB2312"/>
          <w:kern w:val="2"/>
          <w:sz w:val="32"/>
          <w:szCs w:val="32"/>
          <w:highlight w:val="none"/>
          <w:lang w:val="en-US" w:eastAsia="zh-CN" w:bidi="ar-SA"/>
        </w:rPr>
      </w:pPr>
      <w:bookmarkStart w:id="113" w:name="_Toc16544"/>
      <w:bookmarkStart w:id="114" w:name="_Toc21161"/>
      <w:bookmarkStart w:id="115" w:name="_Toc27746"/>
      <w:bookmarkStart w:id="116" w:name="_Toc22995"/>
      <w:bookmarkStart w:id="117" w:name="_Toc27332"/>
      <w:r>
        <w:rPr>
          <w:rFonts w:hint="eastAsia" w:ascii="仿宋_GB2312" w:hAnsi="仿宋_GB2312" w:eastAsia="仿宋_GB2312" w:cs="仿宋_GB2312"/>
          <w:kern w:val="2"/>
          <w:sz w:val="32"/>
          <w:szCs w:val="32"/>
          <w:highlight w:val="none"/>
          <w:lang w:val="en-US" w:eastAsia="zh-CN" w:bidi="ar-SA"/>
        </w:rPr>
        <w:t>附件三、2021年春节期间畜禽类肉类补贴项目绩效评价工作记录单</w:t>
      </w:r>
      <w:bookmarkEnd w:id="113"/>
      <w:bookmarkEnd w:id="114"/>
      <w:bookmarkEnd w:id="115"/>
      <w:bookmarkEnd w:id="116"/>
      <w:bookmarkEnd w:id="117"/>
      <w:bookmarkStart w:id="118" w:name="_Toc20564"/>
      <w:bookmarkStart w:id="119" w:name="_Toc18769"/>
      <w:bookmarkStart w:id="120" w:name="_Toc16822"/>
    </w:p>
    <w:p w14:paraId="2B34E5AC">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21" w:name="_Toc27218"/>
      <w:r>
        <w:rPr>
          <w:rFonts w:hint="eastAsia" w:ascii="仿宋_GB2312" w:hAnsi="仿宋_GB2312" w:eastAsia="仿宋_GB2312" w:cs="仿宋_GB2312"/>
          <w:kern w:val="2"/>
          <w:sz w:val="32"/>
          <w:szCs w:val="32"/>
          <w:highlight w:val="none"/>
          <w:lang w:val="en-US" w:eastAsia="zh-CN" w:bidi="ar-SA"/>
        </w:rPr>
        <w:t>附件四、2021年春节期间畜禽类肉类补贴项目调查问卷统计表</w:t>
      </w:r>
      <w:bookmarkEnd w:id="118"/>
      <w:bookmarkEnd w:id="119"/>
      <w:bookmarkEnd w:id="120"/>
      <w:bookmarkEnd w:id="121"/>
    </w:p>
    <w:p w14:paraId="16769D0E">
      <w:pPr>
        <w:widowControl/>
        <w:adjustRightInd w:val="0"/>
        <w:snapToGrid w:val="0"/>
        <w:spacing w:line="560" w:lineRule="exact"/>
        <w:jc w:val="left"/>
        <w:rPr>
          <w:rFonts w:hint="default" w:ascii="仿宋_GB2312" w:hAnsi="仿宋_GB2312" w:eastAsia="仿宋_GB2312" w:cs="仿宋_GB2312"/>
          <w:kern w:val="2"/>
          <w:sz w:val="32"/>
          <w:szCs w:val="32"/>
          <w:highlight w:val="none"/>
          <w:lang w:val="en-US" w:eastAsia="zh-CN" w:bidi="ar-SA"/>
        </w:rPr>
      </w:pPr>
    </w:p>
    <w:p w14:paraId="1E2A15E8">
      <w:pPr>
        <w:pStyle w:val="2"/>
        <w:rPr>
          <w:rFonts w:hint="default"/>
          <w:lang w:val="en-US" w:eastAsia="zh-CN"/>
        </w:rPr>
      </w:pPr>
    </w:p>
    <w:p w14:paraId="20B97D2D">
      <w:pPr>
        <w:spacing w:line="560" w:lineRule="exact"/>
        <w:ind w:firstLine="640" w:firstLineChars="200"/>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中瑞诚会计师事务所</w:t>
      </w:r>
      <w:r>
        <w:rPr>
          <w:rFonts w:hint="eastAsia" w:ascii="仿宋_GB2312" w:hAnsi="仿宋" w:eastAsia="仿宋_GB2312" w:cs="宋体"/>
          <w:sz w:val="32"/>
          <w:szCs w:val="32"/>
          <w:lang w:eastAsia="zh-CN" w:bidi="ar"/>
        </w:rPr>
        <w:t>（特殊普通合伙）</w:t>
      </w:r>
      <w:r>
        <w:rPr>
          <w:rFonts w:hint="eastAsia" w:ascii="仿宋_GB2312" w:hAnsi="仿宋" w:eastAsia="仿宋_GB2312" w:cs="宋体"/>
          <w:sz w:val="32"/>
          <w:szCs w:val="32"/>
          <w:lang w:bidi="ar"/>
        </w:rPr>
        <w:t>喀什分所</w:t>
      </w:r>
    </w:p>
    <w:p w14:paraId="089F8189">
      <w:pPr>
        <w:spacing w:line="560" w:lineRule="exact"/>
        <w:ind w:firstLine="3827" w:firstLineChars="1196"/>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 xml:space="preserve">  </w:t>
      </w:r>
      <w:r>
        <w:rPr>
          <w:rFonts w:hint="eastAsia" w:ascii="仿宋_GB2312" w:hAnsi="仿宋" w:eastAsia="仿宋_GB2312" w:cs="宋体"/>
          <w:sz w:val="32"/>
          <w:szCs w:val="32"/>
          <w:lang w:eastAsia="zh-CN" w:bidi="ar"/>
        </w:rPr>
        <w:t>202</w:t>
      </w:r>
      <w:r>
        <w:rPr>
          <w:rFonts w:hint="eastAsia" w:ascii="仿宋_GB2312" w:hAnsi="仿宋" w:eastAsia="仿宋_GB2312" w:cs="宋体"/>
          <w:sz w:val="32"/>
          <w:szCs w:val="32"/>
          <w:lang w:val="en-US" w:eastAsia="zh-CN" w:bidi="ar"/>
        </w:rPr>
        <w:t>2</w:t>
      </w:r>
      <w:r>
        <w:rPr>
          <w:rFonts w:hint="eastAsia" w:ascii="仿宋_GB2312" w:hAnsi="仿宋" w:eastAsia="仿宋_GB2312" w:cs="宋体"/>
          <w:sz w:val="32"/>
          <w:szCs w:val="32"/>
          <w:highlight w:val="none"/>
          <w:lang w:bidi="ar"/>
        </w:rPr>
        <w:t>年</w:t>
      </w:r>
      <w:r>
        <w:rPr>
          <w:rFonts w:hint="eastAsia" w:ascii="仿宋_GB2312" w:hAnsi="仿宋" w:eastAsia="仿宋_GB2312" w:cs="宋体"/>
          <w:sz w:val="32"/>
          <w:szCs w:val="32"/>
          <w:highlight w:val="none"/>
          <w:lang w:val="en-US" w:eastAsia="zh-CN" w:bidi="ar"/>
        </w:rPr>
        <w:t>06</w:t>
      </w:r>
      <w:r>
        <w:rPr>
          <w:rFonts w:hint="eastAsia" w:ascii="仿宋_GB2312" w:hAnsi="仿宋" w:eastAsia="仿宋_GB2312" w:cs="宋体"/>
          <w:sz w:val="32"/>
          <w:szCs w:val="32"/>
          <w:lang w:bidi="ar"/>
        </w:rPr>
        <w:t>月</w:t>
      </w:r>
      <w:r>
        <w:rPr>
          <w:rFonts w:hint="eastAsia" w:ascii="仿宋_GB2312" w:hAnsi="仿宋" w:eastAsia="仿宋_GB2312" w:cs="宋体"/>
          <w:sz w:val="32"/>
          <w:szCs w:val="32"/>
          <w:lang w:val="en-US" w:eastAsia="zh-CN" w:bidi="ar"/>
        </w:rPr>
        <w:t>30</w:t>
      </w:r>
      <w:r>
        <w:rPr>
          <w:rFonts w:hint="eastAsia" w:ascii="仿宋_GB2312" w:hAnsi="仿宋" w:eastAsia="仿宋_GB2312" w:cs="宋体"/>
          <w:sz w:val="32"/>
          <w:szCs w:val="32"/>
          <w:lang w:bidi="ar"/>
        </w:rPr>
        <w:t>日</w:t>
      </w:r>
    </w:p>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479C8DE-9808-46AA-96DE-B4943DF3F58F}"/>
  </w:font>
  <w:font w:name="Arial">
    <w:panose1 w:val="020B0604020202020204"/>
    <w:charset w:val="01"/>
    <w:family w:val="swiss"/>
    <w:pitch w:val="default"/>
    <w:sig w:usb0="E0002EFF" w:usb1="C000785B" w:usb2="00000009" w:usb3="00000000" w:csb0="400001FF" w:csb1="FFFF0000"/>
    <w:embedRegular r:id="rId2" w:fontKey="{0182017F-067A-4EE9-8F07-F07F15A8CA0B}"/>
  </w:font>
  <w:font w:name="黑体">
    <w:panose1 w:val="02010609060101010101"/>
    <w:charset w:val="86"/>
    <w:family w:val="auto"/>
    <w:pitch w:val="default"/>
    <w:sig w:usb0="800002BF" w:usb1="38CF7CFA" w:usb2="00000016" w:usb3="00000000" w:csb0="00040001" w:csb1="00000000"/>
    <w:embedRegular r:id="rId3" w:fontKey="{A4110A81-32DE-4968-A234-0F37E6635052}"/>
  </w:font>
  <w:font w:name="Courier New">
    <w:panose1 w:val="02070309020205020404"/>
    <w:charset w:val="01"/>
    <w:family w:val="modern"/>
    <w:pitch w:val="default"/>
    <w:sig w:usb0="E0002EFF" w:usb1="C0007843" w:usb2="00000009" w:usb3="00000000" w:csb0="400001FF" w:csb1="FFFF0000"/>
    <w:embedRegular r:id="rId4" w:fontKey="{B2D8617B-6EAD-4634-913C-A9AE140F9BC6}"/>
  </w:font>
  <w:font w:name="Symbol">
    <w:panose1 w:val="05050102010706020507"/>
    <w:charset w:val="02"/>
    <w:family w:val="roman"/>
    <w:pitch w:val="default"/>
    <w:sig w:usb0="00000000" w:usb1="00000000" w:usb2="00000000" w:usb3="00000000" w:csb0="80000000" w:csb1="00000000"/>
    <w:embedRegular r:id="rId5" w:fontKey="{AD582DA0-F499-4D5E-A012-0E0E2E9A2EAB}"/>
  </w:font>
  <w:font w:name="Calibri">
    <w:panose1 w:val="020F0502020204030204"/>
    <w:charset w:val="00"/>
    <w:family w:val="swiss"/>
    <w:pitch w:val="default"/>
    <w:sig w:usb0="E4002EFF" w:usb1="C200247B" w:usb2="00000009" w:usb3="00000000" w:csb0="200001FF" w:csb1="00000000"/>
    <w:embedRegular r:id="rId6" w:fontKey="{2664A6F2-DBD9-4CC3-BC23-7D616D4BB75D}"/>
  </w:font>
  <w:font w:name="仿宋">
    <w:panose1 w:val="02010609060101010101"/>
    <w:charset w:val="86"/>
    <w:family w:val="modern"/>
    <w:pitch w:val="default"/>
    <w:sig w:usb0="800002BF" w:usb1="38CF7CFA" w:usb2="00000016" w:usb3="00000000" w:csb0="00040001" w:csb1="00000000"/>
    <w:embedRegular r:id="rId7" w:fontKey="{236065BA-2D2B-4AAE-80B4-0FFB8B8727A8}"/>
  </w:font>
  <w:font w:name="Cambria">
    <w:panose1 w:val="02040503050406030204"/>
    <w:charset w:val="00"/>
    <w:family w:val="roman"/>
    <w:pitch w:val="default"/>
    <w:sig w:usb0="E00006FF" w:usb1="420024FF" w:usb2="02000000" w:usb3="00000000" w:csb0="2000019F" w:csb1="00000000"/>
    <w:embedRegular r:id="rId8" w:fontKey="{2F78D376-CCFB-4287-A35A-8EA80F2084C7}"/>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9" w:fontKey="{6E174DBE-081C-49BB-8D9E-F0620B3DB209}"/>
  </w:font>
  <w:font w:name="方正小标宋简体">
    <w:panose1 w:val="02010601030101010101"/>
    <w:charset w:val="86"/>
    <w:family w:val="auto"/>
    <w:pitch w:val="default"/>
    <w:sig w:usb0="00000001" w:usb1="080E0000" w:usb2="00000000" w:usb3="00000000" w:csb0="00040000" w:csb1="00000000"/>
  </w:font>
  <w:font w:name="方正小标宋_GBK">
    <w:altName w:val="微软雅黑"/>
    <w:panose1 w:val="03000509000000000000"/>
    <w:charset w:val="86"/>
    <w:family w:val="script"/>
    <w:pitch w:val="default"/>
    <w:sig w:usb0="00000000" w:usb1="00000000" w:usb2="00000000" w:usb3="00000000" w:csb0="00040000" w:csb1="00000000"/>
    <w:embedRegular r:id="rId10" w:fontKey="{99360861-0654-4782-B119-689C5CABD526}"/>
  </w:font>
  <w:font w:name="华文中宋">
    <w:panose1 w:val="02010600040101010101"/>
    <w:charset w:val="86"/>
    <w:family w:val="auto"/>
    <w:pitch w:val="default"/>
    <w:sig w:usb0="00000287" w:usb1="080F0000" w:usb2="00000000" w:usb3="00000000" w:csb0="0004009F" w:csb1="DFD70000"/>
    <w:embedRegular r:id="rId11" w:fontKey="{14DBEFE2-D69C-457F-9BF2-D0FBDB951F57}"/>
  </w:font>
  <w:font w:name="楷体">
    <w:panose1 w:val="02010609060101010101"/>
    <w:charset w:val="86"/>
    <w:family w:val="modern"/>
    <w:pitch w:val="default"/>
    <w:sig w:usb0="800002BF" w:usb1="38CF7CFA" w:usb2="00000016" w:usb3="00000000" w:csb0="00040001" w:csb1="00000000"/>
    <w:embedRegular r:id="rId12" w:fontKey="{867D9464-410B-4E4F-A4DE-C6755CD30A58}"/>
  </w:font>
  <w:font w:name="微软雅黑">
    <w:panose1 w:val="020B0503020204020204"/>
    <w:charset w:val="86"/>
    <w:family w:val="auto"/>
    <w:pitch w:val="default"/>
    <w:sig w:usb0="80000287" w:usb1="2ACF3C50" w:usb2="00000016" w:usb3="00000000" w:csb0="0004001F" w:csb1="00000000"/>
    <w:embedRegular r:id="rId13" w:fontKey="{03D4063E-05AA-4AA9-82D5-2DA3EBA5AD8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46C3DD">
    <w:pPr>
      <w:pStyle w:val="1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9775278">
                          <w:pPr>
                            <w:pStyle w:val="12"/>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14:paraId="09775278">
                    <w:pPr>
                      <w:pStyle w:val="12"/>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09717B"/>
    <w:multiLevelType w:val="singleLevel"/>
    <w:tmpl w:val="A809717B"/>
    <w:lvl w:ilvl="0" w:tentative="0">
      <w:start w:val="2"/>
      <w:numFmt w:val="chineseCounting"/>
      <w:suff w:val="nothing"/>
      <w:lvlText w:val="（%1）"/>
      <w:lvlJc w:val="left"/>
      <w:rPr>
        <w:rFonts w:hint="eastAsia"/>
      </w:rPr>
    </w:lvl>
  </w:abstractNum>
  <w:abstractNum w:abstractNumId="1">
    <w:nsid w:val="C3C38CFD"/>
    <w:multiLevelType w:val="singleLevel"/>
    <w:tmpl w:val="C3C38CFD"/>
    <w:lvl w:ilvl="0" w:tentative="0">
      <w:start w:val="3"/>
      <w:numFmt w:val="decimal"/>
      <w:suff w:val="nothing"/>
      <w:lvlText w:val="（%1）"/>
      <w:lvlJc w:val="left"/>
    </w:lvl>
  </w:abstractNum>
  <w:abstractNum w:abstractNumId="2">
    <w:nsid w:val="E8DA9C4C"/>
    <w:multiLevelType w:val="singleLevel"/>
    <w:tmpl w:val="E8DA9C4C"/>
    <w:lvl w:ilvl="0" w:tentative="0">
      <w:start w:val="5"/>
      <w:numFmt w:val="chineseCounting"/>
      <w:suff w:val="nothing"/>
      <w:lvlText w:val="（%1）"/>
      <w:lvlJc w:val="left"/>
      <w:rPr>
        <w:rFonts w:hint="eastAsia"/>
      </w:rPr>
    </w:lvl>
  </w:abstractNum>
  <w:abstractNum w:abstractNumId="3">
    <w:nsid w:val="ED537D19"/>
    <w:multiLevelType w:val="singleLevel"/>
    <w:tmpl w:val="ED537D19"/>
    <w:lvl w:ilvl="0" w:tentative="0">
      <w:start w:val="2"/>
      <w:numFmt w:val="decimal"/>
      <w:lvlText w:val="(%1)"/>
      <w:lvlJc w:val="left"/>
      <w:pPr>
        <w:tabs>
          <w:tab w:val="left" w:pos="312"/>
        </w:tabs>
      </w:pPr>
    </w:lvl>
  </w:abstractNum>
  <w:abstractNum w:abstractNumId="4">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5">
    <w:nsid w:val="4BBB029A"/>
    <w:multiLevelType w:val="multilevel"/>
    <w:tmpl w:val="4BBB029A"/>
    <w:lvl w:ilvl="0" w:tentative="0">
      <w:start w:val="1"/>
      <w:numFmt w:val="decimal"/>
      <w:pStyle w:val="3"/>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586DE0EC"/>
    <w:multiLevelType w:val="singleLevel"/>
    <w:tmpl w:val="586DE0EC"/>
    <w:lvl w:ilvl="0" w:tentative="0">
      <w:start w:val="1"/>
      <w:numFmt w:val="decimal"/>
      <w:suff w:val="nothing"/>
      <w:lvlText w:val="（%1）"/>
      <w:lvlJc w:val="left"/>
    </w:lvl>
  </w:abstractNum>
  <w:abstractNum w:abstractNumId="7">
    <w:nsid w:val="6EA16E0C"/>
    <w:multiLevelType w:val="multilevel"/>
    <w:tmpl w:val="6EA16E0C"/>
    <w:lvl w:ilvl="0" w:tentative="0">
      <w:start w:val="1"/>
      <w:numFmt w:val="decimal"/>
      <w:pStyle w:val="4"/>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5"/>
  </w:num>
  <w:num w:numId="2">
    <w:abstractNumId w:val="7"/>
  </w:num>
  <w:num w:numId="3">
    <w:abstractNumId w:val="4"/>
  </w:num>
  <w:num w:numId="4">
    <w:abstractNumId w:val="6"/>
  </w:num>
  <w:num w:numId="5">
    <w:abstractNumId w:val="3"/>
  </w:num>
  <w:num w:numId="6">
    <w:abstractNumId w:val="2"/>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xYWQ0OWQxNDM3Y2IxYWFiMWMxZjMzN2QxNjEzZDU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C5968"/>
    <w:rsid w:val="017A1376"/>
    <w:rsid w:val="019C1042"/>
    <w:rsid w:val="01D976F9"/>
    <w:rsid w:val="01DB05CA"/>
    <w:rsid w:val="02C624B1"/>
    <w:rsid w:val="02E24B65"/>
    <w:rsid w:val="031B4FD7"/>
    <w:rsid w:val="03384BB1"/>
    <w:rsid w:val="033B3541"/>
    <w:rsid w:val="034E135E"/>
    <w:rsid w:val="03685B95"/>
    <w:rsid w:val="03A17C2D"/>
    <w:rsid w:val="03C9420E"/>
    <w:rsid w:val="03EC6EBA"/>
    <w:rsid w:val="03EE2230"/>
    <w:rsid w:val="043F0DA3"/>
    <w:rsid w:val="045545F7"/>
    <w:rsid w:val="04A406D7"/>
    <w:rsid w:val="04BC5076"/>
    <w:rsid w:val="04DD3CEE"/>
    <w:rsid w:val="05403880"/>
    <w:rsid w:val="05466AD0"/>
    <w:rsid w:val="057D1D75"/>
    <w:rsid w:val="05AE6F6A"/>
    <w:rsid w:val="063F521C"/>
    <w:rsid w:val="06766A33"/>
    <w:rsid w:val="068D2C76"/>
    <w:rsid w:val="06D21523"/>
    <w:rsid w:val="072D56D3"/>
    <w:rsid w:val="073076D9"/>
    <w:rsid w:val="07722B91"/>
    <w:rsid w:val="07867BF0"/>
    <w:rsid w:val="07E36243"/>
    <w:rsid w:val="0822779D"/>
    <w:rsid w:val="086039B5"/>
    <w:rsid w:val="089C44B6"/>
    <w:rsid w:val="08E806AC"/>
    <w:rsid w:val="09035DC8"/>
    <w:rsid w:val="092B1014"/>
    <w:rsid w:val="093A1BBD"/>
    <w:rsid w:val="09415222"/>
    <w:rsid w:val="09A37E69"/>
    <w:rsid w:val="09CA6A7A"/>
    <w:rsid w:val="09CB150A"/>
    <w:rsid w:val="09DC263D"/>
    <w:rsid w:val="09EC6DE6"/>
    <w:rsid w:val="0A037E2F"/>
    <w:rsid w:val="0A0402F4"/>
    <w:rsid w:val="0A5343BB"/>
    <w:rsid w:val="0A844F3D"/>
    <w:rsid w:val="0A870EFF"/>
    <w:rsid w:val="0A9224F0"/>
    <w:rsid w:val="0AA243BD"/>
    <w:rsid w:val="0AB358AB"/>
    <w:rsid w:val="0AC26F81"/>
    <w:rsid w:val="0AE64A4E"/>
    <w:rsid w:val="0B4777AE"/>
    <w:rsid w:val="0BC43BCA"/>
    <w:rsid w:val="0C1E6CF7"/>
    <w:rsid w:val="0C4C516B"/>
    <w:rsid w:val="0C5149F8"/>
    <w:rsid w:val="0C6100E9"/>
    <w:rsid w:val="0C9408B1"/>
    <w:rsid w:val="0CD12227"/>
    <w:rsid w:val="0D4A7C88"/>
    <w:rsid w:val="0D681993"/>
    <w:rsid w:val="0D9E1D21"/>
    <w:rsid w:val="0D9F2933"/>
    <w:rsid w:val="0DA94513"/>
    <w:rsid w:val="0DBD4354"/>
    <w:rsid w:val="0DC93204"/>
    <w:rsid w:val="0E020B6B"/>
    <w:rsid w:val="0E1D36E7"/>
    <w:rsid w:val="0E5C62A4"/>
    <w:rsid w:val="0EC72756"/>
    <w:rsid w:val="0EFF4355"/>
    <w:rsid w:val="0F397B92"/>
    <w:rsid w:val="0F4C711B"/>
    <w:rsid w:val="0F6B1F68"/>
    <w:rsid w:val="0F704B97"/>
    <w:rsid w:val="0FCC46EF"/>
    <w:rsid w:val="104D2185"/>
    <w:rsid w:val="107E409D"/>
    <w:rsid w:val="10F351D8"/>
    <w:rsid w:val="10F54453"/>
    <w:rsid w:val="10FE360A"/>
    <w:rsid w:val="110A197C"/>
    <w:rsid w:val="11542761"/>
    <w:rsid w:val="1188035B"/>
    <w:rsid w:val="11C16297"/>
    <w:rsid w:val="11C87659"/>
    <w:rsid w:val="11F87298"/>
    <w:rsid w:val="128D210B"/>
    <w:rsid w:val="12940E0B"/>
    <w:rsid w:val="12BC68F7"/>
    <w:rsid w:val="12EB67CB"/>
    <w:rsid w:val="131D1FC0"/>
    <w:rsid w:val="13200321"/>
    <w:rsid w:val="133E3F47"/>
    <w:rsid w:val="14530434"/>
    <w:rsid w:val="145D32C7"/>
    <w:rsid w:val="14FD2BB2"/>
    <w:rsid w:val="151547B8"/>
    <w:rsid w:val="15294C1C"/>
    <w:rsid w:val="154510DF"/>
    <w:rsid w:val="16181B81"/>
    <w:rsid w:val="163E45AA"/>
    <w:rsid w:val="16453E27"/>
    <w:rsid w:val="16465A40"/>
    <w:rsid w:val="16AD702C"/>
    <w:rsid w:val="16DD6B31"/>
    <w:rsid w:val="17461C62"/>
    <w:rsid w:val="17AA48DE"/>
    <w:rsid w:val="17E62AA7"/>
    <w:rsid w:val="17EF2C21"/>
    <w:rsid w:val="17F4424E"/>
    <w:rsid w:val="189A61CB"/>
    <w:rsid w:val="18EF46F1"/>
    <w:rsid w:val="18F04A44"/>
    <w:rsid w:val="19165ED3"/>
    <w:rsid w:val="196116C8"/>
    <w:rsid w:val="19837757"/>
    <w:rsid w:val="1A2447D6"/>
    <w:rsid w:val="1A4F2ED7"/>
    <w:rsid w:val="1A6B70D6"/>
    <w:rsid w:val="1BA053DC"/>
    <w:rsid w:val="1BDB434B"/>
    <w:rsid w:val="1BFF75B4"/>
    <w:rsid w:val="1CCD3ED3"/>
    <w:rsid w:val="1D0826D3"/>
    <w:rsid w:val="1D3C33F2"/>
    <w:rsid w:val="1D74030A"/>
    <w:rsid w:val="1E1910DF"/>
    <w:rsid w:val="1E300ADE"/>
    <w:rsid w:val="1E765D9E"/>
    <w:rsid w:val="1E852558"/>
    <w:rsid w:val="1EA43555"/>
    <w:rsid w:val="1EC62B79"/>
    <w:rsid w:val="1ED50AFA"/>
    <w:rsid w:val="1F270062"/>
    <w:rsid w:val="1F3D026E"/>
    <w:rsid w:val="1F4024E6"/>
    <w:rsid w:val="1F8054F8"/>
    <w:rsid w:val="1FC90F95"/>
    <w:rsid w:val="201A26D0"/>
    <w:rsid w:val="20413C5F"/>
    <w:rsid w:val="209E1CA7"/>
    <w:rsid w:val="20B31AFE"/>
    <w:rsid w:val="20D47D98"/>
    <w:rsid w:val="21164FA2"/>
    <w:rsid w:val="21311EA5"/>
    <w:rsid w:val="213F555E"/>
    <w:rsid w:val="21832154"/>
    <w:rsid w:val="2183368C"/>
    <w:rsid w:val="21C25F7F"/>
    <w:rsid w:val="21C86D7A"/>
    <w:rsid w:val="21F148E9"/>
    <w:rsid w:val="21F9422C"/>
    <w:rsid w:val="21FA4D09"/>
    <w:rsid w:val="22A23A20"/>
    <w:rsid w:val="22F35566"/>
    <w:rsid w:val="23DE067B"/>
    <w:rsid w:val="2449672E"/>
    <w:rsid w:val="25177E64"/>
    <w:rsid w:val="25660CFF"/>
    <w:rsid w:val="25BC2B1C"/>
    <w:rsid w:val="26311933"/>
    <w:rsid w:val="263521FC"/>
    <w:rsid w:val="26A02230"/>
    <w:rsid w:val="26A946F1"/>
    <w:rsid w:val="270F717E"/>
    <w:rsid w:val="27430DFA"/>
    <w:rsid w:val="27D23000"/>
    <w:rsid w:val="287F0225"/>
    <w:rsid w:val="2888633C"/>
    <w:rsid w:val="28967876"/>
    <w:rsid w:val="28DC6D8D"/>
    <w:rsid w:val="28E658A2"/>
    <w:rsid w:val="2934369F"/>
    <w:rsid w:val="293539E2"/>
    <w:rsid w:val="294806D3"/>
    <w:rsid w:val="29584F90"/>
    <w:rsid w:val="29601992"/>
    <w:rsid w:val="29700F10"/>
    <w:rsid w:val="29C75BF1"/>
    <w:rsid w:val="2A3537E9"/>
    <w:rsid w:val="2B116393"/>
    <w:rsid w:val="2B280230"/>
    <w:rsid w:val="2B2B6B34"/>
    <w:rsid w:val="2B3C1752"/>
    <w:rsid w:val="2B6407D7"/>
    <w:rsid w:val="2B68020E"/>
    <w:rsid w:val="2BC96FB4"/>
    <w:rsid w:val="2BCB1CCD"/>
    <w:rsid w:val="2BED42B0"/>
    <w:rsid w:val="2BF72439"/>
    <w:rsid w:val="2C120FBA"/>
    <w:rsid w:val="2C2926C2"/>
    <w:rsid w:val="2C2D516F"/>
    <w:rsid w:val="2CF23076"/>
    <w:rsid w:val="2D1550EE"/>
    <w:rsid w:val="2D270E95"/>
    <w:rsid w:val="2D3B7778"/>
    <w:rsid w:val="2DA43847"/>
    <w:rsid w:val="2DBF0548"/>
    <w:rsid w:val="2DDB109D"/>
    <w:rsid w:val="2DE67EA2"/>
    <w:rsid w:val="2E28596F"/>
    <w:rsid w:val="2E503645"/>
    <w:rsid w:val="2E8F6D9B"/>
    <w:rsid w:val="2E943024"/>
    <w:rsid w:val="2F545A81"/>
    <w:rsid w:val="2F676C11"/>
    <w:rsid w:val="2F6D2B41"/>
    <w:rsid w:val="301532EA"/>
    <w:rsid w:val="30377C0B"/>
    <w:rsid w:val="303C7515"/>
    <w:rsid w:val="30450F97"/>
    <w:rsid w:val="30592DBB"/>
    <w:rsid w:val="309B5AA8"/>
    <w:rsid w:val="30D74F49"/>
    <w:rsid w:val="31032936"/>
    <w:rsid w:val="310E7A63"/>
    <w:rsid w:val="315F2B6B"/>
    <w:rsid w:val="31C75A19"/>
    <w:rsid w:val="31F65444"/>
    <w:rsid w:val="31FD2DFF"/>
    <w:rsid w:val="31FE1724"/>
    <w:rsid w:val="32393EA5"/>
    <w:rsid w:val="32505F18"/>
    <w:rsid w:val="325B5CA8"/>
    <w:rsid w:val="32844C58"/>
    <w:rsid w:val="32E57142"/>
    <w:rsid w:val="330149B7"/>
    <w:rsid w:val="33062B8C"/>
    <w:rsid w:val="3314415B"/>
    <w:rsid w:val="3373322C"/>
    <w:rsid w:val="343E2D93"/>
    <w:rsid w:val="345D70F2"/>
    <w:rsid w:val="348A0827"/>
    <w:rsid w:val="34DF4479"/>
    <w:rsid w:val="353C2939"/>
    <w:rsid w:val="35592E3B"/>
    <w:rsid w:val="35956D0A"/>
    <w:rsid w:val="35AC7563"/>
    <w:rsid w:val="35C325F8"/>
    <w:rsid w:val="35E36877"/>
    <w:rsid w:val="35E55CD1"/>
    <w:rsid w:val="35EC1630"/>
    <w:rsid w:val="35EF4932"/>
    <w:rsid w:val="361653D4"/>
    <w:rsid w:val="36723A2B"/>
    <w:rsid w:val="3678556E"/>
    <w:rsid w:val="36C15F32"/>
    <w:rsid w:val="36C40E55"/>
    <w:rsid w:val="36EF37C9"/>
    <w:rsid w:val="37685E7A"/>
    <w:rsid w:val="37800460"/>
    <w:rsid w:val="37920AEE"/>
    <w:rsid w:val="37D556C3"/>
    <w:rsid w:val="384A7A41"/>
    <w:rsid w:val="385B2EF8"/>
    <w:rsid w:val="38905D39"/>
    <w:rsid w:val="38A774A1"/>
    <w:rsid w:val="38B2148E"/>
    <w:rsid w:val="38C068C5"/>
    <w:rsid w:val="38D94CED"/>
    <w:rsid w:val="391E1F52"/>
    <w:rsid w:val="39465DF3"/>
    <w:rsid w:val="394A5FF0"/>
    <w:rsid w:val="396B5391"/>
    <w:rsid w:val="3A593B03"/>
    <w:rsid w:val="3A7845C1"/>
    <w:rsid w:val="3A914A27"/>
    <w:rsid w:val="3B352BD2"/>
    <w:rsid w:val="3B43014D"/>
    <w:rsid w:val="3BB719E6"/>
    <w:rsid w:val="3BCC0025"/>
    <w:rsid w:val="3BCF17A7"/>
    <w:rsid w:val="3C052A44"/>
    <w:rsid w:val="3C3505F9"/>
    <w:rsid w:val="3C356645"/>
    <w:rsid w:val="3CAC15D2"/>
    <w:rsid w:val="3CB20F70"/>
    <w:rsid w:val="3D061283"/>
    <w:rsid w:val="3DD72468"/>
    <w:rsid w:val="3DDA79A5"/>
    <w:rsid w:val="3E054764"/>
    <w:rsid w:val="3E107CA2"/>
    <w:rsid w:val="3E4B02B0"/>
    <w:rsid w:val="3E504A51"/>
    <w:rsid w:val="3E5D7F6D"/>
    <w:rsid w:val="3E720BBD"/>
    <w:rsid w:val="3E7F0FD3"/>
    <w:rsid w:val="3F3A7B06"/>
    <w:rsid w:val="3F4E727B"/>
    <w:rsid w:val="3F4E7974"/>
    <w:rsid w:val="3F8F4793"/>
    <w:rsid w:val="3F9600B4"/>
    <w:rsid w:val="3F9E131B"/>
    <w:rsid w:val="40214590"/>
    <w:rsid w:val="402B7E3F"/>
    <w:rsid w:val="40575044"/>
    <w:rsid w:val="40A1781F"/>
    <w:rsid w:val="40A801E1"/>
    <w:rsid w:val="40AB238A"/>
    <w:rsid w:val="411F71B7"/>
    <w:rsid w:val="41322588"/>
    <w:rsid w:val="41B32333"/>
    <w:rsid w:val="41DD6993"/>
    <w:rsid w:val="421D2353"/>
    <w:rsid w:val="427A506E"/>
    <w:rsid w:val="4284303B"/>
    <w:rsid w:val="42847D13"/>
    <w:rsid w:val="42AA07D4"/>
    <w:rsid w:val="42AD7A50"/>
    <w:rsid w:val="42CE1FCF"/>
    <w:rsid w:val="431E58B7"/>
    <w:rsid w:val="432B278D"/>
    <w:rsid w:val="43825D54"/>
    <w:rsid w:val="4388488F"/>
    <w:rsid w:val="43A8521B"/>
    <w:rsid w:val="443326F0"/>
    <w:rsid w:val="444D3426"/>
    <w:rsid w:val="446737BF"/>
    <w:rsid w:val="447A6FA6"/>
    <w:rsid w:val="449E3F2F"/>
    <w:rsid w:val="4553243B"/>
    <w:rsid w:val="45834774"/>
    <w:rsid w:val="459C3C24"/>
    <w:rsid w:val="45A80E97"/>
    <w:rsid w:val="467C1E8C"/>
    <w:rsid w:val="46897314"/>
    <w:rsid w:val="46E84D4F"/>
    <w:rsid w:val="470343A1"/>
    <w:rsid w:val="4713714A"/>
    <w:rsid w:val="472B474E"/>
    <w:rsid w:val="47802038"/>
    <w:rsid w:val="478B6735"/>
    <w:rsid w:val="47B324DC"/>
    <w:rsid w:val="47EB03B5"/>
    <w:rsid w:val="47FB099F"/>
    <w:rsid w:val="483504F4"/>
    <w:rsid w:val="48394494"/>
    <w:rsid w:val="48A7564B"/>
    <w:rsid w:val="48BD099B"/>
    <w:rsid w:val="48F74ABF"/>
    <w:rsid w:val="4940640D"/>
    <w:rsid w:val="49497549"/>
    <w:rsid w:val="497E123A"/>
    <w:rsid w:val="4993326C"/>
    <w:rsid w:val="49BF66B8"/>
    <w:rsid w:val="4A432BA3"/>
    <w:rsid w:val="4A72756B"/>
    <w:rsid w:val="4A797541"/>
    <w:rsid w:val="4A7F5FCD"/>
    <w:rsid w:val="4B010B09"/>
    <w:rsid w:val="4BC149DF"/>
    <w:rsid w:val="4BCD2412"/>
    <w:rsid w:val="4BE30283"/>
    <w:rsid w:val="4BF37B2C"/>
    <w:rsid w:val="4CF31CB8"/>
    <w:rsid w:val="4D1E0B50"/>
    <w:rsid w:val="4D6627E7"/>
    <w:rsid w:val="4D917D31"/>
    <w:rsid w:val="4E002236"/>
    <w:rsid w:val="4E4179EE"/>
    <w:rsid w:val="4E470433"/>
    <w:rsid w:val="4E767DC2"/>
    <w:rsid w:val="4E8F6F3C"/>
    <w:rsid w:val="4ED57ECB"/>
    <w:rsid w:val="4F9F7B0F"/>
    <w:rsid w:val="4FCE03C2"/>
    <w:rsid w:val="50372AC6"/>
    <w:rsid w:val="50F66874"/>
    <w:rsid w:val="510711CE"/>
    <w:rsid w:val="512438F2"/>
    <w:rsid w:val="512B0AEB"/>
    <w:rsid w:val="5153241A"/>
    <w:rsid w:val="51B24506"/>
    <w:rsid w:val="51C90B72"/>
    <w:rsid w:val="52414FCD"/>
    <w:rsid w:val="52603064"/>
    <w:rsid w:val="52677290"/>
    <w:rsid w:val="52803B80"/>
    <w:rsid w:val="52B27FA0"/>
    <w:rsid w:val="53434A68"/>
    <w:rsid w:val="534838B6"/>
    <w:rsid w:val="53D725CB"/>
    <w:rsid w:val="542B42CD"/>
    <w:rsid w:val="547140A9"/>
    <w:rsid w:val="54B21C9B"/>
    <w:rsid w:val="54C25001"/>
    <w:rsid w:val="54CB1C1C"/>
    <w:rsid w:val="55083AF1"/>
    <w:rsid w:val="55360C50"/>
    <w:rsid w:val="55AE5125"/>
    <w:rsid w:val="56443477"/>
    <w:rsid w:val="56686407"/>
    <w:rsid w:val="5670694D"/>
    <w:rsid w:val="568203C1"/>
    <w:rsid w:val="5692044B"/>
    <w:rsid w:val="570C6A4D"/>
    <w:rsid w:val="57200AAC"/>
    <w:rsid w:val="57400FAC"/>
    <w:rsid w:val="57FA77E0"/>
    <w:rsid w:val="588472F7"/>
    <w:rsid w:val="58E443C8"/>
    <w:rsid w:val="58F12371"/>
    <w:rsid w:val="590B4AF5"/>
    <w:rsid w:val="59255366"/>
    <w:rsid w:val="592E3D42"/>
    <w:rsid w:val="5957077D"/>
    <w:rsid w:val="5A0679B5"/>
    <w:rsid w:val="5A5F5703"/>
    <w:rsid w:val="5B10408B"/>
    <w:rsid w:val="5B614E05"/>
    <w:rsid w:val="5B9F729D"/>
    <w:rsid w:val="5BBB54FB"/>
    <w:rsid w:val="5C304108"/>
    <w:rsid w:val="5CD22B72"/>
    <w:rsid w:val="5CD37180"/>
    <w:rsid w:val="5D0D0413"/>
    <w:rsid w:val="5D226ACA"/>
    <w:rsid w:val="5D3778A4"/>
    <w:rsid w:val="5D684E59"/>
    <w:rsid w:val="5D6A02A3"/>
    <w:rsid w:val="5D76641B"/>
    <w:rsid w:val="5D873867"/>
    <w:rsid w:val="5D9D4B3C"/>
    <w:rsid w:val="5DAC0B5B"/>
    <w:rsid w:val="5DEC3733"/>
    <w:rsid w:val="5E324CFB"/>
    <w:rsid w:val="5EAE580E"/>
    <w:rsid w:val="5F3351B1"/>
    <w:rsid w:val="5F373A61"/>
    <w:rsid w:val="5F6A0D11"/>
    <w:rsid w:val="5F6D6775"/>
    <w:rsid w:val="60091B2F"/>
    <w:rsid w:val="601B7887"/>
    <w:rsid w:val="60666BAE"/>
    <w:rsid w:val="60CB6295"/>
    <w:rsid w:val="60EF3577"/>
    <w:rsid w:val="612F2FC5"/>
    <w:rsid w:val="61810DAC"/>
    <w:rsid w:val="61BA34EB"/>
    <w:rsid w:val="61F64342"/>
    <w:rsid w:val="62361D20"/>
    <w:rsid w:val="624F1FFB"/>
    <w:rsid w:val="626838A5"/>
    <w:rsid w:val="62743A36"/>
    <w:rsid w:val="62B214F1"/>
    <w:rsid w:val="62BD4A25"/>
    <w:rsid w:val="63146D7E"/>
    <w:rsid w:val="63230500"/>
    <w:rsid w:val="63513D97"/>
    <w:rsid w:val="63920A42"/>
    <w:rsid w:val="64760EA5"/>
    <w:rsid w:val="64963F53"/>
    <w:rsid w:val="64C32216"/>
    <w:rsid w:val="64CC30EB"/>
    <w:rsid w:val="64D85CAF"/>
    <w:rsid w:val="64E67343"/>
    <w:rsid w:val="65240CFF"/>
    <w:rsid w:val="65611872"/>
    <w:rsid w:val="656C6C0C"/>
    <w:rsid w:val="65B1519F"/>
    <w:rsid w:val="663B0545"/>
    <w:rsid w:val="663C6FD7"/>
    <w:rsid w:val="664A1A6A"/>
    <w:rsid w:val="66690A9C"/>
    <w:rsid w:val="66846F63"/>
    <w:rsid w:val="66AE6963"/>
    <w:rsid w:val="66B5704E"/>
    <w:rsid w:val="66EF19E5"/>
    <w:rsid w:val="677C61A5"/>
    <w:rsid w:val="67F3262C"/>
    <w:rsid w:val="67F72DF6"/>
    <w:rsid w:val="6801064C"/>
    <w:rsid w:val="68083B50"/>
    <w:rsid w:val="680B3A79"/>
    <w:rsid w:val="686F0A84"/>
    <w:rsid w:val="688E629F"/>
    <w:rsid w:val="68917166"/>
    <w:rsid w:val="68CE2566"/>
    <w:rsid w:val="68DF4C87"/>
    <w:rsid w:val="69006B8C"/>
    <w:rsid w:val="69603B4A"/>
    <w:rsid w:val="696320E7"/>
    <w:rsid w:val="698A6289"/>
    <w:rsid w:val="69AB5865"/>
    <w:rsid w:val="6A295EBD"/>
    <w:rsid w:val="6A6352C7"/>
    <w:rsid w:val="6ACD7664"/>
    <w:rsid w:val="6ADE752C"/>
    <w:rsid w:val="6B224577"/>
    <w:rsid w:val="6B3063AB"/>
    <w:rsid w:val="6B785364"/>
    <w:rsid w:val="6BC87F76"/>
    <w:rsid w:val="6C0A4E0D"/>
    <w:rsid w:val="6C2B0249"/>
    <w:rsid w:val="6D011978"/>
    <w:rsid w:val="6D4C7577"/>
    <w:rsid w:val="6D614BA0"/>
    <w:rsid w:val="6DF40034"/>
    <w:rsid w:val="6DFB3AAB"/>
    <w:rsid w:val="6E296577"/>
    <w:rsid w:val="6E2E7467"/>
    <w:rsid w:val="6E8B3828"/>
    <w:rsid w:val="6EE82A97"/>
    <w:rsid w:val="6F2548C9"/>
    <w:rsid w:val="6F65704C"/>
    <w:rsid w:val="6F670D3C"/>
    <w:rsid w:val="6F806D7A"/>
    <w:rsid w:val="6FB00B6F"/>
    <w:rsid w:val="705742C5"/>
    <w:rsid w:val="708519A6"/>
    <w:rsid w:val="70953AEF"/>
    <w:rsid w:val="70D84686"/>
    <w:rsid w:val="71103916"/>
    <w:rsid w:val="711B49BC"/>
    <w:rsid w:val="714C6B86"/>
    <w:rsid w:val="71697858"/>
    <w:rsid w:val="717C4FF8"/>
    <w:rsid w:val="718F2948"/>
    <w:rsid w:val="71C10EE3"/>
    <w:rsid w:val="71DA1C11"/>
    <w:rsid w:val="71F32CE0"/>
    <w:rsid w:val="721754DD"/>
    <w:rsid w:val="72D47A43"/>
    <w:rsid w:val="738144AE"/>
    <w:rsid w:val="73A94202"/>
    <w:rsid w:val="73D5303E"/>
    <w:rsid w:val="73F0565F"/>
    <w:rsid w:val="740E54B7"/>
    <w:rsid w:val="74310BB8"/>
    <w:rsid w:val="745536B6"/>
    <w:rsid w:val="74557BA0"/>
    <w:rsid w:val="74667C0C"/>
    <w:rsid w:val="74750532"/>
    <w:rsid w:val="74A2489D"/>
    <w:rsid w:val="74A833F0"/>
    <w:rsid w:val="74DA6C11"/>
    <w:rsid w:val="750931DA"/>
    <w:rsid w:val="754427F8"/>
    <w:rsid w:val="75642364"/>
    <w:rsid w:val="756A176D"/>
    <w:rsid w:val="757B2EFF"/>
    <w:rsid w:val="757C60BA"/>
    <w:rsid w:val="75AC36CE"/>
    <w:rsid w:val="75B93025"/>
    <w:rsid w:val="75C31316"/>
    <w:rsid w:val="75CC3D65"/>
    <w:rsid w:val="75D14FF0"/>
    <w:rsid w:val="75FE6729"/>
    <w:rsid w:val="760E4EC1"/>
    <w:rsid w:val="76207A89"/>
    <w:rsid w:val="762F3558"/>
    <w:rsid w:val="763B1F21"/>
    <w:rsid w:val="76826103"/>
    <w:rsid w:val="770316D3"/>
    <w:rsid w:val="773548BB"/>
    <w:rsid w:val="77B67B5F"/>
    <w:rsid w:val="781D20DD"/>
    <w:rsid w:val="78306109"/>
    <w:rsid w:val="783B31FD"/>
    <w:rsid w:val="78497278"/>
    <w:rsid w:val="78AE2748"/>
    <w:rsid w:val="7925747B"/>
    <w:rsid w:val="792A33BB"/>
    <w:rsid w:val="7988615C"/>
    <w:rsid w:val="798F0E1C"/>
    <w:rsid w:val="79BB2739"/>
    <w:rsid w:val="79E43492"/>
    <w:rsid w:val="7A03359A"/>
    <w:rsid w:val="7A467F03"/>
    <w:rsid w:val="7A4915EA"/>
    <w:rsid w:val="7AA367B5"/>
    <w:rsid w:val="7AC55644"/>
    <w:rsid w:val="7B0E2083"/>
    <w:rsid w:val="7B8B1DF6"/>
    <w:rsid w:val="7B9A69BB"/>
    <w:rsid w:val="7BAC4808"/>
    <w:rsid w:val="7BE76D09"/>
    <w:rsid w:val="7C1169AE"/>
    <w:rsid w:val="7C616904"/>
    <w:rsid w:val="7C646F65"/>
    <w:rsid w:val="7C8A7419"/>
    <w:rsid w:val="7C9F4A04"/>
    <w:rsid w:val="7D5C5C78"/>
    <w:rsid w:val="7E0000DB"/>
    <w:rsid w:val="7E0D7ED1"/>
    <w:rsid w:val="7E5129C6"/>
    <w:rsid w:val="7E8B57D8"/>
    <w:rsid w:val="7F0510C2"/>
    <w:rsid w:val="7F0C4881"/>
    <w:rsid w:val="7F305838"/>
    <w:rsid w:val="7F3B73BA"/>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semiHidden="0"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32"/>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4">
    <w:name w:val="heading 2"/>
    <w:basedOn w:val="1"/>
    <w:next w:val="1"/>
    <w:link w:val="33"/>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2">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annotation text"/>
    <w:basedOn w:val="1"/>
    <w:link w:val="39"/>
    <w:semiHidden/>
    <w:unhideWhenUsed/>
    <w:qFormat/>
    <w:uiPriority w:val="99"/>
    <w:pPr>
      <w:jc w:val="left"/>
    </w:pPr>
  </w:style>
  <w:style w:type="paragraph" w:styleId="7">
    <w:name w:val="Body Text"/>
    <w:basedOn w:val="1"/>
    <w:next w:val="8"/>
    <w:qFormat/>
    <w:uiPriority w:val="0"/>
  </w:style>
  <w:style w:type="paragraph" w:styleId="8">
    <w:name w:val="Body Text First Indent"/>
    <w:basedOn w:val="7"/>
    <w:semiHidden/>
    <w:unhideWhenUsed/>
    <w:qFormat/>
    <w:uiPriority w:val="99"/>
    <w:pPr>
      <w:ind w:firstLine="420" w:firstLineChars="100"/>
    </w:pPr>
  </w:style>
  <w:style w:type="paragraph" w:styleId="9">
    <w:name w:val="Body Text Indent"/>
    <w:basedOn w:val="1"/>
    <w:qFormat/>
    <w:uiPriority w:val="0"/>
    <w:pPr>
      <w:ind w:firstLine="660"/>
    </w:pPr>
    <w:rPr>
      <w:sz w:val="30"/>
    </w:rPr>
  </w:style>
  <w:style w:type="paragraph" w:styleId="10">
    <w:name w:val="toc 3"/>
    <w:basedOn w:val="1"/>
    <w:next w:val="1"/>
    <w:semiHidden/>
    <w:unhideWhenUsed/>
    <w:qFormat/>
    <w:uiPriority w:val="39"/>
    <w:pPr>
      <w:ind w:left="840" w:leftChars="400"/>
    </w:pPr>
  </w:style>
  <w:style w:type="paragraph" w:styleId="11">
    <w:name w:val="Balloon Text"/>
    <w:basedOn w:val="1"/>
    <w:link w:val="38"/>
    <w:semiHidden/>
    <w:unhideWhenUsed/>
    <w:qFormat/>
    <w:uiPriority w:val="99"/>
    <w:rPr>
      <w:sz w:val="18"/>
      <w:szCs w:val="18"/>
    </w:rPr>
  </w:style>
  <w:style w:type="paragraph" w:styleId="12">
    <w:name w:val="footer"/>
    <w:basedOn w:val="1"/>
    <w:link w:val="30"/>
    <w:unhideWhenUsed/>
    <w:qFormat/>
    <w:uiPriority w:val="99"/>
    <w:pPr>
      <w:tabs>
        <w:tab w:val="center" w:pos="4153"/>
        <w:tab w:val="right" w:pos="8306"/>
      </w:tabs>
      <w:snapToGrid w:val="0"/>
      <w:jc w:val="left"/>
    </w:pPr>
    <w:rPr>
      <w:sz w:val="18"/>
      <w:szCs w:val="18"/>
    </w:rPr>
  </w:style>
  <w:style w:type="paragraph" w:styleId="13">
    <w:name w:val="header"/>
    <w:basedOn w:val="1"/>
    <w:link w:val="29"/>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qFormat/>
    <w:uiPriority w:val="39"/>
    <w:rPr>
      <w:rFonts w:ascii="Times New Roman" w:hAnsi="Times New Roman" w:eastAsia="宋体" w:cs="Times New Roman"/>
    </w:rPr>
  </w:style>
  <w:style w:type="paragraph" w:styleId="15">
    <w:name w:val="footnote text"/>
    <w:basedOn w:val="1"/>
    <w:qFormat/>
    <w:uiPriority w:val="0"/>
    <w:pPr>
      <w:snapToGrid w:val="0"/>
      <w:jc w:val="left"/>
    </w:pPr>
    <w:rPr>
      <w:sz w:val="18"/>
      <w:szCs w:val="18"/>
    </w:rPr>
  </w:style>
  <w:style w:type="paragraph" w:styleId="16">
    <w:name w:val="toc 2"/>
    <w:basedOn w:val="1"/>
    <w:next w:val="1"/>
    <w:semiHidden/>
    <w:unhideWhenUsed/>
    <w:qFormat/>
    <w:uiPriority w:val="39"/>
    <w:pPr>
      <w:ind w:left="420" w:leftChars="200"/>
    </w:pPr>
  </w:style>
  <w:style w:type="paragraph" w:styleId="17">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8">
    <w:name w:val="annotation subject"/>
    <w:basedOn w:val="6"/>
    <w:next w:val="6"/>
    <w:link w:val="40"/>
    <w:semiHidden/>
    <w:unhideWhenUsed/>
    <w:qFormat/>
    <w:uiPriority w:val="99"/>
    <w:rPr>
      <w:b/>
      <w:bCs/>
    </w:rPr>
  </w:style>
  <w:style w:type="paragraph" w:styleId="19">
    <w:name w:val="Body Text First Indent 2"/>
    <w:basedOn w:val="9"/>
    <w:qFormat/>
    <w:uiPriority w:val="0"/>
    <w:pPr>
      <w:tabs>
        <w:tab w:val="left" w:pos="180"/>
        <w:tab w:val="left" w:pos="540"/>
      </w:tabs>
      <w:ind w:firstLine="420" w:firstLineChars="200"/>
    </w:pPr>
  </w:style>
  <w:style w:type="table" w:styleId="21">
    <w:name w:val="Table Grid"/>
    <w:basedOn w:val="2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Strong"/>
    <w:basedOn w:val="22"/>
    <w:qFormat/>
    <w:uiPriority w:val="0"/>
    <w:rPr>
      <w:b/>
      <w:bCs/>
    </w:rPr>
  </w:style>
  <w:style w:type="character" w:styleId="24">
    <w:name w:val="FollowedHyperlink"/>
    <w:basedOn w:val="22"/>
    <w:semiHidden/>
    <w:unhideWhenUsed/>
    <w:qFormat/>
    <w:uiPriority w:val="99"/>
    <w:rPr>
      <w:color w:val="000000"/>
      <w:u w:val="none"/>
    </w:rPr>
  </w:style>
  <w:style w:type="character" w:styleId="25">
    <w:name w:val="Emphasis"/>
    <w:basedOn w:val="22"/>
    <w:qFormat/>
    <w:uiPriority w:val="20"/>
  </w:style>
  <w:style w:type="character" w:styleId="26">
    <w:name w:val="Hyperlink"/>
    <w:basedOn w:val="22"/>
    <w:semiHidden/>
    <w:unhideWhenUsed/>
    <w:qFormat/>
    <w:uiPriority w:val="99"/>
    <w:rPr>
      <w:color w:val="000000"/>
      <w:u w:val="none"/>
    </w:rPr>
  </w:style>
  <w:style w:type="character" w:styleId="27">
    <w:name w:val="annotation reference"/>
    <w:basedOn w:val="22"/>
    <w:semiHidden/>
    <w:unhideWhenUsed/>
    <w:qFormat/>
    <w:uiPriority w:val="99"/>
    <w:rPr>
      <w:sz w:val="21"/>
      <w:szCs w:val="21"/>
    </w:rPr>
  </w:style>
  <w:style w:type="paragraph" w:customStyle="1" w:styleId="28">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9">
    <w:name w:val="页眉 Char"/>
    <w:basedOn w:val="22"/>
    <w:link w:val="13"/>
    <w:qFormat/>
    <w:uiPriority w:val="99"/>
    <w:rPr>
      <w:sz w:val="18"/>
      <w:szCs w:val="18"/>
    </w:rPr>
  </w:style>
  <w:style w:type="character" w:customStyle="1" w:styleId="30">
    <w:name w:val="页脚 Char"/>
    <w:basedOn w:val="22"/>
    <w:link w:val="12"/>
    <w:qFormat/>
    <w:uiPriority w:val="99"/>
    <w:rPr>
      <w:sz w:val="18"/>
      <w:szCs w:val="18"/>
    </w:rPr>
  </w:style>
  <w:style w:type="character" w:customStyle="1" w:styleId="31">
    <w:name w:val="font41"/>
    <w:basedOn w:val="22"/>
    <w:qFormat/>
    <w:uiPriority w:val="0"/>
    <w:rPr>
      <w:rFonts w:ascii="仿宋_GB2312" w:eastAsia="仿宋_GB2312" w:cs="仿宋_GB2312"/>
      <w:color w:val="000000"/>
      <w:sz w:val="24"/>
      <w:szCs w:val="24"/>
      <w:u w:val="none"/>
    </w:rPr>
  </w:style>
  <w:style w:type="character" w:customStyle="1" w:styleId="32">
    <w:name w:val="标题 1 Char"/>
    <w:basedOn w:val="22"/>
    <w:link w:val="3"/>
    <w:qFormat/>
    <w:uiPriority w:val="9"/>
    <w:rPr>
      <w:rFonts w:eastAsia="仿宋"/>
      <w:b/>
      <w:bCs/>
      <w:kern w:val="44"/>
      <w:sz w:val="32"/>
      <w:szCs w:val="44"/>
    </w:rPr>
  </w:style>
  <w:style w:type="character" w:customStyle="1" w:styleId="33">
    <w:name w:val="标题 2 Char"/>
    <w:basedOn w:val="22"/>
    <w:link w:val="4"/>
    <w:qFormat/>
    <w:uiPriority w:val="9"/>
    <w:rPr>
      <w:rFonts w:eastAsia="仿宋" w:asciiTheme="majorHAnsi" w:hAnsiTheme="majorHAnsi" w:cstheme="majorBidi"/>
      <w:bCs/>
      <w:sz w:val="32"/>
      <w:szCs w:val="32"/>
    </w:rPr>
  </w:style>
  <w:style w:type="paragraph" w:styleId="34">
    <w:name w:val="List Paragraph"/>
    <w:basedOn w:val="1"/>
    <w:qFormat/>
    <w:uiPriority w:val="34"/>
    <w:pPr>
      <w:ind w:firstLine="420" w:firstLineChars="200"/>
    </w:pPr>
  </w:style>
  <w:style w:type="paragraph" w:customStyle="1" w:styleId="35">
    <w:name w:val="WPSOffice手动目录 1"/>
    <w:qFormat/>
    <w:uiPriority w:val="0"/>
    <w:rPr>
      <w:rFonts w:asciiTheme="minorHAnsi" w:hAnsiTheme="minorHAnsi" w:eastAsiaTheme="minorEastAsia" w:cstheme="minorBidi"/>
      <w:lang w:val="en-US" w:eastAsia="zh-CN" w:bidi="ar-SA"/>
    </w:rPr>
  </w:style>
  <w:style w:type="paragraph" w:customStyle="1" w:styleId="36">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7">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8">
    <w:name w:val="批注框文本 Char"/>
    <w:basedOn w:val="22"/>
    <w:link w:val="11"/>
    <w:semiHidden/>
    <w:qFormat/>
    <w:uiPriority w:val="99"/>
    <w:rPr>
      <w:kern w:val="2"/>
      <w:sz w:val="18"/>
      <w:szCs w:val="18"/>
    </w:rPr>
  </w:style>
  <w:style w:type="character" w:customStyle="1" w:styleId="39">
    <w:name w:val="批注文字 Char"/>
    <w:basedOn w:val="22"/>
    <w:link w:val="6"/>
    <w:semiHidden/>
    <w:qFormat/>
    <w:uiPriority w:val="99"/>
    <w:rPr>
      <w:kern w:val="2"/>
      <w:sz w:val="21"/>
      <w:szCs w:val="24"/>
    </w:rPr>
  </w:style>
  <w:style w:type="character" w:customStyle="1" w:styleId="40">
    <w:name w:val="批注主题 Char"/>
    <w:basedOn w:val="39"/>
    <w:link w:val="18"/>
    <w:semiHidden/>
    <w:qFormat/>
    <w:uiPriority w:val="99"/>
    <w:rPr>
      <w:b/>
      <w:bCs/>
      <w:kern w:val="2"/>
      <w:sz w:val="21"/>
      <w:szCs w:val="24"/>
    </w:rPr>
  </w:style>
  <w:style w:type="paragraph" w:customStyle="1" w:styleId="41">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2">
    <w:name w:val="列表段落1"/>
    <w:basedOn w:val="1"/>
    <w:qFormat/>
    <w:uiPriority w:val="34"/>
    <w:pPr>
      <w:ind w:firstLine="420" w:firstLineChars="200"/>
    </w:pPr>
  </w:style>
  <w:style w:type="paragraph" w:customStyle="1" w:styleId="43">
    <w:name w:val="无间隔1"/>
    <w:basedOn w:val="1"/>
    <w:qFormat/>
    <w:uiPriority w:val="1"/>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29</Pages>
  <Words>13057</Words>
  <Characters>14046</Characters>
  <Lines>79</Lines>
  <Paragraphs>22</Paragraphs>
  <TotalTime>123</TotalTime>
  <ScaleCrop>false</ScaleCrop>
  <LinksUpToDate>false</LinksUpToDate>
  <CharactersWithSpaces>14114</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如果_见或不见</cp:lastModifiedBy>
  <cp:lastPrinted>2021-07-28T10:34:00Z</cp:lastPrinted>
  <dcterms:modified xsi:type="dcterms:W3CDTF">2025-03-12T11:10:20Z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A8312BA226C94F5A884B33DB13DDFAF3</vt:lpwstr>
  </property>
  <property fmtid="{D5CDD505-2E9C-101B-9397-08002B2CF9AE}" pid="4" name="KSOSaveFontToCloudKey">
    <vt:lpwstr>999270995_embed</vt:lpwstr>
  </property>
  <property fmtid="{D5CDD505-2E9C-101B-9397-08002B2CF9AE}" pid="5" name="KSOTemplateDocerSaveRecord">
    <vt:lpwstr>eyJoZGlkIjoiMWZhNjI1MTE2MjcwNzhiZTRjMjFkZjExZjVmNjlkZGMiLCJ1c2VySWQiOiIzOTg2MTgwNzQifQ==</vt:lpwstr>
  </property>
</Properties>
</file>