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EA9C98">
      <w:pPr>
        <w:jc w:val="center"/>
        <w:rPr>
          <w:rFonts w:hint="eastAsia" w:ascii="宋体" w:hAnsi="宋体" w:eastAsia="宋体" w:cs="宋体"/>
          <w:b/>
          <w:bCs/>
          <w:kern w:val="0"/>
          <w:sz w:val="44"/>
          <w:szCs w:val="44"/>
          <w:lang w:eastAsia="zh-CN"/>
        </w:rPr>
      </w:pPr>
    </w:p>
    <w:p w14:paraId="44432BC5">
      <w:pPr>
        <w:jc w:val="center"/>
        <w:rPr>
          <w:rFonts w:hint="eastAsia" w:ascii="微软雅黑" w:hAnsi="微软雅黑" w:eastAsia="微软雅黑" w:cs="微软雅黑"/>
          <w:b w:val="0"/>
          <w:bCs w:val="0"/>
          <w:kern w:val="0"/>
          <w:sz w:val="44"/>
          <w:szCs w:val="44"/>
          <w:lang w:eastAsia="zh-CN"/>
        </w:rPr>
      </w:pPr>
      <w:r>
        <w:rPr>
          <w:rFonts w:hint="eastAsia" w:ascii="微软雅黑" w:hAnsi="微软雅黑" w:eastAsia="微软雅黑" w:cs="微软雅黑"/>
          <w:b w:val="0"/>
          <w:bCs w:val="0"/>
          <w:kern w:val="0"/>
          <w:sz w:val="44"/>
          <w:szCs w:val="44"/>
          <w:lang w:eastAsia="zh-CN"/>
        </w:rPr>
        <w:t>洛浦县统计局</w:t>
      </w:r>
    </w:p>
    <w:p w14:paraId="248A3310">
      <w:pPr>
        <w:jc w:val="center"/>
        <w:rPr>
          <w:rFonts w:hint="eastAsia" w:ascii="微软雅黑" w:hAnsi="微软雅黑" w:eastAsia="微软雅黑" w:cs="微软雅黑"/>
          <w:b w:val="0"/>
          <w:bCs w:val="0"/>
          <w:kern w:val="0"/>
          <w:sz w:val="44"/>
          <w:szCs w:val="44"/>
          <w:lang w:eastAsia="zh-CN"/>
        </w:rPr>
      </w:pPr>
      <w:r>
        <w:rPr>
          <w:rFonts w:hint="eastAsia" w:ascii="微软雅黑" w:hAnsi="微软雅黑" w:eastAsia="微软雅黑" w:cs="微软雅黑"/>
          <w:b w:val="0"/>
          <w:bCs w:val="0"/>
          <w:kern w:val="0"/>
          <w:sz w:val="44"/>
          <w:szCs w:val="44"/>
          <w:lang w:eastAsia="zh-CN"/>
        </w:rPr>
        <w:t>第七次全国人口普查项目</w:t>
      </w:r>
    </w:p>
    <w:p w14:paraId="66F7E5F2">
      <w:pPr>
        <w:pStyle w:val="2"/>
        <w:rPr>
          <w:rFonts w:hint="eastAsia" w:ascii="宋体" w:hAnsi="宋体" w:eastAsia="宋体" w:cs="宋体"/>
          <w:b/>
          <w:bCs/>
          <w:kern w:val="0"/>
          <w:sz w:val="44"/>
          <w:szCs w:val="44"/>
          <w:lang w:eastAsia="zh-CN"/>
        </w:rPr>
      </w:pPr>
    </w:p>
    <w:p w14:paraId="26C6EE40">
      <w:pPr>
        <w:rPr>
          <w:rFonts w:hint="eastAsia" w:ascii="宋体" w:hAnsi="宋体" w:eastAsia="宋体" w:cs="宋体"/>
          <w:b/>
          <w:bCs/>
          <w:kern w:val="0"/>
          <w:sz w:val="44"/>
          <w:szCs w:val="44"/>
          <w:lang w:eastAsia="zh-CN"/>
        </w:rPr>
      </w:pPr>
    </w:p>
    <w:p w14:paraId="592354AD">
      <w:pPr>
        <w:pStyle w:val="2"/>
        <w:rPr>
          <w:rFonts w:hint="eastAsia"/>
          <w:lang w:eastAsia="zh-CN"/>
        </w:rPr>
      </w:pPr>
    </w:p>
    <w:p w14:paraId="494AE1A7">
      <w:pPr>
        <w:jc w:val="center"/>
        <w:rPr>
          <w:rFonts w:hint="eastAsia" w:ascii="宋体" w:hAnsi="宋体" w:eastAsia="宋体" w:cs="宋体"/>
          <w:b/>
          <w:bCs/>
          <w:kern w:val="0"/>
          <w:sz w:val="72"/>
          <w:szCs w:val="72"/>
          <w:lang w:eastAsia="zh-CN"/>
        </w:rPr>
      </w:pPr>
    </w:p>
    <w:p w14:paraId="5851F2E2">
      <w:pPr>
        <w:jc w:val="center"/>
        <w:rPr>
          <w:rFonts w:hint="eastAsia" w:ascii="宋体" w:hAnsi="宋体" w:eastAsia="宋体" w:cs="宋体"/>
          <w:b/>
          <w:bCs/>
          <w:kern w:val="0"/>
          <w:sz w:val="72"/>
          <w:szCs w:val="72"/>
          <w:lang w:eastAsia="zh-CN"/>
        </w:rPr>
      </w:pPr>
    </w:p>
    <w:p w14:paraId="2D804410">
      <w:pPr>
        <w:jc w:val="center"/>
        <w:rPr>
          <w:rFonts w:hint="eastAsia" w:ascii="宋体" w:hAnsi="宋体" w:eastAsia="宋体" w:cs="宋体"/>
          <w:b/>
          <w:bCs/>
          <w:kern w:val="0"/>
          <w:sz w:val="72"/>
          <w:szCs w:val="72"/>
          <w:lang w:eastAsia="zh-CN"/>
        </w:rPr>
      </w:pPr>
      <w:r>
        <w:rPr>
          <w:rFonts w:hint="eastAsia" w:ascii="宋体" w:hAnsi="宋体" w:eastAsia="宋体" w:cs="宋体"/>
          <w:b/>
          <w:bCs/>
          <w:kern w:val="0"/>
          <w:sz w:val="72"/>
          <w:szCs w:val="72"/>
          <w:lang w:eastAsia="zh-CN"/>
        </w:rPr>
        <w:t>绩效评价报告</w:t>
      </w:r>
    </w:p>
    <w:p w14:paraId="3CA32B9D">
      <w:pPr>
        <w:jc w:val="center"/>
        <w:rPr>
          <w:rFonts w:hint="eastAsia" w:ascii="宋体" w:hAnsi="宋体" w:eastAsia="宋体" w:cs="宋体"/>
          <w:b/>
          <w:bCs/>
          <w:kern w:val="0"/>
          <w:sz w:val="72"/>
          <w:szCs w:val="72"/>
        </w:rPr>
      </w:pPr>
    </w:p>
    <w:p w14:paraId="2A3BE9A6">
      <w:pPr>
        <w:jc w:val="center"/>
        <w:rPr>
          <w:rFonts w:hint="eastAsia" w:ascii="宋体" w:hAnsi="宋体" w:eastAsia="宋体" w:cs="宋体"/>
          <w:b/>
          <w:bCs/>
          <w:kern w:val="0"/>
          <w:sz w:val="72"/>
          <w:szCs w:val="72"/>
        </w:rPr>
      </w:pPr>
    </w:p>
    <w:p w14:paraId="3E1C3F53">
      <w:pPr>
        <w:rPr>
          <w:rFonts w:ascii="Times New Roman" w:hAnsi="黑体" w:eastAsia="黑体" w:cs="宋体"/>
          <w:kern w:val="0"/>
          <w:sz w:val="24"/>
        </w:rPr>
      </w:pPr>
    </w:p>
    <w:p w14:paraId="3C0DBA21">
      <w:pPr>
        <w:rPr>
          <w:rFonts w:ascii="Times New Roman" w:hAnsi="黑体" w:eastAsia="黑体" w:cs="宋体"/>
          <w:kern w:val="0"/>
          <w:sz w:val="24"/>
        </w:rPr>
      </w:pPr>
    </w:p>
    <w:p w14:paraId="46FCC137">
      <w:pPr>
        <w:jc w:val="center"/>
        <w:rPr>
          <w:rFonts w:ascii="Times New Roman" w:hAnsi="黑体" w:eastAsia="黑体" w:cs="宋体"/>
          <w:kern w:val="0"/>
          <w:sz w:val="24"/>
        </w:rPr>
      </w:pPr>
    </w:p>
    <w:p w14:paraId="4891AC9B"/>
    <w:p w14:paraId="5B24D511">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145</w:t>
      </w:r>
      <w:r>
        <w:rPr>
          <w:rFonts w:hint="eastAsia" w:ascii="黑体" w:hAnsi="黑体" w:eastAsia="黑体" w:cs="宋体"/>
          <w:kern w:val="0"/>
          <w:sz w:val="24"/>
          <w:highlight w:val="none"/>
        </w:rPr>
        <w:t>号</w:t>
      </w:r>
    </w:p>
    <w:p w14:paraId="1990366F">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14:paraId="3D8AD934">
      <w:pPr>
        <w:spacing w:line="400" w:lineRule="exact"/>
        <w:ind w:firstLine="2040" w:firstLineChars="850"/>
        <w:jc w:val="left"/>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14:paraId="10C8A239">
      <w:pPr>
        <w:spacing w:line="400" w:lineRule="exact"/>
        <w:ind w:firstLine="2040" w:firstLineChars="850"/>
        <w:jc w:val="left"/>
        <w:rPr>
          <w:highlight w:val="none"/>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14:paraId="36A230A9">
        <w:tblPrEx>
          <w:tblCellMar>
            <w:top w:w="15" w:type="dxa"/>
            <w:left w:w="15" w:type="dxa"/>
            <w:bottom w:w="15" w:type="dxa"/>
            <w:right w:w="15" w:type="dxa"/>
          </w:tblCellMar>
        </w:tblPrEx>
        <w:trPr>
          <w:trHeight w:val="309" w:hRule="atLeast"/>
        </w:trPr>
        <w:tc>
          <w:tcPr>
            <w:tcW w:w="8983" w:type="dxa"/>
            <w:gridSpan w:val="13"/>
            <w:shd w:val="clear" w:color="auto" w:fill="auto"/>
            <w:vAlign w:val="center"/>
          </w:tcPr>
          <w:p w14:paraId="6A36D5F5">
            <w:pPr>
              <w:widowControl/>
              <w:jc w:val="left"/>
              <w:textAlignment w:val="center"/>
              <w:rPr>
                <w:rFonts w:hint="eastAsia" w:ascii="黑体" w:hAnsi="宋体" w:eastAsia="黑体" w:cs="黑体"/>
                <w:color w:val="000000"/>
                <w:sz w:val="24"/>
                <w:highlight w:val="none"/>
                <w:lang w:val="en-US" w:eastAsia="zh-CN"/>
              </w:rPr>
            </w:pPr>
            <w:r>
              <w:rPr>
                <w:rFonts w:hint="eastAsia" w:ascii="黑体" w:hAnsi="宋体" w:eastAsia="黑体" w:cs="黑体"/>
                <w:color w:val="000000"/>
                <w:kern w:val="0"/>
                <w:sz w:val="24"/>
                <w:highlight w:val="none"/>
              </w:rPr>
              <w:t>评价分值：</w:t>
            </w:r>
            <w:r>
              <w:rPr>
                <w:rFonts w:hint="eastAsia" w:ascii="黑体" w:hAnsi="宋体" w:eastAsia="黑体" w:cs="黑体"/>
                <w:color w:val="000000"/>
                <w:kern w:val="0"/>
                <w:sz w:val="24"/>
                <w:highlight w:val="none"/>
                <w:lang w:val="en-US" w:eastAsia="zh-CN"/>
              </w:rPr>
              <w:t>98.5</w:t>
            </w:r>
            <w:r>
              <w:rPr>
                <w:rStyle w:val="30"/>
                <w:rFonts w:hint="eastAsia" w:hAnsi="宋体"/>
                <w:highlight w:val="none"/>
              </w:rPr>
              <w:t xml:space="preserve"> </w:t>
            </w:r>
            <w:r>
              <w:rPr>
                <w:rFonts w:hint="eastAsia" w:ascii="黑体" w:hAnsi="宋体" w:eastAsia="黑体" w:cs="黑体"/>
                <w:color w:val="000000"/>
                <w:kern w:val="0"/>
                <w:sz w:val="24"/>
                <w:highlight w:val="none"/>
              </w:rPr>
              <w:t>评价等级：</w:t>
            </w:r>
            <w:r>
              <w:rPr>
                <w:rFonts w:hint="eastAsia" w:ascii="黑体" w:hAnsi="宋体" w:eastAsia="黑体" w:cs="黑体"/>
                <w:color w:val="000000"/>
                <w:kern w:val="0"/>
                <w:sz w:val="24"/>
                <w:highlight w:val="none"/>
                <w:lang w:val="en-US" w:eastAsia="zh-CN"/>
              </w:rPr>
              <w:t>优</w:t>
            </w:r>
          </w:p>
        </w:tc>
      </w:tr>
      <w:tr w14:paraId="4B7926B2">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14:paraId="601819A2">
            <w:pPr>
              <w:widowControl/>
              <w:jc w:val="center"/>
              <w:textAlignment w:val="center"/>
              <w:rPr>
                <w:rFonts w:ascii="黑体" w:hAnsi="宋体" w:eastAsia="黑体" w:cs="黑体"/>
                <w:b/>
                <w:color w:val="000000"/>
                <w:sz w:val="36"/>
                <w:szCs w:val="36"/>
                <w:highlight w:val="none"/>
              </w:rPr>
            </w:pPr>
            <w:r>
              <w:rPr>
                <w:rFonts w:hint="eastAsia" w:ascii="黑体" w:hAnsi="宋体" w:eastAsia="黑体" w:cs="黑体"/>
                <w:b/>
                <w:color w:val="000000"/>
                <w:kern w:val="0"/>
                <w:sz w:val="36"/>
                <w:szCs w:val="36"/>
                <w:highlight w:val="none"/>
              </w:rPr>
              <w:t>概   要</w:t>
            </w:r>
          </w:p>
        </w:tc>
      </w:tr>
      <w:tr w14:paraId="21FBB6EA">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14:paraId="1496664D">
            <w:pPr>
              <w:widowControl/>
              <w:jc w:val="left"/>
              <w:textAlignment w:val="center"/>
              <w:rPr>
                <w:rFonts w:ascii="黑体" w:hAnsi="黑体" w:eastAsia="黑体" w:cs="仿宋_GB2312"/>
                <w:color w:val="000000"/>
                <w:sz w:val="22"/>
                <w:highlight w:val="none"/>
              </w:rPr>
            </w:pPr>
            <w:r>
              <w:rPr>
                <w:rFonts w:hint="eastAsia" w:ascii="黑体" w:hAnsi="黑体" w:eastAsia="黑体" w:cs="仿宋_GB2312"/>
                <w:color w:val="000000"/>
                <w:kern w:val="0"/>
                <w:sz w:val="22"/>
                <w:highlight w:val="none"/>
              </w:rPr>
              <w:t>评价机构全称（盖章）：中瑞诚会计师事务所</w:t>
            </w:r>
            <w:r>
              <w:rPr>
                <w:rFonts w:hint="eastAsia" w:ascii="黑体" w:hAnsi="黑体" w:eastAsia="黑体" w:cs="仿宋_GB2312"/>
                <w:color w:val="000000"/>
                <w:kern w:val="0"/>
                <w:sz w:val="22"/>
                <w:highlight w:val="none"/>
                <w:lang w:eastAsia="zh-CN"/>
              </w:rPr>
              <w:t>（特殊普通合伙）</w:t>
            </w:r>
            <w:r>
              <w:rPr>
                <w:rFonts w:hint="eastAsia" w:ascii="黑体" w:hAnsi="黑体" w:eastAsia="黑体" w:cs="仿宋_GB2312"/>
                <w:color w:val="000000"/>
                <w:kern w:val="0"/>
                <w:sz w:val="22"/>
                <w:highlight w:val="none"/>
              </w:rPr>
              <w:t xml:space="preserve">喀什分所 </w:t>
            </w:r>
            <w:r>
              <w:rPr>
                <w:rFonts w:hint="eastAsia" w:ascii="黑体" w:hAnsi="黑体" w:eastAsia="黑体" w:cs="仿宋_GB2312"/>
                <w:color w:val="000000"/>
                <w:kern w:val="0"/>
                <w:sz w:val="22"/>
                <w:highlight w:val="none"/>
                <w:lang w:val="en-US" w:eastAsia="zh-CN"/>
              </w:rPr>
              <w:t xml:space="preserve">   </w:t>
            </w:r>
            <w:r>
              <w:rPr>
                <w:rFonts w:hint="eastAsia" w:ascii="黑体" w:hAnsi="黑体" w:eastAsia="黑体" w:cs="仿宋_GB2312"/>
                <w:color w:val="000000"/>
                <w:kern w:val="0"/>
                <w:sz w:val="22"/>
                <w:highlight w:val="none"/>
              </w:rPr>
              <w:t>单位：万元、类、个</w:t>
            </w:r>
          </w:p>
        </w:tc>
      </w:tr>
      <w:tr w14:paraId="383421FC">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44E3D">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68F2DD84">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第七次全国人口普查项目项目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FD2B08C">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8844BA">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p>
        </w:tc>
      </w:tr>
      <w:tr w14:paraId="79877A52">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D1F322">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22B0FD88">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51C695A">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0D4103B">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高月仙15713865046</w:t>
            </w:r>
          </w:p>
        </w:tc>
      </w:tr>
      <w:tr w14:paraId="5791D2CE">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6D927">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33D5DC32">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洛浦县统计局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4AA33D4">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CBEB004">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阿布力孜15199775553</w:t>
            </w:r>
          </w:p>
        </w:tc>
      </w:tr>
      <w:tr w14:paraId="252EFEF0">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3DAE79">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C8A5CEB">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76B97D8">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9C3696B">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8BA20BF">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CF3B9">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优</w:t>
            </w:r>
          </w:p>
        </w:tc>
      </w:tr>
      <w:tr w14:paraId="7EAD5A98">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D72C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14:paraId="7D22884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BC4F455">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146.40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283424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8B3CC9F">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146.40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98B7A4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D4ABB">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0AE527C5">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8BA3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059FEE2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9B3CBB0">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FC9EAC2">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3164105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5752DFC">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865F7F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自治区</w:t>
            </w:r>
            <w:r>
              <w:rPr>
                <w:rFonts w:hint="eastAsia" w:ascii="黑体" w:hAnsi="宋体" w:eastAsia="黑体" w:cs="黑体"/>
                <w:color w:val="000000"/>
                <w:kern w:val="0"/>
                <w:sz w:val="20"/>
                <w:szCs w:val="20"/>
              </w:rPr>
              <w:t>财政资金</w:t>
            </w:r>
          </w:p>
          <w:p w14:paraId="5D8570D5">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F8447">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013A2B35">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31C5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E0E1D16">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经费类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E85C7F">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024CFB96">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经费类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0AD72F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13C3A">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007D1E42">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A6462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97558E6">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46AA63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92BA2AF">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7733DD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26E7B">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35995291">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4E39E54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14:paraId="4EFD852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0471840F">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60CD625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14:paraId="18A610C9">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339BCDDF">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2D5F31B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14:paraId="2D218EE9">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4CA7EDFF">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洛浦县9个乡镇，1个街道</w:t>
            </w:r>
          </w:p>
        </w:tc>
      </w:tr>
      <w:tr w14:paraId="56FF199A">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34F8506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14:paraId="752E4B4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291AD8C2">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450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71AFF81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14:paraId="42CA8054">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41CA7DBE">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450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7EEA627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14:paraId="2AE8F311">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44F18B09">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14:paraId="1826DE72">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6BECB48E">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14:paraId="0F7F0D49">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14:paraId="16920988">
            <w:pPr>
              <w:keepNext w:val="0"/>
              <w:keepLines w:val="0"/>
              <w:pageBreakBefore w:val="0"/>
              <w:widowControl w:val="0"/>
              <w:kinsoku/>
              <w:wordWrap/>
              <w:overflowPunct/>
              <w:topLinePunct w:val="0"/>
              <w:autoSpaceDE/>
              <w:autoSpaceDN/>
              <w:bidi w:val="0"/>
              <w:adjustRightInd/>
              <w:snapToGrid/>
              <w:spacing w:line="240" w:lineRule="exact"/>
              <w:textAlignment w:val="auto"/>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完成了对全县开展第七次全国人口普查工作，参加普查工作人数为1450人，普查对象为30万人以上。</w:t>
            </w:r>
            <w:r>
              <w:rPr>
                <w:rFonts w:hint="eastAsia" w:ascii="仿宋_GB2312" w:hAnsi="宋体" w:eastAsia="仿宋_GB2312" w:cs="仿宋_GB2312"/>
                <w:color w:val="000000"/>
                <w:sz w:val="20"/>
                <w:szCs w:val="20"/>
                <w:lang w:val="en-US" w:eastAsia="zh-CN"/>
              </w:rPr>
              <w:t>通过该项目实施，</w:t>
            </w:r>
            <w:r>
              <w:rPr>
                <w:rFonts w:hint="eastAsia" w:ascii="仿宋_GB2312" w:hAnsi="仿宋_GB2312" w:eastAsia="仿宋_GB2312" w:cs="仿宋_GB2312"/>
                <w:kern w:val="2"/>
                <w:sz w:val="20"/>
                <w:szCs w:val="20"/>
                <w:lang w:val="en-US" w:eastAsia="zh-CN" w:bidi="ar"/>
              </w:rPr>
              <w:t>促进了人口长期均衡发展，完善了人口发展战略和发展体系，推动了经济高质量发展，开启了全面建设社会新征程。</w:t>
            </w:r>
          </w:p>
        </w:tc>
      </w:tr>
      <w:tr w14:paraId="66A9FFA2">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14:paraId="5FEEAAC8">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14:paraId="0A208539">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14:paraId="6D3AD902">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eastAsia" w:ascii="仿宋_GB2312" w:hAnsi="宋体" w:eastAsia="仿宋_GB2312" w:cs="仿宋_GB2312"/>
                <w:color w:val="000000"/>
                <w:sz w:val="20"/>
                <w:szCs w:val="20"/>
                <w:highlight w:val="yellow"/>
                <w:lang w:eastAsia="zh-CN"/>
              </w:rPr>
            </w:pPr>
            <w:r>
              <w:rPr>
                <w:rFonts w:hint="eastAsia" w:ascii="仿宋_GB2312" w:hAnsi="仿宋_GB2312" w:eastAsia="仿宋_GB2312" w:cs="仿宋_GB2312"/>
                <w:kern w:val="2"/>
                <w:sz w:val="20"/>
                <w:szCs w:val="20"/>
                <w:lang w:val="en-US" w:eastAsia="zh-CN" w:bidi="ar"/>
              </w:rPr>
              <w:t>洛浦县统计局对项目资料归档不够重视，项目资料归档不及时。</w:t>
            </w:r>
          </w:p>
        </w:tc>
      </w:tr>
      <w:tr w14:paraId="49934750">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14:paraId="2BA73BD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14:paraId="4CADA9D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14:paraId="7828882C">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eastAsia" w:ascii="仿宋_GB2312" w:hAnsi="宋体" w:eastAsia="仿宋_GB2312" w:cs="仿宋_GB2312"/>
                <w:color w:val="000000"/>
                <w:sz w:val="20"/>
                <w:szCs w:val="20"/>
                <w:lang w:eastAsia="zh-CN"/>
              </w:rPr>
            </w:pPr>
            <w:r>
              <w:rPr>
                <w:rFonts w:hint="eastAsia" w:ascii="仿宋_GB2312" w:hAnsi="仿宋_GB2312" w:eastAsia="仿宋_GB2312" w:cs="仿宋_GB2312"/>
                <w:sz w:val="20"/>
                <w:szCs w:val="20"/>
                <w:lang w:val="en-US" w:eastAsia="zh-CN"/>
              </w:rPr>
              <w:t>建议项目实施主管单位严格遵守相关项目管理办法，在项目实施过程中，项目资料的收集与项目实施进度保持同步，严格要求各乡镇及时报送资料，避免出现有乡镇漏报资料。</w:t>
            </w:r>
          </w:p>
        </w:tc>
      </w:tr>
      <w:tr w14:paraId="19E823AD">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14:paraId="728D5DF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14:paraId="7B2F1E7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14:paraId="2B5C2349">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14:paraId="4A8B31D2">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14:paraId="501EE580">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14:paraId="7A2E9AA9">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30EDA5A1">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14:paraId="02BA63D9">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14:paraId="3D522895">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13419D7A">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145</w:t>
            </w:r>
            <w:r>
              <w:rPr>
                <w:rFonts w:hint="eastAsia" w:ascii="黑体" w:hAnsi="黑体" w:eastAsia="黑体" w:cs="仿宋_GB2312"/>
                <w:color w:val="000000"/>
                <w:sz w:val="20"/>
                <w:szCs w:val="20"/>
              </w:rPr>
              <w:t>号</w:t>
            </w:r>
          </w:p>
        </w:tc>
      </w:tr>
      <w:tr w14:paraId="319FBD50">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4DE3F015">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14:paraId="4C77C8C3">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14:paraId="097306CF">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14:paraId="0C7FC1CA">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14:paraId="463B46F0">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4FF1F128">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14:paraId="3B22125B">
      <w:pPr>
        <w:pStyle w:val="13"/>
        <w:tabs>
          <w:tab w:val="right" w:leader="dot" w:pos="8302"/>
        </w:tabs>
        <w:jc w:val="center"/>
        <w:rPr>
          <w:rFonts w:hint="eastAsia" w:ascii="宋体" w:hAnsi="宋体" w:eastAsia="宋体" w:cs="宋体"/>
          <w:sz w:val="44"/>
          <w:szCs w:val="44"/>
        </w:rPr>
      </w:pPr>
    </w:p>
    <w:p w14:paraId="7B6AB675">
      <w:pPr>
        <w:pStyle w:val="13"/>
        <w:tabs>
          <w:tab w:val="right" w:leader="dot" w:pos="8302"/>
        </w:tabs>
        <w:jc w:val="center"/>
        <w:rPr>
          <w:rFonts w:hint="eastAsia" w:ascii="微软雅黑" w:hAnsi="微软雅黑" w:eastAsia="微软雅黑" w:cs="微软雅黑"/>
          <w:b/>
          <w:bCs/>
          <w:sz w:val="44"/>
          <w:szCs w:val="44"/>
        </w:rPr>
      </w:pPr>
      <w:r>
        <w:rPr>
          <w:rFonts w:hint="eastAsia" w:ascii="微软雅黑" w:hAnsi="微软雅黑" w:eastAsia="微软雅黑" w:cs="微软雅黑"/>
          <w:b w:val="0"/>
          <w:bCs w:val="0"/>
          <w:sz w:val="44"/>
          <w:szCs w:val="44"/>
        </w:rPr>
        <w:t>摘   要</w:t>
      </w:r>
    </w:p>
    <w:p w14:paraId="6DF528E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统计局管理的第七次全国人口普查项目（以下简称“该项目”）开展了绩效评价，评价情况如下：</w:t>
      </w:r>
    </w:p>
    <w:p w14:paraId="74010C45">
      <w:pPr>
        <w:numPr>
          <w:ilvl w:val="0"/>
          <w:numId w:val="3"/>
        </w:num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项目概述</w:t>
      </w:r>
      <w:bookmarkEnd w:id="0"/>
      <w:bookmarkStart w:id="1" w:name="_Toc4382"/>
    </w:p>
    <w:p w14:paraId="2DAFA875">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全国人口普查条例》规定，人口普查每10年进行一次。2021年我县开展第七次全国人口普查，这是我县人口发展进入深入转型阶段后首次对全国人口基本情况做全面盘点，普查数据质量的好坏对准确判断我县人口发展变化情况、科学制定经济社会发展规划、促进人口长期均衡发展具有重大影响。因此，必须立足我县经济社会发展实际，继承和发扬以往人口普查成功的经验，提早谋划、统筹部署、精心准备，充分发挥各部门职能，形成推动普查工作的强大合力，确保在新形势下高质量完成人口普查工作。</w:t>
      </w:r>
    </w:p>
    <w:p w14:paraId="3E83E218">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通过该项目实施，全面查清我县人口数量、结构、分布、城乡住房等方面情况，为完善人口发展战略和政策体系，促进人口长期均衡发展，科学制定国民经济和社会发展规划，推动经济高质量发展，开启全面建设社会主义现代化国家新征程，向第二个百年奋斗目标进军，提供科学准确的统计信息支持。</w:t>
      </w:r>
    </w:p>
    <w:p w14:paraId="36571F33">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该项目根据《关于提前下达第七次人口普查2021年经费的通知》（和地财行〔2021〕14号）文件精神和主管县领导主要批示要求等文件精神立项并实施。</w:t>
      </w:r>
    </w:p>
    <w:p w14:paraId="135764EE">
      <w:pPr>
        <w:pStyle w:val="2"/>
        <w:rPr>
          <w:rFonts w:hint="eastAsia" w:ascii="黑体" w:hAnsi="黑体" w:eastAsia="黑体" w:cs="宋体"/>
          <w:sz w:val="32"/>
          <w:szCs w:val="32"/>
          <w:highlight w:val="yellow"/>
          <w:lang w:eastAsia="zh-CN"/>
        </w:rPr>
      </w:pPr>
      <w:r>
        <w:rPr>
          <w:rFonts w:hint="eastAsia"/>
          <w:lang w:val="en-US" w:eastAsia="zh-CN"/>
        </w:rPr>
        <w:t xml:space="preserve">   </w:t>
      </w:r>
      <w:r>
        <w:rPr>
          <w:rFonts w:hint="eastAsia" w:ascii="黑体" w:hAnsi="黑体" w:eastAsia="黑体" w:cs="宋体"/>
          <w:b w:val="0"/>
          <w:bCs w:val="0"/>
          <w:sz w:val="32"/>
          <w:szCs w:val="32"/>
        </w:rPr>
        <w:t>二、评价工作简述</w:t>
      </w:r>
      <w:bookmarkEnd w:id="1"/>
    </w:p>
    <w:p w14:paraId="2FC1E90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14:paraId="07FF135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14:paraId="609111AA">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14:paraId="0BA779A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14:paraId="161F1F4B">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14:paraId="1A37CB6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经综合评价，项目得分为98.5分，其中：项目决策得分20分、项目过程得分18.5分；项目产出得分30分、项目效益得分30分，评价等级为优。</w:t>
      </w:r>
    </w:p>
    <w:p w14:paraId="056C6D98">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w:t>
      </w:r>
      <w:r>
        <w:rPr>
          <w:rFonts w:hint="eastAsia" w:ascii="仿宋_GB2312" w:hAnsi="仿宋_GB2312" w:eastAsia="仿宋_GB2312" w:cs="仿宋_GB2312"/>
          <w:color w:val="000000"/>
          <w:kern w:val="0"/>
          <w:sz w:val="32"/>
          <w:szCs w:val="32"/>
          <w:highlight w:val="none"/>
          <w:lang w:val="en-US" w:eastAsia="zh-CN"/>
        </w:rPr>
        <w:t>146.40</w:t>
      </w:r>
      <w:r>
        <w:rPr>
          <w:rFonts w:hint="eastAsia" w:ascii="仿宋_GB2312" w:hAnsi="仿宋_GB2312" w:eastAsia="仿宋_GB2312" w:cs="仿宋_GB2312"/>
          <w:sz w:val="32"/>
          <w:szCs w:val="32"/>
          <w:highlight w:val="none"/>
          <w:lang w:val="en-US" w:eastAsia="zh-CN"/>
        </w:rPr>
        <w:t>万元，实际支出146.40万元，预算资金执行率100%。通过文件研读、实地调研、数据分析等方式，全面了解该项目的使用效果，项目管理过程较规范；总的来看，通过该项目的实施，促进了人口长期均衡发展，完善了人口发展战略和发展体系，推动了经济高质量发展，开启了全面建设社会新征程。</w:t>
      </w:r>
    </w:p>
    <w:p w14:paraId="4A5A3185">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14:paraId="1F83C11F">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 w:name="_Toc6009"/>
      <w:bookmarkStart w:id="7" w:name="_Toc5400"/>
      <w:bookmarkStart w:id="8" w:name="_Toc19437"/>
      <w:bookmarkStart w:id="9" w:name="_Toc11063"/>
      <w:bookmarkStart w:id="10" w:name="_Toc24350"/>
      <w:bookmarkStart w:id="11" w:name="_Toc22139"/>
      <w:r>
        <w:rPr>
          <w:rFonts w:hint="eastAsia" w:ascii="仿宋_GB2312" w:hAnsi="仿宋" w:eastAsia="仿宋_GB2312" w:cs="宋体"/>
          <w:b/>
          <w:bCs/>
          <w:sz w:val="32"/>
          <w:szCs w:val="32"/>
          <w:highlight w:val="none"/>
        </w:rPr>
        <w:t>（一）问题</w:t>
      </w:r>
      <w:bookmarkEnd w:id="6"/>
      <w:bookmarkEnd w:id="7"/>
      <w:bookmarkEnd w:id="8"/>
      <w:bookmarkEnd w:id="9"/>
      <w:bookmarkEnd w:id="10"/>
      <w:bookmarkEnd w:id="11"/>
    </w:p>
    <w:p w14:paraId="6FA34C1C">
      <w:pPr>
        <w:pStyle w:val="33"/>
        <w:adjustRightInd w:val="0"/>
        <w:snapToGrid w:val="0"/>
        <w:spacing w:line="560" w:lineRule="exact"/>
        <w:ind w:left="0" w:leftChars="0" w:firstLine="640" w:firstLineChars="200"/>
        <w:outlineLvl w:val="1"/>
        <w:rPr>
          <w:rFonts w:hint="eastAsia" w:ascii="仿宋_GB2312" w:hAnsi="仿宋_GB2312" w:eastAsia="仿宋_GB2312" w:cs="仿宋_GB2312"/>
          <w:sz w:val="32"/>
          <w:szCs w:val="32"/>
          <w:highlight w:val="none"/>
          <w:lang w:val="en-US" w:eastAsia="zh-CN"/>
        </w:rPr>
      </w:pPr>
      <w:bookmarkStart w:id="12" w:name="_Toc3933"/>
      <w:bookmarkStart w:id="13" w:name="_Toc32170"/>
      <w:bookmarkStart w:id="14" w:name="_Toc25341"/>
      <w:bookmarkStart w:id="15" w:name="_Toc21456"/>
      <w:bookmarkStart w:id="16" w:name="_Toc13719"/>
      <w:bookmarkStart w:id="17" w:name="_Toc23428"/>
      <w:r>
        <w:rPr>
          <w:rFonts w:hint="eastAsia" w:ascii="仿宋_GB2312" w:hAnsi="仿宋_GB2312" w:eastAsia="仿宋_GB2312" w:cs="仿宋_GB2312"/>
          <w:sz w:val="32"/>
          <w:szCs w:val="32"/>
          <w:highlight w:val="none"/>
          <w:lang w:val="en-US" w:eastAsia="zh-CN"/>
        </w:rPr>
        <w:t>洛浦县统计局对项目资料归档不够重视，项目资料归档不及时。</w:t>
      </w:r>
    </w:p>
    <w:p w14:paraId="04F41352">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bookmarkEnd w:id="12"/>
      <w:bookmarkEnd w:id="13"/>
      <w:bookmarkEnd w:id="14"/>
      <w:bookmarkEnd w:id="15"/>
      <w:bookmarkEnd w:id="16"/>
      <w:bookmarkEnd w:id="17"/>
    </w:p>
    <w:p w14:paraId="24563F8E">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建议项目实施主管单位严格遵守相关项目管理办法，在项目实施过程中，项目资料的收集与项目实施进度保持同步，严格要求各乡镇及时报送资料，避免出现有乡镇漏报资料。</w:t>
      </w:r>
    </w:p>
    <w:p w14:paraId="76F8A9D3">
      <w:pPr>
        <w:rPr>
          <w:rFonts w:hint="eastAsia"/>
          <w:lang w:val="en-US" w:eastAsia="zh-CN"/>
        </w:rPr>
      </w:pPr>
    </w:p>
    <w:p w14:paraId="343AF3C0">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14:paraId="5208F987">
      <w:pPr>
        <w:ind w:firstLine="420" w:firstLineChars="200"/>
      </w:pP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14:paraId="66D18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14:paraId="02EDEE4D">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14:paraId="48E197E6">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14:paraId="43E457BA">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14:paraId="25557CD2">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14:paraId="2C7D3240">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14:paraId="4D9DD515">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14:paraId="5CF6CC36">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14:paraId="5E893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14:paraId="5B2FD6C5">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14:paraId="1E500026">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14:paraId="76C2AE7F">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14:paraId="1686B306">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40CE7FD3">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78A38041">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14:paraId="114FC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39CA5E7E">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14:paraId="3B184D08">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14:paraId="140B3FEF">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14:paraId="37EE68FA">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5DA338D3">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12911691">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14:paraId="551DC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209E3AB1">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14:paraId="6610707A">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14:paraId="181FA6DD">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14:paraId="14B72152">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14:paraId="31150023">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14:paraId="10FA699A">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14:paraId="1A5D9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14:paraId="109699EB">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14:paraId="523AB30D">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14:paraId="41FD4FC5">
            <w:pPr>
              <w:pStyle w:val="13"/>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14:paraId="11DB48FE">
            <w:pPr>
              <w:pStyle w:val="13"/>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14:paraId="38C8BE4E">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14:paraId="7052F4F6">
            <w:pPr>
              <w:pStyle w:val="13"/>
              <w:tabs>
                <w:tab w:val="right" w:leader="dot" w:pos="8302"/>
              </w:tabs>
              <w:spacing w:line="340" w:lineRule="exact"/>
              <w:jc w:val="center"/>
              <w:rPr>
                <w:rFonts w:ascii="仿宋_GB2312" w:hAnsi="黑体" w:eastAsia="仿宋_GB2312" w:cs="宋体"/>
                <w:kern w:val="0"/>
                <w:sz w:val="24"/>
              </w:rPr>
            </w:pPr>
          </w:p>
        </w:tc>
      </w:tr>
      <w:tr w14:paraId="3D22D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14:paraId="466B1A16">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14:paraId="79FD51DF">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14:paraId="503451DB">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14:paraId="527C965F">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14:paraId="2C2202B4">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14:paraId="47FBD7C5">
            <w:pPr>
              <w:pStyle w:val="13"/>
              <w:tabs>
                <w:tab w:val="right" w:leader="dot" w:pos="8302"/>
              </w:tabs>
              <w:spacing w:line="340" w:lineRule="exact"/>
              <w:jc w:val="center"/>
              <w:rPr>
                <w:rFonts w:ascii="仿宋_GB2312" w:hAnsi="黑体" w:eastAsia="仿宋_GB2312" w:cs="宋体"/>
                <w:kern w:val="0"/>
                <w:sz w:val="24"/>
              </w:rPr>
            </w:pPr>
          </w:p>
        </w:tc>
      </w:tr>
    </w:tbl>
    <w:p w14:paraId="1A359378">
      <w:pPr>
        <w:ind w:firstLine="640" w:firstLineChars="200"/>
        <w:rPr>
          <w:rFonts w:ascii="仿宋_GB2312" w:eastAsia="仿宋_GB2312"/>
          <w:sz w:val="32"/>
          <w:szCs w:val="32"/>
        </w:rPr>
      </w:pPr>
    </w:p>
    <w:p w14:paraId="711D1549">
      <w:pPr>
        <w:pStyle w:val="13"/>
        <w:tabs>
          <w:tab w:val="right" w:leader="dot" w:pos="8302"/>
        </w:tabs>
        <w:spacing w:line="340" w:lineRule="exact"/>
        <w:rPr>
          <w:rFonts w:ascii="黑体" w:hAnsi="黑体" w:eastAsia="黑体" w:cs="宋体"/>
          <w:sz w:val="24"/>
        </w:rPr>
      </w:pPr>
    </w:p>
    <w:p w14:paraId="47B0E920"/>
    <w:p w14:paraId="0E4CC05F">
      <w:pPr>
        <w:pStyle w:val="13"/>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14:paraId="56955435">
      <w:pPr>
        <w:pStyle w:val="13"/>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14:paraId="01BDFAE2">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14:paraId="49B3998A">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42FBF84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0F9E95B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4</w:t>
          </w:r>
          <w:r>
            <w:rPr>
              <w:highlight w:val="none"/>
            </w:rPr>
            <w:fldChar w:fldCharType="end"/>
          </w:r>
          <w:r>
            <w:rPr>
              <w:bCs w:val="0"/>
              <w:szCs w:val="24"/>
              <w:highlight w:val="none"/>
            </w:rPr>
            <w:fldChar w:fldCharType="end"/>
          </w:r>
        </w:p>
        <w:p w14:paraId="3E25AD3D">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408D3B9D">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24CAA9F1">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77F8FA5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73AD9CFC">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0F80370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6AEE081E">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289BF10F">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2D5F455E">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2EEA19DD">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2A695C7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1FC5E92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038E2E38">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64D6CBD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5C11E16E">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588F2C3F">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4F64DA85">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7956AF54">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63ECF0D2">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4C01CF81">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B708A83">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1E235DDB">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799B64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33C5DE6">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2506B41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5564159B">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41F29F55">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1F3AF330">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7E5A3923">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22EED7DF">
          <w:pPr>
            <w:pStyle w:val="13"/>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20</w:t>
          </w:r>
          <w:r>
            <w:rPr>
              <w:highlight w:val="none"/>
            </w:rPr>
            <w:fldChar w:fldCharType="end"/>
          </w:r>
          <w:r>
            <w:rPr>
              <w:bCs w:val="0"/>
              <w:szCs w:val="24"/>
              <w:highlight w:val="none"/>
            </w:rPr>
            <w:fldChar w:fldCharType="end"/>
          </w:r>
        </w:p>
        <w:p w14:paraId="64E00028">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14:paraId="055365E5">
      <w:pPr>
        <w:pStyle w:val="13"/>
        <w:tabs>
          <w:tab w:val="right" w:leader="dot" w:pos="8302"/>
        </w:tabs>
        <w:spacing w:line="340" w:lineRule="exact"/>
        <w:rPr>
          <w:rFonts w:ascii="黑体" w:hAnsi="黑体" w:eastAsia="黑体" w:cs="宋体"/>
          <w:sz w:val="32"/>
          <w:szCs w:val="32"/>
        </w:rPr>
      </w:pPr>
    </w:p>
    <w:p w14:paraId="5A1BAEC8">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14:paraId="2C276CF3">
      <w:pPr>
        <w:spacing w:line="600" w:lineRule="exact"/>
        <w:jc w:val="center"/>
        <w:outlineLvl w:val="9"/>
        <w:rPr>
          <w:rFonts w:hint="eastAsia" w:ascii="华文中宋" w:hAnsi="华文中宋" w:eastAsia="华文中宋" w:cs="华文中宋"/>
          <w:b w:val="0"/>
          <w:bCs w:val="0"/>
          <w:sz w:val="44"/>
          <w:szCs w:val="44"/>
          <w:lang w:eastAsia="zh-CN"/>
        </w:rPr>
      </w:pPr>
      <w:bookmarkStart w:id="19" w:name="_Toc19311"/>
      <w:bookmarkStart w:id="20" w:name="_Toc29218"/>
      <w:bookmarkStart w:id="21" w:name="_Toc1397"/>
      <w:bookmarkStart w:id="22" w:name="_Toc24347"/>
      <w:bookmarkStart w:id="23" w:name="_Toc28273"/>
      <w:bookmarkStart w:id="24" w:name="_Toc16603"/>
      <w:bookmarkStart w:id="25" w:name="_Toc31819"/>
      <w:bookmarkStart w:id="26" w:name="_Toc7636"/>
      <w:bookmarkStart w:id="27" w:name="_Toc14725"/>
      <w:bookmarkStart w:id="28" w:name="_Toc12923"/>
      <w:r>
        <w:rPr>
          <w:rFonts w:hint="eastAsia" w:ascii="华文中宋" w:hAnsi="华文中宋" w:eastAsia="华文中宋" w:cs="华文中宋"/>
          <w:b w:val="0"/>
          <w:bCs w:val="0"/>
          <w:sz w:val="44"/>
          <w:szCs w:val="44"/>
          <w:lang w:eastAsia="zh-CN"/>
        </w:rPr>
        <w:t>洛浦县第七次全国人口普查项目绩效</w:t>
      </w:r>
      <w:r>
        <w:rPr>
          <w:rFonts w:hint="eastAsia" w:ascii="华文中宋" w:hAnsi="华文中宋" w:eastAsia="华文中宋" w:cs="华文中宋"/>
          <w:b w:val="0"/>
          <w:bCs w:val="0"/>
          <w:sz w:val="44"/>
          <w:szCs w:val="44"/>
          <w:lang w:val="en-US" w:eastAsia="zh-CN"/>
        </w:rPr>
        <w:t xml:space="preserve">     </w:t>
      </w:r>
      <w:r>
        <w:rPr>
          <w:rFonts w:hint="eastAsia" w:ascii="华文中宋" w:hAnsi="华文中宋" w:eastAsia="华文中宋" w:cs="华文中宋"/>
          <w:b w:val="0"/>
          <w:bCs w:val="0"/>
          <w:sz w:val="44"/>
          <w:szCs w:val="44"/>
          <w:lang w:eastAsia="zh-CN"/>
        </w:rPr>
        <w:t>评价报告</w:t>
      </w:r>
      <w:bookmarkEnd w:id="18"/>
      <w:bookmarkEnd w:id="19"/>
      <w:bookmarkEnd w:id="20"/>
      <w:bookmarkEnd w:id="21"/>
      <w:bookmarkEnd w:id="22"/>
      <w:bookmarkEnd w:id="23"/>
      <w:bookmarkEnd w:id="24"/>
      <w:bookmarkEnd w:id="25"/>
      <w:bookmarkEnd w:id="26"/>
      <w:bookmarkEnd w:id="27"/>
      <w:bookmarkEnd w:id="28"/>
    </w:p>
    <w:p w14:paraId="447758A7">
      <w:pPr>
        <w:adjustRightInd w:val="0"/>
        <w:snapToGrid w:val="0"/>
        <w:spacing w:line="560" w:lineRule="exact"/>
        <w:ind w:firstLine="640" w:firstLineChars="200"/>
        <w:jc w:val="left"/>
        <w:outlineLvl w:val="9"/>
        <w:rPr>
          <w:rFonts w:hint="eastAsia" w:ascii="黑体" w:hAnsi="黑体" w:eastAsia="黑体" w:cs="宋体"/>
          <w:sz w:val="32"/>
          <w:szCs w:val="32"/>
        </w:rPr>
      </w:pPr>
    </w:p>
    <w:p w14:paraId="53B676F7">
      <w:pPr>
        <w:pStyle w:val="2"/>
        <w:rPr>
          <w:rFonts w:hint="eastAsia"/>
        </w:rPr>
      </w:pPr>
    </w:p>
    <w:p w14:paraId="4C2D2E82">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14:paraId="660FC3C0">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14:paraId="0C1F6EFE">
      <w:pPr>
        <w:pStyle w:val="33"/>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14:paraId="65622D6A">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1.项目背景</w:t>
      </w:r>
    </w:p>
    <w:p w14:paraId="57DEBBB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七次全国人口普查是在中国特色社会主义进入新时代开展的重大国情国力调查，将全面查清我国人口数量、结构、分布、城乡住房等方面情况，为完善人口发展战略和政策体系，促进人口长期均衡发展，科学制定国民经济和社会发展规划，推动经济高质量发展，开启全面建设社会主义现代化国家新征程，向第二个百年奋斗目标进军，提供科学准确的统计信息支持。全市各级各部门要充分认识人口普查的重要意义，以高度负责的态度，扎实做好我市第七次全国人口普查工作。</w:t>
      </w:r>
    </w:p>
    <w:p w14:paraId="6FB0F39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人口普查工作包括对人口普查资料的搜集、数据汇总、资料评价、分析研究、编辑出版等全部过程，它的目的是全面掌握全国人口的基本情况，研究制定人口政策和经济社会发展规划提供依据，为社会公众提供人口统计信息服务。</w:t>
      </w:r>
    </w:p>
    <w:p w14:paraId="43346EC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全国人口普查条例》规定，人口普查每10年进行一次。2021年我县开展第七次全国人口普查，这是我县人口发展进入深入转型阶段后首次对全国人口基本情况做全面盘点，普查数据质量的好坏对准确判断我县人口发展变化情况、科学制定经济社会发展规划、促进人口长期均衡发展具有重大影响。因此，必须立足我县经济社会发展实际，继承和发扬以往人口普查成功的经验，提早谋划、统筹部署、精心准备，充分发挥各部门职能，形成推动普查工作的强大合力，确保在新形势下高质量完成人口普查工作。</w:t>
      </w:r>
    </w:p>
    <w:p w14:paraId="47CA35D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本项目根据《关于提前下达第七次人口普查2021年经费的通知》（和地财行〔2021〕14号）文件精神和主管县领导主要批示要求等文件精神立项并实施。</w:t>
      </w:r>
    </w:p>
    <w:p w14:paraId="372B0EEC">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2.项目实施主体</w:t>
      </w:r>
    </w:p>
    <w:p w14:paraId="36C6350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该项目由洛浦县统计局负责实施，主要职能是：</w:t>
      </w:r>
    </w:p>
    <w:p w14:paraId="1207600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一是承担组织领导和协调全国统计工作，确保统计数据真实、准确、及时的责任。制定统计政策、规划、全国基本统计制度和国家统计标准，起草统计法律法规草案，制定部门规章，指导全国统计工作。二是建立健全国民经济核算体系，拟订国民经济核算制度，组织实施全国及省、自治区、直辖市国民经济核算制度和全国投入产出调查，核算全国及省、自治区、直辖市国内生产总值，汇编提供国民经济核算资料，监督管理各地区国民经济核算工作。三是会同有关部门拟订重大国情国力普查计划、方案，组织实施全国人口、经济、农业等重大国情国力普查，汇总、整理和提供有关国情国力方面的统计数据。四是组织实施农林牧渔业、工业、建筑业、批发和零售业、住宿和餐饮业、房地产业、租赁和商务服务业、居民服务和其他服务业、文化体育和娱乐业以及装卸搬运和其他运输服务业、仓储业、计算机服务业、软件业、科技交流和推广服务业、社会福利业等统计调查，收集、汇总、整理和提供有关调查的统计数据，综合整理和提供地质勘查、旅游、交通运输、邮政、教育、卫生、社会保障、公用事业等全国性基本统计数据。五是组织实施能源、投资、消费、价格、收入、科技、人口、劳动力、社会发展基本情况、环境基本状况等统计调查，收集、汇总、整理和提供有关调查的统计数据，综合整理和提供资源、房屋、对外贸易、对外经济等全国性基本统计数据。六是组织各地区、各部门的经济、社会、科技和资源环境统计调查，统一核定、管理、公布全国性基本统计资料，定期发布全国国民经济和社会发展情况的统计信息，组织建立服务业统计信息共享制度和发布制度。七是对国民经济、社会发展、科技进步和资源环境等情况进行统计分析、统计预测和统计监督，向党中央、国务院及有关部门提供统计信息和咨询建议。八是审批部门统计标准，依法审批或者备案各部门统计调查项目、地方统计调查项目，指导专业统计基础工作、统计基层业务基础建设，组织建立服务业统计信息管理制度，建立健全统计数据质量审核、监控和评估制度，开展对重要统计数据的审核、监控和评估，依法监督管理涉外调查活动。九是协助地方管理省、自治区、直辖市统计局局长和副局长，指导全国统计专业技术队伍建设，会同有关部门组织管理全国统计专业资格考试、职务评聘，监督管理地方政府统计部门由中央财政提供的统计经费和专项基本建设投资。十是组织管理全国统计工作的监督检查，查处重大统计违法行为。十一是建立并管理国家统计信息自动化系统和统计数据库系统，组织制定各地区、各部门统计数据库和网络的基本标准和运行规则，指导地方统计信息化系统建设。十二是收集、整理国际统计数据，组织实施统计工作方面的国际交流合作项目，组织实施国际间统计资料交换和统计交流合作项目。十三是承办国务院交办的其他事项。</w:t>
      </w:r>
    </w:p>
    <w:p w14:paraId="147706F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单位无下属预算单位，洛浦县统计局机构规格为正科级，核定编制10人，核定科级领导3人（正科2人，副科1人）；行政编制5人，事业编制3人，工勤编制2人。</w:t>
      </w:r>
    </w:p>
    <w:p w14:paraId="474EDAD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洛浦县统计局部门编制数10人 ，实有人数10人，其中：在职10人，增加或减少0人； 退休3人，增加或减少0人；离休0 人，增加或减少0人。</w:t>
      </w:r>
    </w:p>
    <w:p w14:paraId="3AD1FB8C">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3.项目内容</w:t>
      </w:r>
    </w:p>
    <w:p w14:paraId="700E876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对全县开展第七次全国人口普查工作，参加普查工作人数为1400人，普查对象为30万人以上。通过该项目实施，完善人口发展战略和发展体系提高准确数据，促进人口长期均衡发展，科学制度国民经济和社会发展规划，推动经济高质量发展，开启全面建设社会新征程。</w:t>
      </w:r>
    </w:p>
    <w:p w14:paraId="23B49BA5">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4.立项依据</w:t>
      </w:r>
    </w:p>
    <w:p w14:paraId="77F7127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依据《关于全区开展第七次全国人口普查的通知》（新政发〔2020〕9号），《关于提前下达第七次人口普查2021年经费的通知》（和地财行〔2021〕14号）文件实施该项目。</w:t>
      </w:r>
    </w:p>
    <w:p w14:paraId="0CC26DF4">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14:paraId="5C49D6F1">
      <w:pPr>
        <w:pageBreakBefore w:val="0"/>
        <w:widowControl w:val="0"/>
        <w:kinsoku/>
        <w:wordWrap/>
        <w:overflowPunct/>
        <w:topLinePunct w:val="0"/>
        <w:autoSpaceDE/>
        <w:autoSpaceDN/>
        <w:bidi w:val="0"/>
        <w:spacing w:line="560" w:lineRule="exact"/>
        <w:ind w:firstLine="640" w:firstLineChars="200"/>
        <w:textAlignment w:val="auto"/>
        <w:outlineLvl w:val="9"/>
        <w:rPr>
          <w:rFonts w:ascii="楷体" w:hAnsi="楷体" w:eastAsia="楷体" w:cs="楷体"/>
          <w:bCs/>
          <w:sz w:val="32"/>
          <w:szCs w:val="32"/>
        </w:rPr>
      </w:pPr>
      <w:r>
        <w:rPr>
          <w:rFonts w:hint="eastAsia" w:ascii="楷体" w:hAnsi="楷体" w:eastAsia="楷体" w:cs="楷体"/>
          <w:bCs/>
          <w:kern w:val="2"/>
          <w:sz w:val="32"/>
          <w:szCs w:val="32"/>
          <w:lang w:val="en-US" w:eastAsia="zh-CN" w:bidi="ar-SA"/>
        </w:rPr>
        <w:t>1.项目资金预算及来源</w:t>
      </w:r>
    </w:p>
    <w:p w14:paraId="4448CB17">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default" w:ascii="仿宋_GB2312" w:hAnsi="仿宋_GB2312" w:eastAsia="仿宋_GB2312" w:cs="仿宋_GB2312"/>
          <w:kern w:val="2"/>
          <w:sz w:val="32"/>
          <w:szCs w:val="32"/>
          <w:highlight w:val="none"/>
          <w:lang w:val="en-US" w:eastAsia="zh-CN" w:bidi="ar-SA"/>
        </w:rPr>
      </w:pPr>
      <w:r>
        <w:rPr>
          <w:rStyle w:val="22"/>
          <w:rFonts w:hint="eastAsia" w:ascii="仿宋_GB2312" w:hAnsi="仿宋_GB2312" w:eastAsia="仿宋_GB2312" w:cs="仿宋_GB2312"/>
          <w:b w:val="0"/>
          <w:bCs w:val="0"/>
          <w:color w:val="auto"/>
          <w:spacing w:val="-4"/>
          <w:sz w:val="32"/>
          <w:szCs w:val="32"/>
          <w:highlight w:val="none"/>
          <w:lang w:val="en-US" w:eastAsia="zh-CN"/>
        </w:rPr>
        <w:t>该项目预算资金为146.40万元，资金来源为自治区专项资金，截止12月31日，到位资金为146.40万元，资金到位率100%。</w:t>
      </w:r>
    </w:p>
    <w:p w14:paraId="4E1556AA">
      <w:pPr>
        <w:pageBreakBefore w:val="0"/>
        <w:widowControl w:val="0"/>
        <w:kinsoku/>
        <w:wordWrap/>
        <w:overflowPunct/>
        <w:topLinePunct w:val="0"/>
        <w:autoSpaceDE/>
        <w:autoSpaceDN/>
        <w:bidi w:val="0"/>
        <w:spacing w:line="560" w:lineRule="exact"/>
        <w:ind w:firstLine="640" w:firstLineChars="200"/>
        <w:textAlignment w:val="auto"/>
        <w:outlineLvl w:val="9"/>
        <w:rPr>
          <w:rFonts w:hint="eastAsia"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2.预算执行及结果</w:t>
      </w:r>
    </w:p>
    <w:p w14:paraId="035D853A">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hAnsi="仿宋_GB2312" w:eastAsia="仿宋_GB2312" w:cs="仿宋_GB2312"/>
          <w:kern w:val="2"/>
          <w:sz w:val="32"/>
          <w:szCs w:val="32"/>
          <w:highlight w:val="none"/>
          <w:lang w:val="en-US" w:eastAsia="zh-CN" w:bidi="ar-SA"/>
        </w:rPr>
      </w:pPr>
      <w:r>
        <w:rPr>
          <w:rStyle w:val="22"/>
          <w:rFonts w:hint="eastAsia" w:ascii="仿宋_GB2312" w:hAnsi="仿宋_GB2312" w:eastAsia="仿宋_GB2312" w:cs="仿宋_GB2312"/>
          <w:b w:val="0"/>
          <w:bCs w:val="0"/>
          <w:color w:val="auto"/>
          <w:spacing w:val="-4"/>
          <w:sz w:val="32"/>
          <w:szCs w:val="32"/>
          <w:highlight w:val="none"/>
          <w:lang w:val="en-US" w:eastAsia="zh-CN"/>
        </w:rPr>
        <w:t>截止绩效评价日，项目预算资金146.40万元，实际到位资金146.40万元，资金到位率100%。总支出146.40万元，预算执行率100%，该项目资金主要用于对全县开展第七次全国人口普查工作。</w:t>
      </w:r>
    </w:p>
    <w:p w14:paraId="7A118B7F">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14:paraId="4466980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34" w:name="_Toc26467"/>
      <w:bookmarkStart w:id="35" w:name="_Toc8400"/>
      <w:bookmarkStart w:id="36" w:name="_Toc1757"/>
      <w:bookmarkStart w:id="37" w:name="_Toc25486"/>
      <w:r>
        <w:rPr>
          <w:rStyle w:val="22"/>
          <w:rFonts w:hint="eastAsia" w:ascii="仿宋_GB2312" w:hAnsi="仿宋_GB2312" w:eastAsia="仿宋_GB2312" w:cs="仿宋_GB2312"/>
          <w:b w:val="0"/>
          <w:bCs w:val="0"/>
          <w:color w:val="auto"/>
          <w:spacing w:val="-4"/>
          <w:sz w:val="32"/>
          <w:szCs w:val="32"/>
          <w:highlight w:val="none"/>
          <w:lang w:val="en-US" w:eastAsia="zh-CN"/>
        </w:rPr>
        <w:t>该项目共设立一级指标3个，二级指标7个，三级指标10个，指标量化率90%。绩效目标明确了项目产出数量和预期达到的效果，绩效目标指标制定明确、细化、量化。整体来看，目标设立合理清晰：</w:t>
      </w:r>
      <w:bookmarkEnd w:id="34"/>
      <w:bookmarkEnd w:id="35"/>
      <w:bookmarkEnd w:id="36"/>
    </w:p>
    <w:p w14:paraId="1B259513">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1.年度总目标</w:t>
      </w:r>
    </w:p>
    <w:p w14:paraId="70F1F85C">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eastAsia="仿宋_GB2312" w:cs="宋体"/>
          <w:color w:val="auto"/>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 xml:space="preserve">项目本次安排自治区专项资金146.40万元。主要用于对全县开展第七次全国人口普查工作，参加普查工作人数为1400人，普查对象为30万人以上。通过该项目实施，完善人口发展战略和发展体系提高准确数据，促进人口长期均衡发展，科学制度国民经济和社会发展规划，推动经济高质量发展，开启全面建设社会新征程。 </w:t>
      </w:r>
    </w:p>
    <w:p w14:paraId="4FD75E14">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2.阶段性绩效目标</w:t>
      </w:r>
    </w:p>
    <w:p w14:paraId="02EC33B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根据《中华人民共和国统计法》、</w:t>
      </w:r>
      <w:bookmarkStart w:id="122" w:name="_GoBack"/>
      <w:bookmarkEnd w:id="122"/>
      <w:r>
        <w:rPr>
          <w:rStyle w:val="22"/>
          <w:rFonts w:hint="eastAsia" w:ascii="仿宋_GB2312" w:hAnsi="仿宋_GB2312" w:eastAsia="仿宋_GB2312" w:cs="仿宋_GB2312"/>
          <w:b w:val="0"/>
          <w:bCs w:val="0"/>
          <w:color w:val="auto"/>
          <w:spacing w:val="-4"/>
          <w:sz w:val="32"/>
          <w:szCs w:val="32"/>
          <w:highlight w:val="none"/>
          <w:lang w:val="en-US" w:eastAsia="zh-CN"/>
        </w:rPr>
        <w:t>《全国人口普查条例》规定和《国务院第七次全国人口普查领导小组办公室财政部人力资源和社会保障部国家统计局关于做好第七次全国人口普查经费保障工作的通知》（国人普办字〔2020〕5号）文件精神和主管县领导主要批示要求,发放第七次全国人口普查</w:t>
      </w:r>
      <w:r>
        <w:rPr>
          <w:rStyle w:val="22"/>
          <w:rFonts w:hint="default" w:ascii="仿宋_GB2312" w:hAnsi="仿宋_GB2312" w:eastAsia="仿宋_GB2312" w:cs="仿宋_GB2312"/>
          <w:b w:val="0"/>
          <w:bCs w:val="0"/>
          <w:color w:val="auto"/>
          <w:spacing w:val="-4"/>
          <w:sz w:val="32"/>
          <w:szCs w:val="32"/>
          <w:highlight w:val="none"/>
          <w:lang w:val="en-US" w:eastAsia="zh-CN"/>
        </w:rPr>
        <w:t>‘</w:t>
      </w:r>
      <w:r>
        <w:rPr>
          <w:rStyle w:val="22"/>
          <w:rFonts w:hint="eastAsia" w:ascii="仿宋_GB2312" w:hAnsi="仿宋_GB2312" w:eastAsia="仿宋_GB2312" w:cs="仿宋_GB2312"/>
          <w:b w:val="0"/>
          <w:bCs w:val="0"/>
          <w:color w:val="auto"/>
          <w:spacing w:val="-4"/>
          <w:sz w:val="32"/>
          <w:szCs w:val="32"/>
          <w:highlight w:val="none"/>
          <w:lang w:val="en-US" w:eastAsia="zh-CN"/>
        </w:rPr>
        <w:t>两员</w:t>
      </w:r>
      <w:r>
        <w:rPr>
          <w:rStyle w:val="22"/>
          <w:rFonts w:hint="default" w:ascii="仿宋_GB2312" w:hAnsi="仿宋_GB2312" w:eastAsia="仿宋_GB2312" w:cs="仿宋_GB2312"/>
          <w:b w:val="0"/>
          <w:bCs w:val="0"/>
          <w:color w:val="auto"/>
          <w:spacing w:val="-4"/>
          <w:sz w:val="32"/>
          <w:szCs w:val="32"/>
          <w:highlight w:val="none"/>
          <w:lang w:val="en-US" w:eastAsia="zh-CN"/>
        </w:rPr>
        <w:t>”</w:t>
      </w:r>
      <w:r>
        <w:rPr>
          <w:rStyle w:val="22"/>
          <w:rFonts w:hint="eastAsia" w:ascii="仿宋_GB2312" w:hAnsi="仿宋_GB2312" w:eastAsia="仿宋_GB2312" w:cs="仿宋_GB2312"/>
          <w:b w:val="0"/>
          <w:bCs w:val="0"/>
          <w:color w:val="auto"/>
          <w:spacing w:val="-4"/>
          <w:sz w:val="32"/>
          <w:szCs w:val="32"/>
          <w:highlight w:val="none"/>
          <w:lang w:val="en-US" w:eastAsia="zh-CN"/>
        </w:rPr>
        <w:t>补助经费。结合该项目实际情况，评价小组对项目绩效目标进行了进一步的完善，并与项目单位沟通确定后，第七次全国人口普查项目总投资146.40万元,共设置3个一级指标，7个二级指标，10个三级指标，其中：</w:t>
      </w:r>
    </w:p>
    <w:p w14:paraId="54B5F722">
      <w:pPr>
        <w:pStyle w:val="33"/>
        <w:numPr>
          <w:ilvl w:val="0"/>
          <w:numId w:val="5"/>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14:paraId="52F58DB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数量指标</w:t>
      </w:r>
    </w:p>
    <w:p w14:paraId="39AB05E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普查员人数指标，预期值大于等于1400人。</w:t>
      </w:r>
    </w:p>
    <w:p w14:paraId="007B5F6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普查人口数量指标，预期值大于等于30万人。</w:t>
      </w:r>
    </w:p>
    <w:p w14:paraId="671A67B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质量指标</w:t>
      </w:r>
    </w:p>
    <w:p w14:paraId="1BB142F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普查覆盖率指标，预期值为大于等于98%。</w:t>
      </w:r>
    </w:p>
    <w:p w14:paraId="3D40B25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普查表准确率指标，预期值大于等于95%。</w:t>
      </w:r>
    </w:p>
    <w:p w14:paraId="0D28B1B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时效指标</w:t>
      </w:r>
    </w:p>
    <w:p w14:paraId="5F5AC70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项目完成及时性指标,预期值为等于100%</w:t>
      </w:r>
    </w:p>
    <w:p w14:paraId="2B8A912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default" w:ascii="仿宋_GB2312" w:hAnsi="仿宋_GB2312" w:eastAsia="仿宋_GB2312" w:cs="仿宋_GB2312"/>
          <w:b w:val="0"/>
          <w:bCs w:val="0"/>
          <w:color w:val="auto"/>
          <w:spacing w:val="-4"/>
          <w:sz w:val="32"/>
          <w:szCs w:val="32"/>
          <w:highlight w:val="none"/>
          <w:lang w:val="en-US" w:eastAsia="zh-CN"/>
        </w:rPr>
        <w:t>资金拨付及时性</w:t>
      </w:r>
      <w:r>
        <w:rPr>
          <w:rStyle w:val="22"/>
          <w:rFonts w:hint="eastAsia" w:ascii="仿宋_GB2312" w:hAnsi="仿宋_GB2312" w:eastAsia="仿宋_GB2312" w:cs="仿宋_GB2312"/>
          <w:b w:val="0"/>
          <w:bCs w:val="0"/>
          <w:color w:val="auto"/>
          <w:spacing w:val="-4"/>
          <w:sz w:val="32"/>
          <w:szCs w:val="32"/>
          <w:highlight w:val="none"/>
          <w:lang w:val="en-US" w:eastAsia="zh-CN"/>
        </w:rPr>
        <w:t>指标，预期值等于100%</w:t>
      </w:r>
    </w:p>
    <w:p w14:paraId="6D5A839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成本指标</w:t>
      </w:r>
    </w:p>
    <w:p w14:paraId="063562D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普查补助经费指标，预期值为等于146.40万元。</w:t>
      </w:r>
    </w:p>
    <w:p w14:paraId="2505DD98">
      <w:pPr>
        <w:numPr>
          <w:ilvl w:val="0"/>
          <w:numId w:val="6"/>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14:paraId="799CCEF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经济效益指标</w:t>
      </w:r>
    </w:p>
    <w:p w14:paraId="31E7357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该项目不涉及此指标。</w:t>
      </w:r>
    </w:p>
    <w:p w14:paraId="19CFDEC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社会效益指标</w:t>
      </w:r>
    </w:p>
    <w:p w14:paraId="07B139B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完善人口发展战略和发展体系指标，预期值效果显著。</w:t>
      </w:r>
    </w:p>
    <w:p w14:paraId="42E5BCC4">
      <w:pPr>
        <w:pStyle w:val="18"/>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生态效益指标</w:t>
      </w:r>
    </w:p>
    <w:p w14:paraId="51F721C1">
      <w:pPr>
        <w:pStyle w:val="18"/>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该项目不涉及此指标。</w:t>
      </w:r>
    </w:p>
    <w:p w14:paraId="3F5DDE0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可持续效益指标</w:t>
      </w:r>
    </w:p>
    <w:p w14:paraId="5A0C34C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项目持续时间指标，预期指标值6个月。</w:t>
      </w:r>
    </w:p>
    <w:p w14:paraId="2545A900">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spacing w:val="-4"/>
          <w:sz w:val="32"/>
          <w:szCs w:val="32"/>
          <w:lang w:eastAsia="zh-CN"/>
        </w:rPr>
      </w:pPr>
      <w:r>
        <w:rPr>
          <w:rStyle w:val="22"/>
          <w:rFonts w:hint="eastAsia" w:ascii="仿宋_GB2312" w:hAnsi="仿宋" w:eastAsia="仿宋_GB2312"/>
          <w:b w:val="0"/>
          <w:bCs w:val="0"/>
          <w:spacing w:val="-4"/>
          <w:sz w:val="32"/>
          <w:szCs w:val="32"/>
          <w:lang w:eastAsia="zh-CN"/>
        </w:rPr>
        <w:t>（</w:t>
      </w:r>
      <w:r>
        <w:rPr>
          <w:rStyle w:val="22"/>
          <w:rFonts w:hint="eastAsia" w:ascii="仿宋_GB2312" w:hAnsi="仿宋" w:eastAsia="仿宋_GB2312"/>
          <w:b w:val="0"/>
          <w:bCs w:val="0"/>
          <w:spacing w:val="-4"/>
          <w:sz w:val="32"/>
          <w:szCs w:val="32"/>
          <w:lang w:val="en-US" w:eastAsia="zh-CN"/>
        </w:rPr>
        <w:t>3</w:t>
      </w:r>
      <w:r>
        <w:rPr>
          <w:rStyle w:val="22"/>
          <w:rFonts w:hint="eastAsia" w:ascii="仿宋_GB2312" w:hAnsi="仿宋" w:eastAsia="仿宋_GB2312"/>
          <w:b w:val="0"/>
          <w:bCs w:val="0"/>
          <w:spacing w:val="-4"/>
          <w:sz w:val="32"/>
          <w:szCs w:val="32"/>
          <w:lang w:eastAsia="zh-CN"/>
        </w:rPr>
        <w:t>）满意度指标：</w:t>
      </w:r>
    </w:p>
    <w:p w14:paraId="5FAA53D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受益人满意度指标，预期值大于等于95%。</w:t>
      </w:r>
    </w:p>
    <w:p w14:paraId="3DCFC433">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14:paraId="6AD2433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38" w:name="_Toc3416"/>
      <w:bookmarkStart w:id="39" w:name="_Toc7630"/>
      <w:bookmarkStart w:id="40" w:name="_Toc19614"/>
      <w:r>
        <w:rPr>
          <w:rStyle w:val="22"/>
          <w:rFonts w:hint="eastAsia" w:ascii="仿宋_GB2312" w:hAnsi="仿宋_GB2312" w:eastAsia="仿宋_GB2312" w:cs="仿宋_GB2312"/>
          <w:b w:val="0"/>
          <w:bCs w:val="0"/>
          <w:color w:val="auto"/>
          <w:spacing w:val="-4"/>
          <w:sz w:val="32"/>
          <w:szCs w:val="32"/>
          <w:highlight w:val="none"/>
          <w:lang w:val="en-US" w:eastAsia="zh-CN"/>
        </w:rPr>
        <w:t>受洛浦县财政局委托，中瑞诚会计师事务所（特殊普通合伙）喀什分所（以下简称“评价机构”）承担第七次全国人口普查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专项资金投入、资金使用和资金使用效益等方面进行了绩效评价。</w:t>
      </w:r>
      <w:bookmarkEnd w:id="38"/>
      <w:bookmarkEnd w:id="39"/>
      <w:bookmarkEnd w:id="40"/>
    </w:p>
    <w:p w14:paraId="6F7E8376">
      <w:pPr>
        <w:pStyle w:val="33"/>
        <w:numPr>
          <w:ilvl w:val="0"/>
          <w:numId w:val="4"/>
        </w:numPr>
        <w:adjustRightInd w:val="0"/>
        <w:snapToGrid w:val="0"/>
        <w:spacing w:line="560" w:lineRule="exact"/>
        <w:ind w:firstLine="643"/>
        <w:rPr>
          <w:rFonts w:ascii="仿宋_GB2312" w:hAnsi="仿宋" w:eastAsia="仿宋_GB2312" w:cs="宋体"/>
          <w:b/>
          <w:bCs/>
          <w:vanish/>
          <w:sz w:val="32"/>
          <w:szCs w:val="32"/>
          <w:highlight w:val="none"/>
        </w:rPr>
      </w:pPr>
      <w:r>
        <w:rPr>
          <w:rFonts w:hint="eastAsia" w:ascii="仿宋_GB2312" w:hAnsi="仿宋" w:eastAsia="仿宋_GB2312" w:cs="宋体"/>
          <w:b/>
          <w:bCs/>
          <w:vanish/>
          <w:sz w:val="32"/>
          <w:szCs w:val="32"/>
          <w:highlight w:val="none"/>
        </w:rPr>
        <w:t>评价工作简述</w:t>
      </w:r>
    </w:p>
    <w:p w14:paraId="7A7B3BAE">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41" w:name="_Toc8259"/>
      <w:r>
        <w:rPr>
          <w:rFonts w:hint="eastAsia" w:ascii="仿宋_GB2312" w:hAnsi="仿宋" w:eastAsia="仿宋_GB2312" w:cs="宋体"/>
          <w:b/>
          <w:bCs/>
          <w:sz w:val="32"/>
          <w:szCs w:val="32"/>
          <w:highlight w:val="none"/>
        </w:rPr>
        <w:t>（一）评价目的</w:t>
      </w:r>
      <w:bookmarkEnd w:id="41"/>
    </w:p>
    <w:p w14:paraId="25153C5E">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hAnsi="仿宋_GB2312" w:eastAsia="仿宋_GB2312" w:cs="仿宋_GB2312"/>
          <w:sz w:val="32"/>
          <w:szCs w:val="32"/>
          <w:highlight w:val="none"/>
        </w:rPr>
      </w:pPr>
      <w:bookmarkStart w:id="42" w:name="_Toc22761"/>
      <w:bookmarkStart w:id="43" w:name="_Toc18186"/>
      <w:r>
        <w:rPr>
          <w:rStyle w:val="22"/>
          <w:rFonts w:hint="eastAsia" w:ascii="仿宋_GB2312" w:hAnsi="仿宋_GB2312" w:eastAsia="仿宋_GB2312" w:cs="仿宋_GB2312"/>
          <w:b w:val="0"/>
          <w:bCs w:val="0"/>
          <w:color w:val="auto"/>
          <w:spacing w:val="-4"/>
          <w:sz w:val="32"/>
          <w:szCs w:val="32"/>
          <w:highlight w:val="none"/>
          <w:lang w:val="en-US" w:eastAsia="zh-CN"/>
        </w:rPr>
        <w:t>按照新疆自治区财政厅和洛浦县财政局“加强财政支出管理，强化支出责任，建立科学、合理的财政支出绩效评价管理体系，提高财政资金使用效益”的要求，通过项目决策、过程、产出、效益的全过程梳理、评价，客观公正反映项目立项的科学性、项目实施的规范性、项目管理的有效性和项目效果，总结项目实施经验，发现存在的问题，提出针对性建议，为后年度专项资金项目的绩效管理提供参考依据。</w:t>
      </w:r>
    </w:p>
    <w:p w14:paraId="28EF1760">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highlight w:val="none"/>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14:paraId="646965B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44" w:name="_Toc27493321"/>
      <w:bookmarkStart w:id="45" w:name="_Toc27651416"/>
      <w:bookmarkStart w:id="46" w:name="_Toc27648031"/>
      <w:bookmarkStart w:id="47" w:name="_Toc14072"/>
      <w:bookmarkStart w:id="48" w:name="_Toc7209"/>
      <w:r>
        <w:rPr>
          <w:rStyle w:val="22"/>
          <w:rFonts w:hint="eastAsia" w:ascii="仿宋_GB2312" w:hAnsi="仿宋_GB2312" w:eastAsia="仿宋_GB2312" w:cs="仿宋_GB2312"/>
          <w:b w:val="0"/>
          <w:bCs w:val="0"/>
          <w:color w:val="auto"/>
          <w:spacing w:val="-4"/>
          <w:sz w:val="32"/>
          <w:szCs w:val="32"/>
          <w:highlight w:val="none"/>
          <w:lang w:val="en-US" w:eastAsia="zh-CN"/>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行评价。评价对象为自治区专项资金，评价核心为专项资金的支出完成情况和效果。</w:t>
      </w:r>
      <w:bookmarkEnd w:id="44"/>
      <w:bookmarkEnd w:id="45"/>
      <w:bookmarkEnd w:id="46"/>
      <w:bookmarkEnd w:id="47"/>
      <w:bookmarkEnd w:id="48"/>
    </w:p>
    <w:p w14:paraId="549B86F6">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14:paraId="1A623FC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50" w:name="_Toc1742"/>
      <w:r>
        <w:rPr>
          <w:rStyle w:val="22"/>
          <w:rFonts w:hint="eastAsia" w:ascii="仿宋_GB2312" w:hAnsi="仿宋_GB2312" w:eastAsia="仿宋_GB2312" w:cs="仿宋_GB2312"/>
          <w:b w:val="0"/>
          <w:bCs w:val="0"/>
          <w:color w:val="auto"/>
          <w:spacing w:val="-4"/>
          <w:sz w:val="32"/>
          <w:szCs w:val="32"/>
          <w:highlight w:val="none"/>
          <w:lang w:val="en-US" w:eastAsia="zh-CN"/>
        </w:rPr>
        <w:t>1.相关性原则。绩效评价指标与绩效目标有直接的联系，能够恰当反映目标的实现程度。</w:t>
      </w:r>
    </w:p>
    <w:p w14:paraId="4DB32B3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2.重要性原则。优先使用最具评价对象代表性、最能反映评价要求的核心指标。</w:t>
      </w:r>
    </w:p>
    <w:p w14:paraId="1E18C68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3.可比性原则。对同类评价对象设定共性的绩效评价指标，以便于评价标准的规范和评价结果可相互比较。</w:t>
      </w:r>
    </w:p>
    <w:p w14:paraId="5D90503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4.系统性原则。将定量指标与定性指标相结合，定量指标量化，定性指标可衡量，系统反映财政支出所产生的社会效益、经济效益、环境效益和可持续影响等。</w:t>
      </w:r>
    </w:p>
    <w:p w14:paraId="51464BA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5.经济性原则。通俗易懂、简便易行，数据的获得考虑现实条件和可操作性，符合成本效益原则。</w:t>
      </w:r>
    </w:p>
    <w:p w14:paraId="53C8574F">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14:paraId="505FE5C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51" w:name="_Toc16588"/>
      <w:r>
        <w:rPr>
          <w:rStyle w:val="22"/>
          <w:rFonts w:hint="eastAsia" w:ascii="仿宋_GB2312" w:hAnsi="仿宋_GB2312" w:eastAsia="仿宋_GB2312" w:cs="仿宋_GB2312"/>
          <w:b w:val="0"/>
          <w:bCs w:val="0"/>
          <w:color w:val="auto"/>
          <w:spacing w:val="-4"/>
          <w:sz w:val="32"/>
          <w:szCs w:val="32"/>
          <w:highlight w:val="none"/>
          <w:lang w:val="en-US" w:eastAsia="zh-CN"/>
        </w:rPr>
        <w:t>本次绩效评价主要采用以下评价方法：</w:t>
      </w:r>
    </w:p>
    <w:p w14:paraId="3C00B43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1.比较法，通过对绩效目标与实施效果、历史与当期情况、不同部门和地区同类支出的比较，综合分析绩效目标实现程度。</w:t>
      </w:r>
    </w:p>
    <w:p w14:paraId="78A4A19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2.因素分析法，通过综合分析影响绩效目标实现、实施效果的内外因素，评价绩效目标实现程度。</w:t>
      </w:r>
    </w:p>
    <w:p w14:paraId="02B72DC0">
      <w:pPr>
        <w:pageBreakBefore w:val="0"/>
        <w:widowControl w:val="0"/>
        <w:kinsoku/>
        <w:wordWrap/>
        <w:overflowPunct/>
        <w:topLinePunct w:val="0"/>
        <w:autoSpaceDE/>
        <w:autoSpaceDN/>
        <w:bidi w:val="0"/>
        <w:spacing w:line="560" w:lineRule="exact"/>
        <w:ind w:firstLine="624" w:firstLineChars="200"/>
        <w:textAlignment w:val="auto"/>
        <w:outlineLvl w:val="9"/>
        <w:rPr>
          <w:rFonts w:hint="eastAsia" w:ascii="仿宋_GB2312" w:hAnsi="仿宋_GB2312" w:eastAsia="仿宋_GB2312" w:cs="仿宋_GB2312"/>
          <w:sz w:val="32"/>
          <w:szCs w:val="32"/>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3.公众评判法，通过专家评估、公众问卷及抽样调查等对财政支出效果进行评判，评价绩效目标实现程度。</w:t>
      </w:r>
    </w:p>
    <w:p w14:paraId="363EFFC5">
      <w:pPr>
        <w:pStyle w:val="33"/>
        <w:numPr>
          <w:ilvl w:val="0"/>
          <w:numId w:val="7"/>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14:paraId="10C9CF8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52" w:name="_Toc8115"/>
      <w:bookmarkStart w:id="53" w:name="_Toc32612"/>
      <w:bookmarkStart w:id="54" w:name="_Toc16677"/>
      <w:bookmarkStart w:id="55" w:name="_Toc10934"/>
      <w:bookmarkStart w:id="56" w:name="_Toc986"/>
      <w:bookmarkStart w:id="57" w:name="_Toc22089"/>
      <w:bookmarkStart w:id="58" w:name="_Toc16367"/>
      <w:bookmarkStart w:id="59" w:name="_Toc31692"/>
      <w:r>
        <w:rPr>
          <w:rStyle w:val="22"/>
          <w:rFonts w:hint="eastAsia" w:ascii="仿宋_GB2312" w:hAnsi="仿宋_GB2312" w:eastAsia="仿宋_GB2312" w:cs="仿宋_GB2312"/>
          <w:b w:val="0"/>
          <w:bCs w:val="0"/>
          <w:color w:val="auto"/>
          <w:spacing w:val="-4"/>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14:paraId="1264A581">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14:paraId="0608E94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14:paraId="5FA613B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优（90分（含）—100分）；</w:t>
      </w:r>
    </w:p>
    <w:p w14:paraId="4031C18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良（80分（含）—90分）；</w:t>
      </w:r>
    </w:p>
    <w:p w14:paraId="789106C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中（60分（含）—80分）；</w:t>
      </w:r>
    </w:p>
    <w:p w14:paraId="4ABBCC2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差（0分—60分）。</w:t>
      </w:r>
    </w:p>
    <w:p w14:paraId="74BCA0B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对在项目进行绩效评价的过程中，如果实施单位有弄虚作假、瞒报谎报情况之行为，绩效评价组将如实上报至洛浦县统计局、洛浦县财政局，并予以通报批评；情节严重的，绩效评价结果将直接判定为不合格等级。</w:t>
      </w:r>
    </w:p>
    <w:p w14:paraId="1CA0B57D">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14:paraId="25E53B7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61" w:name="_Toc12973"/>
      <w:bookmarkStart w:id="62" w:name="_Toc8898"/>
      <w:r>
        <w:rPr>
          <w:rStyle w:val="22"/>
          <w:rFonts w:hint="eastAsia" w:ascii="仿宋_GB2312" w:hAnsi="仿宋_GB2312" w:eastAsia="仿宋_GB2312" w:cs="仿宋_GB2312"/>
          <w:b w:val="0"/>
          <w:bCs w:val="0"/>
          <w:color w:val="auto"/>
          <w:spacing w:val="-4"/>
          <w:sz w:val="32"/>
          <w:szCs w:val="32"/>
          <w:highlight w:val="none"/>
          <w:lang w:val="en-US" w:eastAsia="zh-CN"/>
        </w:rPr>
        <w:t>1.评价工作程序和时间安排</w:t>
      </w:r>
      <w:bookmarkEnd w:id="61"/>
      <w:bookmarkEnd w:id="62"/>
    </w:p>
    <w:p w14:paraId="7B2AEDB6">
      <w:pPr>
        <w:pageBreakBefore w:val="0"/>
        <w:widowControl w:val="0"/>
        <w:kinsoku/>
        <w:wordWrap/>
        <w:overflowPunct/>
        <w:topLinePunct w:val="0"/>
        <w:autoSpaceDE/>
        <w:autoSpaceDN/>
        <w:bidi w:val="0"/>
        <w:spacing w:line="560" w:lineRule="exact"/>
        <w:ind w:firstLine="624" w:firstLineChars="200"/>
        <w:textAlignment w:val="auto"/>
        <w:outlineLvl w:val="9"/>
        <w:rPr>
          <w:rFonts w:ascii="Times New Roman" w:hAnsi="Times New Roman" w:eastAsia="仿宋" w:cs="Times New Roman"/>
          <w:sz w:val="32"/>
          <w:szCs w:val="32"/>
        </w:rPr>
      </w:pPr>
      <w:r>
        <w:rPr>
          <w:rStyle w:val="22"/>
          <w:rFonts w:hint="eastAsia" w:ascii="仿宋_GB2312" w:hAnsi="仿宋_GB2312" w:eastAsia="仿宋_GB2312" w:cs="仿宋_GB2312"/>
          <w:b w:val="0"/>
          <w:bCs w:val="0"/>
          <w:color w:val="auto"/>
          <w:spacing w:val="-4"/>
          <w:sz w:val="32"/>
          <w:szCs w:val="32"/>
          <w:highlight w:val="none"/>
          <w:lang w:val="en-US" w:eastAsia="zh-CN"/>
        </w:rPr>
        <w:t>本次绩效评价各阶段具体工作内容及时间进度安排详见下表：</w:t>
      </w:r>
    </w:p>
    <w:p w14:paraId="010B516C">
      <w:pPr>
        <w:spacing w:after="156" w:afterLines="50" w:line="560" w:lineRule="exact"/>
        <w:jc w:val="center"/>
        <w:rPr>
          <w:rFonts w:ascii="Times New Roman" w:hAnsi="Times New Roman" w:eastAsia="黑体" w:cs="Times New Roman"/>
          <w:sz w:val="32"/>
          <w:szCs w:val="32"/>
          <w:highlight w:val="none"/>
        </w:rPr>
      </w:pPr>
      <w:bookmarkStart w:id="63" w:name="_Toc28992"/>
      <w:bookmarkStart w:id="64" w:name="_Toc3615"/>
      <w:r>
        <w:rPr>
          <w:rFonts w:ascii="Times New Roman" w:hAnsi="Times New Roman" w:eastAsia="黑体" w:cs="Times New Roman"/>
          <w:sz w:val="32"/>
          <w:szCs w:val="32"/>
          <w:highlight w:val="none"/>
        </w:rPr>
        <w:t>绩效评价工作程序和时间安排表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14:paraId="4974D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14:paraId="3F9D7F3B">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14:paraId="750C087B">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14:paraId="1DB77071">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14:paraId="2F910377">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14:paraId="61C0B270">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14:paraId="678FF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14:paraId="38C918E7">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14:paraId="22ED1962">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14:paraId="423162F8">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14:paraId="43599A34">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14:paraId="42E8D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14:paraId="462D87FA">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14:paraId="0EFB6310">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14:paraId="07DB19BF">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14:paraId="768C3F30">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14:paraId="775BD036">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14:paraId="24745BCA">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14:paraId="6E2DA49E">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14:paraId="61A55054">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14:paraId="6E415484">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1E569F6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64404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14:paraId="7F2C23BE">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2FA8D17C">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14:paraId="0A96C64B">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14:paraId="670D312C">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14:paraId="70B45F52">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14:paraId="069FA107">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4E503E74">
            <w:pPr>
              <w:adjustRightInd w:val="0"/>
              <w:snapToGrid w:val="0"/>
              <w:jc w:val="center"/>
              <w:rPr>
                <w:rFonts w:hint="eastAsia" w:ascii="仿宋" w:hAnsi="仿宋" w:eastAsia="仿宋" w:cs="仿宋"/>
                <w:sz w:val="20"/>
                <w:szCs w:val="20"/>
              </w:rPr>
            </w:pPr>
          </w:p>
        </w:tc>
      </w:tr>
      <w:tr w14:paraId="7206C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14:paraId="6C26F659">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5EC7ED25">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14:paraId="72F08A51">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14:paraId="79F57370">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14:paraId="331D9FA6">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14:paraId="33252F3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1F437A93">
            <w:pPr>
              <w:adjustRightInd w:val="0"/>
              <w:snapToGrid w:val="0"/>
              <w:jc w:val="center"/>
              <w:rPr>
                <w:rFonts w:hint="eastAsia" w:ascii="仿宋" w:hAnsi="仿宋" w:eastAsia="仿宋" w:cs="仿宋"/>
                <w:sz w:val="20"/>
                <w:szCs w:val="20"/>
              </w:rPr>
            </w:pPr>
          </w:p>
        </w:tc>
      </w:tr>
      <w:tr w14:paraId="75DBF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14:paraId="18A42DDE">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14:paraId="59FD7B10">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14:paraId="375F711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14:paraId="25026F8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5CE2C0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14:paraId="09ABE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14:paraId="63D2F529">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14:paraId="1608C97B">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14:paraId="6ACFDCFA">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1EE29FA3">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422C8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14:paraId="63F61BCD">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14:paraId="14459DBD">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14:paraId="7CB3789E">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4BE521C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3A3C1C2D">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C62E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14:paraId="02F92F72">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5E04D231">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14:paraId="4E20A7F2">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14:paraId="42B1552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0654500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6B708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14:paraId="76CBD03F">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683AB7A4">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14:paraId="1A974F21">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14:paraId="6C423843">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5674E50F">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5763EA7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32E26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14:paraId="4924F5F1">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14:paraId="1C73551F">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14:paraId="2C6822B4">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14:paraId="639EE05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3432F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14:paraId="04B4EBA9">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14:paraId="4273216D">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14:paraId="075AF398">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14:paraId="61F655DC">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4C61A92E">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6CE0F2F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2D9BF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14:paraId="5C74155A">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351DFC52">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14:paraId="37F5F295">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14:paraId="1677DEB6">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650FC85D">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7C067867">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14:paraId="3D4788C0">
      <w:pPr>
        <w:pStyle w:val="33"/>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14:paraId="73364FE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14:paraId="2C95A1C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14:paraId="43536C5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审阅项目财务收支情况：审阅该项目实施单位记录资金收支的凭证、后附单据及相关文件，审阅该项目的相关规定，审核资金收支是否合规等。</w:t>
      </w:r>
    </w:p>
    <w:p w14:paraId="34BC77D6">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14:paraId="21458E89">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14:paraId="28518517">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14:paraId="0F47279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67" w:name="_Toc27861"/>
      <w:r>
        <w:rPr>
          <w:rStyle w:val="22"/>
          <w:rFonts w:hint="eastAsia" w:ascii="仿宋_GB2312" w:hAnsi="仿宋_GB2312" w:eastAsia="仿宋_GB2312" w:cs="仿宋_GB2312"/>
          <w:b w:val="0"/>
          <w:bCs w:val="0"/>
          <w:color w:val="auto"/>
          <w:spacing w:val="-4"/>
          <w:sz w:val="32"/>
          <w:szCs w:val="32"/>
          <w:highlight w:val="none"/>
          <w:lang w:val="en-US" w:eastAsia="zh-CN"/>
        </w:rPr>
        <w:t xml:space="preserve">1.项目立项情况  </w:t>
      </w:r>
    </w:p>
    <w:p w14:paraId="1938297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（1）立项依据的充分性</w:t>
      </w:r>
    </w:p>
    <w:p w14:paraId="744EBF6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符合《中华人民共和国统计法》《全国人口普查条例》和《国务院第七次全国人口普查领导小组办公室财政部人力资源和社会保障部国家统计局关于做好第七次全国人口普查经费保障工作的通知》（国人普办宇（2020）5号）等文件内容，项目的立项符合相关法规政策及部门职责，依据充分；项目是按照规定的程序申请设立；审批文件、材料符合相关要求。</w:t>
      </w:r>
    </w:p>
    <w:p w14:paraId="74511FEE">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（2）立项程序规范性</w:t>
      </w:r>
    </w:p>
    <w:p w14:paraId="233133F4">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决策依据情况：项目符合经济社会发展规划和部门年度工作计划，为全面贯彻落实中央、自治区、地区的决策部署，落实地委关于和田地区对全县开展第七次全国人口普查工作的相关安排部署，该项目根据《关于提前下达第七次人口普查2021年经费的通知》（和地财行〔2021〕14号）文件精神和主管县领导主要批示要求立项并实施。</w:t>
      </w:r>
    </w:p>
    <w:p w14:paraId="62FACB1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决策程序情况：</w:t>
      </w:r>
      <w:bookmarkEnd w:id="67"/>
      <w:r>
        <w:rPr>
          <w:rStyle w:val="22"/>
          <w:rFonts w:hint="eastAsia" w:ascii="仿宋_GB2312" w:hAnsi="仿宋_GB2312" w:eastAsia="仿宋_GB2312" w:cs="仿宋_GB2312"/>
          <w:b w:val="0"/>
          <w:bCs w:val="0"/>
          <w:color w:val="auto"/>
          <w:spacing w:val="-4"/>
          <w:sz w:val="32"/>
          <w:szCs w:val="32"/>
          <w:highlight w:val="none"/>
          <w:lang w:val="en-US" w:eastAsia="zh-CN"/>
        </w:rPr>
        <w:t>洛浦县统计局根据《中华人民共和国统计法》《全全国人口普查条列》和《国务院第七次全国人口普查领导小组办公室财政部人力资源和社会保障部国家统计局关于做好第七次全国人口普查经费保障工作的通知》（国人普办宇（2020）5号），《关于提前下达第七次人口普查2021年经费的通知》（和地财行〔2021〕14号）等文件要求，结合本单位年度工作计划和项目支出需要，拟定了项目实施内容和项目预算明细，经分管领导签字确认后报送局长审核项目资金，经本单位会议及县管领导研究审定后开始实施该项目。</w:t>
      </w:r>
    </w:p>
    <w:p w14:paraId="4DF93F64">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2.绩效目标设立情况</w:t>
      </w:r>
    </w:p>
    <w:p w14:paraId="53AA1F6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（1）绩效目标合理性</w:t>
      </w:r>
    </w:p>
    <w:p w14:paraId="0280DCC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绩效目标的内涵明确、具体、可衡量。所设立的绩效目标可以考核并能够指导洛浦县统计局第七次全国人口普查项目的业务工作。指标与评价对象密切相关，全面反映项目实施内容及项目预期绩效情况，绩效目标设立符合洛浦县对全县开展第七次全国人口普查工作要求和洛浦县统计局单位2021年工作计划，明确了项目产出数量和预期达到的效果。整体来看，绩效目标设立比较明确。</w:t>
      </w:r>
    </w:p>
    <w:p w14:paraId="31A9EBC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（2）绩效指标明确性</w:t>
      </w:r>
    </w:p>
    <w:p w14:paraId="415B8EB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该项目所设置绩效目标是：一级指标3条，二级指标7条，三级指标10条，可量化指标9条，指标量化率90%，该项目总体绩效目标明确，符合绩效目标明确、细化、量化条件。</w:t>
      </w:r>
    </w:p>
    <w:p w14:paraId="26BB2301">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3.资金投入情况</w:t>
      </w:r>
    </w:p>
    <w:p w14:paraId="141BDB1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（1）预算编制科学性</w:t>
      </w:r>
    </w:p>
    <w:p w14:paraId="5D3B6A1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主要是对全县开展第七次全国人口普查工作，参加普查工作人数为1400人，普查对象为30万人。通过该项目实施，完善人口发展战略和发展体系提高准确数据，促进人口长期均衡发展，科学制度国民经济和社会发展规划，推动经济高质量发展，开启全面建设社会新征程。洛浦县统计局根据项目情况进行预算编制，使项目的资金额度与年度目标相适应，制定了明确详细的项目资金支出计划和进度，该项目预算编制比较科学合理。</w:t>
      </w:r>
    </w:p>
    <w:p w14:paraId="0B002A6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（2）资金分配合理性</w:t>
      </w:r>
    </w:p>
    <w:p w14:paraId="414E734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68" w:name="_Toc5610"/>
      <w:r>
        <w:rPr>
          <w:rStyle w:val="22"/>
          <w:rFonts w:hint="eastAsia" w:ascii="仿宋_GB2312" w:hAnsi="仿宋_GB2312" w:eastAsia="仿宋_GB2312" w:cs="仿宋_GB2312"/>
          <w:b w:val="0"/>
          <w:bCs w:val="0"/>
          <w:color w:val="auto"/>
          <w:spacing w:val="-4"/>
          <w:sz w:val="32"/>
          <w:szCs w:val="32"/>
          <w:highlight w:val="none"/>
          <w:lang w:val="en-US" w:eastAsia="zh-CN"/>
        </w:rPr>
        <w:t>项目预算资金分配具有测算依据，分配额度合理，与补助单位或地方实际相适应，与工作任务相匹配，充分体现了资金分配的合理性。</w:t>
      </w:r>
    </w:p>
    <w:p w14:paraId="117D6E18">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14:paraId="0E21D8CF">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14:paraId="00936E9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（1）资金到位情况</w:t>
      </w:r>
    </w:p>
    <w:p w14:paraId="51544BF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本项目预算资金为146.40万元，实际到位资金为146.40万元；资金来源为自治区专项资金。资金到位率100%。</w:t>
      </w:r>
    </w:p>
    <w:p w14:paraId="6E85B25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（2）预算管理情况</w:t>
      </w:r>
    </w:p>
    <w:p w14:paraId="50C752A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预算执行与预算编制基本一致，项目预算146.40万元，实际支出146.40万元，预算执行率100%。</w:t>
      </w:r>
    </w:p>
    <w:p w14:paraId="15BD905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资金使用合规性：该项目资金严格按照《国务院对于第七次人口普查员经费与报酬的规定》支付资金；资金的支付有完整的审批程序和手续，符合制度要求；项目资金进行单独核算，财务手续基本合理、完整，资金支付是按照自治区和洛浦县自治区专项资金管理办法规定执行，资金使用规范合理。未发现专项资金有截留、挤占、挪用、虚列开支等情况。</w:t>
      </w:r>
    </w:p>
    <w:p w14:paraId="14AAC311">
      <w:pPr>
        <w:pStyle w:val="33"/>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14:paraId="6DC355A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（1）管理制度健全性</w:t>
      </w:r>
    </w:p>
    <w:p w14:paraId="7889244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洛浦县统计局项目管理参照《中华人民共和国统计法》《全全国人口普查条列》和《国务院第七次全国人口普查领导小组办公室财政部人力资源和社会保障部国家统计局关于做好第七次全国人口普查经费保障工作的通知》（国人普办宇（2020）5号）等文件进行管理，规范了项目实施、监督检查、验收等过程，在相关制度和流程的有效监督管控之下，项目单位建立《项目管理制度》，制度涵盖了项目的设立、质量管理、安全管理、成本控制、项目验收等流程管理制度，项目管理制度健全。</w:t>
      </w:r>
    </w:p>
    <w:p w14:paraId="41C086D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（2）制度执行有效性</w:t>
      </w:r>
    </w:p>
    <w:p w14:paraId="38FA087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资金支出严格按照《自治区财政资金使用跟踪反馈管理暂行办法》（新财预）〔2016〕113号），《关于提前下达第七次人口普查2021年经费的通知》（和地财行〔2021〕14号）等管理办法运行。单位不定期下项目现场进行视察，督促项目进度，把控项目质量，要求按时按标准完成项目。按照要求提出资金拨付申请，按程序审批后报账。建立健全财务管理制度，健全专项资金台账，做好与金融机构的定期对账工作，确保项目专项资金安全使用，资金的支付有完整的审批程序和手续，符合制度要求；项目资金进行单独核算，财务手续基本合理、完整，未发现专项资金有截留、挤占、挪用、虚列开支等情况。但是洛浦县统计局对项目资料归档不够重视，项目资料归档不及时。</w:t>
      </w:r>
    </w:p>
    <w:p w14:paraId="4AE55EB8">
      <w:pPr>
        <w:pStyle w:val="33"/>
        <w:adjustRightInd w:val="0"/>
        <w:snapToGrid w:val="0"/>
        <w:spacing w:line="560" w:lineRule="exact"/>
        <w:ind w:left="420" w:leftChars="200" w:firstLine="321" w:firstLineChars="100"/>
        <w:outlineLvl w:val="1"/>
        <w:rPr>
          <w:rFonts w:hint="eastAsia" w:ascii="楷体" w:hAnsi="楷体" w:eastAsia="楷体" w:cs="楷体"/>
          <w:bCs/>
          <w:sz w:val="32"/>
          <w:szCs w:val="32"/>
          <w:highlight w:val="none"/>
          <w:lang w:val="en-US" w:eastAsia="zh-CN"/>
        </w:rPr>
      </w:pPr>
      <w:bookmarkStart w:id="70" w:name="_Toc31015"/>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三</w:t>
      </w:r>
      <w:r>
        <w:rPr>
          <w:rFonts w:hint="eastAsia" w:ascii="仿宋_GB2312" w:hAnsi="仿宋" w:eastAsia="仿宋_GB2312" w:cs="宋体"/>
          <w:b/>
          <w:bCs/>
          <w:sz w:val="32"/>
          <w:szCs w:val="32"/>
          <w:highlight w:val="none"/>
        </w:rPr>
        <w:t>）项目</w:t>
      </w:r>
      <w:r>
        <w:rPr>
          <w:rFonts w:hint="eastAsia" w:ascii="仿宋_GB2312" w:hAnsi="仿宋" w:eastAsia="仿宋_GB2312" w:cs="宋体"/>
          <w:b/>
          <w:bCs/>
          <w:sz w:val="32"/>
          <w:szCs w:val="32"/>
          <w:highlight w:val="none"/>
          <w:lang w:val="en-US" w:eastAsia="zh-CN"/>
        </w:rPr>
        <w:t>产出</w:t>
      </w:r>
      <w:r>
        <w:rPr>
          <w:rFonts w:hint="eastAsia" w:ascii="仿宋_GB2312" w:hAnsi="仿宋" w:eastAsia="仿宋_GB2312" w:cs="宋体"/>
          <w:b/>
          <w:bCs/>
          <w:sz w:val="32"/>
          <w:szCs w:val="32"/>
          <w:highlight w:val="none"/>
        </w:rPr>
        <w:t>情况分析</w:t>
      </w:r>
      <w:bookmarkEnd w:id="70"/>
    </w:p>
    <w:p w14:paraId="22D467C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1.产出数量情况</w:t>
      </w:r>
    </w:p>
    <w:p w14:paraId="09709D1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截止评价日，全县开展第七次全国人口普查工作，参加普查工作人员数1450人，普查对象为30万人以上。</w:t>
      </w:r>
    </w:p>
    <w:p w14:paraId="7DD1750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2.产出质量情况</w:t>
      </w:r>
    </w:p>
    <w:p w14:paraId="268E381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全县开展第七次全国人口普查工作普查覆盖率等于100%，普查表准确率100%。</w:t>
      </w:r>
    </w:p>
    <w:p w14:paraId="57B30BA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3.产出时效情况</w:t>
      </w:r>
    </w:p>
    <w:p w14:paraId="43991A9F">
      <w:pPr>
        <w:pStyle w:val="33"/>
        <w:tabs>
          <w:tab w:val="left" w:pos="1559"/>
        </w:tabs>
        <w:adjustRightInd w:val="0"/>
        <w:snapToGrid w:val="0"/>
        <w:spacing w:line="560" w:lineRule="exact"/>
        <w:ind w:left="0" w:leftChars="0" w:firstLine="624" w:firstLineChars="200"/>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项目完成及时性及资金拨付及时性等于100%，</w:t>
      </w:r>
      <w:r>
        <w:rPr>
          <w:rFonts w:hint="eastAsia" w:ascii="仿宋_GB2312" w:hAnsi="仿宋_GB2312" w:eastAsia="仿宋_GB2312" w:cs="仿宋_GB2312"/>
          <w:kern w:val="2"/>
          <w:sz w:val="32"/>
          <w:szCs w:val="32"/>
          <w:highlight w:val="none"/>
          <w:lang w:val="en-US" w:eastAsia="zh-CN" w:bidi="ar-SA"/>
        </w:rPr>
        <w:t>该项目及时完成情况达到了年初预期指标。</w:t>
      </w:r>
    </w:p>
    <w:p w14:paraId="5A16A534">
      <w:pPr>
        <w:pageBreakBefore w:val="0"/>
        <w:widowControl w:val="0"/>
        <w:numPr>
          <w:ilvl w:val="0"/>
          <w:numId w:val="0"/>
        </w:numPr>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4.产出成本情况</w:t>
      </w:r>
    </w:p>
    <w:p w14:paraId="5DE3E93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9"/>
        <w:rPr>
          <w:rFonts w:hint="eastAsia"/>
          <w:lang w:val="en-US" w:eastAsia="zh-CN"/>
        </w:rPr>
      </w:pPr>
      <w:r>
        <w:rPr>
          <w:rFonts w:hint="eastAsia" w:ascii="仿宋_GB2312" w:hAnsi="仿宋_GB2312" w:eastAsia="仿宋_GB2312" w:cs="仿宋_GB2312"/>
          <w:kern w:val="2"/>
          <w:sz w:val="32"/>
          <w:szCs w:val="32"/>
          <w:highlight w:val="none"/>
          <w:lang w:val="en-US" w:eastAsia="zh-CN" w:bidi="ar-SA"/>
        </w:rPr>
        <w:t>项目计划总投资146.40万元，项目实际支出金额为 146.40万元，项目支出有效控制在预算范围内。</w:t>
      </w:r>
    </w:p>
    <w:p w14:paraId="0725DFDE">
      <w:pPr>
        <w:pageBreakBefore w:val="0"/>
        <w:widowControl w:val="0"/>
        <w:kinsoku/>
        <w:wordWrap/>
        <w:overflowPunct/>
        <w:topLinePunct w:val="0"/>
        <w:autoSpaceDE/>
        <w:autoSpaceDN/>
        <w:bidi w:val="0"/>
        <w:spacing w:line="560" w:lineRule="exact"/>
        <w:ind w:firstLine="627" w:firstLineChars="200"/>
        <w:textAlignment w:val="auto"/>
        <w:outlineLvl w:val="9"/>
        <w:rPr>
          <w:rStyle w:val="22"/>
          <w:rFonts w:hint="eastAsia" w:ascii="仿宋_GB2312" w:hAnsi="仿宋_GB2312" w:eastAsia="仿宋_GB2312" w:cs="仿宋_GB2312"/>
          <w:b/>
          <w:bCs/>
          <w:color w:val="auto"/>
          <w:spacing w:val="-4"/>
          <w:sz w:val="32"/>
          <w:szCs w:val="32"/>
          <w:highlight w:val="none"/>
          <w:lang w:val="en-US" w:eastAsia="zh-CN"/>
        </w:rPr>
      </w:pPr>
      <w:bookmarkStart w:id="71" w:name="_Toc3708"/>
      <w:r>
        <w:rPr>
          <w:rStyle w:val="22"/>
          <w:rFonts w:hint="eastAsia" w:ascii="仿宋_GB2312" w:hAnsi="仿宋_GB2312" w:eastAsia="仿宋_GB2312" w:cs="仿宋_GB2312"/>
          <w:b/>
          <w:bCs/>
          <w:color w:val="auto"/>
          <w:spacing w:val="-4"/>
          <w:sz w:val="32"/>
          <w:szCs w:val="32"/>
          <w:highlight w:val="none"/>
          <w:lang w:val="en-US" w:eastAsia="zh-CN"/>
        </w:rPr>
        <w:t>（四）项目效益评价分析</w:t>
      </w:r>
      <w:bookmarkEnd w:id="71"/>
    </w:p>
    <w:p w14:paraId="3C1683F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1.经济效益情况</w:t>
      </w:r>
    </w:p>
    <w:p w14:paraId="74A0E64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该项目未涉及经济效益。</w:t>
      </w:r>
    </w:p>
    <w:p w14:paraId="6DF0504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2.社会效益情况</w:t>
      </w:r>
    </w:p>
    <w:p w14:paraId="49449FE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通过该项目实施，促进了人口长期均衡发展，完善了人口发展战略和发展体系，推动了经济高质量发展，开启了全面建设社会新征程。</w:t>
      </w:r>
    </w:p>
    <w:p w14:paraId="073FD84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 xml:space="preserve">3.生态效益情况 </w:t>
      </w:r>
      <w:r>
        <w:rPr>
          <w:rStyle w:val="22"/>
          <w:rFonts w:hint="eastAsia" w:ascii="仿宋_GB2312" w:hAnsi="仿宋_GB2312" w:eastAsia="仿宋_GB2312" w:cs="仿宋_GB2312"/>
          <w:b w:val="0"/>
          <w:bCs w:val="0"/>
          <w:color w:val="auto"/>
          <w:spacing w:val="-4"/>
          <w:sz w:val="32"/>
          <w:szCs w:val="32"/>
          <w:highlight w:val="none"/>
          <w:lang w:val="en-US" w:eastAsia="zh-CN"/>
        </w:rPr>
        <w:t xml:space="preserve">                </w:t>
      </w:r>
    </w:p>
    <w:p w14:paraId="2ACF39D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该项目未涉及生态效益。</w:t>
      </w:r>
    </w:p>
    <w:p w14:paraId="6553833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4.可持续影响情况</w:t>
      </w:r>
    </w:p>
    <w:p w14:paraId="6B80C28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项目持续时间为6个月，</w:t>
      </w:r>
    </w:p>
    <w:p w14:paraId="7AA26DD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5.服务对象满意度情况</w:t>
      </w:r>
    </w:p>
    <w:p w14:paraId="067637CC">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通过走访受益对象，发放调查问卷一共450份，回收有效问卷共计450份，按照调查问卷来看，服务对象对项目实施效果的满意程度达到了100%。</w:t>
      </w:r>
    </w:p>
    <w:p w14:paraId="04C0758A">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14:paraId="65B38241">
      <w:pPr>
        <w:pStyle w:val="33"/>
        <w:adjustRightInd w:val="0"/>
        <w:snapToGrid w:val="0"/>
        <w:spacing w:line="560" w:lineRule="exact"/>
        <w:ind w:firstLine="643"/>
        <w:outlineLvl w:val="1"/>
        <w:rPr>
          <w:rFonts w:ascii="仿宋_GB2312" w:hAnsi="仿宋" w:eastAsia="仿宋_GB2312" w:cs="宋体"/>
          <w:b/>
          <w:bCs/>
          <w:sz w:val="32"/>
          <w:szCs w:val="32"/>
          <w:highlight w:val="none"/>
        </w:rPr>
      </w:pPr>
      <w:bookmarkStart w:id="73" w:name="_Toc13481"/>
      <w:r>
        <w:rPr>
          <w:rFonts w:hint="eastAsia" w:ascii="仿宋_GB2312" w:hAnsi="仿宋" w:eastAsia="仿宋_GB2312" w:cs="宋体"/>
          <w:b/>
          <w:bCs/>
          <w:sz w:val="32"/>
          <w:szCs w:val="32"/>
          <w:highlight w:val="none"/>
        </w:rPr>
        <w:t>（一）评分结果</w:t>
      </w:r>
      <w:bookmarkEnd w:id="73"/>
    </w:p>
    <w:p w14:paraId="63EF8C9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经综合评价，项目得分为98.5分，评价等级为优，一级指标各项得分情况见下表：</w:t>
      </w:r>
    </w:p>
    <w:p w14:paraId="1CFC7829">
      <w:pPr>
        <w:pStyle w:val="40"/>
        <w:rPr>
          <w:highlight w:val="none"/>
        </w:rPr>
      </w:pPr>
      <w:r>
        <w:rPr>
          <w:rFonts w:hint="eastAsia"/>
          <w:highlight w:val="none"/>
          <w:lang w:eastAsia="zh-CN"/>
        </w:rPr>
        <w:t>202</w:t>
      </w:r>
      <w:r>
        <w:rPr>
          <w:rFonts w:hint="eastAsia"/>
          <w:highlight w:val="none"/>
          <w:lang w:val="en-US" w:eastAsia="zh-CN"/>
        </w:rPr>
        <w:t>1</w:t>
      </w:r>
      <w:r>
        <w:rPr>
          <w:rFonts w:hint="eastAsia"/>
          <w:highlight w:val="none"/>
        </w:rPr>
        <w:t>年度该项目绩效评价</w:t>
      </w:r>
      <w:r>
        <w:rPr>
          <w:highlight w:val="none"/>
        </w:rPr>
        <w:t>得分情况表</w:t>
      </w:r>
    </w:p>
    <w:tbl>
      <w:tblPr>
        <w:tblStyle w:val="19"/>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14:paraId="0B2B1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14:paraId="26AC7169">
            <w:pPr>
              <w:pStyle w:val="40"/>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14:paraId="4190AC8E">
            <w:pPr>
              <w:pStyle w:val="40"/>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14:paraId="3364D433">
            <w:pPr>
              <w:pStyle w:val="40"/>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14:paraId="00832C9E">
            <w:pPr>
              <w:pStyle w:val="40"/>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14:paraId="267D1980">
            <w:pPr>
              <w:pStyle w:val="40"/>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14:paraId="2D2104BF">
            <w:pPr>
              <w:pStyle w:val="40"/>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14:paraId="1EB06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39F37D20">
            <w:pPr>
              <w:pStyle w:val="40"/>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14:paraId="3C7D5F56">
            <w:pPr>
              <w:pStyle w:val="40"/>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14:paraId="3ADD3784">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14:paraId="63DF94FB">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5DD752FA">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249BD45A">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14:paraId="11987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23207186">
            <w:pPr>
              <w:pStyle w:val="40"/>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14:paraId="39D628F9">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14:paraId="1D32E6CA">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18.5</w:t>
            </w:r>
          </w:p>
        </w:tc>
        <w:tc>
          <w:tcPr>
            <w:tcW w:w="1152" w:type="dxa"/>
            <w:vAlign w:val="center"/>
          </w:tcPr>
          <w:p w14:paraId="00486666">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3E828FBD">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11B3F105">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98.5</w:t>
            </w:r>
          </w:p>
        </w:tc>
      </w:tr>
      <w:tr w14:paraId="4F18C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45729E36">
            <w:pPr>
              <w:pStyle w:val="40"/>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14:paraId="19F4E2D8">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14:paraId="0E99046C">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92.5</w:t>
            </w:r>
            <w:r>
              <w:rPr>
                <w:rFonts w:hint="eastAsia" w:ascii="仿宋" w:hAnsi="仿宋" w:eastAsia="仿宋" w:cs="仿宋"/>
                <w:b w:val="0"/>
                <w:sz w:val="21"/>
                <w:szCs w:val="21"/>
                <w:highlight w:val="none"/>
              </w:rPr>
              <w:t>%</w:t>
            </w:r>
          </w:p>
        </w:tc>
        <w:tc>
          <w:tcPr>
            <w:tcW w:w="1152" w:type="dxa"/>
            <w:vAlign w:val="center"/>
          </w:tcPr>
          <w:p w14:paraId="77F9E680">
            <w:pPr>
              <w:pStyle w:val="40"/>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290" w:type="dxa"/>
            <w:vAlign w:val="center"/>
          </w:tcPr>
          <w:p w14:paraId="404F160C">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14:paraId="1E6E8D31">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98.5</w:t>
            </w:r>
            <w:r>
              <w:rPr>
                <w:rFonts w:hint="eastAsia" w:ascii="仿宋" w:hAnsi="仿宋" w:eastAsia="仿宋" w:cs="仿宋"/>
                <w:b w:val="0"/>
                <w:sz w:val="21"/>
                <w:szCs w:val="21"/>
                <w:highlight w:val="none"/>
              </w:rPr>
              <w:t>%</w:t>
            </w:r>
          </w:p>
        </w:tc>
      </w:tr>
    </w:tbl>
    <w:p w14:paraId="3E306D73">
      <w:pPr>
        <w:pStyle w:val="33"/>
        <w:numPr>
          <w:ilvl w:val="0"/>
          <w:numId w:val="4"/>
        </w:numPr>
        <w:adjustRightInd w:val="0"/>
        <w:snapToGrid w:val="0"/>
        <w:spacing w:line="560" w:lineRule="exact"/>
        <w:ind w:left="0" w:firstLine="643"/>
        <w:rPr>
          <w:rFonts w:ascii="仿宋_GB2312" w:hAnsi="仿宋" w:eastAsia="仿宋_GB2312" w:cs="宋体"/>
          <w:b/>
          <w:bCs/>
          <w:vanish/>
          <w:sz w:val="32"/>
          <w:szCs w:val="32"/>
          <w:highlight w:val="none"/>
        </w:rPr>
      </w:pPr>
      <w:r>
        <w:rPr>
          <w:rFonts w:hint="eastAsia" w:ascii="仿宋_GB2312" w:hAnsi="仿宋" w:eastAsia="仿宋_GB2312" w:cs="宋体"/>
          <w:b/>
          <w:bCs/>
          <w:vanish/>
          <w:sz w:val="32"/>
          <w:szCs w:val="32"/>
          <w:highlight w:val="none"/>
        </w:rPr>
        <w:t>评价结论</w:t>
      </w:r>
    </w:p>
    <w:p w14:paraId="1D7553B0">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74" w:name="_Toc3803"/>
      <w:r>
        <w:rPr>
          <w:rFonts w:hint="eastAsia" w:ascii="仿宋_GB2312" w:hAnsi="仿宋" w:eastAsia="仿宋_GB2312" w:cs="宋体"/>
          <w:b/>
          <w:bCs/>
          <w:sz w:val="32"/>
          <w:szCs w:val="32"/>
          <w:highlight w:val="none"/>
        </w:rPr>
        <w:t>（二）项目总体评价结论</w:t>
      </w:r>
      <w:bookmarkEnd w:id="74"/>
    </w:p>
    <w:p w14:paraId="6652765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立项较规范，绩效目标合理，绩效指标明确，项目管理制度较健全，制度建设基本有效执行。项目总投资146.40万元，财政资金到位率100%，实际支出146.40万元，预算资金执行率100%。资金使用程序较规范，能够做到专项资金专款专用，未发现截留、挤占、挪用、虚列支出等情况。项目实施后促进了人口长期均衡发展，完善了人口发展战略和发展体系，推动了经济高质量发展，开启了全面建设社会新征程。</w:t>
      </w:r>
    </w:p>
    <w:p w14:paraId="6CDA08F0">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14:paraId="69061D51">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76" w:name="_Toc2013"/>
      <w:bookmarkStart w:id="77" w:name="_Toc14039"/>
      <w:r>
        <w:rPr>
          <w:rFonts w:hint="eastAsia" w:ascii="仿宋_GB2312" w:hAnsi="仿宋" w:eastAsia="仿宋_GB2312" w:cs="宋体"/>
          <w:b/>
          <w:bCs/>
          <w:sz w:val="32"/>
          <w:szCs w:val="32"/>
          <w:highlight w:val="none"/>
        </w:rPr>
        <w:t>（一）问题</w:t>
      </w:r>
      <w:bookmarkEnd w:id="76"/>
    </w:p>
    <w:p w14:paraId="4383DE70">
      <w:pPr>
        <w:pStyle w:val="33"/>
        <w:adjustRightInd w:val="0"/>
        <w:snapToGrid w:val="0"/>
        <w:spacing w:line="560" w:lineRule="exact"/>
        <w:outlineLvl w:val="1"/>
        <w:rPr>
          <w:rStyle w:val="22"/>
          <w:rFonts w:hint="eastAsia" w:ascii="仿宋_GB2312" w:hAnsi="仿宋_GB2312" w:eastAsia="仿宋_GB2312" w:cs="仿宋_GB2312"/>
          <w:b w:val="0"/>
          <w:bCs w:val="0"/>
          <w:color w:val="auto"/>
          <w:spacing w:val="-4"/>
          <w:sz w:val="32"/>
          <w:szCs w:val="32"/>
          <w:highlight w:val="none"/>
          <w:lang w:val="en-US" w:eastAsia="zh-CN"/>
        </w:rPr>
      </w:pPr>
      <w:bookmarkStart w:id="78" w:name="_Toc4075"/>
      <w:r>
        <w:rPr>
          <w:rStyle w:val="22"/>
          <w:rFonts w:hint="eastAsia" w:ascii="仿宋_GB2312" w:hAnsi="仿宋_GB2312" w:eastAsia="仿宋_GB2312" w:cs="仿宋_GB2312"/>
          <w:b w:val="0"/>
          <w:bCs w:val="0"/>
          <w:color w:val="auto"/>
          <w:spacing w:val="-4"/>
          <w:sz w:val="32"/>
          <w:szCs w:val="32"/>
          <w:highlight w:val="none"/>
          <w:lang w:val="en-US" w:eastAsia="zh-CN"/>
        </w:rPr>
        <w:t>洛浦县统计局对项目资料归档不够重视，项目资料归档不及时。</w:t>
      </w:r>
    </w:p>
    <w:p w14:paraId="57748B79">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二</w:t>
      </w:r>
      <w:r>
        <w:rPr>
          <w:rFonts w:hint="eastAsia" w:ascii="仿宋_GB2312" w:hAnsi="仿宋" w:eastAsia="仿宋_GB2312" w:cs="宋体"/>
          <w:b/>
          <w:bCs/>
          <w:sz w:val="32"/>
          <w:szCs w:val="32"/>
          <w:highlight w:val="none"/>
        </w:rPr>
        <w:t>）意见和建议</w:t>
      </w:r>
      <w:bookmarkEnd w:id="78"/>
    </w:p>
    <w:p w14:paraId="58F982F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建议项目实施主管单位严格遵守相关项目管理办法，在项目实施过程中，项目资料的收集与项目实施进度保持同步，严格要求各乡镇及时报送资料，避免出现有乡镇漏报资料。</w:t>
      </w:r>
    </w:p>
    <w:p w14:paraId="2F0D2F5F">
      <w:pPr>
        <w:adjustRightInd w:val="0"/>
        <w:snapToGrid w:val="0"/>
        <w:spacing w:line="560" w:lineRule="exact"/>
        <w:ind w:firstLine="640" w:firstLineChars="200"/>
        <w:jc w:val="left"/>
        <w:outlineLvl w:val="0"/>
        <w:rPr>
          <w:rFonts w:ascii="黑体" w:hAnsi="黑体" w:eastAsia="黑体" w:cs="宋体"/>
          <w:sz w:val="32"/>
          <w:szCs w:val="32"/>
          <w:highlight w:val="none"/>
        </w:rPr>
      </w:pPr>
      <w:bookmarkStart w:id="79" w:name="_Toc17475"/>
      <w:r>
        <w:rPr>
          <w:rFonts w:hint="eastAsia" w:ascii="黑体" w:hAnsi="黑体" w:eastAsia="黑体" w:cs="宋体"/>
          <w:sz w:val="32"/>
          <w:szCs w:val="32"/>
          <w:highlight w:val="none"/>
        </w:rPr>
        <w:t>六、主要经验及做法</w:t>
      </w:r>
      <w:bookmarkEnd w:id="77"/>
      <w:bookmarkEnd w:id="79"/>
    </w:p>
    <w:p w14:paraId="0CA1CF4A">
      <w:pPr>
        <w:pStyle w:val="33"/>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32230"/>
      <w:bookmarkStart w:id="81" w:name="_Toc25465"/>
      <w:bookmarkStart w:id="82" w:name="_Toc16919"/>
      <w:r>
        <w:rPr>
          <w:rFonts w:hint="eastAsia" w:ascii="仿宋_GB2312" w:hAnsi="仿宋" w:eastAsia="仿宋_GB2312" w:cs="宋体"/>
          <w:b/>
          <w:bCs/>
          <w:sz w:val="32"/>
          <w:szCs w:val="32"/>
        </w:rPr>
        <w:t>（一）项目实施过程有效监控</w:t>
      </w:r>
      <w:bookmarkEnd w:id="80"/>
      <w:bookmarkEnd w:id="81"/>
    </w:p>
    <w:p w14:paraId="27518CC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83" w:name="_Toc191"/>
      <w:bookmarkStart w:id="84" w:name="_Toc22631"/>
      <w:r>
        <w:rPr>
          <w:rStyle w:val="22"/>
          <w:rFonts w:hint="eastAsia" w:ascii="仿宋_GB2312" w:hAnsi="仿宋_GB2312" w:eastAsia="仿宋_GB2312" w:cs="仿宋_GB2312"/>
          <w:b w:val="0"/>
          <w:bCs w:val="0"/>
          <w:color w:val="auto"/>
          <w:spacing w:val="-4"/>
          <w:sz w:val="32"/>
          <w:szCs w:val="32"/>
          <w:highlight w:val="none"/>
          <w:lang w:val="en-US" w:eastAsia="zh-CN"/>
        </w:rPr>
        <w:t>洛浦县财政局针对项目实施全过程进行绩效管理；根据专项资金管理工作，于5月、8月对该项目开展绩效监控，实行项目预算执行率与工作完成进度双监控，并全面把握资金使用效率和项目实施开展进度，督促相关责任人按期保质完成工作。</w:t>
      </w:r>
    </w:p>
    <w:p w14:paraId="20B62DB6">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14:paraId="150CF4D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85" w:name="_Toc13108"/>
      <w:bookmarkStart w:id="86" w:name="_Toc31915"/>
      <w:bookmarkStart w:id="87" w:name="_Toc20562"/>
      <w:bookmarkStart w:id="88" w:name="_Toc14650"/>
      <w:bookmarkStart w:id="89" w:name="_Toc30107"/>
      <w:bookmarkStart w:id="90" w:name="_Toc24288"/>
      <w:bookmarkStart w:id="91" w:name="_Toc7837"/>
      <w:bookmarkStart w:id="92" w:name="_Toc22725"/>
      <w:bookmarkStart w:id="93" w:name="_Toc14723"/>
      <w:r>
        <w:rPr>
          <w:rStyle w:val="22"/>
          <w:rFonts w:hint="eastAsia" w:ascii="仿宋_GB2312" w:hAnsi="仿宋_GB2312" w:eastAsia="仿宋_GB2312" w:cs="仿宋_GB2312"/>
          <w:b w:val="0"/>
          <w:bCs w:val="0"/>
          <w:color w:val="auto"/>
          <w:spacing w:val="-4"/>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14:paraId="2D7E2A67">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14:paraId="2405ABE9">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14:paraId="214EE48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95" w:name="_Toc20240"/>
      <w:bookmarkStart w:id="96" w:name="_Toc31513"/>
      <w:r>
        <w:rPr>
          <w:rStyle w:val="22"/>
          <w:rFonts w:hint="eastAsia" w:ascii="仿宋_GB2312" w:hAnsi="仿宋_GB2312" w:eastAsia="仿宋_GB2312" w:cs="仿宋_GB2312"/>
          <w:b w:val="0"/>
          <w:bCs w:val="0"/>
          <w:color w:val="auto"/>
          <w:spacing w:val="-4"/>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14:paraId="7394BC0F">
      <w:pPr>
        <w:numPr>
          <w:ilvl w:val="0"/>
          <w:numId w:val="8"/>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14:paraId="70C7118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14:paraId="7B7150F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1.建议建立实施绩效评价结果公开制度（结果反馈制度、结果共享制度、结果报告制度、结果公示制度）；</w:t>
      </w:r>
    </w:p>
    <w:p w14:paraId="0C59928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2.建议建立绩效评价结果通报、约谈和问责机制；</w:t>
      </w:r>
    </w:p>
    <w:p w14:paraId="760F098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3.建议建立绩效评价结果在部门预算中激励与约束挂钩机制；</w:t>
      </w:r>
    </w:p>
    <w:p w14:paraId="1CD1FD2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4.建议建立评价结果惩处机制。</w:t>
      </w:r>
    </w:p>
    <w:p w14:paraId="3E71D380">
      <w:pPr>
        <w:spacing w:line="560" w:lineRule="exact"/>
        <w:ind w:firstLine="643" w:firstLineChars="200"/>
        <w:outlineLvl w:val="1"/>
        <w:rPr>
          <w:rFonts w:ascii="仿宋_GB2312" w:hAnsi="黑体" w:eastAsia="仿宋_GB2312" w:cs="Times New Roman"/>
          <w:b/>
          <w:bCs/>
          <w:sz w:val="32"/>
          <w:szCs w:val="32"/>
        </w:rPr>
      </w:pPr>
      <w:bookmarkStart w:id="97" w:name="_Toc5443"/>
      <w:bookmarkStart w:id="98" w:name="_Toc10628"/>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14:paraId="4E5BC38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一是严格落实评价结果与预算安排挂钩制度。要严格执行《洛浦县财政支出绩效评价结果应用暂行办法》文件规定，充分应用评价结果，对低效无效资金一律削减或取消。</w:t>
      </w:r>
    </w:p>
    <w:p w14:paraId="289CCB1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二是将此次评价工作开展情况及评价结果纳入洛浦县全面实施预算绩效管理年度综合评价考核范畴，年终形成总结报告，上报县政府、发改委和县人大。</w:t>
      </w:r>
    </w:p>
    <w:p w14:paraId="1BAAFD8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三是进一步加大对评价结果的应用，洛浦县2021年度项目绩效评价情况，可作为以后年度部门单位项目预算编制和安排财政资金的重要依据。</w:t>
      </w:r>
    </w:p>
    <w:p w14:paraId="4848F60E">
      <w:pPr>
        <w:spacing w:line="560" w:lineRule="exact"/>
        <w:ind w:firstLine="643" w:firstLineChars="200"/>
        <w:outlineLvl w:val="1"/>
        <w:rPr>
          <w:rFonts w:ascii="仿宋_GB2312" w:hAnsi="黑体" w:eastAsia="仿宋_GB2312" w:cs="Times New Roman"/>
          <w:b/>
          <w:bCs/>
          <w:sz w:val="32"/>
          <w:szCs w:val="32"/>
        </w:rPr>
      </w:pPr>
      <w:bookmarkStart w:id="99" w:name="_Toc13172"/>
      <w:bookmarkStart w:id="100" w:name="_Toc4069"/>
      <w:r>
        <w:rPr>
          <w:rFonts w:hint="eastAsia" w:ascii="仿宋_GB2312" w:hAnsi="黑体" w:eastAsia="仿宋_GB2312" w:cs="Times New Roman"/>
          <w:b/>
          <w:bCs/>
          <w:sz w:val="32"/>
          <w:szCs w:val="32"/>
        </w:rPr>
        <w:t>（四）评价结果公开</w:t>
      </w:r>
      <w:bookmarkEnd w:id="99"/>
      <w:bookmarkEnd w:id="100"/>
    </w:p>
    <w:p w14:paraId="6A2AD10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建议按照政府信息公开管理的相关规定将绩效评价结果（涉密信息除外）向社会公开评价结果，提高工作透明度，接受社会公众的监督。</w:t>
      </w:r>
      <w:bookmarkEnd w:id="91"/>
    </w:p>
    <w:p w14:paraId="5C19C463">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14:paraId="2F74446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第一，该项目部分间接产生的效果无法准确在短期内衡量，因此很难认定项目产生的全部效果。通过指标来反映绩效，指标的科学性和全面性需要不断地完善和研究。</w:t>
      </w:r>
    </w:p>
    <w:p w14:paraId="2AB320F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第二，评价结果作为安排政府预算、完善政策和改进管理的重要依据。原则上，对评价等级为优、良的，根据情况予以支持；对评价等级为中、差的，要完善政策、改进管理，根据情况核减预算。</w:t>
      </w:r>
    </w:p>
    <w:p w14:paraId="0CFBF6C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第三，评价结果分别编入政府决算和部门预算，报送本级人民代表大会常务委员会，并依法予以公开。</w:t>
      </w:r>
    </w:p>
    <w:p w14:paraId="79D88C8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14:paraId="59F6B22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14:paraId="7CAE22F4">
      <w:pPr>
        <w:adjustRightInd w:val="0"/>
        <w:snapToGrid w:val="0"/>
        <w:spacing w:line="560" w:lineRule="exact"/>
        <w:ind w:firstLine="640" w:firstLineChars="200"/>
        <w:jc w:val="left"/>
        <w:outlineLvl w:val="0"/>
        <w:rPr>
          <w:rFonts w:ascii="黑体" w:hAnsi="黑体" w:eastAsia="黑体" w:cs="宋体"/>
          <w:sz w:val="32"/>
          <w:szCs w:val="32"/>
        </w:rPr>
      </w:pPr>
      <w:bookmarkStart w:id="102" w:name="_Toc25791"/>
      <w:r>
        <w:rPr>
          <w:rFonts w:hint="eastAsia" w:ascii="黑体" w:hAnsi="黑体" w:eastAsia="黑体" w:cs="宋体"/>
          <w:sz w:val="32"/>
          <w:szCs w:val="32"/>
        </w:rPr>
        <w:t>九、附件</w:t>
      </w:r>
      <w:bookmarkEnd w:id="102"/>
    </w:p>
    <w:bookmarkEnd w:id="30"/>
    <w:p w14:paraId="7EC60BA0">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14:paraId="156A1D9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bookmarkStart w:id="103" w:name="_Toc9070"/>
      <w:bookmarkStart w:id="104" w:name="_Toc3379"/>
      <w:bookmarkStart w:id="105" w:name="_Toc13969"/>
      <w:bookmarkStart w:id="106" w:name="_Toc11156"/>
      <w:bookmarkStart w:id="107" w:name="_Toc5066"/>
      <w:r>
        <w:rPr>
          <w:rStyle w:val="22"/>
          <w:rFonts w:hint="eastAsia" w:ascii="仿宋_GB2312" w:hAnsi="仿宋_GB2312" w:eastAsia="仿宋_GB2312" w:cs="仿宋_GB2312"/>
          <w:b w:val="0"/>
          <w:bCs w:val="0"/>
          <w:color w:val="auto"/>
          <w:spacing w:val="-4"/>
          <w:sz w:val="32"/>
          <w:szCs w:val="32"/>
          <w:highlight w:val="none"/>
          <w:lang w:val="en-US" w:eastAsia="zh-CN"/>
        </w:rPr>
        <w:t>附件一、第七次全国人口普查项目项目支出绩效评价指标体系</w:t>
      </w:r>
      <w:bookmarkEnd w:id="103"/>
      <w:bookmarkEnd w:id="104"/>
      <w:bookmarkEnd w:id="105"/>
      <w:bookmarkEnd w:id="106"/>
      <w:bookmarkEnd w:id="107"/>
    </w:p>
    <w:p w14:paraId="578E9A3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bookmarkStart w:id="108" w:name="_Toc17647"/>
      <w:bookmarkStart w:id="109" w:name="_Toc19426"/>
      <w:bookmarkStart w:id="110" w:name="_Toc31506"/>
      <w:bookmarkStart w:id="111" w:name="_Toc5753"/>
      <w:bookmarkStart w:id="112" w:name="_Toc32762"/>
      <w:r>
        <w:rPr>
          <w:rStyle w:val="22"/>
          <w:rFonts w:hint="eastAsia" w:ascii="仿宋_GB2312" w:hAnsi="仿宋_GB2312" w:eastAsia="仿宋_GB2312" w:cs="仿宋_GB2312"/>
          <w:b w:val="0"/>
          <w:bCs w:val="0"/>
          <w:color w:val="auto"/>
          <w:spacing w:val="-4"/>
          <w:sz w:val="32"/>
          <w:szCs w:val="32"/>
          <w:highlight w:val="none"/>
          <w:lang w:val="en-US" w:eastAsia="zh-CN"/>
        </w:rPr>
        <w:t>附件二、第七次全国人口普查项目项目资金使用明细表</w:t>
      </w:r>
      <w:bookmarkEnd w:id="108"/>
      <w:bookmarkEnd w:id="109"/>
      <w:bookmarkEnd w:id="110"/>
      <w:bookmarkEnd w:id="111"/>
      <w:bookmarkEnd w:id="112"/>
    </w:p>
    <w:p w14:paraId="65E243C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113" w:name="_Toc22995"/>
      <w:bookmarkStart w:id="114" w:name="_Toc27746"/>
      <w:bookmarkStart w:id="115" w:name="_Toc16544"/>
      <w:bookmarkStart w:id="116" w:name="_Toc21161"/>
      <w:bookmarkStart w:id="117" w:name="_Toc27332"/>
      <w:r>
        <w:rPr>
          <w:rStyle w:val="22"/>
          <w:rFonts w:hint="eastAsia" w:ascii="仿宋_GB2312" w:hAnsi="仿宋_GB2312" w:eastAsia="仿宋_GB2312" w:cs="仿宋_GB2312"/>
          <w:b w:val="0"/>
          <w:bCs w:val="0"/>
          <w:color w:val="auto"/>
          <w:spacing w:val="-4"/>
          <w:sz w:val="32"/>
          <w:szCs w:val="32"/>
          <w:highlight w:val="none"/>
          <w:lang w:val="en-US" w:eastAsia="zh-CN"/>
        </w:rPr>
        <w:t>附件三、第七次全国人口普查项目项目绩效评价工作记录单</w:t>
      </w:r>
      <w:bookmarkEnd w:id="113"/>
      <w:bookmarkEnd w:id="114"/>
      <w:bookmarkEnd w:id="115"/>
      <w:bookmarkEnd w:id="116"/>
      <w:bookmarkEnd w:id="117"/>
      <w:bookmarkStart w:id="118" w:name="_Toc20564"/>
      <w:bookmarkStart w:id="119" w:name="_Toc18769"/>
      <w:bookmarkStart w:id="120" w:name="_Toc16822"/>
    </w:p>
    <w:p w14:paraId="2AB6DD5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bookmarkStart w:id="121" w:name="_Toc27218"/>
      <w:r>
        <w:rPr>
          <w:rStyle w:val="22"/>
          <w:rFonts w:hint="eastAsia" w:ascii="仿宋_GB2312" w:hAnsi="仿宋_GB2312" w:eastAsia="仿宋_GB2312" w:cs="仿宋_GB2312"/>
          <w:b w:val="0"/>
          <w:bCs w:val="0"/>
          <w:color w:val="auto"/>
          <w:spacing w:val="-4"/>
          <w:sz w:val="32"/>
          <w:szCs w:val="32"/>
          <w:highlight w:val="none"/>
          <w:lang w:val="en-US" w:eastAsia="zh-CN"/>
        </w:rPr>
        <w:t>附件四、第七次全国人口普查项目项目调查问卷统计表</w:t>
      </w:r>
      <w:bookmarkEnd w:id="118"/>
      <w:bookmarkEnd w:id="119"/>
      <w:bookmarkEnd w:id="120"/>
      <w:bookmarkEnd w:id="121"/>
    </w:p>
    <w:p w14:paraId="44DC0C2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p>
    <w:p w14:paraId="678C0DD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p>
    <w:p w14:paraId="5857B42D">
      <w:pPr>
        <w:pageBreakBefore w:val="0"/>
        <w:widowControl w:val="0"/>
        <w:kinsoku/>
        <w:wordWrap/>
        <w:overflowPunct/>
        <w:topLinePunct w:val="0"/>
        <w:autoSpaceDE/>
        <w:autoSpaceDN/>
        <w:bidi w:val="0"/>
        <w:spacing w:line="560" w:lineRule="exact"/>
        <w:ind w:firstLine="624" w:firstLineChars="200"/>
        <w:jc w:val="right"/>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中瑞诚会计师事务所（特殊普通合伙）喀什分所</w:t>
      </w:r>
    </w:p>
    <w:p w14:paraId="0FA4E52D">
      <w:pPr>
        <w:pageBreakBefore w:val="0"/>
        <w:widowControl w:val="0"/>
        <w:kinsoku/>
        <w:wordWrap/>
        <w:overflowPunct/>
        <w:topLinePunct w:val="0"/>
        <w:autoSpaceDE/>
        <w:autoSpaceDN/>
        <w:bidi w:val="0"/>
        <w:spacing w:line="560" w:lineRule="exact"/>
        <w:ind w:firstLine="624" w:firstLineChars="200"/>
        <w:jc w:val="right"/>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 xml:space="preserve">  2022年06月30日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7E8B727-9321-4DFD-95D7-063B8006B7E5}"/>
  </w:font>
  <w:font w:name="Arial">
    <w:panose1 w:val="020B0604020202020204"/>
    <w:charset w:val="01"/>
    <w:family w:val="swiss"/>
    <w:pitch w:val="default"/>
    <w:sig w:usb0="E0002EFF" w:usb1="C000785B" w:usb2="00000009" w:usb3="00000000" w:csb0="400001FF" w:csb1="FFFF0000"/>
    <w:embedRegular r:id="rId2" w:fontKey="{C16D793E-64F4-46F3-878F-64537E1952AF}"/>
  </w:font>
  <w:font w:name="黑体">
    <w:panose1 w:val="02010609060101010101"/>
    <w:charset w:val="86"/>
    <w:family w:val="auto"/>
    <w:pitch w:val="default"/>
    <w:sig w:usb0="800002BF" w:usb1="38CF7CFA" w:usb2="00000016" w:usb3="00000000" w:csb0="00040001" w:csb1="00000000"/>
    <w:embedRegular r:id="rId3" w:fontKey="{B6FDC0F7-1B2C-4B06-9832-146264FFF38C}"/>
  </w:font>
  <w:font w:name="Courier New">
    <w:panose1 w:val="02070309020205020404"/>
    <w:charset w:val="01"/>
    <w:family w:val="modern"/>
    <w:pitch w:val="default"/>
    <w:sig w:usb0="E0002EFF" w:usb1="C0007843" w:usb2="00000009" w:usb3="00000000" w:csb0="400001FF" w:csb1="FFFF0000"/>
    <w:embedRegular r:id="rId4" w:fontKey="{03C7865C-56A6-4B81-8BA0-B4D872C30B60}"/>
  </w:font>
  <w:font w:name="Symbol">
    <w:panose1 w:val="05050102010706020507"/>
    <w:charset w:val="02"/>
    <w:family w:val="roman"/>
    <w:pitch w:val="default"/>
    <w:sig w:usb0="00000000" w:usb1="00000000" w:usb2="00000000" w:usb3="00000000" w:csb0="80000000" w:csb1="00000000"/>
    <w:embedRegular r:id="rId5" w:fontKey="{15D73005-59EB-490A-8B70-19F13BD3352A}"/>
  </w:font>
  <w:font w:name="Calibri">
    <w:panose1 w:val="020F0502020204030204"/>
    <w:charset w:val="00"/>
    <w:family w:val="swiss"/>
    <w:pitch w:val="default"/>
    <w:sig w:usb0="E4002EFF" w:usb1="C200247B" w:usb2="00000009" w:usb3="00000000" w:csb0="200001FF" w:csb1="00000000"/>
    <w:embedRegular r:id="rId6" w:fontKey="{A8954CAF-164D-4E3C-B141-BEACEE2B9815}"/>
  </w:font>
  <w:font w:name="仿宋">
    <w:panose1 w:val="02010609060101010101"/>
    <w:charset w:val="86"/>
    <w:family w:val="auto"/>
    <w:pitch w:val="default"/>
    <w:sig w:usb0="800002BF" w:usb1="38CF7CFA" w:usb2="00000016" w:usb3="00000000" w:csb0="00040001" w:csb1="00000000"/>
    <w:embedRegular r:id="rId7" w:fontKey="{80249131-0814-4280-B406-89E250466AA2}"/>
  </w:font>
  <w:font w:name="Cambria">
    <w:panose1 w:val="02040503050406030204"/>
    <w:charset w:val="00"/>
    <w:family w:val="roman"/>
    <w:pitch w:val="default"/>
    <w:sig w:usb0="E00006FF" w:usb1="420024FF" w:usb2="02000000" w:usb3="00000000" w:csb0="2000019F" w:csb1="00000000"/>
    <w:embedRegular r:id="rId8" w:fontKey="{5F277F70-C897-4BC2-BE51-91527D3C240B}"/>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1B7B4373-4734-4DC6-8082-D34F098403A5}"/>
  </w:font>
  <w:font w:name="方正小标宋简体">
    <w:panose1 w:val="02010601030101010101"/>
    <w:charset w:val="86"/>
    <w:family w:val="auto"/>
    <w:pitch w:val="default"/>
    <w:sig w:usb0="00000001" w:usb1="080E0000" w:usb2="00000000" w:usb3="00000000" w:csb0="00040000" w:csb1="00000000"/>
  </w:font>
  <w:font w:name="方正小标宋_GBK">
    <w:panose1 w:val="02000000000000000000"/>
    <w:charset w:val="86"/>
    <w:family w:val="script"/>
    <w:pitch w:val="default"/>
    <w:sig w:usb0="A00002BF" w:usb1="38CF7CFA" w:usb2="00082016" w:usb3="00000000" w:csb0="00040001" w:csb1="00000000"/>
    <w:embedRegular r:id="rId10" w:fontKey="{AA29BB1E-4259-4E61-B332-272468737944}"/>
  </w:font>
  <w:font w:name="华文中宋">
    <w:panose1 w:val="02010600040101010101"/>
    <w:charset w:val="86"/>
    <w:family w:val="auto"/>
    <w:pitch w:val="default"/>
    <w:sig w:usb0="00000287" w:usb1="080F0000" w:usb2="00000000" w:usb3="00000000" w:csb0="0004009F" w:csb1="DFD70000"/>
    <w:embedRegular r:id="rId11" w:fontKey="{3C23839E-B5A7-443A-BDE8-A0B939D3DEB6}"/>
  </w:font>
  <w:font w:name="楷体">
    <w:panose1 w:val="02010609060101010101"/>
    <w:charset w:val="86"/>
    <w:family w:val="modern"/>
    <w:pitch w:val="default"/>
    <w:sig w:usb0="800002BF" w:usb1="38CF7CFA" w:usb2="00000016" w:usb3="00000000" w:csb0="00040001" w:csb1="00000000"/>
    <w:embedRegular r:id="rId12" w:fontKey="{144FAD49-196E-4F65-96FC-8428CB4008AE}"/>
  </w:font>
  <w:font w:name="微软雅黑">
    <w:panose1 w:val="020B0503020204020204"/>
    <w:charset w:val="86"/>
    <w:family w:val="auto"/>
    <w:pitch w:val="default"/>
    <w:sig w:usb0="80000287" w:usb1="2ACF3C50" w:usb2="00000016" w:usb3="00000000" w:csb0="0004001F" w:csb1="00000000"/>
    <w:embedRegular r:id="rId13" w:fontKey="{63BE4680-FC33-44DB-A24A-E2BF833BD7A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C78352">
    <w:pPr>
      <w:pStyle w:val="1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C4F231">
                          <w:pPr>
                            <w:pStyle w:val="11"/>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14:paraId="3EC4F231">
                    <w:pPr>
                      <w:pStyle w:val="11"/>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E8DA9C4C"/>
    <w:multiLevelType w:val="singleLevel"/>
    <w:tmpl w:val="E8DA9C4C"/>
    <w:lvl w:ilvl="0" w:tentative="0">
      <w:start w:val="5"/>
      <w:numFmt w:val="chineseCounting"/>
      <w:suff w:val="nothing"/>
      <w:lvlText w:val="（%1）"/>
      <w:lvlJc w:val="left"/>
      <w:rPr>
        <w:rFonts w:hint="eastAsia"/>
      </w:rPr>
    </w:lvl>
  </w:abstractNum>
  <w:abstractNum w:abstractNumId="2">
    <w:nsid w:val="ED537D19"/>
    <w:multiLevelType w:val="singleLevel"/>
    <w:tmpl w:val="ED537D19"/>
    <w:lvl w:ilvl="0" w:tentative="0">
      <w:start w:val="2"/>
      <w:numFmt w:val="decimal"/>
      <w:lvlText w:val="(%1)"/>
      <w:lvlJc w:val="left"/>
      <w:pPr>
        <w:tabs>
          <w:tab w:val="left" w:pos="312"/>
        </w:tabs>
      </w:pPr>
    </w:lvl>
  </w:abstractNum>
  <w:abstractNum w:abstractNumId="3">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86DE0EC"/>
    <w:multiLevelType w:val="singleLevel"/>
    <w:tmpl w:val="586DE0EC"/>
    <w:lvl w:ilvl="0" w:tentative="0">
      <w:start w:val="1"/>
      <w:numFmt w:val="decimal"/>
      <w:suff w:val="nothing"/>
      <w:lvlText w:val="（%1）"/>
      <w:lvlJc w:val="left"/>
    </w:lvl>
  </w:abstractNum>
  <w:abstractNum w:abstractNumId="6">
    <w:nsid w:val="5B6C49D9"/>
    <w:multiLevelType w:val="singleLevel"/>
    <w:tmpl w:val="5B6C49D9"/>
    <w:lvl w:ilvl="0" w:tentative="0">
      <w:start w:val="1"/>
      <w:numFmt w:val="chineseCounting"/>
      <w:suff w:val="nothing"/>
      <w:lvlText w:val="%1、"/>
      <w:lvlJc w:val="left"/>
      <w:rPr>
        <w:rFonts w:hint="eastAsia"/>
      </w:rPr>
    </w:lvl>
  </w:abstractNum>
  <w:abstractNum w:abstractNumId="7">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7"/>
  </w:num>
  <w:num w:numId="3">
    <w:abstractNumId w:val="6"/>
  </w:num>
  <w:num w:numId="4">
    <w:abstractNumId w:val="3"/>
  </w:num>
  <w:num w:numId="5">
    <w:abstractNumId w:val="5"/>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34D8F"/>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0050F5"/>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DD0247"/>
    <w:rsid w:val="12EB67CB"/>
    <w:rsid w:val="131D1FC0"/>
    <w:rsid w:val="13200321"/>
    <w:rsid w:val="133E3F47"/>
    <w:rsid w:val="14530434"/>
    <w:rsid w:val="145D32C7"/>
    <w:rsid w:val="14FD2BB2"/>
    <w:rsid w:val="151547B8"/>
    <w:rsid w:val="15294C1C"/>
    <w:rsid w:val="154510DF"/>
    <w:rsid w:val="16181B81"/>
    <w:rsid w:val="163E45AA"/>
    <w:rsid w:val="16453E27"/>
    <w:rsid w:val="16465A40"/>
    <w:rsid w:val="16AD702C"/>
    <w:rsid w:val="16DD6B31"/>
    <w:rsid w:val="17461C62"/>
    <w:rsid w:val="17AA48DE"/>
    <w:rsid w:val="17E62AA7"/>
    <w:rsid w:val="17EF2C21"/>
    <w:rsid w:val="17F4424E"/>
    <w:rsid w:val="189A61CB"/>
    <w:rsid w:val="18EF46F1"/>
    <w:rsid w:val="190F698A"/>
    <w:rsid w:val="19165ED3"/>
    <w:rsid w:val="196116C8"/>
    <w:rsid w:val="19837757"/>
    <w:rsid w:val="1A2447D6"/>
    <w:rsid w:val="1A4F2ED7"/>
    <w:rsid w:val="1A6B70D6"/>
    <w:rsid w:val="1BDB434B"/>
    <w:rsid w:val="1BFF75B4"/>
    <w:rsid w:val="1CCD3ED3"/>
    <w:rsid w:val="1D0826D3"/>
    <w:rsid w:val="1D104DF2"/>
    <w:rsid w:val="1D3C33F2"/>
    <w:rsid w:val="1D74030A"/>
    <w:rsid w:val="1E1910DF"/>
    <w:rsid w:val="1E765D9E"/>
    <w:rsid w:val="1E852558"/>
    <w:rsid w:val="1EA43555"/>
    <w:rsid w:val="1EC62B79"/>
    <w:rsid w:val="1F270062"/>
    <w:rsid w:val="1F3D026E"/>
    <w:rsid w:val="1F4024E6"/>
    <w:rsid w:val="1F8054F8"/>
    <w:rsid w:val="1FC90F95"/>
    <w:rsid w:val="201971FF"/>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2F367BB"/>
    <w:rsid w:val="23DE067B"/>
    <w:rsid w:val="2449672E"/>
    <w:rsid w:val="25177E64"/>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8333D"/>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5D80F53"/>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E30283"/>
    <w:rsid w:val="4BF37B2C"/>
    <w:rsid w:val="4CF31CB8"/>
    <w:rsid w:val="4D1E0B50"/>
    <w:rsid w:val="4D917D31"/>
    <w:rsid w:val="4E002236"/>
    <w:rsid w:val="4E4179EE"/>
    <w:rsid w:val="4E470433"/>
    <w:rsid w:val="4E767DC2"/>
    <w:rsid w:val="4E8F6F3C"/>
    <w:rsid w:val="4ED57ECB"/>
    <w:rsid w:val="4EF6242E"/>
    <w:rsid w:val="4F9F7B0F"/>
    <w:rsid w:val="4FCE03C2"/>
    <w:rsid w:val="50372AC6"/>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4529D0"/>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2608F4"/>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DD7B0B"/>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39394C"/>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2">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annotation text"/>
    <w:basedOn w:val="1"/>
    <w:link w:val="38"/>
    <w:semiHidden/>
    <w:unhideWhenUsed/>
    <w:qFormat/>
    <w:uiPriority w:val="99"/>
    <w:pPr>
      <w:jc w:val="left"/>
    </w:pPr>
  </w:style>
  <w:style w:type="paragraph" w:styleId="7">
    <w:name w:val="Body Text"/>
    <w:basedOn w:val="1"/>
    <w:qFormat/>
    <w:uiPriority w:val="0"/>
  </w:style>
  <w:style w:type="paragraph" w:styleId="8">
    <w:name w:val="Body Text Indent"/>
    <w:basedOn w:val="1"/>
    <w:qFormat/>
    <w:uiPriority w:val="0"/>
    <w:pPr>
      <w:ind w:firstLine="660"/>
    </w:pPr>
    <w:rPr>
      <w:sz w:val="30"/>
    </w:rPr>
  </w:style>
  <w:style w:type="paragraph" w:styleId="9">
    <w:name w:val="toc 3"/>
    <w:basedOn w:val="1"/>
    <w:next w:val="1"/>
    <w:semiHidden/>
    <w:unhideWhenUsed/>
    <w:qFormat/>
    <w:uiPriority w:val="39"/>
    <w:pPr>
      <w:ind w:left="840" w:leftChars="400"/>
    </w:pPr>
  </w:style>
  <w:style w:type="paragraph" w:styleId="10">
    <w:name w:val="Balloon Text"/>
    <w:basedOn w:val="1"/>
    <w:link w:val="37"/>
    <w:semiHidden/>
    <w:unhideWhenUsed/>
    <w:qFormat/>
    <w:uiPriority w:val="99"/>
    <w:rPr>
      <w:sz w:val="18"/>
      <w:szCs w:val="18"/>
    </w:rPr>
  </w:style>
  <w:style w:type="paragraph" w:styleId="11">
    <w:name w:val="footer"/>
    <w:basedOn w:val="1"/>
    <w:link w:val="29"/>
    <w:unhideWhenUsed/>
    <w:qFormat/>
    <w:uiPriority w:val="99"/>
    <w:pPr>
      <w:tabs>
        <w:tab w:val="center" w:pos="4153"/>
        <w:tab w:val="right" w:pos="8306"/>
      </w:tabs>
      <w:snapToGrid w:val="0"/>
      <w:jc w:val="left"/>
    </w:pPr>
    <w:rPr>
      <w:sz w:val="18"/>
      <w:szCs w:val="18"/>
    </w:rPr>
  </w:style>
  <w:style w:type="paragraph" w:styleId="12">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rPr>
      <w:rFonts w:ascii="Times New Roman" w:hAnsi="Times New Roman" w:eastAsia="宋体" w:cs="Times New Roman"/>
    </w:rPr>
  </w:style>
  <w:style w:type="paragraph" w:styleId="14">
    <w:name w:val="toc 2"/>
    <w:basedOn w:val="1"/>
    <w:next w:val="1"/>
    <w:semiHidden/>
    <w:unhideWhenUsed/>
    <w:qFormat/>
    <w:uiPriority w:val="39"/>
    <w:pPr>
      <w:ind w:left="420" w:leftChars="200"/>
    </w:pPr>
  </w:style>
  <w:style w:type="paragraph" w:styleId="15">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6">
    <w:name w:val="annotation subject"/>
    <w:basedOn w:val="6"/>
    <w:next w:val="6"/>
    <w:link w:val="39"/>
    <w:semiHidden/>
    <w:unhideWhenUsed/>
    <w:qFormat/>
    <w:uiPriority w:val="99"/>
    <w:rPr>
      <w:b/>
      <w:bCs/>
    </w:rPr>
  </w:style>
  <w:style w:type="paragraph" w:styleId="17">
    <w:name w:val="Body Text First Indent"/>
    <w:basedOn w:val="7"/>
    <w:semiHidden/>
    <w:unhideWhenUsed/>
    <w:qFormat/>
    <w:uiPriority w:val="99"/>
    <w:pPr>
      <w:ind w:firstLine="420" w:firstLineChars="100"/>
    </w:pPr>
  </w:style>
  <w:style w:type="paragraph" w:styleId="18">
    <w:name w:val="Body Text First Indent 2"/>
    <w:basedOn w:val="8"/>
    <w:qFormat/>
    <w:uiPriority w:val="0"/>
    <w:pPr>
      <w:tabs>
        <w:tab w:val="left" w:pos="180"/>
        <w:tab w:val="left" w:pos="540"/>
      </w:tabs>
      <w:ind w:firstLine="420" w:firstLineChars="2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2"/>
    <w:qFormat/>
    <w:uiPriority w:val="99"/>
    <w:rPr>
      <w:sz w:val="18"/>
      <w:szCs w:val="18"/>
    </w:rPr>
  </w:style>
  <w:style w:type="character" w:customStyle="1" w:styleId="29">
    <w:name w:val="页脚 Char"/>
    <w:basedOn w:val="21"/>
    <w:link w:val="11"/>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3"/>
    <w:qFormat/>
    <w:uiPriority w:val="9"/>
    <w:rPr>
      <w:rFonts w:eastAsia="仿宋"/>
      <w:b/>
      <w:bCs/>
      <w:kern w:val="44"/>
      <w:sz w:val="32"/>
      <w:szCs w:val="44"/>
    </w:rPr>
  </w:style>
  <w:style w:type="character" w:customStyle="1" w:styleId="32">
    <w:name w:val="标题 2 Char"/>
    <w:basedOn w:val="21"/>
    <w:link w:val="4"/>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0"/>
    <w:semiHidden/>
    <w:qFormat/>
    <w:uiPriority w:val="99"/>
    <w:rPr>
      <w:kern w:val="2"/>
      <w:sz w:val="18"/>
      <w:szCs w:val="18"/>
    </w:rPr>
  </w:style>
  <w:style w:type="character" w:customStyle="1" w:styleId="38">
    <w:name w:val="批注文字 Char"/>
    <w:basedOn w:val="21"/>
    <w:link w:val="6"/>
    <w:semiHidden/>
    <w:qFormat/>
    <w:uiPriority w:val="99"/>
    <w:rPr>
      <w:kern w:val="2"/>
      <w:sz w:val="21"/>
      <w:szCs w:val="24"/>
    </w:rPr>
  </w:style>
  <w:style w:type="character" w:customStyle="1" w:styleId="39">
    <w:name w:val="批注主题 Char"/>
    <w:basedOn w:val="38"/>
    <w:link w:val="16"/>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27</Pages>
  <Words>12791</Words>
  <Characters>13393</Characters>
  <Lines>79</Lines>
  <Paragraphs>22</Paragraphs>
  <TotalTime>67</TotalTime>
  <ScaleCrop>false</ScaleCrop>
  <LinksUpToDate>false</LinksUpToDate>
  <CharactersWithSpaces>13481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如果_见或不见</cp:lastModifiedBy>
  <cp:lastPrinted>2021-07-28T10:34:00Z</cp:lastPrinted>
  <dcterms:modified xsi:type="dcterms:W3CDTF">2025-03-12T11:09:09Z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A8312BA226C94F5A884B33DB13DDFAF3</vt:lpwstr>
  </property>
  <property fmtid="{D5CDD505-2E9C-101B-9397-08002B2CF9AE}" pid="4" name="KSOSaveFontToCloudKey">
    <vt:lpwstr>999270995_embed</vt:lpwstr>
  </property>
  <property fmtid="{D5CDD505-2E9C-101B-9397-08002B2CF9AE}" pid="5" name="KSOTemplateDocerSaveRecord">
    <vt:lpwstr>eyJoZGlkIjoiMWZhNjI1MTE2MjcwNzhiZTRjMjFkZjExZjVmNjlkZGMiLCJ1c2VySWQiOiIzOTg2MTgwNzQifQ==</vt:lpwstr>
  </property>
</Properties>
</file>