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ascii="方正小标宋简体" w:hAnsi="黑体" w:eastAsia="方正小标宋简体" w:cs="宋体"/>
          <w:kern w:val="0"/>
          <w:sz w:val="44"/>
          <w:szCs w:val="44"/>
        </w:rPr>
      </w:pPr>
    </w:p>
    <w:p>
      <w:pPr>
        <w:jc w:val="center"/>
        <w:rPr>
          <w:rFonts w:hint="eastAsia" w:ascii="方正小标宋简体" w:hAnsi="方正小标宋简体" w:eastAsia="方正小标宋简体" w:cs="方正小标宋简体"/>
          <w:b w:val="0"/>
          <w:bCs w:val="0"/>
          <w:kern w:val="0"/>
          <w:sz w:val="44"/>
          <w:szCs w:val="44"/>
          <w:lang w:eastAsia="zh-CN"/>
        </w:rPr>
      </w:pPr>
      <w:r>
        <w:rPr>
          <w:rFonts w:hint="eastAsia" w:ascii="方正小标宋简体" w:hAnsi="方正小标宋简体" w:eastAsia="方正小标宋简体" w:cs="方正小标宋简体"/>
          <w:b w:val="0"/>
          <w:bCs w:val="0"/>
          <w:kern w:val="0"/>
          <w:sz w:val="44"/>
          <w:szCs w:val="44"/>
          <w:lang w:eastAsia="zh-CN"/>
        </w:rPr>
        <w:t>中共洛浦县委组织部</w:t>
      </w:r>
    </w:p>
    <w:p>
      <w:pPr>
        <w:jc w:val="center"/>
        <w:rPr>
          <w:rFonts w:hint="eastAsia" w:ascii="方正小标宋简体" w:hAnsi="方正小标宋简体" w:eastAsia="方正小标宋简体" w:cs="方正小标宋简体"/>
          <w:b w:val="0"/>
          <w:bCs w:val="0"/>
          <w:kern w:val="0"/>
          <w:sz w:val="44"/>
          <w:szCs w:val="44"/>
          <w:highlight w:val="none"/>
          <w:lang w:val="en-US" w:eastAsia="zh-CN"/>
        </w:rPr>
      </w:pPr>
      <w:r>
        <w:rPr>
          <w:rFonts w:hint="eastAsia" w:ascii="方正小标宋简体" w:hAnsi="方正小标宋简体" w:eastAsia="方正小标宋简体" w:cs="方正小标宋简体"/>
          <w:b w:val="0"/>
          <w:bCs w:val="0"/>
          <w:kern w:val="0"/>
          <w:sz w:val="44"/>
          <w:szCs w:val="44"/>
          <w:lang w:eastAsia="zh-CN"/>
        </w:rPr>
        <w:t>2020年新招录年轻干部生活物资采购资金</w:t>
      </w:r>
    </w:p>
    <w:p>
      <w:pPr>
        <w:rPr>
          <w:rFonts w:hint="eastAsia" w:ascii="仿宋" w:hAnsi="仿宋" w:eastAsia="仿宋" w:cs="仿宋"/>
          <w:b/>
          <w:bCs/>
          <w:kern w:val="0"/>
          <w:sz w:val="24"/>
        </w:rPr>
      </w:pPr>
    </w:p>
    <w:p>
      <w:pPr>
        <w:rPr>
          <w:rFonts w:hint="eastAsia" w:ascii="仿宋" w:hAnsi="仿宋" w:eastAsia="仿宋" w:cs="仿宋"/>
          <w:b/>
          <w:bCs/>
          <w:kern w:val="0"/>
          <w:sz w:val="24"/>
        </w:rPr>
      </w:pPr>
    </w:p>
    <w:p>
      <w:pPr>
        <w:rPr>
          <w:rFonts w:hint="eastAsia" w:ascii="仿宋" w:hAnsi="仿宋" w:eastAsia="仿宋" w:cs="仿宋"/>
          <w:b/>
          <w:bCs/>
          <w:kern w:val="0"/>
          <w:sz w:val="24"/>
        </w:rPr>
      </w:pPr>
    </w:p>
    <w:p>
      <w:pPr>
        <w:rPr>
          <w:rFonts w:hint="eastAsia" w:ascii="仿宋" w:hAnsi="仿宋" w:eastAsia="仿宋" w:cs="仿宋"/>
          <w:b/>
          <w:bCs/>
          <w:kern w:val="0"/>
          <w:sz w:val="24"/>
        </w:rPr>
      </w:pPr>
    </w:p>
    <w:p>
      <w:pPr>
        <w:rPr>
          <w:rFonts w:hint="eastAsia" w:ascii="仿宋" w:hAnsi="仿宋" w:eastAsia="仿宋" w:cs="仿宋"/>
          <w:b/>
          <w:bCs/>
          <w:kern w:val="0"/>
          <w:sz w:val="24"/>
        </w:rPr>
      </w:pPr>
    </w:p>
    <w:p>
      <w:pPr>
        <w:rPr>
          <w:rFonts w:hint="eastAsia" w:ascii="仿宋" w:hAnsi="仿宋" w:eastAsia="仿宋" w:cs="仿宋"/>
          <w:b/>
          <w:bCs/>
          <w:kern w:val="0"/>
          <w:sz w:val="24"/>
        </w:rPr>
      </w:pPr>
    </w:p>
    <w:p>
      <w:pPr>
        <w:rPr>
          <w:rFonts w:hint="eastAsia" w:ascii="仿宋" w:hAnsi="仿宋" w:eastAsia="仿宋" w:cs="仿宋"/>
          <w:b/>
          <w:bCs/>
          <w:kern w:val="0"/>
          <w:sz w:val="24"/>
        </w:rPr>
      </w:pPr>
    </w:p>
    <w:p>
      <w:pPr>
        <w:jc w:val="center"/>
        <w:rPr>
          <w:rFonts w:hint="eastAsia" w:ascii="华文中宋" w:hAnsi="华文中宋" w:eastAsia="华文中宋" w:cs="华文中宋"/>
          <w:b/>
          <w:bCs/>
          <w:kern w:val="0"/>
          <w:sz w:val="72"/>
          <w:szCs w:val="72"/>
        </w:rPr>
      </w:pPr>
      <w:r>
        <w:rPr>
          <w:rFonts w:hint="eastAsia" w:ascii="华文中宋" w:hAnsi="华文中宋" w:eastAsia="华文中宋" w:cs="华文中宋"/>
          <w:b/>
          <w:bCs/>
          <w:kern w:val="0"/>
          <w:sz w:val="72"/>
          <w:szCs w:val="72"/>
        </w:rPr>
        <w:t>绩效评价报告</w:t>
      </w: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pStyle w:val="4"/>
        <w:numPr>
          <w:ilvl w:val="0"/>
          <w:numId w:val="0"/>
        </w:numPr>
        <w:ind w:leftChars="0"/>
        <w:rPr>
          <w:rFonts w:ascii="Times New Roman" w:hAnsi="黑体" w:eastAsia="黑体" w:cs="宋体"/>
          <w:kern w:val="0"/>
          <w:sz w:val="24"/>
        </w:rPr>
      </w:pPr>
    </w:p>
    <w:p/>
    <w:p>
      <w:pPr>
        <w:spacing w:line="400" w:lineRule="exact"/>
        <w:ind w:firstLine="2040" w:firstLineChars="850"/>
        <w:jc w:val="left"/>
        <w:rPr>
          <w:rFonts w:ascii="黑体" w:hAnsi="黑体" w:eastAsia="黑体" w:cs="宋体"/>
          <w:kern w:val="0"/>
          <w:sz w:val="24"/>
        </w:rPr>
      </w:pPr>
      <w:r>
        <w:rPr>
          <w:rFonts w:hint="eastAsia" w:ascii="黑体" w:hAnsi="黑体" w:eastAsia="黑体" w:cs="宋体"/>
          <w:kern w:val="0"/>
          <w:sz w:val="24"/>
        </w:rPr>
        <w:t>报告编号：</w:t>
      </w:r>
      <w:r>
        <w:rPr>
          <w:rFonts w:hint="eastAsia" w:ascii="黑体" w:hAnsi="黑体" w:eastAsia="黑体" w:cs="宋体"/>
          <w:kern w:val="0"/>
          <w:sz w:val="24"/>
          <w:highlight w:val="none"/>
        </w:rPr>
        <w:t>中瑞诚喀绩评字[202</w:t>
      </w:r>
      <w:r>
        <w:rPr>
          <w:rFonts w:hint="eastAsia" w:ascii="黑体" w:hAnsi="黑体" w:eastAsia="黑体" w:cs="宋体"/>
          <w:kern w:val="0"/>
          <w:sz w:val="24"/>
          <w:highlight w:val="none"/>
          <w:lang w:val="en-US" w:eastAsia="zh-CN"/>
        </w:rPr>
        <w:t>2</w:t>
      </w:r>
      <w:r>
        <w:rPr>
          <w:rFonts w:hint="eastAsia" w:ascii="黑体" w:hAnsi="黑体" w:eastAsia="黑体" w:cs="宋体"/>
          <w:kern w:val="0"/>
          <w:sz w:val="24"/>
          <w:highlight w:val="none"/>
        </w:rPr>
        <w:t>]</w:t>
      </w:r>
      <w:r>
        <w:rPr>
          <w:rFonts w:hint="eastAsia" w:ascii="黑体" w:hAnsi="黑体" w:eastAsia="黑体" w:cs="宋体"/>
          <w:kern w:val="0"/>
          <w:sz w:val="24"/>
          <w:highlight w:val="none"/>
          <w:lang w:val="en-US" w:eastAsia="zh-CN"/>
        </w:rPr>
        <w:t>147</w:t>
      </w:r>
      <w:r>
        <w:rPr>
          <w:rFonts w:hint="eastAsia" w:ascii="黑体" w:hAnsi="黑体" w:eastAsia="黑体" w:cs="宋体"/>
          <w:kern w:val="0"/>
          <w:sz w:val="24"/>
          <w:highlight w:val="none"/>
        </w:rPr>
        <w:t>号</w:t>
      </w:r>
    </w:p>
    <w:p>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委托单位：</w:t>
      </w:r>
      <w:r>
        <w:rPr>
          <w:rFonts w:hint="eastAsia" w:ascii="黑体" w:hAnsi="黑体" w:eastAsia="黑体" w:cs="宋体"/>
          <w:kern w:val="0"/>
          <w:sz w:val="24"/>
          <w:lang w:eastAsia="zh-CN"/>
        </w:rPr>
        <w:t>洛浦</w:t>
      </w:r>
      <w:r>
        <w:rPr>
          <w:rFonts w:hint="eastAsia" w:ascii="黑体" w:hAnsi="黑体" w:eastAsia="黑体" w:cs="宋体"/>
          <w:kern w:val="0"/>
          <w:sz w:val="24"/>
        </w:rPr>
        <w:t>县财政局</w:t>
      </w:r>
    </w:p>
    <w:p>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评价机构：中瑞诚会计师事务所</w:t>
      </w:r>
      <w:r>
        <w:rPr>
          <w:rFonts w:hint="eastAsia" w:ascii="黑体" w:hAnsi="黑体" w:eastAsia="黑体" w:cs="宋体"/>
          <w:kern w:val="0"/>
          <w:sz w:val="24"/>
          <w:lang w:eastAsia="zh-CN"/>
        </w:rPr>
        <w:t>（特殊普通合伙）</w:t>
      </w:r>
      <w:r>
        <w:rPr>
          <w:rFonts w:hint="eastAsia" w:ascii="黑体" w:hAnsi="黑体" w:eastAsia="黑体" w:cs="宋体"/>
          <w:kern w:val="0"/>
          <w:sz w:val="24"/>
        </w:rPr>
        <w:t>喀什分所</w:t>
      </w:r>
    </w:p>
    <w:p>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报告时间：</w:t>
      </w:r>
      <w:r>
        <w:rPr>
          <w:rFonts w:hint="eastAsia" w:ascii="黑体" w:hAnsi="黑体" w:eastAsia="黑体" w:cs="宋体"/>
          <w:kern w:val="0"/>
          <w:sz w:val="24"/>
          <w:lang w:eastAsia="zh-CN"/>
        </w:rPr>
        <w:t>202</w:t>
      </w:r>
      <w:r>
        <w:rPr>
          <w:rFonts w:hint="eastAsia" w:ascii="黑体" w:hAnsi="黑体" w:eastAsia="黑体" w:cs="宋体"/>
          <w:kern w:val="0"/>
          <w:sz w:val="24"/>
          <w:lang w:val="en-US" w:eastAsia="zh-CN"/>
        </w:rPr>
        <w:t>2</w:t>
      </w:r>
      <w:r>
        <w:rPr>
          <w:rFonts w:hint="eastAsia" w:ascii="黑体" w:hAnsi="黑体" w:eastAsia="黑体" w:cs="宋体"/>
          <w:kern w:val="0"/>
          <w:sz w:val="24"/>
        </w:rPr>
        <w:t>年</w:t>
      </w:r>
      <w:r>
        <w:rPr>
          <w:rFonts w:hint="eastAsia" w:ascii="黑体" w:hAnsi="黑体" w:eastAsia="黑体" w:cs="宋体"/>
          <w:kern w:val="0"/>
          <w:sz w:val="24"/>
          <w:lang w:val="en-US" w:eastAsia="zh-CN"/>
        </w:rPr>
        <w:t>06</w:t>
      </w:r>
      <w:r>
        <w:rPr>
          <w:rFonts w:hint="eastAsia" w:ascii="黑体" w:hAnsi="黑体" w:eastAsia="黑体" w:cs="宋体"/>
          <w:kern w:val="0"/>
          <w:sz w:val="24"/>
        </w:rPr>
        <w:t>月</w:t>
      </w:r>
      <w:r>
        <w:rPr>
          <w:rFonts w:hint="eastAsia" w:ascii="黑体" w:hAnsi="黑体" w:eastAsia="黑体" w:cs="宋体"/>
          <w:kern w:val="0"/>
          <w:sz w:val="24"/>
          <w:lang w:val="en-US" w:eastAsia="zh-CN"/>
        </w:rPr>
        <w:t>30</w:t>
      </w:r>
      <w:r>
        <w:rPr>
          <w:rFonts w:hint="eastAsia" w:ascii="黑体" w:hAnsi="黑体" w:eastAsia="黑体" w:cs="宋体"/>
          <w:kern w:val="0"/>
          <w:sz w:val="24"/>
        </w:rPr>
        <w:t>日</w:t>
      </w:r>
    </w:p>
    <w:tbl>
      <w:tblPr>
        <w:tblStyle w:val="19"/>
        <w:tblpPr w:leftFromText="180" w:rightFromText="180" w:vertAnchor="text" w:horzAnchor="margin" w:tblpX="1" w:tblpY="-77"/>
        <w:tblOverlap w:val="never"/>
        <w:tblW w:w="8983" w:type="dxa"/>
        <w:tblInd w:w="0" w:type="dxa"/>
        <w:tblLayout w:type="fixed"/>
        <w:tblCellMar>
          <w:top w:w="15" w:type="dxa"/>
          <w:left w:w="15" w:type="dxa"/>
          <w:bottom w:w="15" w:type="dxa"/>
          <w:right w:w="15" w:type="dxa"/>
        </w:tblCellMar>
      </w:tblPr>
      <w:tblGrid>
        <w:gridCol w:w="1291"/>
        <w:gridCol w:w="954"/>
        <w:gridCol w:w="180"/>
        <w:gridCol w:w="284"/>
        <w:gridCol w:w="850"/>
        <w:gridCol w:w="851"/>
        <w:gridCol w:w="81"/>
        <w:gridCol w:w="202"/>
        <w:gridCol w:w="992"/>
        <w:gridCol w:w="709"/>
        <w:gridCol w:w="343"/>
        <w:gridCol w:w="994"/>
        <w:gridCol w:w="1252"/>
      </w:tblGrid>
      <w:tr>
        <w:tblPrEx>
          <w:tblCellMar>
            <w:top w:w="15" w:type="dxa"/>
            <w:left w:w="15" w:type="dxa"/>
            <w:bottom w:w="15" w:type="dxa"/>
            <w:right w:w="15" w:type="dxa"/>
          </w:tblCellMar>
        </w:tblPrEx>
        <w:trPr>
          <w:trHeight w:val="301" w:hRule="atLeast"/>
        </w:trPr>
        <w:tc>
          <w:tcPr>
            <w:tcW w:w="8983" w:type="dxa"/>
            <w:gridSpan w:val="13"/>
            <w:shd w:val="clear" w:color="auto" w:fill="auto"/>
            <w:vAlign w:val="center"/>
          </w:tcPr>
          <w:p>
            <w:pPr>
              <w:widowControl/>
              <w:jc w:val="left"/>
              <w:textAlignment w:val="center"/>
              <w:rPr>
                <w:rFonts w:hint="eastAsia" w:ascii="黑体" w:hAnsi="宋体" w:eastAsia="黑体" w:cs="黑体"/>
                <w:color w:val="000000"/>
                <w:sz w:val="24"/>
                <w:lang w:eastAsia="zh-CN"/>
              </w:rPr>
            </w:pPr>
            <w:r>
              <w:rPr>
                <w:rFonts w:hint="eastAsia" w:ascii="黑体" w:hAnsi="宋体" w:eastAsia="黑体" w:cs="黑体"/>
                <w:color w:val="000000"/>
                <w:kern w:val="0"/>
                <w:sz w:val="24"/>
              </w:rPr>
              <w:t>评价分值：</w:t>
            </w:r>
            <w:r>
              <w:rPr>
                <w:rFonts w:hint="eastAsia" w:ascii="黑体" w:hAnsi="宋体" w:eastAsia="黑体" w:cs="黑体"/>
                <w:color w:val="000000"/>
                <w:kern w:val="0"/>
                <w:sz w:val="24"/>
                <w:lang w:val="en-US" w:eastAsia="zh-CN"/>
              </w:rPr>
              <w:t>100</w:t>
            </w:r>
            <w:r>
              <w:rPr>
                <w:rStyle w:val="30"/>
                <w:rFonts w:hint="eastAsia" w:hAnsi="宋体"/>
              </w:rPr>
              <w:t xml:space="preserve"> </w:t>
            </w:r>
            <w:r>
              <w:rPr>
                <w:rFonts w:hint="eastAsia" w:ascii="黑体" w:hAnsi="宋体" w:eastAsia="黑体" w:cs="黑体"/>
                <w:color w:val="000000"/>
                <w:kern w:val="0"/>
                <w:sz w:val="24"/>
              </w:rPr>
              <w:t>评价等级：</w:t>
            </w:r>
            <w:r>
              <w:rPr>
                <w:rFonts w:hint="eastAsia" w:ascii="仿宋_GB2312" w:hAnsi="宋体" w:eastAsia="仿宋_GB2312" w:cs="仿宋_GB2312"/>
                <w:color w:val="000000"/>
                <w:sz w:val="20"/>
                <w:szCs w:val="20"/>
                <w:lang w:val="en-US" w:eastAsia="zh-CN"/>
              </w:rPr>
              <w:t>优</w:t>
            </w:r>
          </w:p>
        </w:tc>
      </w:tr>
      <w:tr>
        <w:tblPrEx>
          <w:tblCellMar>
            <w:top w:w="15" w:type="dxa"/>
            <w:left w:w="15" w:type="dxa"/>
            <w:bottom w:w="15" w:type="dxa"/>
            <w:right w:w="15" w:type="dxa"/>
          </w:tblCellMar>
        </w:tblPrEx>
        <w:trPr>
          <w:trHeight w:val="510" w:hRule="atLeast"/>
        </w:trPr>
        <w:tc>
          <w:tcPr>
            <w:tcW w:w="8983" w:type="dxa"/>
            <w:gridSpan w:val="13"/>
            <w:shd w:val="clear" w:color="auto" w:fill="auto"/>
            <w:vAlign w:val="center"/>
          </w:tcPr>
          <w:p>
            <w:pPr>
              <w:widowControl/>
              <w:jc w:val="center"/>
              <w:textAlignment w:val="center"/>
              <w:rPr>
                <w:rFonts w:ascii="黑体" w:hAnsi="宋体" w:eastAsia="黑体" w:cs="黑体"/>
                <w:b/>
                <w:color w:val="000000"/>
                <w:sz w:val="36"/>
                <w:szCs w:val="36"/>
              </w:rPr>
            </w:pPr>
            <w:r>
              <w:rPr>
                <w:rFonts w:hint="eastAsia" w:ascii="黑体" w:hAnsi="宋体" w:eastAsia="黑体" w:cs="黑体"/>
                <w:b/>
                <w:color w:val="000000"/>
                <w:kern w:val="0"/>
                <w:sz w:val="36"/>
                <w:szCs w:val="36"/>
              </w:rPr>
              <w:t>概   要</w:t>
            </w:r>
          </w:p>
        </w:tc>
      </w:tr>
      <w:tr>
        <w:tblPrEx>
          <w:tblCellMar>
            <w:top w:w="15" w:type="dxa"/>
            <w:left w:w="15" w:type="dxa"/>
            <w:bottom w:w="15" w:type="dxa"/>
            <w:right w:w="15" w:type="dxa"/>
          </w:tblCellMar>
        </w:tblPrEx>
        <w:trPr>
          <w:trHeight w:val="330" w:hRule="atLeast"/>
        </w:trPr>
        <w:tc>
          <w:tcPr>
            <w:tcW w:w="8983" w:type="dxa"/>
            <w:gridSpan w:val="13"/>
            <w:shd w:val="clear" w:color="auto" w:fill="auto"/>
            <w:vAlign w:val="center"/>
          </w:tcPr>
          <w:p>
            <w:pPr>
              <w:widowControl/>
              <w:jc w:val="left"/>
              <w:textAlignment w:val="center"/>
              <w:rPr>
                <w:rFonts w:ascii="黑体" w:hAnsi="黑体" w:eastAsia="黑体" w:cs="仿宋_GB2312"/>
                <w:color w:val="000000"/>
                <w:sz w:val="22"/>
              </w:rPr>
            </w:pPr>
            <w:r>
              <w:rPr>
                <w:rFonts w:hint="eastAsia" w:ascii="黑体" w:hAnsi="黑体" w:eastAsia="黑体" w:cs="仿宋_GB2312"/>
                <w:color w:val="000000"/>
                <w:kern w:val="0"/>
                <w:sz w:val="22"/>
              </w:rPr>
              <w:t>评价机构全称（盖章）：中瑞诚会计师事务所</w:t>
            </w:r>
            <w:r>
              <w:rPr>
                <w:rFonts w:hint="eastAsia" w:ascii="黑体" w:hAnsi="黑体" w:eastAsia="黑体" w:cs="仿宋_GB2312"/>
                <w:color w:val="000000"/>
                <w:kern w:val="0"/>
                <w:sz w:val="22"/>
                <w:lang w:eastAsia="zh-CN"/>
              </w:rPr>
              <w:t>（特殊普通合伙）</w:t>
            </w:r>
            <w:r>
              <w:rPr>
                <w:rFonts w:hint="eastAsia" w:ascii="黑体" w:hAnsi="黑体" w:eastAsia="黑体" w:cs="仿宋_GB2312"/>
                <w:color w:val="000000"/>
                <w:kern w:val="0"/>
                <w:sz w:val="22"/>
              </w:rPr>
              <w:t xml:space="preserve">喀什分所 </w:t>
            </w:r>
            <w:r>
              <w:rPr>
                <w:rFonts w:hint="eastAsia" w:ascii="黑体" w:hAnsi="黑体" w:eastAsia="黑体" w:cs="仿宋_GB2312"/>
                <w:color w:val="000000"/>
                <w:kern w:val="0"/>
                <w:sz w:val="22"/>
                <w:lang w:val="en-US" w:eastAsia="zh-CN"/>
              </w:rPr>
              <w:t xml:space="preserve">   </w:t>
            </w:r>
            <w:r>
              <w:rPr>
                <w:rFonts w:hint="eastAsia" w:ascii="黑体" w:hAnsi="黑体" w:eastAsia="黑体" w:cs="仿宋_GB2312"/>
                <w:color w:val="000000"/>
                <w:kern w:val="0"/>
                <w:sz w:val="22"/>
              </w:rPr>
              <w:t>单位：万元、类、个</w:t>
            </w:r>
          </w:p>
        </w:tc>
      </w:tr>
      <w:tr>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项目名称</w:t>
            </w:r>
          </w:p>
        </w:tc>
        <w:tc>
          <w:tcPr>
            <w:tcW w:w="5103" w:type="dxa"/>
            <w:gridSpan w:val="9"/>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2020年新招录年轻干部生活物资采购资金项目</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评价年度</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2020</w:t>
            </w:r>
          </w:p>
        </w:tc>
      </w:tr>
      <w:tr>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财政主管处室</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绩效股</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高月仙15713865046</w:t>
            </w:r>
          </w:p>
        </w:tc>
      </w:tr>
      <w:tr>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主管部门</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中共洛浦县委组织部</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张富良18294726178</w:t>
            </w:r>
          </w:p>
        </w:tc>
      </w:tr>
      <w:tr>
        <w:tblPrEx>
          <w:tblCellMar>
            <w:top w:w="15" w:type="dxa"/>
            <w:left w:w="15" w:type="dxa"/>
            <w:bottom w:w="15" w:type="dxa"/>
            <w:right w:w="15" w:type="dxa"/>
          </w:tblCellMar>
        </w:tblPrEx>
        <w:trPr>
          <w:trHeight w:val="376"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自评方式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 xml:space="preserve"> 实地调研、文件研读等方式</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自评分值</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99.40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自评等级</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优</w:t>
            </w:r>
          </w:p>
        </w:tc>
      </w:tr>
      <w:tr>
        <w:tblPrEx>
          <w:tblCellMar>
            <w:top w:w="15" w:type="dxa"/>
            <w:left w:w="15" w:type="dxa"/>
            <w:bottom w:w="15" w:type="dxa"/>
            <w:right w:w="15" w:type="dxa"/>
          </w:tblCellMar>
        </w:tblPrEx>
        <w:trPr>
          <w:trHeight w:val="615"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各级资金</w:t>
            </w:r>
          </w:p>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投入总数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163.09</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抽查资金总数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158.19</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资金抽查占比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97%</w:t>
            </w:r>
          </w:p>
        </w:tc>
      </w:tr>
      <w:tr>
        <w:tblPrEx>
          <w:tblCellMar>
            <w:top w:w="15" w:type="dxa"/>
            <w:left w:w="15" w:type="dxa"/>
            <w:bottom w:w="15" w:type="dxa"/>
            <w:right w:w="15" w:type="dxa"/>
          </w:tblCellMar>
        </w:tblPrEx>
        <w:trPr>
          <w:trHeight w:val="54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lang w:val="en-US" w:eastAsia="zh-CN"/>
              </w:rPr>
              <w:t>本级</w:t>
            </w:r>
            <w:r>
              <w:rPr>
                <w:rFonts w:hint="eastAsia" w:ascii="黑体" w:hAnsi="宋体" w:eastAsia="黑体" w:cs="黑体"/>
                <w:color w:val="000000"/>
                <w:kern w:val="0"/>
                <w:sz w:val="20"/>
                <w:szCs w:val="20"/>
              </w:rPr>
              <w:t>财政资金</w:t>
            </w:r>
          </w:p>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拨付数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158.19</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lang w:val="en-US" w:eastAsia="zh-CN"/>
              </w:rPr>
              <w:t>本级</w:t>
            </w:r>
            <w:r>
              <w:rPr>
                <w:rFonts w:hint="eastAsia" w:ascii="黑体" w:hAnsi="宋体" w:eastAsia="黑体" w:cs="黑体"/>
                <w:color w:val="000000"/>
                <w:kern w:val="0"/>
                <w:sz w:val="20"/>
                <w:szCs w:val="20"/>
              </w:rPr>
              <w:t>财政资金</w:t>
            </w:r>
          </w:p>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158.19</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中央财政资金</w:t>
            </w:r>
          </w:p>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0%</w:t>
            </w:r>
          </w:p>
        </w:tc>
      </w:tr>
      <w:tr>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项目类别</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采购类</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抽查类别</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采购类</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类别抽查占比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100%</w:t>
            </w:r>
          </w:p>
        </w:tc>
      </w:tr>
      <w:tr>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项目数量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抽查项目数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100%</w:t>
            </w:r>
          </w:p>
        </w:tc>
      </w:tr>
      <w:tr>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涉及市县数</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抽查市县数</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pPr>
              <w:widowControl/>
              <w:spacing w:line="240" w:lineRule="exact"/>
              <w:jc w:val="center"/>
              <w:textAlignment w:val="center"/>
              <w:rPr>
                <w:rFonts w:hint="default" w:ascii="黑体" w:hAnsi="宋体" w:eastAsia="仿宋_GB2312" w:cs="黑体"/>
                <w:color w:val="000000"/>
                <w:kern w:val="0"/>
                <w:sz w:val="20"/>
                <w:szCs w:val="20"/>
                <w:lang w:val="en-US" w:eastAsia="zh-CN"/>
              </w:rPr>
            </w:pPr>
            <w:r>
              <w:rPr>
                <w:rFonts w:hint="eastAsia" w:ascii="黑体" w:hAnsi="宋体" w:eastAsia="仿宋_GB2312" w:cs="黑体"/>
                <w:color w:val="000000"/>
                <w:kern w:val="0"/>
                <w:sz w:val="20"/>
                <w:szCs w:val="20"/>
                <w:lang w:val="en-US" w:eastAsia="zh-CN"/>
              </w:rPr>
              <w:t>1</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区域</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洛浦县</w:t>
            </w:r>
          </w:p>
        </w:tc>
      </w:tr>
      <w:tr>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发放调查</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问卷</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30</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有效调查</w:t>
            </w:r>
          </w:p>
          <w:p>
            <w:pPr>
              <w:widowControl/>
              <w:spacing w:line="240" w:lineRule="exact"/>
              <w:jc w:val="center"/>
              <w:textAlignment w:val="center"/>
              <w:rPr>
                <w:rFonts w:ascii="黑体" w:hAnsi="黑体" w:eastAsia="黑体" w:cs="仿宋_GB2312"/>
                <w:color w:val="000000"/>
                <w:kern w:val="0"/>
                <w:sz w:val="20"/>
                <w:szCs w:val="20"/>
              </w:rPr>
            </w:pPr>
            <w:r>
              <w:rPr>
                <w:rFonts w:hint="eastAsia" w:ascii="黑体" w:hAnsi="宋体" w:eastAsia="黑体" w:cs="黑体"/>
                <w:color w:val="000000"/>
                <w:kern w:val="0"/>
                <w:sz w:val="20"/>
                <w:szCs w:val="20"/>
              </w:rPr>
              <w:t>问卷</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30</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满意度</w:t>
            </w:r>
          </w:p>
          <w:p>
            <w:pPr>
              <w:widowControl/>
              <w:spacing w:line="240" w:lineRule="exact"/>
              <w:jc w:val="center"/>
              <w:textAlignment w:val="center"/>
              <w:rPr>
                <w:rFonts w:ascii="仿宋_GB2312" w:hAnsi="宋体" w:eastAsia="仿宋_GB2312" w:cs="仿宋_GB2312"/>
                <w:color w:val="000000"/>
                <w:kern w:val="0"/>
                <w:sz w:val="20"/>
                <w:szCs w:val="20"/>
              </w:rPr>
            </w:pPr>
            <w:r>
              <w:rPr>
                <w:rFonts w:hint="eastAsia" w:ascii="黑体" w:hAnsi="宋体" w:eastAsia="黑体" w:cs="黑体"/>
                <w:color w:val="000000"/>
                <w:kern w:val="0"/>
                <w:sz w:val="20"/>
                <w:szCs w:val="20"/>
              </w:rPr>
              <w:t>情况</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eastAsia="宋体"/>
                <w:lang w:val="en-US" w:eastAsia="zh-CN"/>
              </w:rPr>
              <w:t>100%</w:t>
            </w:r>
          </w:p>
        </w:tc>
      </w:tr>
      <w:tr>
        <w:tblPrEx>
          <w:tblCellMar>
            <w:top w:w="15" w:type="dxa"/>
            <w:left w:w="15" w:type="dxa"/>
            <w:bottom w:w="15" w:type="dxa"/>
            <w:right w:w="15" w:type="dxa"/>
          </w:tblCellMar>
        </w:tblPrEx>
        <w:trPr>
          <w:trHeight w:val="760"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绩效目标</w:t>
            </w:r>
          </w:p>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实现情况</w:t>
            </w:r>
          </w:p>
        </w:tc>
        <w:tc>
          <w:tcPr>
            <w:tcW w:w="7692" w:type="dxa"/>
            <w:gridSpan w:val="1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left"/>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highlight w:val="none"/>
              </w:rPr>
              <w:t>完成了对2020年新招录内招干部及留疆战士按照每人一套住房配备生活物资，共140套，使内招干部及留疆战士基本生活得以保障</w:t>
            </w:r>
            <w:r>
              <w:rPr>
                <w:rFonts w:hint="eastAsia" w:ascii="仿宋_GB2312" w:hAnsi="宋体" w:eastAsia="仿宋_GB2312" w:cs="仿宋_GB2312"/>
                <w:color w:val="000000"/>
                <w:sz w:val="20"/>
                <w:szCs w:val="20"/>
                <w:highlight w:val="none"/>
                <w:lang w:eastAsia="zh-CN"/>
              </w:rPr>
              <w:t>，</w:t>
            </w:r>
            <w:r>
              <w:rPr>
                <w:rFonts w:hint="eastAsia" w:ascii="仿宋_GB2312" w:hAnsi="宋体" w:eastAsia="仿宋_GB2312" w:cs="仿宋_GB2312"/>
                <w:color w:val="000000"/>
                <w:sz w:val="20"/>
                <w:szCs w:val="20"/>
                <w:highlight w:val="none"/>
              </w:rPr>
              <w:t>提高了考核干部工作积极性。</w:t>
            </w:r>
          </w:p>
        </w:tc>
      </w:tr>
      <w:tr>
        <w:tblPrEx>
          <w:tblCellMar>
            <w:top w:w="15" w:type="dxa"/>
            <w:left w:w="15" w:type="dxa"/>
            <w:bottom w:w="15" w:type="dxa"/>
            <w:right w:w="15" w:type="dxa"/>
          </w:tblCellMar>
        </w:tblPrEx>
        <w:trPr>
          <w:trHeight w:val="540" w:hRule="atLeast"/>
        </w:trPr>
        <w:tc>
          <w:tcPr>
            <w:tcW w:w="1291"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评价问题</w:t>
            </w:r>
          </w:p>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简要情况</w:t>
            </w:r>
          </w:p>
        </w:tc>
        <w:tc>
          <w:tcPr>
            <w:tcW w:w="7692" w:type="dxa"/>
            <w:gridSpan w:val="12"/>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exact"/>
              <w:jc w:val="left"/>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 xml:space="preserve"> 无。</w:t>
            </w:r>
          </w:p>
          <w:p>
            <w:pPr>
              <w:widowControl/>
              <w:spacing w:line="240" w:lineRule="exact"/>
              <w:jc w:val="left"/>
              <w:textAlignment w:val="center"/>
              <w:rPr>
                <w:rFonts w:hint="eastAsia" w:ascii="仿宋_GB2312" w:hAnsi="宋体" w:eastAsia="仿宋_GB2312" w:cs="仿宋_GB2312"/>
                <w:color w:val="000000"/>
                <w:sz w:val="20"/>
                <w:szCs w:val="20"/>
                <w:highlight w:val="yellow"/>
                <w:lang w:eastAsia="zh-CN"/>
              </w:rPr>
            </w:pPr>
          </w:p>
        </w:tc>
      </w:tr>
      <w:tr>
        <w:tblPrEx>
          <w:tblCellMar>
            <w:top w:w="15" w:type="dxa"/>
            <w:left w:w="15" w:type="dxa"/>
            <w:bottom w:w="15" w:type="dxa"/>
            <w:right w:w="15" w:type="dxa"/>
          </w:tblCellMar>
        </w:tblPrEx>
        <w:trPr>
          <w:trHeight w:val="512" w:hRule="atLeast"/>
        </w:trPr>
        <w:tc>
          <w:tcPr>
            <w:tcW w:w="1291"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评价问题</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简要建议</w:t>
            </w:r>
          </w:p>
        </w:tc>
        <w:tc>
          <w:tcPr>
            <w:tcW w:w="7692" w:type="dxa"/>
            <w:gridSpan w:val="12"/>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left"/>
              <w:textAlignment w:val="center"/>
              <w:rPr>
                <w:rFonts w:hint="eastAsia" w:ascii="仿宋_GB2312" w:hAnsi="宋体" w:eastAsia="仿宋_GB2312" w:cs="仿宋_GB2312"/>
                <w:b/>
                <w:bCs/>
                <w:color w:val="000000"/>
                <w:sz w:val="20"/>
                <w:szCs w:val="20"/>
                <w:lang w:eastAsia="zh-CN"/>
              </w:rPr>
            </w:pPr>
            <w:r>
              <w:rPr>
                <w:rFonts w:hint="eastAsia" w:ascii="仿宋_GB2312" w:hAnsi="宋体" w:eastAsia="仿宋_GB2312" w:cs="仿宋_GB2312"/>
                <w:color w:val="000000"/>
                <w:sz w:val="20"/>
                <w:szCs w:val="20"/>
                <w:highlight w:val="none"/>
                <w:lang w:val="en-US" w:eastAsia="zh-CN"/>
              </w:rPr>
              <w:t>无。</w:t>
            </w:r>
          </w:p>
        </w:tc>
      </w:tr>
      <w:tr>
        <w:tblPrEx>
          <w:tblCellMar>
            <w:top w:w="15" w:type="dxa"/>
            <w:left w:w="15" w:type="dxa"/>
            <w:bottom w:w="15" w:type="dxa"/>
            <w:right w:w="15" w:type="dxa"/>
          </w:tblCellMar>
        </w:tblPrEx>
        <w:trPr>
          <w:trHeight w:val="1126" w:hRule="atLeast"/>
        </w:trPr>
        <w:tc>
          <w:tcPr>
            <w:tcW w:w="1291" w:type="dxa"/>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评价结果</w:t>
            </w:r>
          </w:p>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应用建议</w:t>
            </w:r>
          </w:p>
        </w:tc>
        <w:tc>
          <w:tcPr>
            <w:tcW w:w="7692" w:type="dxa"/>
            <w:gridSpan w:val="12"/>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1.建议将此次绩效评价过程中发现的问题进行及时整改；</w:t>
            </w:r>
          </w:p>
          <w:p>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2.建议加大对绩效评价结果的应用，此次绩效评价结果，可作为202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年各部门（单位）改进管理、调整财政支出方向、预算编制和安排财政资金的重要依据；</w:t>
            </w:r>
          </w:p>
          <w:p>
            <w:pPr>
              <w:widowControl/>
              <w:spacing w:line="240" w:lineRule="exact"/>
              <w:jc w:val="left"/>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highlight w:val="none"/>
              </w:rPr>
              <w:t>3.建议建立绩效评价结果应用制度，将</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年绩效评价结果进行公示、公开。</w:t>
            </w:r>
          </w:p>
        </w:tc>
      </w:tr>
      <w:tr>
        <w:tblPrEx>
          <w:tblCellMar>
            <w:top w:w="15" w:type="dxa"/>
            <w:left w:w="15" w:type="dxa"/>
            <w:bottom w:w="15" w:type="dxa"/>
            <w:right w:w="15" w:type="dxa"/>
          </w:tblCellMar>
        </w:tblPrEx>
        <w:trPr>
          <w:trHeight w:val="424" w:hRule="atLeast"/>
        </w:trPr>
        <w:tc>
          <w:tcPr>
            <w:tcW w:w="2245"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000000"/>
                <w:sz w:val="20"/>
                <w:szCs w:val="20"/>
                <w:highlight w:val="none"/>
              </w:rPr>
            </w:pPr>
            <w:r>
              <w:rPr>
                <w:rFonts w:hint="eastAsia" w:ascii="黑体" w:hAnsi="黑体" w:eastAsia="黑体" w:cs="仿宋_GB2312"/>
                <w:color w:val="000000"/>
                <w:sz w:val="20"/>
                <w:szCs w:val="20"/>
                <w:highlight w:val="none"/>
              </w:rPr>
              <w:t>评价时间</w:t>
            </w:r>
          </w:p>
        </w:tc>
        <w:tc>
          <w:tcPr>
            <w:tcW w:w="2246" w:type="dxa"/>
            <w:gridSpan w:val="5"/>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日至</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06</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30</w:t>
            </w:r>
            <w:r>
              <w:rPr>
                <w:rFonts w:hint="eastAsia" w:ascii="仿宋_GB2312" w:hAnsi="宋体" w:eastAsia="仿宋_GB2312" w:cs="仿宋_GB2312"/>
                <w:color w:val="000000"/>
                <w:sz w:val="20"/>
                <w:szCs w:val="20"/>
                <w:highlight w:val="none"/>
              </w:rPr>
              <w:t>日</w:t>
            </w:r>
          </w:p>
        </w:tc>
        <w:tc>
          <w:tcPr>
            <w:tcW w:w="2246" w:type="dxa"/>
            <w:gridSpan w:val="4"/>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评价机构报告编号</w:t>
            </w:r>
          </w:p>
        </w:tc>
        <w:tc>
          <w:tcPr>
            <w:tcW w:w="2246"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eastAsia" w:ascii="黑体" w:hAnsi="黑体" w:eastAsia="黑体" w:cs="仿宋_GB2312"/>
                <w:color w:val="000000"/>
                <w:sz w:val="20"/>
                <w:szCs w:val="20"/>
              </w:rPr>
            </w:pPr>
            <w:r>
              <w:rPr>
                <w:rFonts w:hint="eastAsia" w:ascii="黑体" w:hAnsi="黑体" w:eastAsia="黑体" w:cs="仿宋_GB2312"/>
                <w:color w:val="000000"/>
                <w:sz w:val="20"/>
                <w:szCs w:val="20"/>
              </w:rPr>
              <w:t>中瑞诚喀绩评字[202</w:t>
            </w:r>
            <w:r>
              <w:rPr>
                <w:rFonts w:hint="eastAsia" w:ascii="黑体" w:hAnsi="黑体" w:eastAsia="黑体" w:cs="仿宋_GB2312"/>
                <w:color w:val="000000"/>
                <w:sz w:val="20"/>
                <w:szCs w:val="20"/>
                <w:lang w:val="en-US" w:eastAsia="zh-CN"/>
              </w:rPr>
              <w:t>2</w:t>
            </w:r>
            <w:r>
              <w:rPr>
                <w:rFonts w:hint="eastAsia" w:ascii="黑体" w:hAnsi="黑体" w:eastAsia="黑体" w:cs="仿宋_GB2312"/>
                <w:color w:val="000000"/>
                <w:sz w:val="20"/>
                <w:szCs w:val="20"/>
              </w:rPr>
              <w:t>]</w:t>
            </w:r>
            <w:r>
              <w:rPr>
                <w:rFonts w:hint="eastAsia" w:ascii="黑体" w:hAnsi="黑体" w:eastAsia="黑体" w:cs="仿宋_GB2312"/>
                <w:color w:val="000000"/>
                <w:sz w:val="20"/>
                <w:szCs w:val="20"/>
                <w:lang w:val="en-US" w:eastAsia="zh-CN"/>
              </w:rPr>
              <w:t>147</w:t>
            </w:r>
            <w:r>
              <w:rPr>
                <w:rFonts w:hint="eastAsia" w:ascii="黑体" w:hAnsi="黑体" w:eastAsia="黑体" w:cs="仿宋_GB2312"/>
                <w:color w:val="000000"/>
                <w:sz w:val="20"/>
                <w:szCs w:val="20"/>
              </w:rPr>
              <w:t>号</w:t>
            </w:r>
          </w:p>
        </w:tc>
      </w:tr>
      <w:tr>
        <w:tblPrEx>
          <w:tblCellMar>
            <w:top w:w="15" w:type="dxa"/>
            <w:left w:w="15" w:type="dxa"/>
            <w:bottom w:w="15" w:type="dxa"/>
            <w:right w:w="15" w:type="dxa"/>
          </w:tblCellMar>
        </w:tblPrEx>
        <w:trPr>
          <w:trHeight w:val="955" w:hRule="atLeast"/>
        </w:trPr>
        <w:tc>
          <w:tcPr>
            <w:tcW w:w="2245"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项目负责人（签字）</w:t>
            </w:r>
          </w:p>
          <w:p>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及联系方式</w:t>
            </w:r>
          </w:p>
        </w:tc>
        <w:tc>
          <w:tcPr>
            <w:tcW w:w="2246" w:type="dxa"/>
            <w:gridSpan w:val="5"/>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highlight w:val="none"/>
                <w:lang w:val="en-US" w:eastAsia="zh-CN"/>
              </w:rPr>
              <w:t>古丽热依汉 13079918673</w:t>
            </w:r>
          </w:p>
        </w:tc>
        <w:tc>
          <w:tcPr>
            <w:tcW w:w="2246" w:type="dxa"/>
            <w:gridSpan w:val="4"/>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法定代表人（签字）</w:t>
            </w:r>
          </w:p>
          <w:p>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及联系方式</w:t>
            </w:r>
          </w:p>
        </w:tc>
        <w:tc>
          <w:tcPr>
            <w:tcW w:w="2246"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叶金玲 13899129971</w:t>
            </w:r>
          </w:p>
        </w:tc>
      </w:tr>
    </w:tbl>
    <w:p>
      <w:pPr>
        <w:pStyle w:val="13"/>
        <w:tabs>
          <w:tab w:val="right" w:leader="dot" w:pos="8302"/>
        </w:tabs>
        <w:jc w:val="center"/>
        <w:rPr>
          <w:rFonts w:hint="eastAsia" w:ascii="仿宋" w:hAnsi="仿宋" w:eastAsia="仿宋" w:cs="仿宋"/>
          <w:sz w:val="44"/>
          <w:szCs w:val="44"/>
        </w:rPr>
      </w:pPr>
    </w:p>
    <w:p>
      <w:pPr>
        <w:pStyle w:val="13"/>
        <w:tabs>
          <w:tab w:val="right" w:leader="dot" w:pos="8302"/>
        </w:tabs>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摘   要</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 w:hAnsi="仿宋" w:eastAsia="仿宋" w:cs="仿宋"/>
          <w:sz w:val="32"/>
          <w:szCs w:val="32"/>
          <w:lang w:val="en-US"/>
        </w:rPr>
      </w:pPr>
      <w:r>
        <w:rPr>
          <w:rFonts w:hint="eastAsia" w:ascii="仿宋_GB2312" w:hAnsi="仿宋_GB2312" w:eastAsia="仿宋_GB2312" w:cs="仿宋_GB2312"/>
          <w:sz w:val="32"/>
          <w:szCs w:val="32"/>
          <w:highlight w:val="none"/>
        </w:rPr>
        <w:t>为规范和加强财政资金的管理，</w:t>
      </w:r>
      <w:r>
        <w:rPr>
          <w:rFonts w:hint="eastAsia" w:ascii="仿宋_GB2312" w:hAnsi="仿宋_GB2312" w:eastAsia="仿宋_GB2312" w:cs="仿宋_GB2312"/>
          <w:sz w:val="32"/>
          <w:szCs w:val="32"/>
          <w:highlight w:val="none"/>
          <w:lang w:eastAsia="zh-CN"/>
        </w:rPr>
        <w:t>优化财政支出结构、</w:t>
      </w:r>
      <w:r>
        <w:rPr>
          <w:rFonts w:hint="eastAsia" w:ascii="仿宋_GB2312" w:hAnsi="仿宋_GB2312" w:eastAsia="仿宋_GB2312" w:cs="仿宋_GB2312"/>
          <w:sz w:val="32"/>
          <w:szCs w:val="32"/>
          <w:highlight w:val="none"/>
        </w:rPr>
        <w:t>进一步发挥绩效管理工作对财政资金使用管理的导向和激励作用，提高资金使用效益</w:t>
      </w:r>
      <w:r>
        <w:rPr>
          <w:rFonts w:hint="eastAsia" w:ascii="仿宋_GB2312" w:hAnsi="仿宋_GB2312" w:eastAsia="仿宋_GB2312" w:cs="仿宋_GB2312"/>
          <w:sz w:val="32"/>
          <w:szCs w:val="32"/>
          <w:highlight w:val="none"/>
          <w:lang w:eastAsia="zh-CN"/>
        </w:rPr>
        <w:t>，根据财政部《项目支出绩效评价管理办法》（财预〔2020〕10 号）</w:t>
      </w:r>
      <w:r>
        <w:rPr>
          <w:rFonts w:hint="eastAsia" w:ascii="仿宋_GB2312" w:hAnsi="仿宋_GB2312" w:eastAsia="仿宋_GB2312" w:cs="仿宋_GB2312"/>
          <w:sz w:val="32"/>
          <w:szCs w:val="32"/>
          <w:highlight w:val="none"/>
          <w:lang w:val="en-US" w:eastAsia="zh-CN"/>
        </w:rPr>
        <w:t>及</w:t>
      </w:r>
      <w:r>
        <w:rPr>
          <w:rFonts w:hint="eastAsia" w:ascii="仿宋_GB2312" w:hAnsi="仿宋_GB2312" w:eastAsia="仿宋_GB2312" w:cs="仿宋_GB2312"/>
          <w:sz w:val="32"/>
          <w:szCs w:val="32"/>
          <w:highlight w:val="none"/>
          <w:lang w:eastAsia="zh-CN"/>
        </w:rPr>
        <w:t>《自治区财政支出绩效评价管理暂行办法》（新财预〔2018〕189号）</w:t>
      </w:r>
      <w:r>
        <w:rPr>
          <w:rFonts w:hint="eastAsia" w:ascii="仿宋_GB2312" w:hAnsi="仿宋_GB2312" w:eastAsia="仿宋_GB2312" w:cs="仿宋_GB2312"/>
          <w:spacing w:val="-5"/>
          <w:sz w:val="32"/>
          <w:szCs w:val="32"/>
          <w:highlight w:val="none"/>
        </w:rPr>
        <w:t>相关规定，</w:t>
      </w:r>
      <w:r>
        <w:rPr>
          <w:rFonts w:hint="eastAsia" w:ascii="仿宋_GB2312" w:hAnsi="宋体" w:eastAsia="仿宋_GB2312" w:cs="仿宋_GB2312"/>
          <w:color w:val="000000"/>
          <w:sz w:val="32"/>
          <w:szCs w:val="32"/>
          <w:highlight w:val="none"/>
          <w:lang w:val="en-US" w:eastAsia="zh-CN"/>
        </w:rPr>
        <w:t>受洛浦县财政局委托，中瑞诚会计师事务所（特殊普通合伙）喀什分所作为第三方评价机构于2021年01月01日至2022年06月30日对中共洛浦县委组织部管理的2020年新招录年轻干部生活物资采购资金开展了绩效评价，评价情况如下：</w:t>
      </w:r>
    </w:p>
    <w:p>
      <w:pPr>
        <w:adjustRightInd w:val="0"/>
        <w:snapToGrid w:val="0"/>
        <w:spacing w:line="560" w:lineRule="exact"/>
        <w:ind w:firstLine="640" w:firstLineChars="200"/>
        <w:jc w:val="left"/>
        <w:outlineLvl w:val="0"/>
        <w:rPr>
          <w:rFonts w:hint="eastAsia" w:ascii="黑体" w:hAnsi="黑体" w:eastAsia="黑体" w:cs="宋体"/>
          <w:sz w:val="32"/>
          <w:szCs w:val="32"/>
        </w:rPr>
      </w:pPr>
      <w:bookmarkStart w:id="0" w:name="_Toc1784"/>
      <w:r>
        <w:rPr>
          <w:rFonts w:hint="eastAsia" w:ascii="黑体" w:hAnsi="黑体" w:eastAsia="黑体" w:cs="宋体"/>
          <w:sz w:val="32"/>
          <w:szCs w:val="32"/>
        </w:rPr>
        <w:t>一、项目概述</w:t>
      </w:r>
      <w:bookmarkEnd w:id="0"/>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left"/>
        <w:textAlignment w:val="auto"/>
        <w:outlineLvl w:val="0"/>
        <w:rPr>
          <w:rFonts w:hint="eastAsia" w:ascii="仿宋_GB2312" w:hAnsi="仿宋_GB2312" w:eastAsia="仿宋_GB2312" w:cs="仿宋_GB2312"/>
          <w:sz w:val="32"/>
          <w:szCs w:val="32"/>
        </w:rPr>
      </w:pPr>
      <w:bookmarkStart w:id="1" w:name="_Toc4382"/>
      <w:r>
        <w:rPr>
          <w:rFonts w:hint="eastAsia" w:ascii="仿宋_GB2312" w:hAnsi="仿宋_GB2312" w:eastAsia="仿宋_GB2312" w:cs="仿宋_GB2312"/>
          <w:sz w:val="32"/>
          <w:szCs w:val="32"/>
        </w:rPr>
        <w:t>根据地委组织部初步安排，2020年新招录内招干部和留疆战士预计将于1月初全部到位,根据地委组织部相关要求，2020年新招录内招干部及留疆战士必须按照每人一套住房配备生活物资(且需规避收房租的房子)，为了做好新招录内招干部和留疆战士的后勤保障工作，更好的贯彻落实好年轻干部关心关爱措施，确保新分配至我县的内招干部和留疆战士如期拎包入住，尽早进入工作状态，县委组织部逐乡镇(街道)摸排统计，经碰县采购办对各乡镇(街道)宿舍进行实际测量，确定采购生活用品140套。</w:t>
      </w:r>
    </w:p>
    <w:p>
      <w:pPr>
        <w:adjustRightInd w:val="0"/>
        <w:snapToGrid w:val="0"/>
        <w:spacing w:line="560" w:lineRule="exact"/>
        <w:ind w:firstLine="640" w:firstLineChars="200"/>
        <w:jc w:val="left"/>
        <w:outlineLvl w:val="0"/>
        <w:rPr>
          <w:rFonts w:hint="eastAsia" w:ascii="黑体" w:hAnsi="黑体" w:eastAsia="黑体" w:cs="宋体"/>
          <w:sz w:val="32"/>
          <w:szCs w:val="32"/>
          <w:highlight w:val="yellow"/>
          <w:lang w:eastAsia="zh-CN"/>
        </w:rPr>
      </w:pPr>
      <w:r>
        <w:rPr>
          <w:rFonts w:hint="eastAsia" w:ascii="黑体" w:hAnsi="黑体" w:eastAsia="黑体" w:cs="宋体"/>
          <w:sz w:val="32"/>
          <w:szCs w:val="32"/>
        </w:rPr>
        <w:t>二、评价工作简述</w:t>
      </w:r>
      <w:bookmarkEnd w:id="1"/>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lang w:eastAsia="zh-CN"/>
        </w:rPr>
      </w:pPr>
      <w:bookmarkStart w:id="2" w:name="_Toc13087"/>
      <w:r>
        <w:rPr>
          <w:rFonts w:hint="eastAsia" w:ascii="仿宋_GB2312" w:hAnsi="仿宋_GB2312" w:eastAsia="仿宋_GB2312" w:cs="仿宋_GB2312"/>
          <w:sz w:val="32"/>
          <w:szCs w:val="32"/>
          <w:highlight w:val="none"/>
        </w:rPr>
        <w:t>评价组自承接本项目后，立足于</w:t>
      </w:r>
      <w:r>
        <w:rPr>
          <w:rFonts w:hint="eastAsia" w:ascii="仿宋_GB2312" w:hAnsi="仿宋_GB2312" w:eastAsia="仿宋_GB2312" w:cs="仿宋_GB2312"/>
          <w:sz w:val="32"/>
          <w:szCs w:val="32"/>
          <w:highlight w:val="none"/>
          <w:lang w:eastAsia="zh-CN"/>
        </w:rPr>
        <w:t>该</w:t>
      </w:r>
      <w:r>
        <w:rPr>
          <w:rFonts w:hint="eastAsia" w:ascii="仿宋_GB2312" w:hAnsi="仿宋_GB2312" w:eastAsia="仿宋_GB2312" w:cs="仿宋_GB2312"/>
          <w:sz w:val="32"/>
          <w:szCs w:val="32"/>
          <w:highlight w:val="none"/>
        </w:rPr>
        <w:t>项目特点，本次评价关注重点：一是针对预算编制、资金执行的相关情况评价项目预算编制、财务核算是否到位</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rPr>
        <w:t>二是评价</w:t>
      </w:r>
      <w:r>
        <w:rPr>
          <w:rFonts w:hint="eastAsia" w:ascii="仿宋_GB2312" w:hAnsi="仿宋_GB2312" w:eastAsia="仿宋_GB2312" w:cs="仿宋_GB2312"/>
          <w:sz w:val="32"/>
          <w:szCs w:val="32"/>
          <w:highlight w:val="none"/>
          <w:lang w:eastAsia="zh-CN"/>
        </w:rPr>
        <w:t>项目实施</w:t>
      </w:r>
      <w:r>
        <w:rPr>
          <w:rFonts w:hint="eastAsia" w:ascii="仿宋_GB2312" w:hAnsi="仿宋_GB2312" w:eastAsia="仿宋_GB2312" w:cs="仿宋_GB2312"/>
          <w:sz w:val="32"/>
          <w:szCs w:val="32"/>
          <w:highlight w:val="none"/>
        </w:rPr>
        <w:t>单位的管理制度、监管考核机制是否健全；三是评价项目是否按照目标执行，项目实施效果是否达到预期目标</w:t>
      </w:r>
      <w:r>
        <w:rPr>
          <w:rFonts w:hint="eastAsia" w:ascii="仿宋_GB2312" w:hAnsi="仿宋_GB2312" w:eastAsia="仿宋_GB2312" w:cs="仿宋_GB2312"/>
          <w:sz w:val="32"/>
          <w:szCs w:val="32"/>
          <w:highlight w:val="none"/>
          <w:lang w:eastAsia="zh-CN"/>
        </w:rPr>
        <w:t>。</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left"/>
        <w:textAlignment w:val="auto"/>
        <w:outlineLvl w:val="0"/>
        <w:rPr>
          <w:rFonts w:hint="default"/>
          <w:highlight w:val="yellow"/>
          <w:lang w:val="en-US" w:eastAsia="zh-CN"/>
        </w:rPr>
      </w:pPr>
      <w:r>
        <w:rPr>
          <w:rFonts w:hint="eastAsia" w:ascii="仿宋_GB2312" w:hAnsi="仿宋_GB2312" w:eastAsia="仿宋_GB2312" w:cs="仿宋_GB2312"/>
          <w:sz w:val="32"/>
          <w:szCs w:val="32"/>
          <w:highlight w:val="none"/>
          <w:lang w:val="en-US" w:eastAsia="zh-CN"/>
        </w:rPr>
        <w:t>评价工作组通过前期调研，</w:t>
      </w:r>
      <w:r>
        <w:rPr>
          <w:rFonts w:hint="eastAsia" w:ascii="仿宋_GB2312" w:hAnsi="仿宋_GB2312" w:eastAsia="仿宋_GB2312" w:cs="仿宋_GB2312"/>
          <w:sz w:val="32"/>
          <w:szCs w:val="32"/>
          <w:highlight w:val="none"/>
        </w:rPr>
        <w:t>了解项目管理流程及效果</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lang w:val="en-US" w:eastAsia="zh-CN"/>
        </w:rPr>
        <w:t>从项目决策、项目过程、项目产出和项目效益四个维度制定了工作方案，明确了评价的目的、方法、原则、指标、标准、社会调查方案等，重点对该项目的实施情况及效益进行了核实；评价工作组本着科学规范的绩效评价原则，运用成本效益分析法、比较分析法等方法，严格按照工作方案，经过数据采集、问卷调查、实地调研、数据分析和报告撰写等环节，完成了绩效评价工作。</w:t>
      </w:r>
    </w:p>
    <w:p>
      <w:pPr>
        <w:adjustRightInd w:val="0"/>
        <w:snapToGrid w:val="0"/>
        <w:spacing w:line="560" w:lineRule="exact"/>
        <w:ind w:firstLine="640" w:firstLineChars="200"/>
        <w:jc w:val="left"/>
        <w:outlineLvl w:val="0"/>
        <w:rPr>
          <w:rFonts w:hint="eastAsia" w:ascii="黑体" w:hAnsi="黑体" w:eastAsia="黑体" w:cs="宋体"/>
          <w:sz w:val="32"/>
          <w:szCs w:val="32"/>
        </w:rPr>
      </w:pPr>
      <w:r>
        <w:rPr>
          <w:rFonts w:hint="eastAsia" w:ascii="黑体" w:hAnsi="黑体" w:eastAsia="黑体" w:cs="宋体"/>
          <w:sz w:val="32"/>
          <w:szCs w:val="32"/>
        </w:rPr>
        <w:t>三、绩效评价分析</w:t>
      </w:r>
      <w:bookmarkEnd w:id="2"/>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3" w:name="_Toc24046"/>
      <w:bookmarkStart w:id="4" w:name="_Toc4082"/>
      <w:r>
        <w:rPr>
          <w:rFonts w:hint="eastAsia" w:ascii="仿宋_GB2312" w:hAnsi="仿宋_GB2312" w:eastAsia="仿宋_GB2312" w:cs="仿宋_GB2312"/>
          <w:sz w:val="32"/>
          <w:szCs w:val="32"/>
          <w:highlight w:val="none"/>
          <w:lang w:val="en-US" w:eastAsia="zh-CN"/>
        </w:rPr>
        <w:t>依据《自治区财政支出绩效评价管理暂行办法》（新财预〔2018〕189号）文件精神，评价工作组从绩效目标、绩效控制、产出及效果进行评价分析。绩效目标主要针对目标明确性、目标合理性和目标细化程度进行分析；绩效控制主要针对资金使用及管理情况、项目组织情况、项目管理情况进行分析；项目产出及效果主要针对项目的经济性、效率性和效益性进行分析。</w:t>
      </w:r>
    </w:p>
    <w:bookmarkEnd w:id="3"/>
    <w:p>
      <w:pPr>
        <w:adjustRightInd w:val="0"/>
        <w:snapToGrid w:val="0"/>
        <w:spacing w:line="560" w:lineRule="exact"/>
        <w:ind w:firstLine="640" w:firstLineChars="200"/>
        <w:jc w:val="left"/>
        <w:outlineLvl w:val="0"/>
        <w:rPr>
          <w:rFonts w:hint="eastAsia" w:ascii="黑体" w:hAnsi="黑体" w:eastAsia="黑体" w:cs="宋体"/>
          <w:sz w:val="32"/>
          <w:szCs w:val="32"/>
        </w:rPr>
      </w:pPr>
      <w:r>
        <w:rPr>
          <w:rFonts w:hint="eastAsia" w:ascii="黑体" w:hAnsi="黑体" w:eastAsia="黑体" w:cs="宋体"/>
          <w:sz w:val="32"/>
          <w:szCs w:val="32"/>
        </w:rPr>
        <w:t>四、评价结论</w:t>
      </w:r>
      <w:bookmarkEnd w:id="4"/>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经综合评价，项目得分为100分，其中：项目决策得分20分、项目过程得分20分；项目产出得分30分、项目效益得分30分，评价等级为优。</w:t>
      </w:r>
    </w:p>
    <w:p>
      <w:pPr>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立项较规范，绩效目标合理绩效指标明确，项目管理制度较健全。该项目预算资金163.09万元，实际支出158.19万元，预算资金执行率97%,其余3%为质保金。通过文件研读、实地调研、数据分析等方式，全面了解该项目的使用效果，项目管理过程较规范；总的来看，该项目的实施，保障了内招干部和留疆战士掕包入住，基本生活得以保障并提高了考核干部工作积极性。</w:t>
      </w:r>
    </w:p>
    <w:p>
      <w:pPr>
        <w:adjustRightInd w:val="0"/>
        <w:snapToGrid w:val="0"/>
        <w:spacing w:line="560" w:lineRule="exact"/>
        <w:ind w:firstLine="960" w:firstLineChars="300"/>
        <w:jc w:val="left"/>
        <w:outlineLvl w:val="0"/>
        <w:rPr>
          <w:rFonts w:hint="eastAsia" w:ascii="黑体" w:hAnsi="黑体" w:eastAsia="黑体" w:cs="宋体"/>
          <w:sz w:val="32"/>
          <w:szCs w:val="32"/>
          <w:highlight w:val="none"/>
        </w:rPr>
      </w:pPr>
      <w:bookmarkStart w:id="5" w:name="_Toc25703"/>
      <w:r>
        <w:rPr>
          <w:rFonts w:hint="eastAsia" w:ascii="黑体" w:hAnsi="黑体" w:eastAsia="黑体" w:cs="宋体"/>
          <w:sz w:val="32"/>
          <w:szCs w:val="32"/>
          <w:highlight w:val="none"/>
          <w:lang w:val="en-US" w:eastAsia="zh-CN"/>
        </w:rPr>
        <w:t>五、</w:t>
      </w:r>
      <w:r>
        <w:rPr>
          <w:rFonts w:hint="eastAsia" w:ascii="黑体" w:hAnsi="黑体" w:eastAsia="黑体" w:cs="宋体"/>
          <w:sz w:val="32"/>
          <w:szCs w:val="32"/>
          <w:highlight w:val="none"/>
        </w:rPr>
        <w:t>问题</w:t>
      </w:r>
      <w:r>
        <w:rPr>
          <w:rFonts w:hint="eastAsia" w:ascii="黑体" w:hAnsi="黑体" w:eastAsia="黑体" w:cs="宋体"/>
          <w:sz w:val="32"/>
          <w:szCs w:val="32"/>
          <w:highlight w:val="none"/>
          <w:lang w:val="en-US" w:eastAsia="zh-CN"/>
        </w:rPr>
        <w:t>及</w:t>
      </w:r>
      <w:r>
        <w:rPr>
          <w:rFonts w:hint="eastAsia" w:ascii="黑体" w:hAnsi="黑体" w:eastAsia="黑体" w:cs="宋体"/>
          <w:sz w:val="32"/>
          <w:szCs w:val="32"/>
          <w:highlight w:val="none"/>
        </w:rPr>
        <w:t>建议</w:t>
      </w:r>
      <w:bookmarkEnd w:id="5"/>
    </w:p>
    <w:p>
      <w:pPr>
        <w:pStyle w:val="33"/>
        <w:adjustRightInd w:val="0"/>
        <w:snapToGrid w:val="0"/>
        <w:spacing w:line="560" w:lineRule="exact"/>
        <w:ind w:left="420" w:leftChars="200" w:firstLine="321" w:firstLineChars="100"/>
        <w:outlineLvl w:val="1"/>
        <w:rPr>
          <w:rFonts w:hint="eastAsia" w:ascii="仿宋_GB2312" w:hAnsi="仿宋" w:eastAsia="仿宋_GB2312" w:cs="宋体"/>
          <w:b/>
          <w:bCs/>
          <w:sz w:val="32"/>
          <w:szCs w:val="32"/>
          <w:highlight w:val="none"/>
        </w:rPr>
      </w:pPr>
      <w:bookmarkStart w:id="6" w:name="_Toc19437"/>
      <w:bookmarkStart w:id="7" w:name="_Toc6009"/>
      <w:bookmarkStart w:id="8" w:name="_Toc24350"/>
      <w:bookmarkStart w:id="9" w:name="_Toc11063"/>
      <w:bookmarkStart w:id="10" w:name="_Toc22139"/>
      <w:bookmarkStart w:id="11" w:name="_Toc5400"/>
      <w:r>
        <w:rPr>
          <w:rFonts w:hint="eastAsia" w:ascii="仿宋_GB2312" w:hAnsi="仿宋" w:eastAsia="仿宋_GB2312" w:cs="宋体"/>
          <w:b/>
          <w:bCs/>
          <w:sz w:val="32"/>
          <w:szCs w:val="32"/>
          <w:highlight w:val="none"/>
        </w:rPr>
        <w:t>（一）问题</w:t>
      </w:r>
      <w:bookmarkEnd w:id="6"/>
      <w:bookmarkEnd w:id="7"/>
      <w:bookmarkEnd w:id="8"/>
      <w:bookmarkEnd w:id="9"/>
      <w:bookmarkEnd w:id="10"/>
      <w:bookmarkEnd w:id="11"/>
    </w:p>
    <w:p>
      <w:pPr>
        <w:ind w:firstLine="640" w:firstLineChars="200"/>
        <w:jc w:val="both"/>
        <w:rPr>
          <w:rFonts w:hint="default" w:ascii="仿宋" w:hAnsi="仿宋" w:eastAsia="仿宋" w:cs="仿宋"/>
          <w:sz w:val="32"/>
          <w:szCs w:val="32"/>
          <w:highlight w:val="none"/>
          <w:lang w:val="en-US" w:eastAsia="zh-CN"/>
        </w:rPr>
      </w:pPr>
      <w:r>
        <w:rPr>
          <w:rFonts w:hint="eastAsia" w:ascii="仿宋" w:hAnsi="仿宋" w:eastAsia="仿宋" w:cs="仿宋"/>
          <w:sz w:val="32"/>
          <w:szCs w:val="32"/>
          <w:highlight w:val="none"/>
          <w:lang w:val="en-US" w:eastAsia="zh-CN"/>
        </w:rPr>
        <w:t>无。</w:t>
      </w:r>
    </w:p>
    <w:p>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12" w:name="_Toc23428"/>
      <w:bookmarkStart w:id="13" w:name="_Toc25341"/>
      <w:bookmarkStart w:id="14" w:name="_Toc3933"/>
      <w:bookmarkStart w:id="15" w:name="_Toc13719"/>
      <w:bookmarkStart w:id="16" w:name="_Toc32170"/>
      <w:bookmarkStart w:id="17" w:name="_Toc21456"/>
      <w:r>
        <w:rPr>
          <w:rFonts w:hint="eastAsia" w:ascii="仿宋_GB2312" w:hAnsi="仿宋" w:eastAsia="仿宋_GB2312" w:cs="宋体"/>
          <w:b/>
          <w:bCs/>
          <w:sz w:val="32"/>
          <w:szCs w:val="32"/>
          <w:highlight w:val="none"/>
        </w:rPr>
        <w:t>（</w:t>
      </w:r>
      <w:r>
        <w:rPr>
          <w:rFonts w:hint="eastAsia" w:ascii="仿宋_GB2312" w:hAnsi="仿宋" w:eastAsia="仿宋_GB2312" w:cs="宋体"/>
          <w:b/>
          <w:bCs/>
          <w:sz w:val="32"/>
          <w:szCs w:val="32"/>
          <w:highlight w:val="none"/>
          <w:lang w:eastAsia="zh-CN"/>
        </w:rPr>
        <w:t>二</w:t>
      </w:r>
      <w:r>
        <w:rPr>
          <w:rFonts w:hint="eastAsia" w:ascii="仿宋_GB2312" w:hAnsi="仿宋" w:eastAsia="仿宋_GB2312" w:cs="宋体"/>
          <w:b/>
          <w:bCs/>
          <w:sz w:val="32"/>
          <w:szCs w:val="32"/>
          <w:highlight w:val="none"/>
        </w:rPr>
        <w:t>）意见和建议</w:t>
      </w:r>
      <w:bookmarkEnd w:id="12"/>
      <w:bookmarkEnd w:id="13"/>
      <w:bookmarkEnd w:id="14"/>
      <w:bookmarkEnd w:id="15"/>
      <w:bookmarkEnd w:id="16"/>
      <w:bookmarkEnd w:id="17"/>
    </w:p>
    <w:p>
      <w:pPr>
        <w:ind w:firstLine="640" w:firstLineChars="200"/>
        <w:jc w:val="both"/>
        <w:rPr>
          <w:rFonts w:hint="eastAsia" w:ascii="黑体" w:hAnsi="黑体" w:eastAsia="黑体" w:cs="黑体"/>
          <w:b w:val="0"/>
          <w:bCs w:val="0"/>
          <w:sz w:val="44"/>
          <w:szCs w:val="44"/>
        </w:rPr>
      </w:pPr>
      <w:r>
        <w:rPr>
          <w:rFonts w:hint="eastAsia" w:ascii="仿宋" w:hAnsi="仿宋" w:eastAsia="仿宋" w:cs="仿宋"/>
          <w:sz w:val="32"/>
          <w:szCs w:val="32"/>
          <w:highlight w:val="none"/>
          <w:lang w:val="en-US" w:eastAsia="zh-CN"/>
        </w:rPr>
        <w:t>无。</w:t>
      </w:r>
    </w:p>
    <w:p>
      <w:pPr>
        <w:ind w:firstLine="2200" w:firstLineChars="500"/>
        <w:jc w:val="both"/>
        <w:rPr>
          <w:rFonts w:hint="eastAsia" w:ascii="黑体" w:hAnsi="黑体" w:eastAsia="黑体" w:cs="黑体"/>
          <w:b w:val="0"/>
          <w:bCs w:val="0"/>
          <w:sz w:val="44"/>
          <w:szCs w:val="44"/>
        </w:rPr>
      </w:pPr>
    </w:p>
    <w:p>
      <w:pPr>
        <w:ind w:firstLine="2200" w:firstLineChars="500"/>
        <w:jc w:val="both"/>
        <w:rPr>
          <w:rFonts w:hint="eastAsia" w:ascii="黑体" w:hAnsi="黑体" w:eastAsia="黑体" w:cs="黑体"/>
          <w:b w:val="0"/>
          <w:bCs w:val="0"/>
          <w:sz w:val="44"/>
          <w:szCs w:val="44"/>
        </w:rPr>
      </w:pPr>
      <w:r>
        <w:rPr>
          <w:rFonts w:hint="eastAsia" w:ascii="黑体" w:hAnsi="黑体" w:eastAsia="黑体" w:cs="黑体"/>
          <w:b w:val="0"/>
          <w:bCs w:val="0"/>
          <w:sz w:val="44"/>
          <w:szCs w:val="44"/>
        </w:rPr>
        <w:t>绩效评价工作组成员</w:t>
      </w:r>
    </w:p>
    <w:p>
      <w:pPr>
        <w:jc w:val="center"/>
      </w:pPr>
    </w:p>
    <w:tbl>
      <w:tblPr>
        <w:tblStyle w:val="20"/>
        <w:tblW w:w="8722"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7"/>
        <w:gridCol w:w="1605"/>
        <w:gridCol w:w="1960"/>
        <w:gridCol w:w="1640"/>
        <w:gridCol w:w="1510"/>
        <w:gridCol w:w="14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5" w:hRule="atLeast"/>
        </w:trPr>
        <w:tc>
          <w:tcPr>
            <w:tcW w:w="527" w:type="dxa"/>
            <w:vAlign w:val="center"/>
          </w:tcPr>
          <w:p>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序号</w:t>
            </w:r>
          </w:p>
        </w:tc>
        <w:tc>
          <w:tcPr>
            <w:tcW w:w="1605" w:type="dxa"/>
            <w:vAlign w:val="center"/>
          </w:tcPr>
          <w:p>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项目职务</w:t>
            </w:r>
          </w:p>
        </w:tc>
        <w:tc>
          <w:tcPr>
            <w:tcW w:w="1960" w:type="dxa"/>
            <w:vAlign w:val="center"/>
          </w:tcPr>
          <w:p>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姓名</w:t>
            </w:r>
          </w:p>
        </w:tc>
        <w:tc>
          <w:tcPr>
            <w:tcW w:w="1640" w:type="dxa"/>
            <w:vAlign w:val="center"/>
          </w:tcPr>
          <w:p>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执业（从业）</w:t>
            </w:r>
          </w:p>
          <w:p>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资格</w:t>
            </w:r>
          </w:p>
        </w:tc>
        <w:tc>
          <w:tcPr>
            <w:tcW w:w="1510" w:type="dxa"/>
            <w:vAlign w:val="center"/>
          </w:tcPr>
          <w:p>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职称</w:t>
            </w:r>
          </w:p>
        </w:tc>
        <w:tc>
          <w:tcPr>
            <w:tcW w:w="1480" w:type="dxa"/>
            <w:vAlign w:val="center"/>
          </w:tcPr>
          <w:p>
            <w:pPr>
              <w:pStyle w:val="13"/>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0" w:hRule="atLeast"/>
        </w:trPr>
        <w:tc>
          <w:tcPr>
            <w:tcW w:w="527"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1</w:t>
            </w:r>
          </w:p>
        </w:tc>
        <w:tc>
          <w:tcPr>
            <w:tcW w:w="1605"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项目负责人</w:t>
            </w:r>
          </w:p>
        </w:tc>
        <w:tc>
          <w:tcPr>
            <w:tcW w:w="196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叶金玲</w:t>
            </w:r>
          </w:p>
        </w:tc>
        <w:tc>
          <w:tcPr>
            <w:tcW w:w="164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项目总负责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2</w:t>
            </w:r>
          </w:p>
        </w:tc>
        <w:tc>
          <w:tcPr>
            <w:tcW w:w="1605"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项目财务专家</w:t>
            </w:r>
          </w:p>
        </w:tc>
        <w:tc>
          <w:tcPr>
            <w:tcW w:w="1960" w:type="dxa"/>
            <w:vAlign w:val="center"/>
          </w:tcPr>
          <w:p>
            <w:pPr>
              <w:pStyle w:val="13"/>
              <w:tabs>
                <w:tab w:val="right" w:leader="dot" w:pos="8302"/>
              </w:tabs>
              <w:spacing w:line="340" w:lineRule="exact"/>
              <w:jc w:val="center"/>
              <w:rPr>
                <w:rFonts w:hint="eastAsia" w:ascii="仿宋_GB2312" w:hAnsi="黑体" w:eastAsia="仿宋_GB2312" w:cs="宋体"/>
                <w:kern w:val="0"/>
                <w:sz w:val="24"/>
                <w:lang w:eastAsia="zh-CN"/>
              </w:rPr>
            </w:pPr>
            <w:r>
              <w:rPr>
                <w:rFonts w:hint="eastAsia" w:ascii="仿宋_GB2312" w:hAnsi="黑体" w:eastAsia="仿宋_GB2312" w:cs="宋体"/>
                <w:kern w:val="0"/>
                <w:sz w:val="24"/>
                <w:lang w:val="en-US" w:eastAsia="zh-CN"/>
              </w:rPr>
              <w:t>冯琼</w:t>
            </w:r>
          </w:p>
        </w:tc>
        <w:tc>
          <w:tcPr>
            <w:tcW w:w="164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资金审查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3</w:t>
            </w:r>
          </w:p>
        </w:tc>
        <w:tc>
          <w:tcPr>
            <w:tcW w:w="1605"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项目行业专家</w:t>
            </w:r>
          </w:p>
        </w:tc>
        <w:tc>
          <w:tcPr>
            <w:tcW w:w="196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曹堂哲</w:t>
            </w:r>
          </w:p>
        </w:tc>
        <w:tc>
          <w:tcPr>
            <w:tcW w:w="164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风险稳定评估师、高级投资管理师、计算机辅助设计师、信息管理师、物流工程师</w:t>
            </w:r>
          </w:p>
        </w:tc>
        <w:tc>
          <w:tcPr>
            <w:tcW w:w="151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中级经济师</w:t>
            </w:r>
          </w:p>
        </w:tc>
        <w:tc>
          <w:tcPr>
            <w:tcW w:w="148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审核指导   质量审核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trPr>
        <w:tc>
          <w:tcPr>
            <w:tcW w:w="527"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4</w:t>
            </w:r>
          </w:p>
        </w:tc>
        <w:tc>
          <w:tcPr>
            <w:tcW w:w="1605" w:type="dxa"/>
            <w:vAlign w:val="center"/>
          </w:tcPr>
          <w:p>
            <w:pPr>
              <w:pStyle w:val="13"/>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rPr>
              <w:t>项目</w:t>
            </w:r>
            <w:r>
              <w:rPr>
                <w:rFonts w:hint="eastAsia" w:ascii="仿宋_GB2312" w:hAnsi="黑体" w:eastAsia="仿宋_GB2312" w:cs="宋体"/>
                <w:kern w:val="0"/>
                <w:sz w:val="24"/>
                <w:lang w:val="en-US" w:eastAsia="zh-CN"/>
              </w:rPr>
              <w:t>组成员</w:t>
            </w:r>
          </w:p>
        </w:tc>
        <w:tc>
          <w:tcPr>
            <w:tcW w:w="1960" w:type="dxa"/>
            <w:vAlign w:val="center"/>
          </w:tcPr>
          <w:p>
            <w:pPr>
              <w:pStyle w:val="13"/>
              <w:tabs>
                <w:tab w:val="right" w:leader="dot" w:pos="8302"/>
              </w:tabs>
              <w:spacing w:line="340" w:lineRule="exact"/>
              <w:jc w:val="center"/>
              <w:rPr>
                <w:rFonts w:hint="eastAsia"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古丽热依汉</w:t>
            </w:r>
          </w:p>
        </w:tc>
        <w:tc>
          <w:tcPr>
            <w:tcW w:w="1640" w:type="dxa"/>
            <w:vAlign w:val="center"/>
          </w:tcPr>
          <w:p>
            <w:pPr>
              <w:pStyle w:val="13"/>
              <w:tabs>
                <w:tab w:val="right" w:leader="dot" w:pos="8302"/>
              </w:tabs>
              <w:spacing w:line="340" w:lineRule="exact"/>
              <w:jc w:val="center"/>
              <w:rPr>
                <w:rFonts w:hint="eastAsia" w:ascii="仿宋_GB2312" w:hAnsi="黑体" w:eastAsia="仿宋_GB2312" w:cs="宋体"/>
                <w:kern w:val="0"/>
                <w:sz w:val="24"/>
                <w:lang w:val="en-US" w:eastAsia="zh-CN"/>
              </w:rPr>
            </w:pPr>
          </w:p>
        </w:tc>
        <w:tc>
          <w:tcPr>
            <w:tcW w:w="151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助理</w:t>
            </w:r>
            <w:r>
              <w:rPr>
                <w:rFonts w:hint="eastAsia" w:ascii="仿宋_GB2312" w:hAnsi="黑体" w:eastAsia="仿宋_GB2312" w:cs="宋体"/>
                <w:kern w:val="0"/>
                <w:sz w:val="24"/>
              </w:rPr>
              <w:t>会计师</w:t>
            </w:r>
          </w:p>
        </w:tc>
        <w:tc>
          <w:tcPr>
            <w:tcW w:w="1480" w:type="dxa"/>
            <w:vAlign w:val="center"/>
          </w:tcPr>
          <w:p>
            <w:pPr>
              <w:pStyle w:val="13"/>
              <w:tabs>
                <w:tab w:val="right" w:leader="dot" w:pos="8302"/>
              </w:tabs>
              <w:spacing w:line="340" w:lineRule="exact"/>
              <w:jc w:val="center"/>
              <w:rPr>
                <w:rFonts w:ascii="仿宋_GB2312" w:hAnsi="黑体" w:eastAsia="仿宋_GB2312" w:cs="宋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527" w:type="dxa"/>
            <w:vAlign w:val="center"/>
          </w:tcPr>
          <w:p>
            <w:pPr>
              <w:pStyle w:val="13"/>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5</w:t>
            </w:r>
          </w:p>
        </w:tc>
        <w:tc>
          <w:tcPr>
            <w:tcW w:w="1605" w:type="dxa"/>
            <w:vAlign w:val="center"/>
          </w:tcPr>
          <w:p>
            <w:pPr>
              <w:pStyle w:val="13"/>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项目组成员</w:t>
            </w:r>
          </w:p>
        </w:tc>
        <w:tc>
          <w:tcPr>
            <w:tcW w:w="196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阿曼古丽</w:t>
            </w:r>
          </w:p>
        </w:tc>
        <w:tc>
          <w:tcPr>
            <w:tcW w:w="1640" w:type="dxa"/>
            <w:vAlign w:val="center"/>
          </w:tcPr>
          <w:p>
            <w:pPr>
              <w:pStyle w:val="13"/>
              <w:tabs>
                <w:tab w:val="right" w:leader="dot" w:pos="8302"/>
              </w:tabs>
              <w:spacing w:line="340" w:lineRule="exact"/>
              <w:jc w:val="center"/>
              <w:rPr>
                <w:rFonts w:ascii="仿宋_GB2312" w:hAnsi="黑体" w:eastAsia="仿宋_GB2312" w:cs="宋体"/>
                <w:kern w:val="0"/>
                <w:sz w:val="24"/>
              </w:rPr>
            </w:pPr>
          </w:p>
        </w:tc>
        <w:tc>
          <w:tcPr>
            <w:tcW w:w="1510" w:type="dxa"/>
            <w:vAlign w:val="center"/>
          </w:tcPr>
          <w:p>
            <w:pPr>
              <w:pStyle w:val="13"/>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eastAsia="zh-CN"/>
              </w:rPr>
              <w:t>会计员</w:t>
            </w:r>
          </w:p>
        </w:tc>
        <w:tc>
          <w:tcPr>
            <w:tcW w:w="1480" w:type="dxa"/>
            <w:vAlign w:val="center"/>
          </w:tcPr>
          <w:p>
            <w:pPr>
              <w:pStyle w:val="13"/>
              <w:tabs>
                <w:tab w:val="right" w:leader="dot" w:pos="8302"/>
              </w:tabs>
              <w:spacing w:line="340" w:lineRule="exact"/>
              <w:jc w:val="center"/>
              <w:rPr>
                <w:rFonts w:ascii="仿宋_GB2312" w:hAnsi="黑体" w:eastAsia="仿宋_GB2312" w:cs="宋体"/>
                <w:kern w:val="0"/>
                <w:sz w:val="24"/>
              </w:rPr>
            </w:pPr>
          </w:p>
        </w:tc>
      </w:tr>
    </w:tbl>
    <w:p>
      <w:pPr>
        <w:ind w:firstLine="640" w:firstLineChars="200"/>
        <w:rPr>
          <w:rFonts w:ascii="仿宋_GB2312" w:eastAsia="仿宋_GB2312"/>
          <w:sz w:val="32"/>
          <w:szCs w:val="32"/>
        </w:rPr>
      </w:pPr>
    </w:p>
    <w:p>
      <w:pPr>
        <w:pStyle w:val="13"/>
        <w:tabs>
          <w:tab w:val="right" w:leader="dot" w:pos="8302"/>
        </w:tabs>
        <w:spacing w:line="340" w:lineRule="exact"/>
        <w:jc w:val="both"/>
        <w:rPr>
          <w:rFonts w:ascii="宋体" w:hAnsi="宋体" w:cs="宋体"/>
          <w:b/>
          <w:sz w:val="28"/>
          <w:szCs w:val="28"/>
        </w:rPr>
        <w:sectPr>
          <w:pgSz w:w="11906" w:h="16838"/>
          <w:pgMar w:top="2098" w:right="1531" w:bottom="1984" w:left="1531" w:header="851" w:footer="992" w:gutter="0"/>
          <w:pgBorders>
            <w:top w:val="none" w:sz="0" w:space="0"/>
            <w:left w:val="none" w:sz="0" w:space="0"/>
            <w:bottom w:val="none" w:sz="0" w:space="0"/>
            <w:right w:val="none" w:sz="0" w:space="0"/>
          </w:pgBorders>
          <w:cols w:space="425" w:num="1"/>
          <w:docGrid w:type="lines" w:linePitch="312" w:charSpace="0"/>
        </w:sectPr>
      </w:pPr>
    </w:p>
    <w:p>
      <w:pPr>
        <w:pStyle w:val="13"/>
        <w:tabs>
          <w:tab w:val="right" w:leader="dot" w:pos="8302"/>
        </w:tabs>
        <w:spacing w:line="340" w:lineRule="exact"/>
        <w:jc w:val="center"/>
        <w:rPr>
          <w:rFonts w:hint="eastAsia" w:ascii="黑体" w:hAnsi="黑体" w:eastAsia="黑体" w:cs="黑体"/>
          <w:b/>
          <w:sz w:val="36"/>
          <w:szCs w:val="36"/>
        </w:rPr>
      </w:pPr>
      <w:r>
        <w:rPr>
          <w:rFonts w:hint="eastAsia" w:ascii="黑体" w:hAnsi="黑体" w:eastAsia="黑体" w:cs="黑体"/>
          <w:b/>
          <w:sz w:val="36"/>
          <w:szCs w:val="36"/>
        </w:rPr>
        <w:t>目 录</w:t>
      </w:r>
    </w:p>
    <w:sdt>
      <w:sdtPr>
        <w:rPr>
          <w:rFonts w:ascii="宋体" w:hAnsi="宋体" w:eastAsia="宋体" w:cstheme="minorBidi"/>
          <w:kern w:val="2"/>
          <w:sz w:val="24"/>
          <w:szCs w:val="24"/>
          <w:lang w:val="en-US" w:eastAsia="zh-CN" w:bidi="ar-SA"/>
        </w:rPr>
        <w:id w:val="147475025"/>
        <w15:color w:val="DBDBDB"/>
        <w:docPartObj>
          <w:docPartGallery w:val="Table of Contents"/>
          <w:docPartUnique/>
        </w:docPartObj>
      </w:sdtPr>
      <w:sdtEndPr>
        <w:rPr>
          <w:rFonts w:asciiTheme="minorHAnsi" w:hAnsiTheme="minorHAnsi" w:eastAsiaTheme="minorEastAsia" w:cstheme="minorBidi"/>
          <w:b w:val="0"/>
          <w:bCs w:val="0"/>
          <w:kern w:val="2"/>
          <w:sz w:val="21"/>
          <w:szCs w:val="24"/>
          <w:highlight w:val="none"/>
          <w:lang w:val="en-US" w:eastAsia="zh-CN" w:bidi="ar-SA"/>
        </w:rPr>
      </w:sdtEndPr>
      <w:sdtContent>
        <w:p>
          <w:pPr>
            <w:spacing w:before="0" w:beforeLines="0" w:after="0" w:afterLines="0" w:line="240" w:lineRule="auto"/>
            <w:ind w:left="0" w:leftChars="0" w:right="0" w:rightChars="0" w:firstLine="0" w:firstLineChars="0"/>
            <w:jc w:val="center"/>
            <w:rPr>
              <w:rFonts w:asciiTheme="minorHAnsi" w:hAnsiTheme="minorHAnsi" w:eastAsiaTheme="minorEastAsia" w:cstheme="minorBidi"/>
              <w:b w:val="0"/>
              <w:bCs w:val="0"/>
              <w:kern w:val="2"/>
              <w:sz w:val="24"/>
              <w:szCs w:val="24"/>
              <w:highlight w:val="none"/>
              <w:lang w:val="en-US" w:eastAsia="zh-CN" w:bidi="ar-SA"/>
            </w:rPr>
          </w:pPr>
          <w:r>
            <w:rPr>
              <w:b w:val="0"/>
              <w:bCs w:val="0"/>
              <w:sz w:val="24"/>
              <w:szCs w:val="24"/>
              <w:highlight w:val="none"/>
            </w:rPr>
            <w:fldChar w:fldCharType="begin"/>
          </w:r>
          <w:r>
            <w:rPr>
              <w:b w:val="0"/>
              <w:bCs w:val="0"/>
              <w:sz w:val="24"/>
              <w:szCs w:val="24"/>
              <w:highlight w:val="none"/>
            </w:rPr>
            <w:instrText xml:space="preserve">TOC \o "1-2" \h \u </w:instrText>
          </w:r>
          <w:r>
            <w:rPr>
              <w:b w:val="0"/>
              <w:bCs w:val="0"/>
              <w:sz w:val="24"/>
              <w:szCs w:val="24"/>
              <w:highlight w:val="none"/>
            </w:rPr>
            <w:fldChar w:fldCharType="separate"/>
          </w:r>
        </w:p>
        <w:p>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_Toc28183 </w:instrText>
          </w:r>
          <w:r>
            <w:rPr>
              <w:bCs w:val="0"/>
              <w:szCs w:val="24"/>
              <w:highlight w:val="none"/>
            </w:rPr>
            <w:fldChar w:fldCharType="separate"/>
          </w:r>
          <w:r>
            <w:rPr>
              <w:rFonts w:hint="eastAsia" w:ascii="黑体" w:hAnsi="黑体" w:eastAsia="黑体" w:cs="宋体"/>
              <w:szCs w:val="32"/>
              <w:highlight w:val="none"/>
            </w:rPr>
            <w:t>一、项目概述</w:t>
          </w:r>
          <w:r>
            <w:rPr>
              <w:highlight w:val="none"/>
            </w:rPr>
            <w:tab/>
          </w:r>
          <w:r>
            <w:rPr>
              <w:highlight w:val="none"/>
            </w:rPr>
            <w:fldChar w:fldCharType="begin"/>
          </w:r>
          <w:r>
            <w:rPr>
              <w:highlight w:val="none"/>
            </w:rPr>
            <w:instrText xml:space="preserve"> PAGEREF _Toc28183 </w:instrText>
          </w:r>
          <w:r>
            <w:rPr>
              <w:highlight w:val="none"/>
            </w:rPr>
            <w:fldChar w:fldCharType="separate"/>
          </w:r>
          <w:r>
            <w:rPr>
              <w:highlight w:val="none"/>
            </w:rPr>
            <w:t>1</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_Toc27345 </w:instrText>
          </w:r>
          <w:r>
            <w:rPr>
              <w:bCs w:val="0"/>
              <w:szCs w:val="24"/>
              <w:highlight w:val="none"/>
            </w:rPr>
            <w:fldChar w:fldCharType="separate"/>
          </w:r>
          <w:r>
            <w:rPr>
              <w:rFonts w:hint="eastAsia" w:ascii="仿宋_GB2312" w:hAnsi="仿宋" w:eastAsia="仿宋_GB2312" w:cs="宋体"/>
              <w:bCs/>
              <w:szCs w:val="32"/>
              <w:highlight w:val="none"/>
            </w:rPr>
            <w:t>（一）项目基本情况</w:t>
          </w:r>
          <w:r>
            <w:rPr>
              <w:highlight w:val="none"/>
            </w:rPr>
            <w:tab/>
          </w:r>
          <w:r>
            <w:rPr>
              <w:highlight w:val="none"/>
            </w:rPr>
            <w:fldChar w:fldCharType="begin"/>
          </w:r>
          <w:r>
            <w:rPr>
              <w:highlight w:val="none"/>
            </w:rPr>
            <w:instrText xml:space="preserve"> PAGEREF _Toc27345 </w:instrText>
          </w:r>
          <w:r>
            <w:rPr>
              <w:highlight w:val="none"/>
            </w:rPr>
            <w:fldChar w:fldCharType="separate"/>
          </w:r>
          <w:r>
            <w:rPr>
              <w:highlight w:val="none"/>
            </w:rPr>
            <w:t>1</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_Toc30597 </w:instrText>
          </w:r>
          <w:r>
            <w:rPr>
              <w:bCs w:val="0"/>
              <w:szCs w:val="24"/>
              <w:highlight w:val="none"/>
            </w:rPr>
            <w:fldChar w:fldCharType="separate"/>
          </w:r>
          <w:r>
            <w:rPr>
              <w:rFonts w:hint="eastAsia" w:ascii="仿宋_GB2312" w:hAnsi="仿宋" w:eastAsia="仿宋_GB2312" w:cs="宋体"/>
              <w:bCs/>
              <w:szCs w:val="32"/>
              <w:highlight w:val="none"/>
            </w:rPr>
            <w:t>（二）项目资金情况</w:t>
          </w:r>
          <w:r>
            <w:rPr>
              <w:highlight w:val="none"/>
            </w:rPr>
            <w:tab/>
          </w:r>
          <w:r>
            <w:rPr>
              <w:highlight w:val="none"/>
            </w:rPr>
            <w:fldChar w:fldCharType="begin"/>
          </w:r>
          <w:r>
            <w:rPr>
              <w:highlight w:val="none"/>
            </w:rPr>
            <w:instrText xml:space="preserve"> PAGEREF _Toc30597 </w:instrText>
          </w:r>
          <w:r>
            <w:rPr>
              <w:highlight w:val="none"/>
            </w:rPr>
            <w:fldChar w:fldCharType="separate"/>
          </w:r>
          <w:r>
            <w:rPr>
              <w:highlight w:val="none"/>
            </w:rPr>
            <w:t>3</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_Toc4656 </w:instrText>
          </w:r>
          <w:r>
            <w:rPr>
              <w:bCs w:val="0"/>
              <w:szCs w:val="24"/>
              <w:highlight w:val="none"/>
            </w:rPr>
            <w:fldChar w:fldCharType="separate"/>
          </w:r>
          <w:r>
            <w:rPr>
              <w:rFonts w:hint="eastAsia" w:ascii="仿宋_GB2312" w:hAnsi="仿宋" w:eastAsia="仿宋_GB2312" w:cs="宋体"/>
              <w:bCs/>
              <w:szCs w:val="32"/>
              <w:highlight w:val="none"/>
            </w:rPr>
            <w:t>（三）绩效目标设置情况</w:t>
          </w:r>
          <w:r>
            <w:rPr>
              <w:highlight w:val="none"/>
            </w:rPr>
            <w:tab/>
          </w:r>
          <w:r>
            <w:rPr>
              <w:highlight w:val="none"/>
            </w:rPr>
            <w:fldChar w:fldCharType="begin"/>
          </w:r>
          <w:r>
            <w:rPr>
              <w:highlight w:val="none"/>
            </w:rPr>
            <w:instrText xml:space="preserve"> PAGEREF _Toc4656 </w:instrText>
          </w:r>
          <w:r>
            <w:rPr>
              <w:highlight w:val="none"/>
            </w:rPr>
            <w:fldChar w:fldCharType="separate"/>
          </w:r>
          <w:r>
            <w:rPr>
              <w:highlight w:val="none"/>
            </w:rPr>
            <w:t>4</w:t>
          </w:r>
          <w:r>
            <w:rPr>
              <w:highlight w:val="none"/>
            </w:rPr>
            <w:fldChar w:fldCharType="end"/>
          </w:r>
          <w:r>
            <w:rPr>
              <w:bCs w:val="0"/>
              <w:szCs w:val="24"/>
              <w:highlight w:val="none"/>
            </w:rPr>
            <w:fldChar w:fldCharType="end"/>
          </w:r>
        </w:p>
        <w:p>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_Toc25486 </w:instrText>
          </w:r>
          <w:r>
            <w:rPr>
              <w:bCs w:val="0"/>
              <w:szCs w:val="24"/>
              <w:highlight w:val="none"/>
            </w:rPr>
            <w:fldChar w:fldCharType="separate"/>
          </w:r>
          <w:r>
            <w:rPr>
              <w:rFonts w:hint="eastAsia" w:ascii="黑体" w:hAnsi="黑体" w:eastAsia="黑体" w:cs="宋体"/>
              <w:szCs w:val="32"/>
              <w:highlight w:val="none"/>
            </w:rPr>
            <w:t>二、评价工作简述</w:t>
          </w:r>
          <w:r>
            <w:rPr>
              <w:highlight w:val="none"/>
            </w:rPr>
            <w:tab/>
          </w:r>
          <w:r>
            <w:rPr>
              <w:highlight w:val="none"/>
            </w:rPr>
            <w:fldChar w:fldCharType="begin"/>
          </w:r>
          <w:r>
            <w:rPr>
              <w:highlight w:val="none"/>
            </w:rPr>
            <w:instrText xml:space="preserve"> PAGEREF _Toc25486 </w:instrText>
          </w:r>
          <w:r>
            <w:rPr>
              <w:highlight w:val="none"/>
            </w:rPr>
            <w:fldChar w:fldCharType="separate"/>
          </w:r>
          <w:r>
            <w:rPr>
              <w:highlight w:val="none"/>
            </w:rPr>
            <w:t>4</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_Toc8259 </w:instrText>
          </w:r>
          <w:r>
            <w:rPr>
              <w:bCs w:val="0"/>
              <w:szCs w:val="24"/>
              <w:highlight w:val="none"/>
            </w:rPr>
            <w:fldChar w:fldCharType="separate"/>
          </w:r>
          <w:r>
            <w:rPr>
              <w:rFonts w:hint="eastAsia" w:ascii="仿宋_GB2312" w:hAnsi="仿宋" w:eastAsia="仿宋_GB2312" w:cs="宋体"/>
              <w:bCs/>
              <w:szCs w:val="32"/>
              <w:highlight w:val="none"/>
            </w:rPr>
            <w:t>（一）评价目的</w:t>
          </w:r>
          <w:r>
            <w:rPr>
              <w:highlight w:val="none"/>
            </w:rPr>
            <w:tab/>
          </w:r>
          <w:r>
            <w:rPr>
              <w:highlight w:val="none"/>
            </w:rPr>
            <w:fldChar w:fldCharType="begin"/>
          </w:r>
          <w:r>
            <w:rPr>
              <w:highlight w:val="none"/>
            </w:rPr>
            <w:instrText xml:space="preserve"> PAGEREF _Toc8259 </w:instrText>
          </w:r>
          <w:r>
            <w:rPr>
              <w:highlight w:val="none"/>
            </w:rPr>
            <w:fldChar w:fldCharType="separate"/>
          </w:r>
          <w:r>
            <w:rPr>
              <w:highlight w:val="none"/>
            </w:rPr>
            <w:t>6</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_Toc22761 </w:instrText>
          </w:r>
          <w:r>
            <w:rPr>
              <w:bCs w:val="0"/>
              <w:szCs w:val="24"/>
              <w:highlight w:val="none"/>
            </w:rPr>
            <w:fldChar w:fldCharType="separate"/>
          </w:r>
          <w:r>
            <w:rPr>
              <w:rFonts w:hint="eastAsia" w:ascii="仿宋_GB2312" w:hAnsi="仿宋" w:eastAsia="仿宋_GB2312" w:cs="宋体"/>
              <w:bCs/>
              <w:szCs w:val="32"/>
              <w:highlight w:val="none"/>
            </w:rPr>
            <w:t>（二）绩效评价工作</w:t>
          </w:r>
          <w:r>
            <w:rPr>
              <w:rFonts w:hint="eastAsia" w:ascii="仿宋_GB2312" w:hAnsi="仿宋" w:eastAsia="仿宋_GB2312" w:cs="宋体"/>
              <w:bCs/>
              <w:szCs w:val="32"/>
              <w:highlight w:val="none"/>
              <w:lang w:val="en-US" w:eastAsia="zh-CN"/>
            </w:rPr>
            <w:t>的基本</w:t>
          </w:r>
          <w:r>
            <w:rPr>
              <w:rFonts w:hint="eastAsia" w:ascii="仿宋_GB2312" w:hAnsi="仿宋" w:eastAsia="仿宋_GB2312" w:cs="宋体"/>
              <w:bCs/>
              <w:szCs w:val="32"/>
              <w:highlight w:val="none"/>
            </w:rPr>
            <w:t>思路</w:t>
          </w:r>
          <w:r>
            <w:rPr>
              <w:highlight w:val="none"/>
            </w:rPr>
            <w:tab/>
          </w:r>
          <w:r>
            <w:rPr>
              <w:highlight w:val="none"/>
            </w:rPr>
            <w:fldChar w:fldCharType="begin"/>
          </w:r>
          <w:r>
            <w:rPr>
              <w:highlight w:val="none"/>
            </w:rPr>
            <w:instrText xml:space="preserve"> PAGEREF _Toc22761 </w:instrText>
          </w:r>
          <w:r>
            <w:rPr>
              <w:highlight w:val="none"/>
            </w:rPr>
            <w:fldChar w:fldCharType="separate"/>
          </w:r>
          <w:r>
            <w:rPr>
              <w:highlight w:val="none"/>
            </w:rPr>
            <w:t>6</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_Toc7962 </w:instrText>
          </w:r>
          <w:r>
            <w:rPr>
              <w:bCs w:val="0"/>
              <w:szCs w:val="24"/>
              <w:highlight w:val="none"/>
            </w:rPr>
            <w:fldChar w:fldCharType="separate"/>
          </w:r>
          <w:r>
            <w:rPr>
              <w:rFonts w:hint="eastAsia" w:ascii="仿宋_GB2312" w:hAnsi="仿宋" w:eastAsia="仿宋_GB2312" w:cs="宋体"/>
              <w:bCs/>
              <w:szCs w:val="32"/>
              <w:highlight w:val="none"/>
            </w:rPr>
            <w:t>（三）评价原则</w:t>
          </w:r>
          <w:r>
            <w:rPr>
              <w:highlight w:val="none"/>
            </w:rPr>
            <w:tab/>
          </w:r>
          <w:r>
            <w:rPr>
              <w:highlight w:val="none"/>
            </w:rPr>
            <w:fldChar w:fldCharType="begin"/>
          </w:r>
          <w:r>
            <w:rPr>
              <w:highlight w:val="none"/>
            </w:rPr>
            <w:instrText xml:space="preserve"> PAGEREF _Toc7962 </w:instrText>
          </w:r>
          <w:r>
            <w:rPr>
              <w:highlight w:val="none"/>
            </w:rPr>
            <w:fldChar w:fldCharType="separate"/>
          </w:r>
          <w:r>
            <w:rPr>
              <w:highlight w:val="none"/>
            </w:rPr>
            <w:t>7</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_Toc1742 </w:instrText>
          </w:r>
          <w:r>
            <w:rPr>
              <w:bCs w:val="0"/>
              <w:szCs w:val="24"/>
              <w:highlight w:val="none"/>
            </w:rPr>
            <w:fldChar w:fldCharType="separate"/>
          </w:r>
          <w:r>
            <w:rPr>
              <w:rFonts w:hint="eastAsia" w:ascii="仿宋_GB2312" w:hAnsi="仿宋" w:eastAsia="仿宋_GB2312" w:cs="宋体"/>
              <w:bCs/>
              <w:szCs w:val="32"/>
              <w:highlight w:val="none"/>
            </w:rPr>
            <w:t>（四）评价方法</w:t>
          </w:r>
          <w:r>
            <w:rPr>
              <w:highlight w:val="none"/>
            </w:rPr>
            <w:tab/>
          </w:r>
          <w:r>
            <w:rPr>
              <w:highlight w:val="none"/>
            </w:rPr>
            <w:fldChar w:fldCharType="begin"/>
          </w:r>
          <w:r>
            <w:rPr>
              <w:highlight w:val="none"/>
            </w:rPr>
            <w:instrText xml:space="preserve"> PAGEREF _Toc1742 </w:instrText>
          </w:r>
          <w:r>
            <w:rPr>
              <w:highlight w:val="none"/>
            </w:rPr>
            <w:fldChar w:fldCharType="separate"/>
          </w:r>
          <w:r>
            <w:rPr>
              <w:highlight w:val="none"/>
            </w:rPr>
            <w:t>7</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_Toc16588 </w:instrText>
          </w:r>
          <w:r>
            <w:rPr>
              <w:bCs w:val="0"/>
              <w:szCs w:val="24"/>
              <w:highlight w:val="none"/>
            </w:rPr>
            <w:fldChar w:fldCharType="separate"/>
          </w:r>
          <w:r>
            <w:rPr>
              <w:rFonts w:hint="eastAsia" w:ascii="仿宋_GB2312" w:hAnsi="仿宋" w:eastAsia="仿宋_GB2312" w:cs="宋体"/>
              <w:bCs/>
              <w:szCs w:val="32"/>
              <w:highlight w:val="none"/>
            </w:rPr>
            <w:t>（五） 指标体系</w:t>
          </w:r>
          <w:r>
            <w:rPr>
              <w:highlight w:val="none"/>
            </w:rPr>
            <w:tab/>
          </w:r>
          <w:r>
            <w:rPr>
              <w:highlight w:val="none"/>
            </w:rPr>
            <w:fldChar w:fldCharType="begin"/>
          </w:r>
          <w:r>
            <w:rPr>
              <w:highlight w:val="none"/>
            </w:rPr>
            <w:instrText xml:space="preserve"> PAGEREF _Toc16588 </w:instrText>
          </w:r>
          <w:r>
            <w:rPr>
              <w:highlight w:val="none"/>
            </w:rPr>
            <w:fldChar w:fldCharType="separate"/>
          </w:r>
          <w:r>
            <w:rPr>
              <w:highlight w:val="none"/>
            </w:rPr>
            <w:t>7</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_Toc31692 </w:instrText>
          </w:r>
          <w:r>
            <w:rPr>
              <w:bCs w:val="0"/>
              <w:szCs w:val="24"/>
              <w:highlight w:val="none"/>
            </w:rPr>
            <w:fldChar w:fldCharType="separate"/>
          </w:r>
          <w:r>
            <w:rPr>
              <w:rFonts w:hint="eastAsia" w:ascii="仿宋_GB2312" w:hAnsi="仿宋" w:eastAsia="仿宋_GB2312" w:cs="宋体"/>
              <w:bCs/>
              <w:szCs w:val="32"/>
              <w:highlight w:val="none"/>
            </w:rPr>
            <w:t>（六）评价等级划分</w:t>
          </w:r>
          <w:r>
            <w:rPr>
              <w:highlight w:val="none"/>
            </w:rPr>
            <w:tab/>
          </w:r>
          <w:r>
            <w:rPr>
              <w:highlight w:val="none"/>
            </w:rPr>
            <w:fldChar w:fldCharType="begin"/>
          </w:r>
          <w:r>
            <w:rPr>
              <w:highlight w:val="none"/>
            </w:rPr>
            <w:instrText xml:space="preserve"> PAGEREF _Toc31692 </w:instrText>
          </w:r>
          <w:r>
            <w:rPr>
              <w:highlight w:val="none"/>
            </w:rPr>
            <w:fldChar w:fldCharType="separate"/>
          </w:r>
          <w:r>
            <w:rPr>
              <w:highlight w:val="none"/>
            </w:rPr>
            <w:t>8</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_Toc24267 </w:instrText>
          </w:r>
          <w:r>
            <w:rPr>
              <w:bCs w:val="0"/>
              <w:szCs w:val="24"/>
              <w:highlight w:val="none"/>
            </w:rPr>
            <w:fldChar w:fldCharType="separate"/>
          </w:r>
          <w:r>
            <w:rPr>
              <w:rFonts w:hint="eastAsia" w:ascii="仿宋_GB2312" w:hAnsi="仿宋" w:eastAsia="仿宋_GB2312" w:cs="宋体"/>
              <w:bCs/>
              <w:szCs w:val="32"/>
              <w:highlight w:val="none"/>
            </w:rPr>
            <w:t>（七）评价工作实施情况</w:t>
          </w:r>
          <w:r>
            <w:rPr>
              <w:highlight w:val="none"/>
            </w:rPr>
            <w:tab/>
          </w:r>
          <w:r>
            <w:rPr>
              <w:highlight w:val="none"/>
            </w:rPr>
            <w:fldChar w:fldCharType="begin"/>
          </w:r>
          <w:r>
            <w:rPr>
              <w:highlight w:val="none"/>
            </w:rPr>
            <w:instrText xml:space="preserve"> PAGEREF _Toc24267 </w:instrText>
          </w:r>
          <w:r>
            <w:rPr>
              <w:highlight w:val="none"/>
            </w:rPr>
            <w:fldChar w:fldCharType="separate"/>
          </w:r>
          <w:r>
            <w:rPr>
              <w:highlight w:val="none"/>
            </w:rPr>
            <w:t>8</w:t>
          </w:r>
          <w:r>
            <w:rPr>
              <w:highlight w:val="none"/>
            </w:rPr>
            <w:fldChar w:fldCharType="end"/>
          </w:r>
          <w:r>
            <w:rPr>
              <w:bCs w:val="0"/>
              <w:szCs w:val="24"/>
              <w:highlight w:val="none"/>
            </w:rPr>
            <w:fldChar w:fldCharType="end"/>
          </w:r>
        </w:p>
        <w:p>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_Toc27359 </w:instrText>
          </w:r>
          <w:r>
            <w:rPr>
              <w:bCs w:val="0"/>
              <w:szCs w:val="24"/>
              <w:highlight w:val="none"/>
            </w:rPr>
            <w:fldChar w:fldCharType="separate"/>
          </w:r>
          <w:r>
            <w:rPr>
              <w:rFonts w:hint="eastAsia" w:ascii="黑体" w:hAnsi="黑体" w:eastAsia="黑体" w:cs="宋体"/>
              <w:szCs w:val="32"/>
              <w:highlight w:val="none"/>
            </w:rPr>
            <w:t>三、绩效评价分析</w:t>
          </w:r>
          <w:r>
            <w:rPr>
              <w:highlight w:val="none"/>
            </w:rPr>
            <w:tab/>
          </w:r>
          <w:r>
            <w:rPr>
              <w:highlight w:val="none"/>
            </w:rPr>
            <w:fldChar w:fldCharType="begin"/>
          </w:r>
          <w:r>
            <w:rPr>
              <w:highlight w:val="none"/>
            </w:rPr>
            <w:instrText xml:space="preserve"> PAGEREF _Toc27359 </w:instrText>
          </w:r>
          <w:r>
            <w:rPr>
              <w:highlight w:val="none"/>
            </w:rPr>
            <w:fldChar w:fldCharType="separate"/>
          </w:r>
          <w:r>
            <w:rPr>
              <w:highlight w:val="none"/>
            </w:rPr>
            <w:t>10</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_Toc5787 </w:instrText>
          </w:r>
          <w:r>
            <w:rPr>
              <w:bCs w:val="0"/>
              <w:szCs w:val="24"/>
              <w:highlight w:val="none"/>
            </w:rPr>
            <w:fldChar w:fldCharType="separate"/>
          </w:r>
          <w:r>
            <w:rPr>
              <w:rFonts w:hint="eastAsia" w:ascii="仿宋_GB2312" w:hAnsi="仿宋" w:eastAsia="仿宋_GB2312" w:cs="宋体"/>
              <w:bCs/>
              <w:szCs w:val="32"/>
              <w:highlight w:val="none"/>
            </w:rPr>
            <w:t>（一）项目决策分析</w:t>
          </w:r>
          <w:r>
            <w:rPr>
              <w:highlight w:val="none"/>
            </w:rPr>
            <w:tab/>
          </w:r>
          <w:r>
            <w:rPr>
              <w:highlight w:val="none"/>
            </w:rPr>
            <w:fldChar w:fldCharType="begin"/>
          </w:r>
          <w:r>
            <w:rPr>
              <w:highlight w:val="none"/>
            </w:rPr>
            <w:instrText xml:space="preserve"> PAGEREF _Toc5787 </w:instrText>
          </w:r>
          <w:r>
            <w:rPr>
              <w:highlight w:val="none"/>
            </w:rPr>
            <w:fldChar w:fldCharType="separate"/>
          </w:r>
          <w:r>
            <w:rPr>
              <w:highlight w:val="none"/>
            </w:rPr>
            <w:t>10</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_Toc5610 </w:instrText>
          </w:r>
          <w:r>
            <w:rPr>
              <w:bCs w:val="0"/>
              <w:szCs w:val="24"/>
              <w:highlight w:val="none"/>
            </w:rPr>
            <w:fldChar w:fldCharType="separate"/>
          </w:r>
          <w:r>
            <w:rPr>
              <w:rFonts w:hint="eastAsia" w:ascii="仿宋_GB2312" w:hAnsi="仿宋" w:eastAsia="仿宋_GB2312" w:cs="宋体"/>
              <w:bCs/>
              <w:szCs w:val="32"/>
              <w:highlight w:val="none"/>
            </w:rPr>
            <w:t>（二）项目管理</w:t>
          </w:r>
          <w:r>
            <w:rPr>
              <w:rFonts w:hint="eastAsia" w:ascii="仿宋_GB2312" w:hAnsi="仿宋" w:eastAsia="仿宋_GB2312" w:cs="宋体"/>
              <w:bCs/>
              <w:szCs w:val="32"/>
              <w:highlight w:val="none"/>
              <w:lang w:val="en-US" w:eastAsia="zh-CN"/>
            </w:rPr>
            <w:t>过程</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_Toc5610 </w:instrText>
          </w:r>
          <w:r>
            <w:rPr>
              <w:highlight w:val="none"/>
            </w:rPr>
            <w:fldChar w:fldCharType="separate"/>
          </w:r>
          <w:r>
            <w:rPr>
              <w:highlight w:val="none"/>
            </w:rPr>
            <w:t>12</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_Toc31015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三</w:t>
          </w:r>
          <w:r>
            <w:rPr>
              <w:rFonts w:hint="eastAsia" w:ascii="仿宋_GB2312" w:hAnsi="仿宋" w:eastAsia="仿宋_GB2312" w:cs="宋体"/>
              <w:bCs/>
              <w:szCs w:val="32"/>
              <w:highlight w:val="none"/>
            </w:rPr>
            <w:t>）项目</w:t>
          </w:r>
          <w:r>
            <w:rPr>
              <w:rFonts w:hint="eastAsia" w:ascii="仿宋_GB2312" w:hAnsi="仿宋" w:eastAsia="仿宋_GB2312" w:cs="宋体"/>
              <w:bCs/>
              <w:szCs w:val="32"/>
              <w:highlight w:val="none"/>
              <w:lang w:val="en-US" w:eastAsia="zh-CN"/>
            </w:rPr>
            <w:t>产出</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_Toc31015 </w:instrText>
          </w:r>
          <w:r>
            <w:rPr>
              <w:highlight w:val="none"/>
            </w:rPr>
            <w:fldChar w:fldCharType="separate"/>
          </w:r>
          <w:r>
            <w:rPr>
              <w:highlight w:val="none"/>
            </w:rPr>
            <w:t>14</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_Toc3708 </w:instrText>
          </w:r>
          <w:r>
            <w:rPr>
              <w:bCs w:val="0"/>
              <w:szCs w:val="24"/>
              <w:highlight w:val="none"/>
            </w:rPr>
            <w:fldChar w:fldCharType="separate"/>
          </w:r>
          <w:r>
            <w:rPr>
              <w:rFonts w:hint="eastAsia" w:ascii="仿宋_GB2312" w:hAnsi="仿宋" w:eastAsia="仿宋_GB2312" w:cs="宋体"/>
              <w:bCs/>
              <w:szCs w:val="32"/>
              <w:highlight w:val="none"/>
              <w:lang w:val="en-US" w:eastAsia="zh-CN"/>
            </w:rPr>
            <w:t>（四）项目效益评价分析</w:t>
          </w:r>
          <w:r>
            <w:rPr>
              <w:highlight w:val="none"/>
            </w:rPr>
            <w:tab/>
          </w:r>
          <w:r>
            <w:rPr>
              <w:highlight w:val="none"/>
            </w:rPr>
            <w:fldChar w:fldCharType="begin"/>
          </w:r>
          <w:r>
            <w:rPr>
              <w:highlight w:val="none"/>
            </w:rPr>
            <w:instrText xml:space="preserve"> PAGEREF _Toc3708 </w:instrText>
          </w:r>
          <w:r>
            <w:rPr>
              <w:highlight w:val="none"/>
            </w:rPr>
            <w:fldChar w:fldCharType="separate"/>
          </w:r>
          <w:r>
            <w:rPr>
              <w:highlight w:val="none"/>
            </w:rPr>
            <w:t>14</w:t>
          </w:r>
          <w:r>
            <w:rPr>
              <w:highlight w:val="none"/>
            </w:rPr>
            <w:fldChar w:fldCharType="end"/>
          </w:r>
          <w:r>
            <w:rPr>
              <w:bCs w:val="0"/>
              <w:szCs w:val="24"/>
              <w:highlight w:val="none"/>
            </w:rPr>
            <w:fldChar w:fldCharType="end"/>
          </w:r>
        </w:p>
        <w:p>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_Toc6584 </w:instrText>
          </w:r>
          <w:r>
            <w:rPr>
              <w:bCs w:val="0"/>
              <w:szCs w:val="24"/>
              <w:highlight w:val="none"/>
            </w:rPr>
            <w:fldChar w:fldCharType="separate"/>
          </w:r>
          <w:r>
            <w:rPr>
              <w:rFonts w:hint="eastAsia" w:ascii="黑体" w:hAnsi="黑体" w:eastAsia="黑体" w:cs="宋体"/>
              <w:szCs w:val="32"/>
              <w:highlight w:val="none"/>
              <w:lang w:val="en-US" w:eastAsia="zh-CN"/>
            </w:rPr>
            <w:t>四、</w:t>
          </w:r>
          <w:r>
            <w:rPr>
              <w:rFonts w:hint="eastAsia" w:ascii="黑体" w:hAnsi="黑体" w:eastAsia="黑体" w:cs="宋体"/>
              <w:szCs w:val="32"/>
              <w:highlight w:val="none"/>
            </w:rPr>
            <w:t>评价结论</w:t>
          </w:r>
          <w:r>
            <w:rPr>
              <w:highlight w:val="none"/>
            </w:rPr>
            <w:tab/>
          </w:r>
          <w:r>
            <w:rPr>
              <w:highlight w:val="none"/>
            </w:rPr>
            <w:fldChar w:fldCharType="begin"/>
          </w:r>
          <w:r>
            <w:rPr>
              <w:highlight w:val="none"/>
            </w:rPr>
            <w:instrText xml:space="preserve"> PAGEREF _Toc6584 </w:instrText>
          </w:r>
          <w:r>
            <w:rPr>
              <w:highlight w:val="none"/>
            </w:rPr>
            <w:fldChar w:fldCharType="separate"/>
          </w:r>
          <w:r>
            <w:rPr>
              <w:highlight w:val="none"/>
            </w:rPr>
            <w:t>15</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_Toc13481 </w:instrText>
          </w:r>
          <w:r>
            <w:rPr>
              <w:bCs w:val="0"/>
              <w:szCs w:val="24"/>
              <w:highlight w:val="none"/>
            </w:rPr>
            <w:fldChar w:fldCharType="separate"/>
          </w:r>
          <w:r>
            <w:rPr>
              <w:rFonts w:hint="eastAsia" w:ascii="仿宋_GB2312" w:hAnsi="仿宋" w:eastAsia="仿宋_GB2312" w:cs="宋体"/>
              <w:bCs/>
              <w:szCs w:val="32"/>
              <w:highlight w:val="none"/>
            </w:rPr>
            <w:t>（一）评分结果</w:t>
          </w:r>
          <w:r>
            <w:rPr>
              <w:highlight w:val="none"/>
            </w:rPr>
            <w:tab/>
          </w:r>
          <w:r>
            <w:rPr>
              <w:highlight w:val="none"/>
            </w:rPr>
            <w:fldChar w:fldCharType="begin"/>
          </w:r>
          <w:r>
            <w:rPr>
              <w:highlight w:val="none"/>
            </w:rPr>
            <w:instrText xml:space="preserve"> PAGEREF _Toc13481 </w:instrText>
          </w:r>
          <w:r>
            <w:rPr>
              <w:highlight w:val="none"/>
            </w:rPr>
            <w:fldChar w:fldCharType="separate"/>
          </w:r>
          <w:r>
            <w:rPr>
              <w:highlight w:val="none"/>
            </w:rPr>
            <w:t>15</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_Toc3803 </w:instrText>
          </w:r>
          <w:r>
            <w:rPr>
              <w:bCs w:val="0"/>
              <w:szCs w:val="24"/>
              <w:highlight w:val="none"/>
            </w:rPr>
            <w:fldChar w:fldCharType="separate"/>
          </w:r>
          <w:r>
            <w:rPr>
              <w:rFonts w:hint="eastAsia" w:ascii="仿宋_GB2312" w:hAnsi="仿宋" w:eastAsia="仿宋_GB2312" w:cs="宋体"/>
              <w:bCs/>
              <w:szCs w:val="32"/>
              <w:highlight w:val="none"/>
            </w:rPr>
            <w:t>（二）项目总体评价结论</w:t>
          </w:r>
          <w:r>
            <w:rPr>
              <w:highlight w:val="none"/>
            </w:rPr>
            <w:tab/>
          </w:r>
          <w:r>
            <w:rPr>
              <w:highlight w:val="none"/>
            </w:rPr>
            <w:fldChar w:fldCharType="begin"/>
          </w:r>
          <w:r>
            <w:rPr>
              <w:highlight w:val="none"/>
            </w:rPr>
            <w:instrText xml:space="preserve"> PAGEREF _Toc3803 </w:instrText>
          </w:r>
          <w:r>
            <w:rPr>
              <w:highlight w:val="none"/>
            </w:rPr>
            <w:fldChar w:fldCharType="separate"/>
          </w:r>
          <w:r>
            <w:rPr>
              <w:highlight w:val="none"/>
            </w:rPr>
            <w:t>15</w:t>
          </w:r>
          <w:r>
            <w:rPr>
              <w:highlight w:val="none"/>
            </w:rPr>
            <w:fldChar w:fldCharType="end"/>
          </w:r>
          <w:r>
            <w:rPr>
              <w:bCs w:val="0"/>
              <w:szCs w:val="24"/>
              <w:highlight w:val="none"/>
            </w:rPr>
            <w:fldChar w:fldCharType="end"/>
          </w:r>
        </w:p>
        <w:p>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_Toc7267 </w:instrText>
          </w:r>
          <w:r>
            <w:rPr>
              <w:bCs w:val="0"/>
              <w:szCs w:val="24"/>
              <w:highlight w:val="none"/>
            </w:rPr>
            <w:fldChar w:fldCharType="separate"/>
          </w:r>
          <w:r>
            <w:rPr>
              <w:rFonts w:hint="eastAsia" w:ascii="黑体" w:hAnsi="黑体" w:eastAsia="黑体" w:cs="宋体"/>
              <w:szCs w:val="32"/>
              <w:highlight w:val="none"/>
            </w:rPr>
            <w:t>五、问题</w:t>
          </w:r>
          <w:r>
            <w:rPr>
              <w:rFonts w:hint="eastAsia" w:ascii="黑体" w:hAnsi="黑体" w:eastAsia="黑体" w:cs="宋体"/>
              <w:szCs w:val="32"/>
              <w:highlight w:val="none"/>
              <w:lang w:val="en-US" w:eastAsia="zh-CN"/>
            </w:rPr>
            <w:t>及建议</w:t>
          </w:r>
          <w:r>
            <w:rPr>
              <w:highlight w:val="none"/>
            </w:rPr>
            <w:tab/>
          </w:r>
          <w:r>
            <w:rPr>
              <w:highlight w:val="none"/>
            </w:rPr>
            <w:fldChar w:fldCharType="begin"/>
          </w:r>
          <w:r>
            <w:rPr>
              <w:highlight w:val="none"/>
            </w:rPr>
            <w:instrText xml:space="preserve"> PAGEREF _Toc7267 </w:instrText>
          </w:r>
          <w:r>
            <w:rPr>
              <w:highlight w:val="none"/>
            </w:rPr>
            <w:fldChar w:fldCharType="separate"/>
          </w:r>
          <w:r>
            <w:rPr>
              <w:highlight w:val="none"/>
            </w:rPr>
            <w:t>15</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_Toc2013 </w:instrText>
          </w:r>
          <w:r>
            <w:rPr>
              <w:bCs w:val="0"/>
              <w:szCs w:val="24"/>
              <w:highlight w:val="none"/>
            </w:rPr>
            <w:fldChar w:fldCharType="separate"/>
          </w:r>
          <w:r>
            <w:rPr>
              <w:rFonts w:hint="eastAsia" w:ascii="仿宋_GB2312" w:hAnsi="仿宋" w:eastAsia="仿宋_GB2312" w:cs="宋体"/>
              <w:bCs/>
              <w:szCs w:val="32"/>
              <w:highlight w:val="none"/>
            </w:rPr>
            <w:t>（一）问题</w:t>
          </w:r>
          <w:r>
            <w:rPr>
              <w:highlight w:val="none"/>
            </w:rPr>
            <w:tab/>
          </w:r>
          <w:r>
            <w:rPr>
              <w:highlight w:val="none"/>
            </w:rPr>
            <w:fldChar w:fldCharType="begin"/>
          </w:r>
          <w:r>
            <w:rPr>
              <w:highlight w:val="none"/>
            </w:rPr>
            <w:instrText xml:space="preserve"> PAGEREF _Toc2013 </w:instrText>
          </w:r>
          <w:r>
            <w:rPr>
              <w:highlight w:val="none"/>
            </w:rPr>
            <w:fldChar w:fldCharType="separate"/>
          </w:r>
          <w:r>
            <w:rPr>
              <w:highlight w:val="none"/>
            </w:rPr>
            <w:t>15</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_Toc4075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二</w:t>
          </w:r>
          <w:r>
            <w:rPr>
              <w:rFonts w:hint="eastAsia" w:ascii="仿宋_GB2312" w:hAnsi="仿宋" w:eastAsia="仿宋_GB2312" w:cs="宋体"/>
              <w:bCs/>
              <w:szCs w:val="32"/>
              <w:highlight w:val="none"/>
            </w:rPr>
            <w:t>）意见和建议</w:t>
          </w:r>
          <w:r>
            <w:rPr>
              <w:highlight w:val="none"/>
            </w:rPr>
            <w:tab/>
          </w:r>
          <w:r>
            <w:rPr>
              <w:highlight w:val="none"/>
            </w:rPr>
            <w:fldChar w:fldCharType="begin"/>
          </w:r>
          <w:r>
            <w:rPr>
              <w:highlight w:val="none"/>
            </w:rPr>
            <w:instrText xml:space="preserve"> PAGEREF _Toc4075 </w:instrText>
          </w:r>
          <w:r>
            <w:rPr>
              <w:highlight w:val="none"/>
            </w:rPr>
            <w:fldChar w:fldCharType="separate"/>
          </w:r>
          <w:r>
            <w:rPr>
              <w:highlight w:val="none"/>
            </w:rPr>
            <w:t>16</w:t>
          </w:r>
          <w:r>
            <w:rPr>
              <w:highlight w:val="none"/>
            </w:rPr>
            <w:fldChar w:fldCharType="end"/>
          </w:r>
          <w:r>
            <w:rPr>
              <w:bCs w:val="0"/>
              <w:szCs w:val="24"/>
              <w:highlight w:val="none"/>
            </w:rPr>
            <w:fldChar w:fldCharType="end"/>
          </w:r>
        </w:p>
        <w:p>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_Toc17475 </w:instrText>
          </w:r>
          <w:r>
            <w:rPr>
              <w:bCs w:val="0"/>
              <w:szCs w:val="24"/>
              <w:highlight w:val="none"/>
            </w:rPr>
            <w:fldChar w:fldCharType="separate"/>
          </w:r>
          <w:r>
            <w:rPr>
              <w:rFonts w:hint="eastAsia" w:ascii="黑体" w:hAnsi="黑体" w:eastAsia="黑体" w:cs="宋体"/>
              <w:szCs w:val="32"/>
              <w:highlight w:val="none"/>
            </w:rPr>
            <w:t>六、主要经验及做法</w:t>
          </w:r>
          <w:r>
            <w:rPr>
              <w:highlight w:val="none"/>
            </w:rPr>
            <w:tab/>
          </w:r>
          <w:r>
            <w:rPr>
              <w:highlight w:val="none"/>
            </w:rPr>
            <w:fldChar w:fldCharType="begin"/>
          </w:r>
          <w:r>
            <w:rPr>
              <w:highlight w:val="none"/>
            </w:rPr>
            <w:instrText xml:space="preserve"> PAGEREF _Toc17475 </w:instrText>
          </w:r>
          <w:r>
            <w:rPr>
              <w:highlight w:val="none"/>
            </w:rPr>
            <w:fldChar w:fldCharType="separate"/>
          </w:r>
          <w:r>
            <w:rPr>
              <w:highlight w:val="none"/>
            </w:rPr>
            <w:t>16</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_Toc32230 </w:instrText>
          </w:r>
          <w:r>
            <w:rPr>
              <w:bCs w:val="0"/>
              <w:szCs w:val="24"/>
              <w:highlight w:val="none"/>
            </w:rPr>
            <w:fldChar w:fldCharType="separate"/>
          </w:r>
          <w:r>
            <w:rPr>
              <w:rFonts w:hint="eastAsia" w:ascii="仿宋_GB2312" w:hAnsi="仿宋" w:eastAsia="仿宋_GB2312" w:cs="宋体"/>
              <w:bCs/>
              <w:szCs w:val="32"/>
              <w:highlight w:val="none"/>
            </w:rPr>
            <w:t>（一）项目实施过程有效监控</w:t>
          </w:r>
          <w:r>
            <w:rPr>
              <w:highlight w:val="none"/>
            </w:rPr>
            <w:tab/>
          </w:r>
          <w:r>
            <w:rPr>
              <w:highlight w:val="none"/>
            </w:rPr>
            <w:fldChar w:fldCharType="begin"/>
          </w:r>
          <w:r>
            <w:rPr>
              <w:highlight w:val="none"/>
            </w:rPr>
            <w:instrText xml:space="preserve"> PAGEREF _Toc32230 </w:instrText>
          </w:r>
          <w:r>
            <w:rPr>
              <w:highlight w:val="none"/>
            </w:rPr>
            <w:fldChar w:fldCharType="separate"/>
          </w:r>
          <w:r>
            <w:rPr>
              <w:highlight w:val="none"/>
            </w:rPr>
            <w:t>16</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_Toc22631 </w:instrText>
          </w:r>
          <w:r>
            <w:rPr>
              <w:bCs w:val="0"/>
              <w:szCs w:val="24"/>
              <w:highlight w:val="none"/>
            </w:rPr>
            <w:fldChar w:fldCharType="separate"/>
          </w:r>
          <w:r>
            <w:rPr>
              <w:rFonts w:hint="eastAsia" w:ascii="仿宋_GB2312" w:hAnsi="仿宋" w:eastAsia="仿宋_GB2312" w:cs="宋体"/>
              <w:bCs/>
              <w:szCs w:val="32"/>
              <w:highlight w:val="none"/>
            </w:rPr>
            <w:t>（二）强化领导，明确职责，合理安排使用资金</w:t>
          </w:r>
          <w:r>
            <w:rPr>
              <w:highlight w:val="none"/>
            </w:rPr>
            <w:tab/>
          </w:r>
          <w:r>
            <w:rPr>
              <w:highlight w:val="none"/>
            </w:rPr>
            <w:fldChar w:fldCharType="begin"/>
          </w:r>
          <w:r>
            <w:rPr>
              <w:highlight w:val="none"/>
            </w:rPr>
            <w:instrText xml:space="preserve"> PAGEREF _Toc22631 </w:instrText>
          </w:r>
          <w:r>
            <w:rPr>
              <w:highlight w:val="none"/>
            </w:rPr>
            <w:fldChar w:fldCharType="separate"/>
          </w:r>
          <w:r>
            <w:rPr>
              <w:highlight w:val="none"/>
            </w:rPr>
            <w:t>16</w:t>
          </w:r>
          <w:r>
            <w:rPr>
              <w:highlight w:val="none"/>
            </w:rPr>
            <w:fldChar w:fldCharType="end"/>
          </w:r>
          <w:r>
            <w:rPr>
              <w:bCs w:val="0"/>
              <w:szCs w:val="24"/>
              <w:highlight w:val="none"/>
            </w:rPr>
            <w:fldChar w:fldCharType="end"/>
          </w:r>
        </w:p>
        <w:p>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_Toc14650 </w:instrText>
          </w:r>
          <w:r>
            <w:rPr>
              <w:bCs w:val="0"/>
              <w:szCs w:val="24"/>
              <w:highlight w:val="none"/>
            </w:rPr>
            <w:fldChar w:fldCharType="separate"/>
          </w:r>
          <w:r>
            <w:rPr>
              <w:rFonts w:hint="eastAsia" w:ascii="黑体" w:hAnsi="黑体" w:eastAsia="黑体" w:cs="宋体"/>
              <w:szCs w:val="32"/>
              <w:highlight w:val="none"/>
            </w:rPr>
            <w:t>七、评价结果应用建议</w:t>
          </w:r>
          <w:r>
            <w:rPr>
              <w:highlight w:val="none"/>
            </w:rPr>
            <w:tab/>
          </w:r>
          <w:r>
            <w:rPr>
              <w:highlight w:val="none"/>
            </w:rPr>
            <w:fldChar w:fldCharType="begin"/>
          </w:r>
          <w:r>
            <w:rPr>
              <w:highlight w:val="none"/>
            </w:rPr>
            <w:instrText xml:space="preserve"> PAGEREF _Toc14650 </w:instrText>
          </w:r>
          <w:r>
            <w:rPr>
              <w:highlight w:val="none"/>
            </w:rPr>
            <w:fldChar w:fldCharType="separate"/>
          </w:r>
          <w:r>
            <w:rPr>
              <w:highlight w:val="none"/>
            </w:rPr>
            <w:t>16</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_Toc6072 </w:instrText>
          </w:r>
          <w:r>
            <w:rPr>
              <w:bCs w:val="0"/>
              <w:szCs w:val="24"/>
              <w:highlight w:val="none"/>
            </w:rPr>
            <w:fldChar w:fldCharType="separate"/>
          </w:r>
          <w:r>
            <w:rPr>
              <w:rFonts w:hint="eastAsia" w:ascii="仿宋_GB2312" w:hAnsi="黑体" w:eastAsia="仿宋_GB2312" w:cs="Times New Roman"/>
              <w:bCs/>
              <w:szCs w:val="32"/>
              <w:highlight w:val="none"/>
            </w:rPr>
            <w:t>（一）及时对发现的问题进行整改</w:t>
          </w:r>
          <w:r>
            <w:rPr>
              <w:highlight w:val="none"/>
            </w:rPr>
            <w:tab/>
          </w:r>
          <w:r>
            <w:rPr>
              <w:highlight w:val="none"/>
            </w:rPr>
            <w:fldChar w:fldCharType="begin"/>
          </w:r>
          <w:r>
            <w:rPr>
              <w:highlight w:val="none"/>
            </w:rPr>
            <w:instrText xml:space="preserve"> PAGEREF _Toc6072 </w:instrText>
          </w:r>
          <w:r>
            <w:rPr>
              <w:highlight w:val="none"/>
            </w:rPr>
            <w:fldChar w:fldCharType="separate"/>
          </w:r>
          <w:r>
            <w:rPr>
              <w:highlight w:val="none"/>
            </w:rPr>
            <w:t>16</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_Toc20240 </w:instrText>
          </w:r>
          <w:r>
            <w:rPr>
              <w:bCs w:val="0"/>
              <w:szCs w:val="24"/>
              <w:highlight w:val="none"/>
            </w:rPr>
            <w:fldChar w:fldCharType="separate"/>
          </w:r>
          <w:r>
            <w:rPr>
              <w:rFonts w:hint="eastAsia" w:ascii="仿宋_GB2312" w:hAnsi="黑体" w:eastAsia="仿宋_GB2312" w:cs="Times New Roman"/>
              <w:bCs/>
              <w:szCs w:val="32"/>
              <w:highlight w:val="none"/>
            </w:rPr>
            <w:t>（二） 建立绩效评价结果应用制度</w:t>
          </w:r>
          <w:r>
            <w:rPr>
              <w:highlight w:val="none"/>
            </w:rPr>
            <w:tab/>
          </w:r>
          <w:r>
            <w:rPr>
              <w:highlight w:val="none"/>
            </w:rPr>
            <w:fldChar w:fldCharType="begin"/>
          </w:r>
          <w:r>
            <w:rPr>
              <w:highlight w:val="none"/>
            </w:rPr>
            <w:instrText xml:space="preserve"> PAGEREF _Toc20240 </w:instrText>
          </w:r>
          <w:r>
            <w:rPr>
              <w:highlight w:val="none"/>
            </w:rPr>
            <w:fldChar w:fldCharType="separate"/>
          </w:r>
          <w:r>
            <w:rPr>
              <w:highlight w:val="none"/>
            </w:rPr>
            <w:t>16</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_Toc5443 </w:instrText>
          </w:r>
          <w:r>
            <w:rPr>
              <w:bCs w:val="0"/>
              <w:szCs w:val="24"/>
              <w:highlight w:val="none"/>
            </w:rPr>
            <w:fldChar w:fldCharType="separate"/>
          </w:r>
          <w:r>
            <w:rPr>
              <w:rFonts w:hint="eastAsia" w:ascii="仿宋_GB2312" w:hAnsi="黑体" w:eastAsia="仿宋_GB2312" w:cs="Times New Roman"/>
              <w:bCs/>
              <w:szCs w:val="32"/>
              <w:highlight w:val="none"/>
            </w:rPr>
            <w:t>（三）</w:t>
          </w:r>
          <w:r>
            <w:rPr>
              <w:rFonts w:hint="eastAsia" w:ascii="仿宋_GB2312" w:hAnsi="黑体" w:eastAsia="仿宋_GB2312" w:cs="Times New Roman"/>
              <w:bCs/>
              <w:szCs w:val="32"/>
              <w:highlight w:val="none"/>
              <w:lang w:val="en-US" w:eastAsia="zh-CN"/>
            </w:rPr>
            <w:t>强化</w:t>
          </w:r>
          <w:r>
            <w:rPr>
              <w:rFonts w:hint="eastAsia" w:ascii="仿宋_GB2312" w:hAnsi="黑体" w:eastAsia="仿宋_GB2312" w:cs="Times New Roman"/>
              <w:bCs/>
              <w:szCs w:val="32"/>
              <w:highlight w:val="none"/>
            </w:rPr>
            <w:t>绩效评价结果应用</w:t>
          </w:r>
          <w:r>
            <w:rPr>
              <w:highlight w:val="none"/>
            </w:rPr>
            <w:tab/>
          </w:r>
          <w:r>
            <w:rPr>
              <w:highlight w:val="none"/>
            </w:rPr>
            <w:fldChar w:fldCharType="begin"/>
          </w:r>
          <w:r>
            <w:rPr>
              <w:highlight w:val="none"/>
            </w:rPr>
            <w:instrText xml:space="preserve"> PAGEREF _Toc5443 </w:instrText>
          </w:r>
          <w:r>
            <w:rPr>
              <w:highlight w:val="none"/>
            </w:rPr>
            <w:fldChar w:fldCharType="separate"/>
          </w:r>
          <w:r>
            <w:rPr>
              <w:highlight w:val="none"/>
            </w:rPr>
            <w:t>17</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_Toc4069 </w:instrText>
          </w:r>
          <w:r>
            <w:rPr>
              <w:bCs w:val="0"/>
              <w:szCs w:val="24"/>
              <w:highlight w:val="none"/>
            </w:rPr>
            <w:fldChar w:fldCharType="separate"/>
          </w:r>
          <w:r>
            <w:rPr>
              <w:rFonts w:hint="eastAsia" w:ascii="仿宋_GB2312" w:hAnsi="黑体" w:eastAsia="仿宋_GB2312" w:cs="Times New Roman"/>
              <w:bCs/>
              <w:szCs w:val="32"/>
              <w:highlight w:val="none"/>
            </w:rPr>
            <w:t>（四）评价结果公开</w:t>
          </w:r>
          <w:r>
            <w:rPr>
              <w:highlight w:val="none"/>
            </w:rPr>
            <w:tab/>
          </w:r>
          <w:r>
            <w:rPr>
              <w:highlight w:val="none"/>
            </w:rPr>
            <w:fldChar w:fldCharType="begin"/>
          </w:r>
          <w:r>
            <w:rPr>
              <w:highlight w:val="none"/>
            </w:rPr>
            <w:instrText xml:space="preserve"> PAGEREF _Toc4069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3"/>
            <w:tabs>
              <w:tab w:val="right" w:leader="dot" w:pos="8306"/>
            </w:tabs>
            <w:rPr>
              <w:highlight w:val="none"/>
            </w:rPr>
          </w:pPr>
          <w:r>
            <w:rPr>
              <w:bCs w:val="0"/>
              <w:szCs w:val="24"/>
              <w:highlight w:val="none"/>
            </w:rPr>
            <w:fldChar w:fldCharType="begin"/>
          </w:r>
          <w:r>
            <w:rPr>
              <w:bCs w:val="0"/>
              <w:szCs w:val="24"/>
              <w:highlight w:val="none"/>
            </w:rPr>
            <w:instrText xml:space="preserve"> HYPERLINK \l _Toc17018 </w:instrText>
          </w:r>
          <w:r>
            <w:rPr>
              <w:bCs w:val="0"/>
              <w:szCs w:val="24"/>
              <w:highlight w:val="none"/>
            </w:rPr>
            <w:fldChar w:fldCharType="separate"/>
          </w:r>
          <w:r>
            <w:rPr>
              <w:rFonts w:hint="eastAsia" w:ascii="黑体" w:hAnsi="黑体" w:eastAsia="黑体" w:cs="宋体"/>
              <w:szCs w:val="32"/>
              <w:highlight w:val="none"/>
              <w:lang w:val="en-US" w:eastAsia="zh-CN"/>
            </w:rPr>
            <w:t>八、</w:t>
          </w:r>
          <w:r>
            <w:rPr>
              <w:rFonts w:hint="eastAsia" w:ascii="黑体" w:hAnsi="黑体" w:eastAsia="黑体" w:cs="宋体"/>
              <w:szCs w:val="32"/>
              <w:highlight w:val="none"/>
            </w:rPr>
            <w:t>其他需说明的问题</w:t>
          </w:r>
          <w:r>
            <w:rPr>
              <w:highlight w:val="none"/>
            </w:rPr>
            <w:tab/>
          </w:r>
          <w:r>
            <w:rPr>
              <w:highlight w:val="none"/>
            </w:rPr>
            <w:fldChar w:fldCharType="begin"/>
          </w:r>
          <w:r>
            <w:rPr>
              <w:highlight w:val="none"/>
            </w:rPr>
            <w:instrText xml:space="preserve"> PAGEREF _Toc17018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3"/>
            <w:tabs>
              <w:tab w:val="right" w:leader="dot" w:pos="8306"/>
            </w:tabs>
          </w:pPr>
          <w:r>
            <w:rPr>
              <w:bCs w:val="0"/>
              <w:szCs w:val="24"/>
              <w:highlight w:val="none"/>
            </w:rPr>
            <w:fldChar w:fldCharType="begin"/>
          </w:r>
          <w:r>
            <w:rPr>
              <w:bCs w:val="0"/>
              <w:szCs w:val="24"/>
              <w:highlight w:val="none"/>
            </w:rPr>
            <w:instrText xml:space="preserve"> HYPERLINK \l _Toc25791 </w:instrText>
          </w:r>
          <w:r>
            <w:rPr>
              <w:bCs w:val="0"/>
              <w:szCs w:val="24"/>
              <w:highlight w:val="none"/>
            </w:rPr>
            <w:fldChar w:fldCharType="separate"/>
          </w:r>
          <w:r>
            <w:rPr>
              <w:rFonts w:hint="eastAsia" w:ascii="黑体" w:hAnsi="黑体" w:eastAsia="黑体" w:cs="宋体"/>
              <w:szCs w:val="32"/>
              <w:highlight w:val="none"/>
            </w:rPr>
            <w:t>九、附件</w:t>
          </w:r>
          <w:r>
            <w:rPr>
              <w:highlight w:val="none"/>
            </w:rPr>
            <w:tab/>
          </w:r>
          <w:r>
            <w:rPr>
              <w:highlight w:val="none"/>
            </w:rPr>
            <w:fldChar w:fldCharType="begin"/>
          </w:r>
          <w:r>
            <w:rPr>
              <w:highlight w:val="none"/>
            </w:rPr>
            <w:instrText xml:space="preserve"> PAGEREF _Toc25791 </w:instrText>
          </w:r>
          <w:r>
            <w:rPr>
              <w:highlight w:val="none"/>
            </w:rPr>
            <w:fldChar w:fldCharType="separate"/>
          </w:r>
          <w:r>
            <w:rPr>
              <w:highlight w:val="none"/>
            </w:rPr>
            <w:t>19</w:t>
          </w:r>
          <w:r>
            <w:rPr>
              <w:highlight w:val="none"/>
            </w:rPr>
            <w:fldChar w:fldCharType="end"/>
          </w:r>
          <w:r>
            <w:rPr>
              <w:bCs w:val="0"/>
              <w:szCs w:val="24"/>
              <w:highlight w:val="none"/>
            </w:rPr>
            <w:fldChar w:fldCharType="end"/>
          </w:r>
        </w:p>
        <w:p>
          <w:pPr>
            <w:spacing w:before="0" w:beforeLines="0" w:after="0" w:afterLines="0" w:line="240" w:lineRule="auto"/>
            <w:ind w:left="0" w:leftChars="0" w:right="0" w:rightChars="0" w:firstLine="0" w:firstLineChars="0"/>
            <w:jc w:val="center"/>
            <w:rPr>
              <w:b w:val="0"/>
              <w:bCs w:val="0"/>
              <w:highlight w:val="none"/>
            </w:rPr>
          </w:pPr>
          <w:r>
            <w:rPr>
              <w:b w:val="0"/>
              <w:bCs w:val="0"/>
              <w:sz w:val="24"/>
              <w:szCs w:val="24"/>
              <w:highlight w:val="none"/>
            </w:rPr>
            <w:fldChar w:fldCharType="end"/>
          </w:r>
        </w:p>
      </w:sdtContent>
    </w:sdt>
    <w:p>
      <w:pPr>
        <w:pStyle w:val="13"/>
        <w:tabs>
          <w:tab w:val="right" w:leader="dot" w:pos="8302"/>
        </w:tabs>
        <w:spacing w:line="340" w:lineRule="exact"/>
        <w:rPr>
          <w:rFonts w:ascii="黑体" w:hAnsi="黑体" w:eastAsia="黑体" w:cs="宋体"/>
          <w:sz w:val="32"/>
          <w:szCs w:val="32"/>
        </w:rPr>
      </w:pPr>
    </w:p>
    <w:p>
      <w:pPr>
        <w:spacing w:line="600" w:lineRule="exact"/>
        <w:jc w:val="center"/>
        <w:outlineLvl w:val="9"/>
        <w:rPr>
          <w:rFonts w:ascii="方正小标宋_GBK" w:hAnsi="黑体" w:eastAsia="方正小标宋_GBK" w:cs="宋体"/>
          <w:sz w:val="40"/>
          <w:szCs w:val="40"/>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start="48"/>
          <w:cols w:space="425" w:num="1"/>
          <w:docGrid w:type="lines" w:linePitch="312" w:charSpace="0"/>
        </w:sectPr>
      </w:pPr>
      <w:bookmarkStart w:id="18" w:name="_Toc18687"/>
    </w:p>
    <w:p>
      <w:pPr>
        <w:spacing w:line="600" w:lineRule="exact"/>
        <w:jc w:val="center"/>
        <w:outlineLvl w:val="9"/>
        <w:rPr>
          <w:rFonts w:hint="eastAsia" w:ascii="华文中宋" w:hAnsi="华文中宋" w:eastAsia="华文中宋" w:cs="华文中宋"/>
          <w:sz w:val="44"/>
          <w:szCs w:val="44"/>
        </w:rPr>
      </w:pPr>
      <w:bookmarkStart w:id="19" w:name="_Toc31819"/>
      <w:bookmarkStart w:id="20" w:name="_Toc24347"/>
      <w:bookmarkStart w:id="21" w:name="_Toc16603"/>
      <w:bookmarkStart w:id="22" w:name="_Toc28273"/>
      <w:bookmarkStart w:id="23" w:name="_Toc19311"/>
      <w:bookmarkStart w:id="24" w:name="_Toc7636"/>
      <w:bookmarkStart w:id="25" w:name="_Toc29218"/>
      <w:bookmarkStart w:id="26" w:name="_Toc14725"/>
      <w:bookmarkStart w:id="27" w:name="_Toc1397"/>
      <w:bookmarkStart w:id="28" w:name="_Toc12923"/>
      <w:r>
        <w:rPr>
          <w:rFonts w:hint="eastAsia" w:ascii="华文中宋" w:hAnsi="华文中宋" w:eastAsia="华文中宋" w:cs="华文中宋"/>
          <w:b w:val="0"/>
          <w:bCs w:val="0"/>
          <w:sz w:val="44"/>
          <w:szCs w:val="44"/>
          <w:lang w:eastAsia="zh-CN"/>
        </w:rPr>
        <w:t>洛浦县2020年新招录年轻干部生活物资采购资金项目</w:t>
      </w:r>
      <w:r>
        <w:rPr>
          <w:rFonts w:hint="eastAsia" w:ascii="华文中宋" w:hAnsi="华文中宋" w:eastAsia="华文中宋" w:cs="华文中宋"/>
          <w:sz w:val="44"/>
          <w:szCs w:val="44"/>
        </w:rPr>
        <w:t>绩效评价报告</w:t>
      </w:r>
      <w:bookmarkEnd w:id="18"/>
      <w:bookmarkEnd w:id="19"/>
      <w:bookmarkEnd w:id="20"/>
      <w:bookmarkEnd w:id="21"/>
      <w:bookmarkEnd w:id="22"/>
      <w:bookmarkEnd w:id="23"/>
      <w:bookmarkEnd w:id="24"/>
      <w:bookmarkEnd w:id="25"/>
      <w:bookmarkEnd w:id="26"/>
      <w:bookmarkEnd w:id="27"/>
      <w:bookmarkEnd w:id="28"/>
    </w:p>
    <w:p>
      <w:pPr>
        <w:adjustRightInd w:val="0"/>
        <w:snapToGrid w:val="0"/>
        <w:spacing w:line="560" w:lineRule="exact"/>
        <w:ind w:firstLine="640" w:firstLineChars="200"/>
        <w:jc w:val="left"/>
        <w:outlineLvl w:val="9"/>
        <w:rPr>
          <w:rFonts w:hint="eastAsia" w:ascii="黑体" w:hAnsi="黑体" w:eastAsia="黑体" w:cs="宋体"/>
          <w:sz w:val="32"/>
          <w:szCs w:val="32"/>
        </w:rPr>
      </w:pPr>
    </w:p>
    <w:p>
      <w:pPr>
        <w:adjustRightInd w:val="0"/>
        <w:snapToGrid w:val="0"/>
        <w:spacing w:line="560" w:lineRule="exact"/>
        <w:ind w:firstLine="640" w:firstLineChars="200"/>
        <w:jc w:val="left"/>
        <w:outlineLvl w:val="0"/>
        <w:rPr>
          <w:rFonts w:ascii="黑体" w:hAnsi="黑体" w:eastAsia="黑体" w:cs="宋体"/>
          <w:sz w:val="32"/>
          <w:szCs w:val="32"/>
        </w:rPr>
      </w:pPr>
      <w:bookmarkStart w:id="29" w:name="_Toc28183"/>
      <w:r>
        <w:rPr>
          <w:rFonts w:hint="eastAsia" w:ascii="黑体" w:hAnsi="黑体" w:eastAsia="黑体" w:cs="宋体"/>
          <w:sz w:val="32"/>
          <w:szCs w:val="32"/>
        </w:rPr>
        <w:t>一、项目概述</w:t>
      </w:r>
      <w:bookmarkEnd w:id="29"/>
    </w:p>
    <w:p>
      <w:pPr>
        <w:pStyle w:val="33"/>
        <w:numPr>
          <w:ilvl w:val="0"/>
          <w:numId w:val="3"/>
        </w:numPr>
        <w:adjustRightInd w:val="0"/>
        <w:snapToGrid w:val="0"/>
        <w:spacing w:line="560" w:lineRule="exact"/>
        <w:ind w:left="0" w:firstLine="643"/>
        <w:rPr>
          <w:rFonts w:ascii="仿宋_GB2312" w:hAnsi="仿宋" w:eastAsia="仿宋_GB2312" w:cs="宋体"/>
          <w:b/>
          <w:bCs/>
          <w:vanish/>
          <w:sz w:val="32"/>
          <w:szCs w:val="32"/>
        </w:rPr>
      </w:pPr>
      <w:bookmarkStart w:id="30" w:name="_Hlk24028365"/>
      <w:r>
        <w:rPr>
          <w:rFonts w:hint="eastAsia" w:ascii="仿宋_GB2312" w:hAnsi="仿宋" w:eastAsia="仿宋_GB2312" w:cs="宋体"/>
          <w:b/>
          <w:bCs/>
          <w:vanish/>
          <w:sz w:val="32"/>
          <w:szCs w:val="32"/>
        </w:rPr>
        <w:t>项目概述</w:t>
      </w:r>
    </w:p>
    <w:p>
      <w:pPr>
        <w:pStyle w:val="33"/>
        <w:adjustRightInd w:val="0"/>
        <w:snapToGrid w:val="0"/>
        <w:spacing w:line="560" w:lineRule="exact"/>
        <w:ind w:left="0" w:leftChars="0" w:firstLine="321" w:firstLineChars="100"/>
        <w:outlineLvl w:val="1"/>
        <w:rPr>
          <w:rFonts w:ascii="仿宋_GB2312" w:hAnsi="仿宋" w:eastAsia="仿宋_GB2312" w:cs="宋体"/>
          <w:b/>
          <w:bCs/>
          <w:sz w:val="32"/>
          <w:szCs w:val="32"/>
        </w:rPr>
      </w:pPr>
      <w:bookmarkStart w:id="31" w:name="_Toc27345"/>
      <w:r>
        <w:rPr>
          <w:rFonts w:hint="eastAsia" w:ascii="仿宋_GB2312" w:hAnsi="仿宋" w:eastAsia="仿宋_GB2312" w:cs="宋体"/>
          <w:b/>
          <w:bCs/>
          <w:sz w:val="32"/>
          <w:szCs w:val="32"/>
        </w:rPr>
        <w:t>（一）项目基本情况</w:t>
      </w:r>
      <w:bookmarkEnd w:id="31"/>
    </w:p>
    <w:p>
      <w:pPr>
        <w:pStyle w:val="33"/>
        <w:tabs>
          <w:tab w:val="left" w:pos="1559"/>
        </w:tabs>
        <w:adjustRightInd w:val="0"/>
        <w:snapToGrid w:val="0"/>
        <w:spacing w:line="560" w:lineRule="exact"/>
        <w:ind w:firstLine="640"/>
        <w:outlineLvl w:val="2"/>
        <w:rPr>
          <w:rFonts w:hint="eastAsia" w:ascii="楷体" w:hAnsi="楷体" w:eastAsia="楷体" w:cs="楷体"/>
          <w:bCs/>
          <w:sz w:val="32"/>
          <w:szCs w:val="32"/>
        </w:rPr>
      </w:pPr>
      <w:r>
        <w:rPr>
          <w:rFonts w:hint="eastAsia" w:ascii="楷体" w:hAnsi="楷体" w:eastAsia="楷体" w:cs="楷体"/>
          <w:bCs/>
          <w:sz w:val="32"/>
          <w:szCs w:val="32"/>
        </w:rPr>
        <w:t>1.项目背景</w:t>
      </w:r>
    </w:p>
    <w:p>
      <w:pPr>
        <w:pStyle w:val="33"/>
        <w:tabs>
          <w:tab w:val="left" w:pos="1559"/>
        </w:tabs>
        <w:adjustRightInd w:val="0"/>
        <w:snapToGrid w:val="0"/>
        <w:spacing w:line="560" w:lineRule="exact"/>
        <w:ind w:firstLine="640"/>
        <w:outlineLvl w:val="2"/>
        <w:rPr>
          <w:rFonts w:hint="eastAsia" w:ascii="仿宋_GB2312" w:hAnsi="仿宋_GB2312" w:eastAsia="仿宋_GB2312" w:cs="仿宋_GB2312"/>
          <w:bCs/>
          <w:sz w:val="32"/>
          <w:szCs w:val="32"/>
        </w:rPr>
      </w:pPr>
      <w:r>
        <w:rPr>
          <w:rFonts w:hint="eastAsia" w:ascii="仿宋_GB2312" w:hAnsi="仿宋" w:eastAsia="仿宋_GB2312" w:cs="宋体"/>
          <w:bCs/>
          <w:color w:val="auto"/>
          <w:sz w:val="32"/>
          <w:szCs w:val="32"/>
          <w:highlight w:val="none"/>
          <w:lang w:val="en-US" w:eastAsia="zh-CN" w:bidi="ar-SA"/>
        </w:rPr>
        <w:t>根据地委组织部相关要求，引进人才的住房，由安置地政府按照统筹规划、优先安排、重点保障、合理负担的原则给予保障，主要采取购买经济适用住房、现有住房或者租住周转住房，以及修建自有住房等方式解决</w:t>
      </w:r>
      <w:r>
        <w:rPr>
          <w:rFonts w:hint="eastAsia" w:ascii="仿宋_GB2312" w:hAnsi="仿宋_GB2312" w:eastAsia="仿宋_GB2312" w:cs="仿宋_GB2312"/>
          <w:bCs/>
          <w:sz w:val="32"/>
          <w:szCs w:val="32"/>
        </w:rPr>
        <w:t>，为解决2020年新招录干部和留疆战士的后勤保障工作，更好的贯彻落实</w:t>
      </w:r>
      <w:r>
        <w:rPr>
          <w:rFonts w:hint="eastAsia" w:ascii="仿宋_GB2312" w:hAnsi="仿宋_GB2312" w:eastAsia="仿宋_GB2312" w:cs="仿宋_GB2312"/>
          <w:bCs/>
          <w:sz w:val="32"/>
          <w:szCs w:val="32"/>
          <w:lang w:val="en-US" w:eastAsia="zh-CN"/>
        </w:rPr>
        <w:t>好</w:t>
      </w:r>
      <w:r>
        <w:rPr>
          <w:rFonts w:hint="eastAsia" w:ascii="仿宋_GB2312" w:hAnsi="仿宋_GB2312" w:eastAsia="仿宋_GB2312" w:cs="仿宋_GB2312"/>
          <w:bCs/>
          <w:sz w:val="32"/>
          <w:szCs w:val="32"/>
        </w:rPr>
        <w:t>年轻干部关心关爱措施，确保2020年招录、2021年分配至我县的内招干部和留疆战士如期拎包入住，尽早进入工作状态</w:t>
      </w:r>
      <w:r>
        <w:rPr>
          <w:rFonts w:hint="eastAsia" w:ascii="仿宋_GB2312" w:hAnsi="仿宋_GB2312" w:eastAsia="仿宋_GB2312" w:cs="仿宋_GB2312"/>
          <w:bCs/>
          <w:sz w:val="32"/>
          <w:szCs w:val="32"/>
          <w:lang w:eastAsia="zh-CN"/>
        </w:rPr>
        <w:t>，</w:t>
      </w:r>
      <w:r>
        <w:rPr>
          <w:rFonts w:hint="eastAsia" w:ascii="仿宋_GB2312" w:hAnsi="仿宋_GB2312" w:eastAsia="仿宋_GB2312" w:cs="仿宋_GB2312"/>
          <w:bCs/>
          <w:sz w:val="32"/>
          <w:szCs w:val="32"/>
        </w:rPr>
        <w:t>2020年招录内招干部及留疆战士必须按照每人一套住房配备生活物资（需规避收房租的住房）。</w:t>
      </w:r>
    </w:p>
    <w:p>
      <w:pPr>
        <w:pStyle w:val="33"/>
        <w:tabs>
          <w:tab w:val="left" w:pos="1559"/>
        </w:tabs>
        <w:adjustRightInd w:val="0"/>
        <w:snapToGrid w:val="0"/>
        <w:spacing w:line="560" w:lineRule="exact"/>
        <w:ind w:firstLine="640"/>
        <w:outlineLvl w:val="2"/>
        <w:rPr>
          <w:rFonts w:hint="eastAsia" w:ascii="楷体" w:hAnsi="楷体" w:eastAsia="楷体" w:cs="楷体"/>
          <w:bCs/>
          <w:sz w:val="32"/>
          <w:szCs w:val="32"/>
        </w:rPr>
      </w:pPr>
      <w:r>
        <w:rPr>
          <w:rFonts w:hint="eastAsia" w:ascii="仿宋_GB2312" w:hAnsi="仿宋" w:eastAsia="仿宋_GB2312" w:cs="宋体"/>
          <w:bCs/>
          <w:color w:val="auto"/>
          <w:sz w:val="32"/>
          <w:szCs w:val="32"/>
          <w:highlight w:val="none"/>
          <w:lang w:val="en-US" w:eastAsia="zh-CN" w:bidi="ar-SA"/>
        </w:rPr>
        <w:t>本项目经（洛财字〔2021〕003号）文件批复，符合国家、自治区以及和田地区等相关政策、规划和法律法规</w:t>
      </w:r>
      <w:r>
        <w:rPr>
          <w:rFonts w:hint="eastAsia" w:ascii="仿宋_GB2312" w:hAnsi="仿宋_GB2312" w:eastAsia="仿宋_GB2312" w:cs="仿宋_GB2312"/>
          <w:bCs/>
          <w:sz w:val="32"/>
          <w:szCs w:val="32"/>
        </w:rPr>
        <w:t>，项目总预算资金163.08万元，项目实施期限为2021年2月-2021年4月。</w:t>
      </w:r>
    </w:p>
    <w:p>
      <w:pPr>
        <w:pStyle w:val="33"/>
        <w:tabs>
          <w:tab w:val="left" w:pos="1559"/>
        </w:tabs>
        <w:adjustRightInd w:val="0"/>
        <w:snapToGrid w:val="0"/>
        <w:spacing w:line="560" w:lineRule="exact"/>
        <w:ind w:firstLine="640"/>
        <w:outlineLvl w:val="2"/>
        <w:rPr>
          <w:rFonts w:hint="default" w:ascii="楷体" w:hAnsi="楷体" w:eastAsia="楷体" w:cs="楷体"/>
          <w:bCs/>
          <w:sz w:val="32"/>
          <w:szCs w:val="32"/>
          <w:lang w:val="en-US" w:eastAsia="zh-CN"/>
        </w:rPr>
      </w:pPr>
      <w:r>
        <w:rPr>
          <w:rFonts w:hint="eastAsia" w:ascii="楷体" w:hAnsi="楷体" w:eastAsia="楷体" w:cs="楷体"/>
          <w:bCs/>
          <w:sz w:val="32"/>
          <w:szCs w:val="32"/>
        </w:rPr>
        <w:t>2.项目实施主体</w:t>
      </w:r>
    </w:p>
    <w:p>
      <w:pPr>
        <w:numPr>
          <w:ilvl w:val="0"/>
          <w:numId w:val="0"/>
        </w:numPr>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该项目由洛浦县中共洛浦县委组织部负责实施，主要职能是：</w:t>
      </w:r>
    </w:p>
    <w:p>
      <w:pPr>
        <w:numPr>
          <w:ilvl w:val="0"/>
          <w:numId w:val="0"/>
        </w:numPr>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研究和指导全县各级党组织制度建设工作；</w:t>
      </w:r>
    </w:p>
    <w:p>
      <w:pPr>
        <w:numPr>
          <w:ilvl w:val="0"/>
          <w:numId w:val="0"/>
        </w:numPr>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2</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负责农村、街道社区基层组织建设工作；</w:t>
      </w:r>
    </w:p>
    <w:p>
      <w:pPr>
        <w:numPr>
          <w:ilvl w:val="0"/>
          <w:numId w:val="0"/>
        </w:numPr>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val="en-US" w:eastAsia="zh-CN"/>
        </w:rPr>
        <w:t>3）</w:t>
      </w:r>
      <w:r>
        <w:rPr>
          <w:rFonts w:hint="eastAsia" w:ascii="仿宋_GB2312" w:hAnsi="仿宋_GB2312" w:eastAsia="仿宋_GB2312" w:cs="仿宋_GB2312"/>
          <w:sz w:val="32"/>
          <w:szCs w:val="32"/>
        </w:rPr>
        <w:t>负责贯彻落实非公有制经济组织、社会组织、派驻内地新疆籍人员服务管理工作组等新兴组织党建工作指导，提出加强改进的措施。</w:t>
      </w:r>
    </w:p>
    <w:p>
      <w:pPr>
        <w:spacing w:line="560" w:lineRule="exact"/>
        <w:ind w:firstLine="640" w:firstLineChars="200"/>
        <w:rPr>
          <w:rFonts w:hint="eastAsia" w:ascii="仿宋_GB2312" w:hAnsi="仿宋_GB2312" w:eastAsia="仿宋_GB2312" w:cs="仿宋_GB2312"/>
          <w:sz w:val="32"/>
          <w:szCs w:val="32"/>
          <w:lang w:val="zh-CN"/>
        </w:rPr>
      </w:pP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val="en-US" w:eastAsia="zh-CN"/>
        </w:rPr>
        <w:t>4</w:t>
      </w: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val="zh-CN"/>
        </w:rPr>
        <w:t>负责办理地区管理干部职务任免、工资、退（离）休、兼职的呈报工作；</w:t>
      </w:r>
    </w:p>
    <w:p>
      <w:pPr>
        <w:spacing w:line="560" w:lineRule="exact"/>
        <w:ind w:firstLine="640" w:firstLineChars="200"/>
        <w:rPr>
          <w:rFonts w:hint="eastAsia"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w:t>
      </w:r>
      <w:r>
        <w:rPr>
          <w:rFonts w:hint="eastAsia" w:ascii="仿宋_GB2312" w:hAnsi="仿宋_GB2312" w:eastAsia="仿宋_GB2312" w:cs="仿宋_GB2312"/>
          <w:sz w:val="32"/>
          <w:szCs w:val="32"/>
          <w:lang w:val="en-US" w:eastAsia="zh-CN"/>
        </w:rPr>
        <w:t>5</w:t>
      </w:r>
      <w:r>
        <w:rPr>
          <w:rFonts w:hint="eastAsia" w:ascii="仿宋_GB2312" w:hAnsi="仿宋_GB2312" w:eastAsia="仿宋_GB2312" w:cs="仿宋_GB2312"/>
          <w:sz w:val="32"/>
          <w:szCs w:val="32"/>
          <w:lang w:val="zh-CN"/>
        </w:rPr>
        <w:t>）负责贯彻落实公务员法及行为规范、配套法规，对公务员法律、政策法规贯彻执行情况进行督查</w:t>
      </w:r>
    </w:p>
    <w:p>
      <w:pPr>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val="en-US" w:eastAsia="zh-CN"/>
        </w:rPr>
        <w:t>6</w:t>
      </w:r>
      <w:r>
        <w:rPr>
          <w:rFonts w:hint="eastAsia" w:ascii="仿宋_GB2312" w:hAnsi="仿宋_GB2312" w:eastAsia="仿宋_GB2312" w:cs="仿宋_GB2312"/>
          <w:sz w:val="32"/>
          <w:szCs w:val="32"/>
        </w:rPr>
        <w:t>）负责贯彻落实人才队伍建设的发展规划和政策法规，指导、协调、督促各部门的人才工作，落实国家重大人才工程；</w:t>
      </w:r>
    </w:p>
    <w:p>
      <w:pPr>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zh-CN"/>
        </w:rPr>
        <w:t>（</w:t>
      </w:r>
      <w:r>
        <w:rPr>
          <w:rFonts w:hint="eastAsia" w:ascii="仿宋_GB2312" w:hAnsi="仿宋_GB2312" w:eastAsia="仿宋_GB2312" w:cs="仿宋_GB2312"/>
          <w:sz w:val="32"/>
          <w:szCs w:val="32"/>
          <w:lang w:val="en-US" w:eastAsia="zh-CN"/>
        </w:rPr>
        <w:t>7</w:t>
      </w:r>
      <w:r>
        <w:rPr>
          <w:rFonts w:hint="eastAsia" w:ascii="仿宋_GB2312" w:hAnsi="仿宋_GB2312" w:eastAsia="仿宋_GB2312" w:cs="仿宋_GB2312"/>
          <w:sz w:val="32"/>
          <w:szCs w:val="32"/>
          <w:lang w:val="zh-CN"/>
        </w:rPr>
        <w:t>）贯彻落实</w:t>
      </w:r>
      <w:r>
        <w:rPr>
          <w:rFonts w:hint="eastAsia" w:ascii="仿宋_GB2312" w:hAnsi="仿宋_GB2312" w:eastAsia="仿宋_GB2312" w:cs="仿宋_GB2312"/>
          <w:sz w:val="32"/>
          <w:szCs w:val="32"/>
        </w:rPr>
        <w:t>干部教育培训工作政策、规划，负责洛浦县部门单位干部教育培训工作；</w:t>
      </w:r>
    </w:p>
    <w:p>
      <w:pPr>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val="en-US" w:eastAsia="zh-CN"/>
        </w:rPr>
        <w:t>8</w:t>
      </w:r>
      <w:r>
        <w:rPr>
          <w:rFonts w:hint="eastAsia" w:ascii="仿宋_GB2312" w:hAnsi="仿宋_GB2312" w:eastAsia="仿宋_GB2312" w:cs="仿宋_GB2312"/>
          <w:sz w:val="32"/>
          <w:szCs w:val="32"/>
        </w:rPr>
        <w:t>）负责组织系统干部监督工作的综合协调；</w:t>
      </w:r>
    </w:p>
    <w:p>
      <w:pPr>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val="en-US" w:eastAsia="zh-CN"/>
        </w:rPr>
        <w:t>9</w:t>
      </w:r>
      <w:r>
        <w:rPr>
          <w:rFonts w:hint="eastAsia" w:ascii="仿宋_GB2312" w:hAnsi="仿宋_GB2312" w:eastAsia="仿宋_GB2312" w:cs="仿宋_GB2312"/>
          <w:sz w:val="32"/>
          <w:szCs w:val="32"/>
        </w:rPr>
        <w:t>）负责干部人才援疆工作的综合管理和统筹协调，做好援疆干部人才选派、安置、轮换、培训、考核等管理服务工作，并提出定等建议；</w:t>
      </w:r>
    </w:p>
    <w:p>
      <w:pPr>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val="en-US" w:eastAsia="zh-CN"/>
        </w:rPr>
        <w:t>10</w:t>
      </w:r>
      <w:r>
        <w:rPr>
          <w:rFonts w:hint="eastAsia" w:ascii="仿宋_GB2312" w:hAnsi="仿宋_GB2312" w:eastAsia="仿宋_GB2312" w:cs="仿宋_GB2312"/>
          <w:sz w:val="32"/>
          <w:szCs w:val="32"/>
        </w:rPr>
        <w:t>）负责制定洛浦县离退休干部工作的具体意见和措施；</w:t>
      </w:r>
    </w:p>
    <w:p>
      <w:pPr>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val="en-US" w:eastAsia="zh-CN"/>
        </w:rPr>
        <w:t>11</w:t>
      </w:r>
      <w:r>
        <w:rPr>
          <w:rFonts w:hint="eastAsia" w:ascii="仿宋_GB2312" w:hAnsi="仿宋_GB2312" w:eastAsia="仿宋_GB2312" w:cs="仿宋_GB2312"/>
          <w:sz w:val="32"/>
          <w:szCs w:val="32"/>
        </w:rPr>
        <w:t>）承办洛浦县委交办的其他事项。</w:t>
      </w:r>
    </w:p>
    <w:p>
      <w:pPr>
        <w:pStyle w:val="33"/>
        <w:keepNext w:val="0"/>
        <w:keepLines w:val="0"/>
        <w:pageBreakBefore w:val="0"/>
        <w:widowControl w:val="0"/>
        <w:kinsoku/>
        <w:wordWrap/>
        <w:overflowPunct/>
        <w:topLinePunct w:val="0"/>
        <w:autoSpaceDE/>
        <w:autoSpaceDN/>
        <w:bidi w:val="0"/>
        <w:adjustRightInd/>
        <w:snapToGrid w:val="0"/>
        <w:spacing w:line="540" w:lineRule="exact"/>
        <w:jc w:val="both"/>
        <w:textAlignment w:val="auto"/>
        <w:rPr>
          <w:rFonts w:hint="eastAsia"/>
          <w:lang w:val="en-US" w:eastAsia="zh-CN"/>
        </w:rPr>
      </w:pPr>
      <w:r>
        <w:rPr>
          <w:rStyle w:val="22"/>
          <w:rFonts w:hint="eastAsia" w:ascii="仿宋_GB2312" w:hAnsi="仿宋_GB2312" w:eastAsia="仿宋_GB2312" w:cs="仿宋_GB2312"/>
          <w:b w:val="0"/>
          <w:color w:val="auto"/>
          <w:sz w:val="32"/>
          <w:szCs w:val="32"/>
          <w:highlight w:val="none"/>
          <w:lang w:val="en-US" w:eastAsia="zh-CN" w:bidi="ar"/>
        </w:rPr>
        <w:t>中共洛浦县委组织部单位机关编制32名，其中：行政编制18名，参公编制4名，事业编制15名，机关工勤事业编制3名。实有人员32人。</w:t>
      </w:r>
    </w:p>
    <w:p>
      <w:pPr>
        <w:numPr>
          <w:ilvl w:val="0"/>
          <w:numId w:val="0"/>
        </w:numPr>
        <w:adjustRightInd w:val="0"/>
        <w:snapToGrid w:val="0"/>
        <w:spacing w:line="560" w:lineRule="exact"/>
        <w:ind w:firstLine="640" w:firstLineChars="200"/>
        <w:jc w:val="left"/>
        <w:outlineLvl w:val="0"/>
        <w:rPr>
          <w:rFonts w:hint="eastAsia" w:ascii="楷体" w:hAnsi="楷体" w:eastAsia="楷体" w:cs="楷体"/>
          <w:bCs/>
          <w:sz w:val="32"/>
          <w:szCs w:val="32"/>
        </w:rPr>
      </w:pPr>
      <w:r>
        <w:rPr>
          <w:rFonts w:hint="eastAsia" w:ascii="楷体" w:hAnsi="楷体" w:eastAsia="楷体" w:cs="楷体"/>
          <w:bCs/>
          <w:sz w:val="32"/>
          <w:szCs w:val="32"/>
          <w:lang w:val="en-US" w:eastAsia="zh-CN"/>
        </w:rPr>
        <w:t>3.</w:t>
      </w:r>
      <w:r>
        <w:rPr>
          <w:rFonts w:hint="eastAsia" w:ascii="楷体" w:hAnsi="楷体" w:eastAsia="楷体" w:cs="楷体"/>
          <w:bCs/>
          <w:sz w:val="32"/>
          <w:szCs w:val="32"/>
        </w:rPr>
        <w:t>项目内容</w:t>
      </w:r>
    </w:p>
    <w:p>
      <w:pPr>
        <w:pStyle w:val="33"/>
        <w:tabs>
          <w:tab w:val="left" w:pos="1559"/>
        </w:tabs>
        <w:adjustRightInd w:val="0"/>
        <w:snapToGrid w:val="0"/>
        <w:spacing w:line="560" w:lineRule="exact"/>
        <w:ind w:firstLine="640"/>
        <w:outlineLvl w:val="2"/>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计划在9个乡镇、1个街道办事处和县委1处，采购配备共140套住房家具、家电、生活用品。采购明细为：①家具家电（冰箱、洗衣机、电磁炉、饮水机、电饭煲、热水器、茶几、沙发、衣柜、床、桌椅、鞋架）；②厨房用品（筷子、筷盒、碗、盘、盆、勺、菜板、炒锅、锅铲、调料）；③洗漱用品（牙膏、牙刷、牙缸、香皂、洗漱镜、洗头膏、沐浴露）；④床上用品（被子，褥子，床上四件套，枕头，枕巾等）；以上四类各采购140套。⑤电视机计划采购110台。可实现内招干部、留疆战士掕包入住，保障其基本生活质量的工作要求。</w:t>
      </w:r>
    </w:p>
    <w:p>
      <w:pPr>
        <w:pStyle w:val="33"/>
        <w:tabs>
          <w:tab w:val="left" w:pos="1559"/>
        </w:tabs>
        <w:adjustRightInd w:val="0"/>
        <w:snapToGrid w:val="0"/>
        <w:spacing w:line="560" w:lineRule="exact"/>
        <w:ind w:firstLine="640"/>
        <w:outlineLvl w:val="2"/>
        <w:rPr>
          <w:rFonts w:hint="eastAsia" w:ascii="楷体" w:hAnsi="楷体" w:eastAsia="楷体" w:cs="楷体"/>
          <w:bCs/>
          <w:sz w:val="32"/>
          <w:szCs w:val="32"/>
          <w:highlight w:val="none"/>
          <w:lang w:eastAsia="zh-CN"/>
        </w:rPr>
      </w:pPr>
      <w:r>
        <w:rPr>
          <w:rFonts w:hint="eastAsia" w:ascii="楷体" w:hAnsi="楷体" w:eastAsia="楷体" w:cs="楷体"/>
          <w:bCs/>
          <w:sz w:val="32"/>
          <w:szCs w:val="32"/>
          <w:highlight w:val="none"/>
          <w:lang w:val="en-US" w:eastAsia="zh-CN"/>
        </w:rPr>
        <w:t>4</w:t>
      </w:r>
      <w:r>
        <w:rPr>
          <w:rFonts w:hint="eastAsia" w:ascii="楷体" w:hAnsi="楷体" w:eastAsia="楷体" w:cs="楷体"/>
          <w:bCs/>
          <w:sz w:val="32"/>
          <w:szCs w:val="32"/>
          <w:highlight w:val="none"/>
        </w:rPr>
        <w:t>.立项依据</w:t>
      </w:r>
    </w:p>
    <w:p>
      <w:pPr>
        <w:pStyle w:val="41"/>
        <w:keepNext w:val="0"/>
        <w:keepLines w:val="0"/>
        <w:pageBreakBefore w:val="0"/>
        <w:widowControl w:val="0"/>
        <w:kinsoku/>
        <w:wordWrap/>
        <w:overflowPunct/>
        <w:topLinePunct w:val="0"/>
        <w:autoSpaceDE/>
        <w:autoSpaceDN/>
        <w:bidi w:val="0"/>
        <w:adjustRightInd/>
        <w:snapToGrid/>
        <w:spacing w:line="560" w:lineRule="exact"/>
        <w:ind w:left="0" w:firstLine="560"/>
        <w:textAlignment w:val="auto"/>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依据（洛财字〔2021〕003号）文件要求以及相关会议纪要精神实施该项目。</w:t>
      </w:r>
    </w:p>
    <w:p>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32" w:name="_Toc30597"/>
      <w:r>
        <w:rPr>
          <w:rFonts w:hint="eastAsia" w:ascii="仿宋_GB2312" w:hAnsi="仿宋" w:eastAsia="仿宋_GB2312" w:cs="宋体"/>
          <w:b/>
          <w:bCs/>
          <w:sz w:val="32"/>
          <w:szCs w:val="32"/>
          <w:highlight w:val="none"/>
        </w:rPr>
        <w:t>（二）项目资金情况</w:t>
      </w:r>
      <w:bookmarkEnd w:id="32"/>
    </w:p>
    <w:p>
      <w:pPr>
        <w:pStyle w:val="33"/>
        <w:tabs>
          <w:tab w:val="left" w:pos="1559"/>
        </w:tabs>
        <w:adjustRightInd w:val="0"/>
        <w:snapToGrid w:val="0"/>
        <w:spacing w:line="560" w:lineRule="exact"/>
        <w:ind w:firstLine="640"/>
        <w:outlineLvl w:val="2"/>
        <w:rPr>
          <w:rFonts w:ascii="楷体" w:hAnsi="楷体" w:eastAsia="楷体" w:cs="楷体"/>
          <w:bCs/>
          <w:sz w:val="32"/>
          <w:szCs w:val="32"/>
        </w:rPr>
      </w:pPr>
      <w:r>
        <w:rPr>
          <w:rFonts w:hint="eastAsia" w:ascii="楷体" w:hAnsi="楷体" w:eastAsia="楷体" w:cs="楷体"/>
          <w:bCs/>
          <w:sz w:val="32"/>
          <w:szCs w:val="32"/>
        </w:rPr>
        <w:t>1.项目资金预算及来源</w:t>
      </w:r>
    </w:p>
    <w:p>
      <w:pPr>
        <w:pStyle w:val="33"/>
        <w:tabs>
          <w:tab w:val="left" w:pos="1559"/>
        </w:tabs>
        <w:adjustRightInd w:val="0"/>
        <w:snapToGrid w:val="0"/>
        <w:spacing w:line="560" w:lineRule="exact"/>
        <w:ind w:firstLine="640"/>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根据《关于2021年项目年初预算的报告》，该项目预算资金163.09万元，明细如下：</w:t>
      </w:r>
    </w:p>
    <w:p>
      <w:pPr>
        <w:pStyle w:val="33"/>
        <w:tabs>
          <w:tab w:val="left" w:pos="1559"/>
        </w:tabs>
        <w:adjustRightInd w:val="0"/>
        <w:snapToGrid w:val="0"/>
        <w:spacing w:line="560" w:lineRule="exact"/>
        <w:ind w:firstLine="640"/>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 xml:space="preserve">拜什托格拉克乡采购8套96137.44元；阿其克乡采购6套72103.08元；洛浦镇采购13套156223.34元，街道办事处采购7套84120.26元，纳瓦乡采购10套120171.80元，山普鲁镇采购9套108154.62元，恰尔巴格乡采购14套168240.52元，布亚乡采购15套180257.70元，多鲁乡采购13套156223.34元，杭桂镇采购15套180257.70元，县委采购30套（不含电视机）308970元，共140套房子的生活用品。     </w:t>
      </w:r>
    </w:p>
    <w:p>
      <w:pPr>
        <w:pStyle w:val="33"/>
        <w:tabs>
          <w:tab w:val="left" w:pos="1559"/>
        </w:tabs>
        <w:adjustRightInd w:val="0"/>
        <w:snapToGrid w:val="0"/>
        <w:spacing w:line="560" w:lineRule="exact"/>
        <w:ind w:firstLine="640"/>
        <w:outlineLvl w:val="2"/>
        <w:rPr>
          <w:rFonts w:hint="eastAsia" w:ascii="楷体" w:hAnsi="楷体" w:eastAsia="楷体" w:cs="楷体"/>
          <w:bCs/>
          <w:sz w:val="32"/>
          <w:szCs w:val="32"/>
        </w:rPr>
      </w:pPr>
      <w:r>
        <w:rPr>
          <w:rFonts w:hint="eastAsia" w:ascii="楷体" w:hAnsi="楷体" w:eastAsia="楷体" w:cs="楷体"/>
          <w:bCs/>
          <w:sz w:val="32"/>
          <w:szCs w:val="32"/>
        </w:rPr>
        <w:t>2.预算执行及结果</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截止绩效评价日，项目预算资金163.09万元，实际到位资金163.09万元，资金到位率100%。总支出158.19万元，预算执行率97%，其余3%资金为质保金；该项目资金主要用于在9个乡镇、1个街道办事处和县委1处，采购配备共140套住房家具、家电、生活用品。</w:t>
      </w:r>
    </w:p>
    <w:p>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33" w:name="_Toc4656"/>
      <w:r>
        <w:rPr>
          <w:rFonts w:hint="eastAsia" w:ascii="仿宋_GB2312" w:hAnsi="仿宋" w:eastAsia="仿宋_GB2312" w:cs="宋体"/>
          <w:b/>
          <w:bCs/>
          <w:sz w:val="32"/>
          <w:szCs w:val="32"/>
        </w:rPr>
        <w:t>（三）绩效目标设置情况</w:t>
      </w:r>
      <w:bookmarkEnd w:id="33"/>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bookmarkStart w:id="34" w:name="_Toc26467"/>
      <w:bookmarkStart w:id="35" w:name="_Toc1757"/>
      <w:bookmarkStart w:id="36" w:name="_Toc8400"/>
      <w:bookmarkStart w:id="37" w:name="_Toc25486"/>
      <w:r>
        <w:rPr>
          <w:rFonts w:hint="eastAsia" w:ascii="仿宋_GB2312" w:hAnsi="仿宋_GB2312" w:eastAsia="仿宋_GB2312" w:cs="仿宋_GB2312"/>
          <w:color w:val="auto"/>
          <w:sz w:val="32"/>
          <w:szCs w:val="32"/>
        </w:rPr>
        <w:t>该项目共设立一级指标3个，二级指标</w:t>
      </w:r>
      <w:r>
        <w:rPr>
          <w:rFonts w:hint="eastAsia" w:ascii="仿宋_GB2312" w:hAnsi="仿宋_GB2312" w:eastAsia="仿宋_GB2312" w:cs="仿宋_GB2312"/>
          <w:color w:val="auto"/>
          <w:sz w:val="32"/>
          <w:szCs w:val="32"/>
          <w:lang w:val="en-US" w:eastAsia="zh-CN"/>
        </w:rPr>
        <w:t>7</w:t>
      </w:r>
      <w:r>
        <w:rPr>
          <w:rFonts w:hint="eastAsia" w:ascii="仿宋_GB2312" w:hAnsi="仿宋_GB2312" w:eastAsia="仿宋_GB2312" w:cs="仿宋_GB2312"/>
          <w:color w:val="auto"/>
          <w:sz w:val="32"/>
          <w:szCs w:val="32"/>
        </w:rPr>
        <w:t>个，三级指标</w:t>
      </w:r>
      <w:r>
        <w:rPr>
          <w:rFonts w:hint="eastAsia" w:ascii="仿宋_GB2312" w:hAnsi="仿宋_GB2312" w:eastAsia="仿宋_GB2312" w:cs="仿宋_GB2312"/>
          <w:color w:val="auto"/>
          <w:sz w:val="32"/>
          <w:szCs w:val="32"/>
          <w:lang w:val="en-US" w:eastAsia="zh-CN"/>
        </w:rPr>
        <w:t>9</w:t>
      </w:r>
      <w:r>
        <w:rPr>
          <w:rFonts w:hint="eastAsia" w:ascii="仿宋_GB2312" w:hAnsi="仿宋_GB2312" w:eastAsia="仿宋_GB2312" w:cs="仿宋_GB2312"/>
          <w:color w:val="auto"/>
          <w:sz w:val="32"/>
          <w:szCs w:val="32"/>
        </w:rPr>
        <w:t>个，指标量</w:t>
      </w:r>
      <w:r>
        <w:rPr>
          <w:rFonts w:hint="eastAsia" w:ascii="仿宋_GB2312" w:hAnsi="仿宋_GB2312" w:eastAsia="仿宋_GB2312" w:cs="仿宋_GB2312"/>
          <w:color w:val="auto"/>
          <w:sz w:val="32"/>
          <w:szCs w:val="32"/>
          <w:highlight w:val="none"/>
        </w:rPr>
        <w:t>化率</w:t>
      </w:r>
      <w:r>
        <w:rPr>
          <w:rFonts w:hint="eastAsia" w:ascii="仿宋_GB2312" w:hAnsi="仿宋_GB2312" w:eastAsia="仿宋_GB2312" w:cs="仿宋_GB2312"/>
          <w:kern w:val="2"/>
          <w:sz w:val="32"/>
          <w:szCs w:val="32"/>
          <w:highlight w:val="none"/>
          <w:lang w:val="en-US" w:eastAsia="zh-CN" w:bidi="ar-SA"/>
        </w:rPr>
        <w:t>77.78</w:t>
      </w:r>
      <w:r>
        <w:rPr>
          <w:rFonts w:hint="eastAsia" w:ascii="仿宋_GB2312" w:hAnsi="仿宋_GB2312" w:eastAsia="仿宋_GB2312" w:cs="仿宋_GB2312"/>
          <w:color w:val="auto"/>
          <w:sz w:val="32"/>
          <w:szCs w:val="32"/>
          <w:highlight w:val="none"/>
        </w:rPr>
        <w:t>%。绩效</w:t>
      </w:r>
      <w:r>
        <w:rPr>
          <w:rFonts w:hint="eastAsia" w:ascii="仿宋_GB2312" w:hAnsi="仿宋_GB2312" w:eastAsia="仿宋_GB2312" w:cs="仿宋_GB2312"/>
          <w:color w:val="auto"/>
          <w:sz w:val="32"/>
          <w:szCs w:val="32"/>
        </w:rPr>
        <w:t>目标明确了项目产出数量和预期达到的效果，绩效目标指标制定明确、细化、量化。整体来看，目标设立合理清晰</w:t>
      </w:r>
      <w:r>
        <w:rPr>
          <w:rFonts w:hint="eastAsia" w:ascii="仿宋_GB2312" w:hAnsi="仿宋_GB2312" w:eastAsia="仿宋_GB2312" w:cs="仿宋_GB2312"/>
          <w:color w:val="auto"/>
          <w:sz w:val="32"/>
          <w:szCs w:val="32"/>
          <w:lang w:val="en-US" w:eastAsia="zh-CN"/>
        </w:rPr>
        <w:t>：</w:t>
      </w:r>
      <w:bookmarkEnd w:id="34"/>
      <w:bookmarkEnd w:id="35"/>
      <w:bookmarkEnd w:id="36"/>
    </w:p>
    <w:p>
      <w:pPr>
        <w:pStyle w:val="33"/>
        <w:tabs>
          <w:tab w:val="left" w:pos="1559"/>
        </w:tabs>
        <w:adjustRightInd w:val="0"/>
        <w:snapToGrid w:val="0"/>
        <w:spacing w:line="560" w:lineRule="exact"/>
        <w:ind w:firstLine="640"/>
        <w:outlineLvl w:val="2"/>
        <w:rPr>
          <w:rFonts w:hint="eastAsia"/>
          <w:lang w:val="en-US" w:eastAsia="zh-CN"/>
        </w:rPr>
      </w:pPr>
      <w:r>
        <w:rPr>
          <w:rFonts w:hint="eastAsia" w:ascii="楷体" w:hAnsi="楷体" w:eastAsia="楷体" w:cs="楷体"/>
          <w:bCs/>
          <w:color w:val="auto"/>
          <w:sz w:val="32"/>
          <w:szCs w:val="32"/>
          <w:highlight w:val="none"/>
          <w:lang w:val="en-US" w:eastAsia="zh-CN"/>
        </w:rPr>
        <w:t>1.</w:t>
      </w:r>
      <w:r>
        <w:rPr>
          <w:rFonts w:hint="eastAsia" w:ascii="楷体" w:hAnsi="楷体" w:eastAsia="楷体" w:cs="楷体"/>
          <w:bCs/>
          <w:color w:val="auto"/>
          <w:sz w:val="32"/>
          <w:szCs w:val="32"/>
          <w:highlight w:val="none"/>
        </w:rPr>
        <w:t>年度总目标</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color w:val="auto"/>
          <w:sz w:val="32"/>
          <w:szCs w:val="32"/>
          <w:highlight w:val="yellow"/>
          <w:lang w:val="en-US" w:eastAsia="zh-CN"/>
        </w:rPr>
      </w:pPr>
      <w:r>
        <w:rPr>
          <w:rFonts w:hint="eastAsia" w:ascii="仿宋_GB2312" w:eastAsia="仿宋_GB2312" w:cs="宋体"/>
          <w:color w:val="auto"/>
          <w:sz w:val="32"/>
          <w:szCs w:val="32"/>
          <w:highlight w:val="none"/>
          <w:lang w:val="en-US" w:eastAsia="zh-CN"/>
        </w:rPr>
        <w:t>在9个乡镇、1个街道办事处和县委1处，采购配备共140套住房家具、家电、生活用品。采购明细为：①家具家电（冰箱、洗衣机、电磁炉、饮水机、电饭煲、热水器、茶几、沙发、衣柜、床、桌椅、鞋架）；②厨房用品（筷子、筷盒、碗、盘、盆、勺、菜板、炒锅、锅铲、调料）；③洗漱用品（牙膏、牙刷、牙缸、香皂、洗漱镜、洗头膏、沐浴露）；④床上用品（被子，褥子，床上四件套，枕头，枕巾等）；以上四类各采购140套。⑤电视机计划采购110台。可实现内招干部、留疆战士掕包入住，保障其基本生活质量的工作要求。</w:t>
      </w:r>
    </w:p>
    <w:p>
      <w:pPr>
        <w:pStyle w:val="33"/>
        <w:tabs>
          <w:tab w:val="left" w:pos="1559"/>
        </w:tabs>
        <w:adjustRightInd w:val="0"/>
        <w:snapToGrid w:val="0"/>
        <w:spacing w:line="560" w:lineRule="exact"/>
        <w:ind w:firstLine="640"/>
        <w:outlineLvl w:val="2"/>
        <w:rPr>
          <w:rFonts w:hint="eastAsia" w:ascii="楷体" w:hAnsi="楷体" w:eastAsia="楷体" w:cs="楷体"/>
          <w:bCs/>
          <w:color w:val="auto"/>
          <w:sz w:val="32"/>
          <w:szCs w:val="32"/>
          <w:highlight w:val="none"/>
          <w:lang w:val="en-US" w:eastAsia="zh-CN"/>
        </w:rPr>
      </w:pPr>
      <w:r>
        <w:rPr>
          <w:rFonts w:hint="eastAsia" w:ascii="楷体" w:hAnsi="楷体" w:eastAsia="楷体" w:cs="楷体"/>
          <w:bCs/>
          <w:color w:val="auto"/>
          <w:sz w:val="32"/>
          <w:szCs w:val="32"/>
          <w:highlight w:val="none"/>
          <w:lang w:val="en-US" w:eastAsia="zh-CN"/>
        </w:rPr>
        <w:t>2.阶段性绩效目标</w:t>
      </w:r>
    </w:p>
    <w:p>
      <w:pPr>
        <w:pStyle w:val="33"/>
        <w:numPr>
          <w:ilvl w:val="0"/>
          <w:numId w:val="0"/>
        </w:numPr>
        <w:tabs>
          <w:tab w:val="left" w:pos="1559"/>
        </w:tabs>
        <w:adjustRightInd w:val="0"/>
        <w:snapToGrid w:val="0"/>
        <w:spacing w:line="560" w:lineRule="exact"/>
        <w:ind w:firstLine="640" w:firstLineChars="200"/>
        <w:outlineLvl w:val="2"/>
        <w:rPr>
          <w:rFonts w:hint="eastAsia" w:ascii="仿宋_GB2312" w:eastAsia="仿宋_GB2312" w:cs="宋体"/>
          <w:color w:val="auto"/>
          <w:kern w:val="2"/>
          <w:sz w:val="32"/>
          <w:szCs w:val="32"/>
          <w:highlight w:val="none"/>
          <w:lang w:val="en-US" w:eastAsia="zh-CN" w:bidi="ar-SA"/>
        </w:rPr>
      </w:pPr>
      <w:r>
        <w:rPr>
          <w:rFonts w:hint="eastAsia" w:ascii="仿宋_GB2312" w:eastAsia="仿宋_GB2312" w:cs="宋体" w:hAnsiTheme="minorHAnsi"/>
          <w:color w:val="auto"/>
          <w:kern w:val="2"/>
          <w:sz w:val="32"/>
          <w:szCs w:val="32"/>
          <w:highlight w:val="none"/>
          <w:lang w:val="en-US" w:eastAsia="zh-CN" w:bidi="ar-SA"/>
        </w:rPr>
        <w:t>《关于2021年项目年初预算的报告》，</w:t>
      </w:r>
      <w:r>
        <w:rPr>
          <w:rFonts w:hint="eastAsia" w:ascii="仿宋_GB2312" w:eastAsia="仿宋_GB2312" w:cs="宋体"/>
          <w:color w:val="auto"/>
          <w:kern w:val="2"/>
          <w:sz w:val="32"/>
          <w:szCs w:val="32"/>
          <w:highlight w:val="none"/>
          <w:lang w:val="en-US" w:eastAsia="zh-CN" w:bidi="ar-SA"/>
        </w:rPr>
        <w:t>2020年新干部生活物资采购资金项目总投资163.09</w:t>
      </w:r>
      <w:r>
        <w:rPr>
          <w:rFonts w:hint="eastAsia" w:ascii="仿宋_GB2312" w:eastAsia="仿宋_GB2312" w:cs="宋体" w:hAnsiTheme="minorHAnsi"/>
          <w:color w:val="auto"/>
          <w:kern w:val="2"/>
          <w:sz w:val="32"/>
          <w:szCs w:val="32"/>
          <w:highlight w:val="none"/>
          <w:lang w:val="en-US" w:eastAsia="zh-CN" w:bidi="ar-SA"/>
        </w:rPr>
        <w:t>万元。设置了</w:t>
      </w:r>
      <w:r>
        <w:rPr>
          <w:rFonts w:hint="eastAsia" w:ascii="仿宋_GB2312" w:eastAsia="仿宋_GB2312" w:cs="宋体"/>
          <w:color w:val="auto"/>
          <w:kern w:val="2"/>
          <w:sz w:val="32"/>
          <w:szCs w:val="32"/>
          <w:highlight w:val="none"/>
          <w:lang w:val="en-US" w:eastAsia="zh-CN" w:bidi="ar-SA"/>
        </w:rPr>
        <w:t>3</w:t>
      </w:r>
      <w:r>
        <w:rPr>
          <w:rFonts w:hint="eastAsia" w:ascii="仿宋_GB2312" w:eastAsia="仿宋_GB2312" w:cs="宋体" w:hAnsiTheme="minorHAnsi"/>
          <w:color w:val="auto"/>
          <w:kern w:val="2"/>
          <w:sz w:val="32"/>
          <w:szCs w:val="32"/>
          <w:highlight w:val="none"/>
          <w:lang w:val="en-US" w:eastAsia="zh-CN" w:bidi="ar-SA"/>
        </w:rPr>
        <w:t>个一级指标，</w:t>
      </w:r>
      <w:r>
        <w:rPr>
          <w:rFonts w:hint="eastAsia" w:ascii="仿宋_GB2312" w:eastAsia="仿宋_GB2312" w:cs="宋体"/>
          <w:color w:val="auto"/>
          <w:kern w:val="2"/>
          <w:sz w:val="32"/>
          <w:szCs w:val="32"/>
          <w:highlight w:val="none"/>
          <w:lang w:val="en-US" w:eastAsia="zh-CN" w:bidi="ar-SA"/>
        </w:rPr>
        <w:t>7个二级指标，9个三级指标</w:t>
      </w:r>
      <w:r>
        <w:rPr>
          <w:rFonts w:hint="eastAsia" w:ascii="仿宋_GB2312" w:eastAsia="仿宋_GB2312" w:cs="宋体" w:hAnsiTheme="minorHAnsi"/>
          <w:color w:val="auto"/>
          <w:kern w:val="2"/>
          <w:sz w:val="32"/>
          <w:szCs w:val="32"/>
          <w:highlight w:val="none"/>
          <w:lang w:val="en-US" w:eastAsia="zh-CN" w:bidi="ar-SA"/>
        </w:rPr>
        <w:t>其中</w:t>
      </w:r>
      <w:r>
        <w:rPr>
          <w:rFonts w:hint="eastAsia" w:ascii="仿宋_GB2312" w:eastAsia="仿宋_GB2312" w:cs="宋体"/>
          <w:color w:val="auto"/>
          <w:kern w:val="2"/>
          <w:sz w:val="32"/>
          <w:szCs w:val="32"/>
          <w:highlight w:val="none"/>
          <w:lang w:val="en-US" w:eastAsia="zh-CN" w:bidi="ar-SA"/>
        </w:rPr>
        <w:t>：</w:t>
      </w:r>
    </w:p>
    <w:p>
      <w:pPr>
        <w:pStyle w:val="33"/>
        <w:numPr>
          <w:ilvl w:val="0"/>
          <w:numId w:val="0"/>
        </w:numPr>
        <w:tabs>
          <w:tab w:val="left" w:pos="1559"/>
        </w:tabs>
        <w:adjustRightInd w:val="0"/>
        <w:snapToGrid w:val="0"/>
        <w:spacing w:line="560" w:lineRule="exact"/>
        <w:ind w:firstLine="320" w:firstLineChars="100"/>
        <w:outlineLvl w:val="2"/>
        <w:rPr>
          <w:rFonts w:hint="default" w:ascii="仿宋_GB2312" w:eastAsia="仿宋_GB2312" w:cs="宋体"/>
          <w:color w:val="auto"/>
          <w:kern w:val="2"/>
          <w:sz w:val="32"/>
          <w:szCs w:val="32"/>
          <w:lang w:val="en-US" w:eastAsia="zh-CN" w:bidi="ar-SA"/>
        </w:rPr>
      </w:pPr>
      <w:r>
        <w:rPr>
          <w:rFonts w:hint="eastAsia" w:ascii="仿宋_GB2312" w:eastAsia="仿宋_GB2312" w:cs="宋体"/>
          <w:color w:val="auto"/>
          <w:kern w:val="2"/>
          <w:sz w:val="32"/>
          <w:szCs w:val="32"/>
          <w:lang w:val="en-US" w:eastAsia="zh-CN" w:bidi="ar-SA"/>
        </w:rPr>
        <w:t>（1）产出指标</w:t>
      </w:r>
    </w:p>
    <w:p>
      <w:pPr>
        <w:pStyle w:val="33"/>
        <w:numPr>
          <w:ilvl w:val="0"/>
          <w:numId w:val="0"/>
        </w:numPr>
        <w:tabs>
          <w:tab w:val="left" w:pos="1559"/>
        </w:tabs>
        <w:adjustRightInd w:val="0"/>
        <w:snapToGrid w:val="0"/>
        <w:spacing w:line="560" w:lineRule="exact"/>
        <w:ind w:firstLine="640" w:firstLineChars="200"/>
        <w:outlineLvl w:val="2"/>
        <w:rPr>
          <w:rFonts w:hint="default" w:ascii="仿宋_GB2312" w:eastAsia="仿宋_GB2312" w:cs="宋体"/>
          <w:color w:val="auto"/>
          <w:kern w:val="2"/>
          <w:sz w:val="32"/>
          <w:szCs w:val="32"/>
          <w:lang w:val="en-US" w:eastAsia="zh-CN" w:bidi="ar-SA"/>
        </w:rPr>
      </w:pPr>
      <w:r>
        <w:rPr>
          <w:rFonts w:hint="eastAsia" w:ascii="仿宋_GB2312" w:eastAsia="仿宋_GB2312" w:cs="宋体"/>
          <w:color w:val="auto"/>
          <w:kern w:val="2"/>
          <w:sz w:val="32"/>
          <w:szCs w:val="32"/>
          <w:lang w:val="en-US" w:eastAsia="zh-CN" w:bidi="ar-SA"/>
        </w:rPr>
        <w:t>产出数量</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解决配套房屋数量指标，预期值为等于140套。</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产出质量</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资金到位率</w:t>
      </w:r>
      <w:r>
        <w:rPr>
          <w:rFonts w:hint="eastAsia" w:ascii="仿宋_GB2312" w:hAnsi="仿宋_GB2312" w:eastAsia="仿宋_GB2312" w:cs="仿宋_GB2312"/>
          <w:b w:val="0"/>
          <w:bCs w:val="0"/>
          <w:color w:val="auto"/>
          <w:kern w:val="2"/>
          <w:sz w:val="32"/>
          <w:szCs w:val="32"/>
          <w:lang w:val="en-US" w:eastAsia="zh-CN" w:bidi="ar-SA"/>
        </w:rPr>
        <w:t>指标，预期值为等于100%。</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资金执行率</w:t>
      </w:r>
      <w:r>
        <w:rPr>
          <w:rFonts w:hint="eastAsia" w:ascii="仿宋_GB2312" w:hAnsi="仿宋_GB2312" w:eastAsia="仿宋_GB2312" w:cs="仿宋_GB2312"/>
          <w:b w:val="0"/>
          <w:bCs w:val="0"/>
          <w:color w:val="auto"/>
          <w:kern w:val="2"/>
          <w:sz w:val="32"/>
          <w:szCs w:val="32"/>
          <w:lang w:val="en-US" w:eastAsia="zh-CN" w:bidi="ar-SA"/>
        </w:rPr>
        <w:t>指标，预期值为大于等于95%。</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产出时效</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物资发放及时性</w:t>
      </w:r>
      <w:r>
        <w:rPr>
          <w:rFonts w:hint="eastAsia" w:ascii="仿宋_GB2312" w:hAnsi="仿宋_GB2312" w:eastAsia="仿宋_GB2312" w:cs="仿宋_GB2312"/>
          <w:b w:val="0"/>
          <w:bCs w:val="0"/>
          <w:color w:val="auto"/>
          <w:kern w:val="2"/>
          <w:sz w:val="32"/>
          <w:szCs w:val="32"/>
          <w:lang w:val="en-US" w:eastAsia="zh-CN" w:bidi="ar-SA"/>
        </w:rPr>
        <w:t>指标，预期值为等于100%。</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项目截止时间</w:t>
      </w:r>
      <w:r>
        <w:rPr>
          <w:rFonts w:hint="eastAsia" w:ascii="仿宋_GB2312" w:hAnsi="仿宋_GB2312" w:eastAsia="仿宋_GB2312" w:cs="仿宋_GB2312"/>
          <w:b w:val="0"/>
          <w:bCs w:val="0"/>
          <w:color w:val="auto"/>
          <w:kern w:val="2"/>
          <w:sz w:val="32"/>
          <w:szCs w:val="32"/>
          <w:lang w:val="en-US" w:eastAsia="zh-CN" w:bidi="ar-SA"/>
        </w:rPr>
        <w:t>指标，预期值为2021年12月。</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产出成本</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default"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采购费用</w:t>
      </w:r>
      <w:r>
        <w:rPr>
          <w:rFonts w:hint="eastAsia" w:ascii="仿宋_GB2312" w:hAnsi="仿宋_GB2312" w:eastAsia="仿宋_GB2312" w:cs="仿宋_GB2312"/>
          <w:b w:val="0"/>
          <w:bCs w:val="0"/>
          <w:color w:val="auto"/>
          <w:kern w:val="2"/>
          <w:sz w:val="32"/>
          <w:szCs w:val="32"/>
          <w:lang w:val="en-US" w:eastAsia="zh-CN" w:bidi="ar-SA"/>
        </w:rPr>
        <w:t>指标，预期值为等于163.09万元。</w:t>
      </w:r>
    </w:p>
    <w:p>
      <w:pPr>
        <w:pStyle w:val="33"/>
        <w:numPr>
          <w:ilvl w:val="0"/>
          <w:numId w:val="0"/>
        </w:numPr>
        <w:tabs>
          <w:tab w:val="left" w:pos="1559"/>
        </w:tabs>
        <w:adjustRightInd w:val="0"/>
        <w:snapToGrid w:val="0"/>
        <w:spacing w:line="560" w:lineRule="exact"/>
        <w:ind w:firstLine="320" w:firstLineChars="100"/>
        <w:outlineLvl w:val="2"/>
        <w:rPr>
          <w:rFonts w:hint="eastAsia" w:ascii="仿宋_GB2312" w:eastAsia="仿宋_GB2312" w:cs="宋体"/>
          <w:color w:val="auto"/>
          <w:kern w:val="2"/>
          <w:sz w:val="32"/>
          <w:szCs w:val="32"/>
          <w:lang w:val="en-US" w:eastAsia="zh-CN" w:bidi="ar-SA"/>
        </w:rPr>
      </w:pPr>
      <w:r>
        <w:rPr>
          <w:rFonts w:hint="eastAsia" w:ascii="仿宋_GB2312" w:eastAsia="仿宋_GB2312" w:cs="宋体"/>
          <w:color w:val="auto"/>
          <w:kern w:val="2"/>
          <w:sz w:val="32"/>
          <w:szCs w:val="32"/>
          <w:lang w:val="en-US" w:eastAsia="zh-CN" w:bidi="ar-SA"/>
        </w:rPr>
        <w:t xml:space="preserve">（2）效益指标：  </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default"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经济效益指标</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该项目未涉及此指标。</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社会效益指标</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提高考核干部工作积极性</w:t>
      </w:r>
      <w:r>
        <w:rPr>
          <w:rFonts w:hint="eastAsia" w:ascii="仿宋_GB2312" w:hAnsi="仿宋_GB2312" w:eastAsia="仿宋_GB2312" w:cs="仿宋_GB2312"/>
          <w:b w:val="0"/>
          <w:bCs w:val="0"/>
          <w:color w:val="auto"/>
          <w:kern w:val="2"/>
          <w:sz w:val="32"/>
          <w:szCs w:val="32"/>
          <w:lang w:val="en-US" w:eastAsia="zh-CN" w:bidi="ar-SA"/>
        </w:rPr>
        <w:t>指标，预期值为明显提高。</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生态效益指标</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该项目不涉及此指标。</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可持续影响指标</w:t>
      </w:r>
    </w:p>
    <w:p>
      <w:pPr>
        <w:pStyle w:val="33"/>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default"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项目保障时间</w:t>
      </w:r>
      <w:r>
        <w:rPr>
          <w:rFonts w:hint="eastAsia" w:ascii="仿宋_GB2312" w:hAnsi="仿宋_GB2312" w:eastAsia="仿宋_GB2312" w:cs="仿宋_GB2312"/>
          <w:b w:val="0"/>
          <w:bCs w:val="0"/>
          <w:color w:val="auto"/>
          <w:kern w:val="2"/>
          <w:sz w:val="32"/>
          <w:szCs w:val="32"/>
          <w:lang w:val="en-US" w:eastAsia="zh-CN" w:bidi="ar-SA"/>
        </w:rPr>
        <w:t>指标，预期值为等于1年。</w:t>
      </w:r>
    </w:p>
    <w:p>
      <w:pPr>
        <w:keepNext w:val="0"/>
        <w:keepLines w:val="0"/>
        <w:pageBreakBefore w:val="0"/>
        <w:widowControl w:val="0"/>
        <w:numPr>
          <w:ilvl w:val="0"/>
          <w:numId w:val="0"/>
        </w:numPr>
        <w:kinsoku/>
        <w:wordWrap/>
        <w:overflowPunct/>
        <w:topLinePunct w:val="0"/>
        <w:autoSpaceDE/>
        <w:autoSpaceDN/>
        <w:bidi w:val="0"/>
        <w:adjustRightInd w:val="0"/>
        <w:snapToGrid w:val="0"/>
        <w:spacing w:before="0" w:afterAutospacing="0" w:line="560" w:lineRule="exact"/>
        <w:ind w:leftChars="200"/>
        <w:textAlignment w:val="auto"/>
        <w:outlineLvl w:val="9"/>
        <w:rPr>
          <w:rStyle w:val="22"/>
          <w:rFonts w:hint="eastAsia" w:ascii="仿宋_GB2312" w:hAnsi="仿宋" w:eastAsia="仿宋_GB2312"/>
          <w:b w:val="0"/>
          <w:bCs w:val="0"/>
          <w:spacing w:val="-4"/>
          <w:sz w:val="32"/>
          <w:szCs w:val="32"/>
          <w:lang w:eastAsia="zh-CN"/>
        </w:rPr>
      </w:pPr>
      <w:r>
        <w:rPr>
          <w:rStyle w:val="22"/>
          <w:rFonts w:hint="eastAsia" w:ascii="仿宋_GB2312" w:hAnsi="仿宋" w:eastAsia="仿宋_GB2312"/>
          <w:b w:val="0"/>
          <w:bCs w:val="0"/>
          <w:spacing w:val="-4"/>
          <w:sz w:val="32"/>
          <w:szCs w:val="32"/>
          <w:lang w:eastAsia="zh-CN"/>
        </w:rPr>
        <w:t>（</w:t>
      </w:r>
      <w:r>
        <w:rPr>
          <w:rStyle w:val="22"/>
          <w:rFonts w:hint="eastAsia" w:ascii="仿宋_GB2312" w:hAnsi="仿宋" w:eastAsia="仿宋_GB2312"/>
          <w:b w:val="0"/>
          <w:bCs w:val="0"/>
          <w:spacing w:val="-4"/>
          <w:sz w:val="32"/>
          <w:szCs w:val="32"/>
          <w:lang w:val="en-US" w:eastAsia="zh-CN"/>
        </w:rPr>
        <w:t>3</w:t>
      </w:r>
      <w:r>
        <w:rPr>
          <w:rStyle w:val="22"/>
          <w:rFonts w:hint="eastAsia" w:ascii="仿宋_GB2312" w:hAnsi="仿宋" w:eastAsia="仿宋_GB2312"/>
          <w:b w:val="0"/>
          <w:bCs w:val="0"/>
          <w:spacing w:val="-4"/>
          <w:sz w:val="32"/>
          <w:szCs w:val="32"/>
          <w:lang w:eastAsia="zh-CN"/>
        </w:rPr>
        <w:t>）满意度指标：</w:t>
      </w:r>
    </w:p>
    <w:p>
      <w:pPr>
        <w:numPr>
          <w:ilvl w:val="0"/>
          <w:numId w:val="0"/>
        </w:numPr>
        <w:ind w:firstLine="640" w:firstLineChars="200"/>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受益人满意度指标，预期值为大于等于95%。</w:t>
      </w:r>
    </w:p>
    <w:p>
      <w:p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rPr>
        <w:t>二、评价工作简述</w:t>
      </w:r>
      <w:bookmarkEnd w:id="37"/>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hAnsiTheme="minorHAnsi"/>
          <w:color w:val="auto"/>
          <w:kern w:val="2"/>
          <w:sz w:val="32"/>
          <w:szCs w:val="32"/>
          <w:lang w:val="en-US" w:eastAsia="zh-CN" w:bidi="ar-SA"/>
        </w:rPr>
      </w:pPr>
      <w:bookmarkStart w:id="38" w:name="_Toc3416"/>
      <w:bookmarkStart w:id="39" w:name="_Toc7630"/>
      <w:bookmarkStart w:id="40" w:name="_Toc19614"/>
      <w:r>
        <w:rPr>
          <w:rFonts w:hint="eastAsia" w:ascii="仿宋_GB2312" w:eastAsia="仿宋_GB2312" w:cs="宋体" w:hAnsiTheme="minorHAnsi"/>
          <w:color w:val="auto"/>
          <w:kern w:val="2"/>
          <w:sz w:val="32"/>
          <w:szCs w:val="32"/>
          <w:lang w:val="en-US" w:eastAsia="zh-CN" w:bidi="ar-SA"/>
        </w:rPr>
        <w:t>受</w:t>
      </w:r>
      <w:r>
        <w:rPr>
          <w:rFonts w:hint="eastAsia" w:ascii="仿宋_GB2312" w:eastAsia="仿宋_GB2312" w:cs="宋体"/>
          <w:color w:val="auto"/>
          <w:kern w:val="2"/>
          <w:sz w:val="32"/>
          <w:szCs w:val="32"/>
          <w:lang w:val="en-US" w:eastAsia="zh-CN" w:bidi="ar-SA"/>
        </w:rPr>
        <w:t>洛浦</w:t>
      </w:r>
      <w:r>
        <w:rPr>
          <w:rFonts w:hint="eastAsia" w:ascii="仿宋_GB2312" w:eastAsia="仿宋_GB2312" w:cs="宋体" w:hAnsiTheme="minorHAnsi"/>
          <w:color w:val="auto"/>
          <w:kern w:val="2"/>
          <w:sz w:val="32"/>
          <w:szCs w:val="32"/>
          <w:lang w:val="en-US" w:eastAsia="zh-CN" w:bidi="ar-SA"/>
        </w:rPr>
        <w:t>县财政局委托，中瑞诚会计师事务所（特殊普通合伙）喀什分所（以下简称“评价机构”）承担</w:t>
      </w:r>
      <w:r>
        <w:rPr>
          <w:rFonts w:hint="eastAsia" w:ascii="仿宋_GB2312" w:eastAsia="仿宋_GB2312" w:cs="宋体"/>
          <w:color w:val="auto"/>
          <w:kern w:val="2"/>
          <w:sz w:val="32"/>
          <w:szCs w:val="32"/>
          <w:lang w:val="en-US" w:eastAsia="zh-CN" w:bidi="ar-SA"/>
        </w:rPr>
        <w:t>2020年新招录年轻干部生活物资采购资金</w:t>
      </w:r>
      <w:r>
        <w:rPr>
          <w:rFonts w:hint="eastAsia" w:ascii="仿宋_GB2312" w:eastAsia="仿宋_GB2312" w:cs="宋体" w:hAnsiTheme="minorHAnsi"/>
          <w:color w:val="auto"/>
          <w:kern w:val="2"/>
          <w:sz w:val="32"/>
          <w:szCs w:val="32"/>
          <w:lang w:val="en-US" w:eastAsia="zh-CN" w:bidi="ar-SA"/>
        </w:rPr>
        <w:t>项目支出的绩效评价工作。为更好地保障绩效评价工作的顺利实施，根据财政部颁发的《项目支出绩效评价管理办法》（财预〔2020〕10号）、新疆维吾尔自治区财政厅颁发的《自治区财政支出绩效评价管理暂行办法》（新财预〔2018〕189号）等文件规定，评价机构成立绩效评价工作组（以下简称“评价工作组”）对</w:t>
      </w:r>
      <w:r>
        <w:rPr>
          <w:rFonts w:hint="eastAsia" w:ascii="仿宋_GB2312" w:eastAsia="仿宋_GB2312" w:cs="宋体"/>
          <w:color w:val="auto"/>
          <w:kern w:val="2"/>
          <w:sz w:val="32"/>
          <w:szCs w:val="32"/>
          <w:lang w:val="en-US" w:eastAsia="zh-CN" w:bidi="ar-SA"/>
        </w:rPr>
        <w:t>县级配套</w:t>
      </w:r>
      <w:r>
        <w:rPr>
          <w:rFonts w:hint="eastAsia" w:ascii="仿宋_GB2312" w:eastAsia="仿宋_GB2312" w:cs="宋体" w:hAnsiTheme="minorHAnsi"/>
          <w:color w:val="auto"/>
          <w:kern w:val="2"/>
          <w:sz w:val="32"/>
          <w:szCs w:val="32"/>
          <w:lang w:val="en-US" w:eastAsia="zh-CN" w:bidi="ar-SA"/>
        </w:rPr>
        <w:t>资金投入、资金使用和资金使用效益等方面进行了绩效评价。</w:t>
      </w:r>
      <w:bookmarkEnd w:id="38"/>
      <w:bookmarkEnd w:id="39"/>
      <w:bookmarkEnd w:id="40"/>
    </w:p>
    <w:p>
      <w:pPr>
        <w:pStyle w:val="33"/>
        <w:numPr>
          <w:ilvl w:val="0"/>
          <w:numId w:val="3"/>
        </w:numPr>
        <w:adjustRightInd w:val="0"/>
        <w:snapToGrid w:val="0"/>
        <w:spacing w:line="560" w:lineRule="exact"/>
        <w:ind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评价工作简述</w:t>
      </w:r>
    </w:p>
    <w:p>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41" w:name="_Toc8259"/>
      <w:r>
        <w:rPr>
          <w:rFonts w:hint="eastAsia" w:ascii="仿宋_GB2312" w:hAnsi="仿宋" w:eastAsia="仿宋_GB2312" w:cs="宋体"/>
          <w:b/>
          <w:bCs/>
          <w:sz w:val="32"/>
          <w:szCs w:val="32"/>
        </w:rPr>
        <w:t>（一）评价目的</w:t>
      </w:r>
      <w:bookmarkEnd w:id="41"/>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rPr>
      </w:pPr>
      <w:bookmarkStart w:id="42" w:name="_Toc22761"/>
      <w:bookmarkStart w:id="43" w:name="_Toc18186"/>
      <w:r>
        <w:rPr>
          <w:rFonts w:hint="eastAsia" w:ascii="仿宋_GB2312" w:hAnsi="仿宋_GB2312" w:eastAsia="仿宋_GB2312" w:cs="仿宋_GB2312"/>
          <w:sz w:val="32"/>
          <w:szCs w:val="32"/>
        </w:rPr>
        <w:t>按照新疆自治区财政厅和</w:t>
      </w:r>
      <w:r>
        <w:rPr>
          <w:rFonts w:hint="eastAsia" w:ascii="仿宋_GB2312" w:hAnsi="仿宋_GB2312" w:eastAsia="仿宋_GB2312" w:cs="仿宋_GB2312"/>
          <w:sz w:val="32"/>
          <w:szCs w:val="32"/>
          <w:lang w:val="en-US" w:eastAsia="zh-CN"/>
        </w:rPr>
        <w:t>洛浦县</w:t>
      </w:r>
      <w:r>
        <w:rPr>
          <w:rFonts w:hint="eastAsia" w:ascii="仿宋_GB2312" w:hAnsi="仿宋_GB2312" w:eastAsia="仿宋_GB2312" w:cs="仿宋_GB2312"/>
          <w:sz w:val="32"/>
          <w:szCs w:val="32"/>
        </w:rPr>
        <w:t>财政局“加强财政支出管理，强化支出责任，建立科学、合理的财政支出绩效评价管理体系，提高财政资金使用效益”的要求，通过</w:t>
      </w:r>
      <w:r>
        <w:rPr>
          <w:rFonts w:hint="eastAsia" w:ascii="仿宋_GB2312" w:hAnsi="仿宋_GB2312" w:eastAsia="仿宋_GB2312" w:cs="仿宋_GB2312"/>
          <w:sz w:val="32"/>
          <w:szCs w:val="32"/>
          <w:lang w:eastAsia="zh-CN"/>
        </w:rPr>
        <w:t>项目</w:t>
      </w:r>
      <w:r>
        <w:rPr>
          <w:rFonts w:hint="eastAsia" w:ascii="仿宋_GB2312" w:hAnsi="仿宋_GB2312" w:eastAsia="仿宋_GB2312" w:cs="仿宋_GB2312"/>
          <w:sz w:val="32"/>
          <w:szCs w:val="32"/>
        </w:rPr>
        <w:t>决策、过程、产出、效益的全过程梳理、评价，客观公正反映项目立项的科学性、项目实施的规范性、项目管理的有效性和项目效果</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总结项目实施经验，发现存在</w:t>
      </w:r>
      <w:r>
        <w:rPr>
          <w:rFonts w:hint="eastAsia" w:ascii="仿宋_GB2312" w:hAnsi="仿宋_GB2312" w:eastAsia="仿宋_GB2312" w:cs="仿宋_GB2312"/>
          <w:sz w:val="32"/>
          <w:szCs w:val="32"/>
          <w:lang w:eastAsia="zh-CN"/>
        </w:rPr>
        <w:t>的</w:t>
      </w:r>
      <w:r>
        <w:rPr>
          <w:rFonts w:hint="eastAsia" w:ascii="仿宋_GB2312" w:hAnsi="仿宋_GB2312" w:eastAsia="仿宋_GB2312" w:cs="仿宋_GB2312"/>
          <w:sz w:val="32"/>
          <w:szCs w:val="32"/>
        </w:rPr>
        <w:t>问题，提出针对性建议</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为</w:t>
      </w:r>
      <w:r>
        <w:rPr>
          <w:rFonts w:hint="eastAsia" w:ascii="仿宋_GB2312" w:hAnsi="仿宋_GB2312" w:eastAsia="仿宋_GB2312" w:cs="仿宋_GB2312"/>
          <w:sz w:val="32"/>
          <w:szCs w:val="32"/>
          <w:lang w:val="en-US" w:eastAsia="zh-CN"/>
        </w:rPr>
        <w:t>后年度</w:t>
      </w:r>
      <w:r>
        <w:rPr>
          <w:rFonts w:hint="eastAsia" w:ascii="仿宋_GB2312" w:hAnsi="仿宋_GB2312" w:eastAsia="仿宋_GB2312" w:cs="仿宋_GB2312"/>
          <w:sz w:val="32"/>
          <w:szCs w:val="32"/>
          <w:highlight w:val="none"/>
          <w:lang w:val="en-US" w:eastAsia="zh-CN"/>
        </w:rPr>
        <w:t>县级配套</w:t>
      </w:r>
      <w:r>
        <w:rPr>
          <w:rFonts w:hint="eastAsia" w:ascii="仿宋_GB2312" w:hAnsi="仿宋_GB2312" w:eastAsia="仿宋_GB2312" w:cs="仿宋_GB2312"/>
          <w:sz w:val="32"/>
          <w:szCs w:val="32"/>
          <w:lang w:val="en-US" w:eastAsia="zh-CN"/>
        </w:rPr>
        <w:t>资金</w:t>
      </w:r>
      <w:r>
        <w:rPr>
          <w:rFonts w:hint="eastAsia" w:ascii="仿宋_GB2312" w:hAnsi="仿宋_GB2312" w:eastAsia="仿宋_GB2312" w:cs="仿宋_GB2312"/>
          <w:sz w:val="32"/>
          <w:szCs w:val="32"/>
          <w:lang w:eastAsia="zh-CN"/>
        </w:rPr>
        <w:t>项目的绩效</w:t>
      </w:r>
      <w:r>
        <w:rPr>
          <w:rFonts w:hint="eastAsia" w:ascii="仿宋_GB2312" w:hAnsi="仿宋_GB2312" w:eastAsia="仿宋_GB2312" w:cs="仿宋_GB2312"/>
          <w:sz w:val="32"/>
          <w:szCs w:val="32"/>
        </w:rPr>
        <w:t>管理提供参考依据。</w:t>
      </w:r>
    </w:p>
    <w:p>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（二）绩效评价工作</w:t>
      </w:r>
      <w:r>
        <w:rPr>
          <w:rFonts w:hint="eastAsia" w:ascii="仿宋_GB2312" w:hAnsi="仿宋" w:eastAsia="仿宋_GB2312" w:cs="宋体"/>
          <w:b/>
          <w:bCs/>
          <w:sz w:val="32"/>
          <w:szCs w:val="32"/>
          <w:lang w:val="en-US" w:eastAsia="zh-CN"/>
        </w:rPr>
        <w:t>的基本</w:t>
      </w:r>
      <w:r>
        <w:rPr>
          <w:rFonts w:hint="eastAsia" w:ascii="仿宋_GB2312" w:hAnsi="仿宋" w:eastAsia="仿宋_GB2312" w:cs="宋体"/>
          <w:b/>
          <w:bCs/>
          <w:sz w:val="32"/>
          <w:szCs w:val="32"/>
        </w:rPr>
        <w:t>思路</w:t>
      </w:r>
      <w:bookmarkEnd w:id="42"/>
      <w:bookmarkEnd w:id="43"/>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hAnsiTheme="minorHAnsi"/>
          <w:color w:val="auto"/>
          <w:kern w:val="2"/>
          <w:sz w:val="32"/>
          <w:szCs w:val="32"/>
          <w:highlight w:val="none"/>
          <w:lang w:val="en-US" w:eastAsia="zh-CN" w:bidi="ar-SA"/>
        </w:rPr>
      </w:pPr>
      <w:bookmarkStart w:id="44" w:name="_Toc27651416"/>
      <w:bookmarkStart w:id="45" w:name="_Toc14072"/>
      <w:bookmarkStart w:id="46" w:name="_Toc27648031"/>
      <w:bookmarkStart w:id="47" w:name="_Toc27493321"/>
      <w:bookmarkStart w:id="48" w:name="_Toc7209"/>
      <w:r>
        <w:rPr>
          <w:rFonts w:hint="eastAsia" w:ascii="仿宋_GB2312" w:eastAsia="仿宋_GB2312" w:cs="宋体" w:hAnsiTheme="minorHAnsi"/>
          <w:color w:val="auto"/>
          <w:kern w:val="2"/>
          <w:sz w:val="32"/>
          <w:szCs w:val="32"/>
          <w:lang w:val="en-US" w:eastAsia="zh-CN" w:bidi="ar-SA"/>
        </w:rPr>
        <w:t>本次评价从项目决策（包括项目立项依据的充分性和立项程序的规范性、绩效目标的合理性和绩效指标的明确性、预算编制的科学性和资金分配的合理性）、项目过程（包括项目资金中的资金到位、预算执行、资金使用的合规性、管理制度的健全性和制度执行的有效性）、项目产出（包括项目产出中的产出数量、产出质量、产出时效、产出成本）和项目效益（包括项目效果中的经济效益、社会效益、生态效益、可持续影响、服务对象满意度）四个维度进</w:t>
      </w:r>
      <w:r>
        <w:rPr>
          <w:rFonts w:hint="eastAsia" w:ascii="仿宋_GB2312" w:eastAsia="仿宋_GB2312" w:cs="宋体" w:hAnsiTheme="minorHAnsi"/>
          <w:color w:val="auto"/>
          <w:kern w:val="2"/>
          <w:sz w:val="32"/>
          <w:szCs w:val="32"/>
          <w:highlight w:val="none"/>
          <w:lang w:val="en-US" w:eastAsia="zh-CN" w:bidi="ar-SA"/>
        </w:rPr>
        <w:t>行评价。评价对象为</w:t>
      </w:r>
      <w:r>
        <w:rPr>
          <w:rFonts w:hint="eastAsia" w:ascii="仿宋_GB2312" w:eastAsia="仿宋_GB2312" w:cs="宋体"/>
          <w:color w:val="auto"/>
          <w:kern w:val="2"/>
          <w:sz w:val="32"/>
          <w:szCs w:val="32"/>
          <w:highlight w:val="none"/>
          <w:lang w:val="en-US" w:eastAsia="zh-CN" w:bidi="ar-SA"/>
        </w:rPr>
        <w:t>县级配套资金</w:t>
      </w:r>
      <w:r>
        <w:rPr>
          <w:rFonts w:hint="eastAsia" w:ascii="仿宋_GB2312" w:eastAsia="仿宋_GB2312" w:cs="宋体" w:hAnsiTheme="minorHAnsi"/>
          <w:color w:val="auto"/>
          <w:kern w:val="2"/>
          <w:sz w:val="32"/>
          <w:szCs w:val="32"/>
          <w:highlight w:val="none"/>
          <w:lang w:val="en-US" w:eastAsia="zh-CN" w:bidi="ar-SA"/>
        </w:rPr>
        <w:t>，评价核心为</w:t>
      </w:r>
      <w:r>
        <w:rPr>
          <w:rFonts w:hint="eastAsia" w:ascii="仿宋_GB2312" w:eastAsia="仿宋_GB2312" w:cs="宋体"/>
          <w:color w:val="auto"/>
          <w:kern w:val="2"/>
          <w:sz w:val="32"/>
          <w:szCs w:val="32"/>
          <w:highlight w:val="none"/>
          <w:lang w:val="en-US" w:eastAsia="zh-CN" w:bidi="ar-SA"/>
        </w:rPr>
        <w:t>县级配套</w:t>
      </w:r>
      <w:r>
        <w:rPr>
          <w:rFonts w:hint="eastAsia" w:ascii="仿宋_GB2312" w:eastAsia="仿宋_GB2312" w:cs="宋体" w:hAnsiTheme="minorHAnsi"/>
          <w:color w:val="auto"/>
          <w:kern w:val="2"/>
          <w:sz w:val="32"/>
          <w:szCs w:val="32"/>
          <w:highlight w:val="none"/>
          <w:lang w:val="en-US" w:eastAsia="zh-CN" w:bidi="ar-SA"/>
        </w:rPr>
        <w:t>资金的支出完成情况和效果。</w:t>
      </w:r>
      <w:bookmarkEnd w:id="44"/>
      <w:bookmarkEnd w:id="45"/>
      <w:bookmarkEnd w:id="46"/>
      <w:bookmarkEnd w:id="47"/>
      <w:bookmarkEnd w:id="48"/>
    </w:p>
    <w:p>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49" w:name="_Toc7962"/>
      <w:r>
        <w:rPr>
          <w:rFonts w:hint="eastAsia" w:ascii="仿宋_GB2312" w:hAnsi="仿宋" w:eastAsia="仿宋_GB2312" w:cs="宋体"/>
          <w:b/>
          <w:bCs/>
          <w:sz w:val="32"/>
          <w:szCs w:val="32"/>
        </w:rPr>
        <w:t>（三）评价原则</w:t>
      </w:r>
      <w:bookmarkEnd w:id="49"/>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bookmarkStart w:id="50" w:name="_Toc1742"/>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rPr>
        <w:t>相关性原则。绩效评价指标与绩效目标有直接的联系，能够恰当反映目标的实现程度。</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2.</w:t>
      </w:r>
      <w:r>
        <w:rPr>
          <w:rFonts w:hint="eastAsia" w:ascii="仿宋_GB2312" w:hAnsi="仿宋_GB2312" w:eastAsia="仿宋_GB2312" w:cs="仿宋_GB2312"/>
          <w:sz w:val="32"/>
          <w:szCs w:val="32"/>
        </w:rPr>
        <w:t>重要性原则。优先使用最具评价对象代表性、最能反映评价要求的核心指标。</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3.</w:t>
      </w:r>
      <w:r>
        <w:rPr>
          <w:rFonts w:hint="eastAsia" w:ascii="仿宋_GB2312" w:hAnsi="仿宋_GB2312" w:eastAsia="仿宋_GB2312" w:cs="仿宋_GB2312"/>
          <w:sz w:val="32"/>
          <w:szCs w:val="32"/>
        </w:rPr>
        <w:t>可比性原则。对同类评价对象设定共性的绩效评价指标，以便于评价标准的规范和评价结果可相互比较。</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4.</w:t>
      </w:r>
      <w:r>
        <w:rPr>
          <w:rFonts w:hint="eastAsia" w:ascii="仿宋_GB2312" w:hAnsi="仿宋_GB2312" w:eastAsia="仿宋_GB2312" w:cs="仿宋_GB2312"/>
          <w:sz w:val="32"/>
          <w:szCs w:val="32"/>
        </w:rPr>
        <w:t>系统性原则。将定量指标与定性指标相结合，定量指标量化，定性指标可衡量，系统反映财政支出所产生的社会效益</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经济效益、环境效益和可持续影响等。</w:t>
      </w:r>
    </w:p>
    <w:p>
      <w:pPr>
        <w:pStyle w:val="33"/>
        <w:keepNext w:val="0"/>
        <w:keepLines w:val="0"/>
        <w:pageBreakBefore w:val="0"/>
        <w:widowControl w:val="0"/>
        <w:kinsoku/>
        <w:wordWrap/>
        <w:overflowPunct/>
        <w:topLinePunct w:val="0"/>
        <w:autoSpaceDE/>
        <w:autoSpaceDN/>
        <w:bidi w:val="0"/>
        <w:adjustRightInd w:val="0"/>
        <w:snapToGrid w:val="0"/>
        <w:spacing w:line="560" w:lineRule="exact"/>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5.</w:t>
      </w:r>
      <w:r>
        <w:rPr>
          <w:rFonts w:hint="eastAsia" w:ascii="仿宋_GB2312" w:hAnsi="仿宋_GB2312" w:eastAsia="仿宋_GB2312" w:cs="仿宋_GB2312"/>
          <w:sz w:val="32"/>
          <w:szCs w:val="32"/>
        </w:rPr>
        <w:t>经济性原则。通俗易懂、简便易行，数据的获得考虑现实条件和可操作性，符合成本效益原则。</w:t>
      </w:r>
    </w:p>
    <w:p>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（四）评价方法</w:t>
      </w:r>
      <w:bookmarkEnd w:id="50"/>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bookmarkStart w:id="51" w:name="_Toc16588"/>
      <w:r>
        <w:rPr>
          <w:rFonts w:hint="eastAsia" w:ascii="仿宋_GB2312" w:hAnsi="仿宋_GB2312" w:eastAsia="仿宋_GB2312" w:cs="仿宋_GB2312"/>
          <w:sz w:val="32"/>
          <w:szCs w:val="32"/>
          <w:lang w:val="en-US" w:eastAsia="zh-CN"/>
        </w:rPr>
        <w:t>本次绩效评价主要采用以下评价方法：</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1.比较法，通过对绩效目标与实施效果、历史与当期情况、不同部门和地区同类支出的比较，综合分析绩效目标实现程度。</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2.因素分析法，通过综合分析影响绩效目标实现、实施效果的内外因素，评价绩效目标实现程度。</w:t>
      </w:r>
    </w:p>
    <w:p>
      <w:pPr>
        <w:pStyle w:val="33"/>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3.公众评判法，通过专家评估、公众问卷及抽样调查等对财政支出效果进行评判，评价绩效目标实现程度。</w:t>
      </w:r>
    </w:p>
    <w:p>
      <w:pPr>
        <w:pStyle w:val="33"/>
        <w:numPr>
          <w:ilvl w:val="0"/>
          <w:numId w:val="4"/>
        </w:numPr>
        <w:adjustRightInd w:val="0"/>
        <w:snapToGrid w:val="0"/>
        <w:spacing w:line="560" w:lineRule="exact"/>
        <w:ind w:left="420" w:leftChars="200" w:firstLine="321" w:firstLineChars="100"/>
        <w:outlineLvl w:val="1"/>
        <w:rPr>
          <w:rFonts w:hint="eastAsia" w:ascii="仿宋_GB2312" w:hAnsi="仿宋" w:eastAsia="仿宋_GB2312" w:cs="宋体"/>
          <w:b/>
          <w:bCs/>
          <w:sz w:val="32"/>
          <w:szCs w:val="32"/>
        </w:rPr>
      </w:pPr>
      <w:r>
        <w:rPr>
          <w:rFonts w:hint="eastAsia" w:ascii="仿宋_GB2312" w:hAnsi="仿宋" w:eastAsia="仿宋_GB2312" w:cs="宋体"/>
          <w:b/>
          <w:bCs/>
          <w:sz w:val="32"/>
          <w:szCs w:val="32"/>
        </w:rPr>
        <w:t>指标体系</w:t>
      </w:r>
      <w:bookmarkEnd w:id="51"/>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52" w:name="_Toc10934"/>
      <w:bookmarkStart w:id="53" w:name="_Toc986"/>
      <w:bookmarkStart w:id="54" w:name="_Toc16677"/>
      <w:bookmarkStart w:id="55" w:name="_Toc8115"/>
      <w:bookmarkStart w:id="56" w:name="_Toc22089"/>
      <w:bookmarkStart w:id="57" w:name="_Toc32612"/>
      <w:bookmarkStart w:id="58" w:name="_Toc16367"/>
      <w:bookmarkStart w:id="59" w:name="_Toc31692"/>
      <w:r>
        <w:rPr>
          <w:rFonts w:hint="eastAsia" w:ascii="仿宋_GB2312" w:hAnsi="仿宋_GB2312" w:eastAsia="仿宋_GB2312" w:cs="仿宋_GB2312"/>
          <w:sz w:val="32"/>
          <w:szCs w:val="32"/>
          <w:highlight w:val="none"/>
          <w:lang w:val="en-US" w:eastAsia="zh-CN"/>
        </w:rPr>
        <w:t>根据财政部颁发的《项目支出绩效评价管理办法》（财预〔2020〕10号）等相关文件精神，结合重点项目特点，在与专家组、项目单位充分协商的基础上，评价工作组细化了该专项的绩效评价指标体系，详见附件一。</w:t>
      </w:r>
      <w:bookmarkEnd w:id="52"/>
      <w:bookmarkEnd w:id="53"/>
      <w:bookmarkEnd w:id="54"/>
      <w:bookmarkEnd w:id="55"/>
      <w:bookmarkEnd w:id="56"/>
      <w:bookmarkEnd w:id="57"/>
    </w:p>
    <w:p>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（六）评价等级划分</w:t>
      </w:r>
      <w:bookmarkEnd w:id="58"/>
      <w:bookmarkEnd w:id="59"/>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根据财政部颁发的《项目支出绩效评价管理办法》（财预〔2020〕10号）等相关文件精神，本次绩效评价结果主要采取评分和评级相结合的方式，具体分值和等级可根据不同评价的内容设定。总分一般设置为100分，其中项目决策20分、项目过程20分、项目产出30分、项目绩效30分。评价结果分为优、良、中、差四个等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优（90分（含）—100分）；</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良（80分（含）—90分）；</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中（60分（含）—80分）；</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差（0分—60分）。</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highlight w:val="none"/>
          <w:lang w:val="en-US" w:eastAsia="zh-CN"/>
        </w:rPr>
        <w:t>对在项目进行绩效评价的过程中，如果实施单位有弄虚作假、瞒报谎报情况之行为，绩效评价组将如实上报至洛浦县中共洛浦县委组织部、洛浦县财政局，并予以通报批评；情节严重的，绩效评价结果将直接判定为不合格等级。</w:t>
      </w:r>
    </w:p>
    <w:p>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60" w:name="_Toc24267"/>
      <w:r>
        <w:rPr>
          <w:rFonts w:hint="eastAsia" w:ascii="仿宋_GB2312" w:hAnsi="仿宋" w:eastAsia="仿宋_GB2312" w:cs="宋体"/>
          <w:b/>
          <w:bCs/>
          <w:sz w:val="32"/>
          <w:szCs w:val="32"/>
        </w:rPr>
        <w:t>（七）评价工作实施情况</w:t>
      </w:r>
      <w:bookmarkEnd w:id="60"/>
    </w:p>
    <w:p>
      <w:pPr>
        <w:pStyle w:val="33"/>
        <w:tabs>
          <w:tab w:val="left" w:pos="1559"/>
        </w:tabs>
        <w:adjustRightInd w:val="0"/>
        <w:snapToGrid w:val="0"/>
        <w:spacing w:line="560" w:lineRule="exact"/>
        <w:ind w:firstLine="640"/>
        <w:outlineLvl w:val="2"/>
        <w:rPr>
          <w:rFonts w:ascii="楷体" w:hAnsi="楷体" w:eastAsia="楷体" w:cs="楷体"/>
          <w:bCs/>
          <w:sz w:val="32"/>
          <w:szCs w:val="32"/>
        </w:rPr>
      </w:pPr>
      <w:bookmarkStart w:id="61" w:name="_Toc8898"/>
      <w:bookmarkStart w:id="62" w:name="_Toc12973"/>
      <w:r>
        <w:rPr>
          <w:rFonts w:hint="eastAsia" w:ascii="楷体" w:hAnsi="楷体" w:eastAsia="楷体" w:cs="楷体"/>
          <w:bCs/>
          <w:sz w:val="32"/>
          <w:szCs w:val="32"/>
        </w:rPr>
        <w:t>1.评价工作程序和时间安排</w:t>
      </w:r>
      <w:bookmarkEnd w:id="61"/>
      <w:bookmarkEnd w:id="62"/>
    </w:p>
    <w:p>
      <w:pPr>
        <w:adjustRightInd w:val="0"/>
        <w:snapToGrid w:val="0"/>
        <w:spacing w:line="560" w:lineRule="exact"/>
        <w:ind w:firstLine="640" w:firstLineChars="200"/>
        <w:rPr>
          <w:rFonts w:ascii="Times New Roman" w:hAnsi="Times New Roman" w:eastAsia="仿宋" w:cs="Times New Roman"/>
          <w:sz w:val="32"/>
          <w:szCs w:val="32"/>
        </w:rPr>
      </w:pPr>
      <w:r>
        <w:rPr>
          <w:rFonts w:hint="eastAsia" w:ascii="仿宋_GB2312" w:hAnsi="仿宋_GB2312" w:eastAsia="仿宋_GB2312" w:cs="仿宋_GB2312"/>
          <w:sz w:val="32"/>
          <w:szCs w:val="32"/>
          <w:highlight w:val="none"/>
          <w:lang w:val="en-US" w:eastAsia="zh-CN"/>
        </w:rPr>
        <w:t>本次绩效评价各阶段具体工作内容及时间进度安排详见</w:t>
      </w:r>
      <w:r>
        <w:rPr>
          <w:rFonts w:hint="eastAsia" w:ascii="仿宋" w:hAnsi="仿宋" w:eastAsia="仿宋" w:cs="仿宋"/>
          <w:sz w:val="32"/>
          <w:szCs w:val="32"/>
        </w:rPr>
        <w:t>下表：</w:t>
      </w:r>
    </w:p>
    <w:p>
      <w:pPr>
        <w:spacing w:after="156" w:afterLines="50" w:line="560" w:lineRule="exact"/>
        <w:jc w:val="center"/>
        <w:rPr>
          <w:rFonts w:ascii="Times New Roman" w:hAnsi="Times New Roman" w:eastAsia="黑体" w:cs="Times New Roman"/>
          <w:sz w:val="32"/>
          <w:szCs w:val="32"/>
          <w:highlight w:val="none"/>
        </w:rPr>
      </w:pPr>
      <w:bookmarkStart w:id="63" w:name="_Toc3615"/>
      <w:bookmarkStart w:id="64" w:name="_Toc28992"/>
      <w:r>
        <w:rPr>
          <w:rFonts w:ascii="Times New Roman" w:hAnsi="Times New Roman" w:eastAsia="黑体" w:cs="Times New Roman"/>
          <w:sz w:val="32"/>
          <w:szCs w:val="32"/>
          <w:highlight w:val="none"/>
        </w:rPr>
        <w:t>绩效评价工作程序和时间安排表</w:t>
      </w:r>
    </w:p>
    <w:tbl>
      <w:tblPr>
        <w:tblStyle w:val="19"/>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8"/>
        <w:gridCol w:w="534"/>
        <w:gridCol w:w="4293"/>
        <w:gridCol w:w="1814"/>
        <w:gridCol w:w="1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688" w:type="dxa"/>
            <w:shd w:val="clear" w:color="auto" w:fill="C0C0C0"/>
            <w:vAlign w:val="center"/>
          </w:tcPr>
          <w:p>
            <w:pPr>
              <w:adjustRightInd w:val="0"/>
              <w:snapToGrid w:val="0"/>
              <w:jc w:val="distribute"/>
              <w:rPr>
                <w:rFonts w:hint="eastAsia" w:ascii="仿宋" w:hAnsi="仿宋" w:eastAsia="仿宋" w:cs="仿宋"/>
                <w:b/>
                <w:bCs/>
                <w:sz w:val="20"/>
                <w:szCs w:val="20"/>
              </w:rPr>
            </w:pPr>
            <w:r>
              <w:rPr>
                <w:rFonts w:hint="eastAsia" w:ascii="仿宋" w:hAnsi="仿宋" w:eastAsia="仿宋" w:cs="仿宋"/>
                <w:b/>
                <w:bCs/>
                <w:sz w:val="20"/>
                <w:szCs w:val="20"/>
              </w:rPr>
              <w:t>阶段</w:t>
            </w:r>
          </w:p>
          <w:p>
            <w:pPr>
              <w:adjustRightInd w:val="0"/>
              <w:snapToGrid w:val="0"/>
              <w:jc w:val="distribute"/>
              <w:rPr>
                <w:rFonts w:hint="eastAsia" w:ascii="仿宋" w:hAnsi="仿宋" w:eastAsia="仿宋" w:cs="仿宋"/>
                <w:b/>
                <w:bCs/>
                <w:sz w:val="20"/>
                <w:szCs w:val="20"/>
              </w:rPr>
            </w:pPr>
            <w:r>
              <w:rPr>
                <w:rFonts w:hint="eastAsia" w:ascii="仿宋" w:hAnsi="仿宋" w:eastAsia="仿宋" w:cs="仿宋"/>
                <w:b/>
                <w:bCs/>
                <w:sz w:val="20"/>
                <w:szCs w:val="20"/>
              </w:rPr>
              <w:t>安排</w:t>
            </w:r>
          </w:p>
        </w:tc>
        <w:tc>
          <w:tcPr>
            <w:tcW w:w="4827" w:type="dxa"/>
            <w:gridSpan w:val="2"/>
            <w:shd w:val="clear" w:color="auto" w:fill="C0C0C0"/>
            <w:vAlign w:val="center"/>
          </w:tcPr>
          <w:p>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工作内容</w:t>
            </w:r>
          </w:p>
        </w:tc>
        <w:tc>
          <w:tcPr>
            <w:tcW w:w="1814" w:type="dxa"/>
            <w:shd w:val="clear" w:color="auto" w:fill="C0C0C0"/>
            <w:vAlign w:val="center"/>
          </w:tcPr>
          <w:p>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进度安排</w:t>
            </w:r>
          </w:p>
        </w:tc>
        <w:tc>
          <w:tcPr>
            <w:tcW w:w="1175" w:type="dxa"/>
            <w:shd w:val="clear" w:color="auto" w:fill="C0C0C0"/>
            <w:vAlign w:val="center"/>
          </w:tcPr>
          <w:p>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参与方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jc w:val="center"/>
        </w:trPr>
        <w:tc>
          <w:tcPr>
            <w:tcW w:w="688" w:type="dxa"/>
            <w:vMerge w:val="restart"/>
            <w:shd w:val="clear" w:color="auto" w:fill="auto"/>
            <w:vAlign w:val="center"/>
          </w:tcPr>
          <w:p>
            <w:pPr>
              <w:adjustRightInd w:val="0"/>
              <w:snapToGrid w:val="0"/>
              <w:jc w:val="center"/>
              <w:rPr>
                <w:rFonts w:hint="eastAsia" w:ascii="仿宋" w:hAnsi="仿宋" w:eastAsia="仿宋" w:cs="仿宋"/>
                <w:b/>
                <w:bCs/>
                <w:sz w:val="20"/>
                <w:szCs w:val="20"/>
              </w:rPr>
            </w:pPr>
            <w:r>
              <w:rPr>
                <w:rFonts w:hint="eastAsia" w:ascii="Times New Roman" w:hAnsi="Times New Roman" w:eastAsia="仿宋_GB2312" w:cs="仿宋"/>
                <w:b/>
                <w:bCs/>
                <w:spacing w:val="40"/>
                <w:sz w:val="20"/>
                <w:szCs w:val="20"/>
              </w:rPr>
              <w:t>评价准备阶段</w:t>
            </w:r>
          </w:p>
        </w:tc>
        <w:tc>
          <w:tcPr>
            <w:tcW w:w="4827" w:type="dxa"/>
            <w:gridSpan w:val="2"/>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rPr>
              <w:t>制定《项目实施工作方案》，收集并研究分析项目政策资料，编制指标评价体系和资料清单，并发送被评价单位准备资料。</w:t>
            </w:r>
          </w:p>
        </w:tc>
        <w:tc>
          <w:tcPr>
            <w:tcW w:w="1814" w:type="dxa"/>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01</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仿宋" w:hAnsi="仿宋" w:eastAsia="仿宋" w:cs="仿宋"/>
                <w:b/>
                <w:bCs/>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3" w:hRule="atLeast"/>
          <w:jc w:val="center"/>
        </w:trPr>
        <w:tc>
          <w:tcPr>
            <w:tcW w:w="688" w:type="dxa"/>
            <w:vMerge w:val="continue"/>
            <w:shd w:val="clear" w:color="auto" w:fill="auto"/>
            <w:vAlign w:val="center"/>
          </w:tcPr>
          <w:p>
            <w:pPr>
              <w:adjustRightInd w:val="0"/>
              <w:snapToGrid w:val="0"/>
              <w:ind w:firstLine="560" w:firstLineChars="200"/>
              <w:jc w:val="center"/>
              <w:rPr>
                <w:rFonts w:hint="eastAsia" w:ascii="仿宋" w:hAnsi="仿宋" w:eastAsia="仿宋" w:cs="仿宋"/>
                <w:spacing w:val="40"/>
                <w:sz w:val="20"/>
                <w:szCs w:val="20"/>
              </w:rPr>
            </w:pPr>
          </w:p>
        </w:tc>
        <w:tc>
          <w:tcPr>
            <w:tcW w:w="534" w:type="dxa"/>
            <w:vMerge w:val="restart"/>
            <w:shd w:val="clear" w:color="auto" w:fill="auto"/>
            <w:vAlign w:val="center"/>
          </w:tcPr>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编写相关文本</w:t>
            </w:r>
          </w:p>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w:t>
            </w:r>
          </w:p>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准备资料</w:t>
            </w:r>
          </w:p>
        </w:tc>
        <w:tc>
          <w:tcPr>
            <w:tcW w:w="4293" w:type="dxa"/>
            <w:shd w:val="clear" w:color="auto" w:fill="auto"/>
            <w:vAlign w:val="center"/>
          </w:tcPr>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首轮提交文本及资料：</w:t>
            </w:r>
          </w:p>
          <w:p>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1.项目单位提交自评绩效报告；</w:t>
            </w:r>
          </w:p>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sz w:val="20"/>
                <w:szCs w:val="20"/>
              </w:rPr>
              <w:t>2.项目单位按照资料清单要求准备相关资料，提交评价工作组。</w:t>
            </w:r>
          </w:p>
        </w:tc>
        <w:tc>
          <w:tcPr>
            <w:tcW w:w="1814"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vMerge w:val="restart"/>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0" w:hRule="atLeast"/>
          <w:jc w:val="center"/>
        </w:trPr>
        <w:tc>
          <w:tcPr>
            <w:tcW w:w="688" w:type="dxa"/>
            <w:vMerge w:val="continue"/>
            <w:shd w:val="clear" w:color="auto" w:fill="auto"/>
            <w:vAlign w:val="center"/>
          </w:tcPr>
          <w:p>
            <w:pPr>
              <w:adjustRightInd w:val="0"/>
              <w:snapToGrid w:val="0"/>
              <w:ind w:firstLine="560" w:firstLineChars="200"/>
              <w:jc w:val="center"/>
              <w:rPr>
                <w:rFonts w:hint="eastAsia" w:ascii="仿宋" w:hAnsi="仿宋" w:eastAsia="仿宋" w:cs="仿宋"/>
                <w:spacing w:val="40"/>
                <w:sz w:val="20"/>
                <w:szCs w:val="20"/>
              </w:rPr>
            </w:pPr>
          </w:p>
        </w:tc>
        <w:tc>
          <w:tcPr>
            <w:tcW w:w="534" w:type="dxa"/>
            <w:vMerge w:val="continue"/>
            <w:shd w:val="clear" w:color="auto" w:fill="auto"/>
            <w:vAlign w:val="center"/>
          </w:tcPr>
          <w:p>
            <w:pPr>
              <w:adjustRightInd w:val="0"/>
              <w:snapToGrid w:val="0"/>
              <w:jc w:val="left"/>
              <w:rPr>
                <w:rFonts w:hint="eastAsia" w:ascii="仿宋" w:hAnsi="仿宋" w:eastAsia="仿宋" w:cs="仿宋"/>
                <w:sz w:val="20"/>
                <w:szCs w:val="20"/>
              </w:rPr>
            </w:pPr>
          </w:p>
        </w:tc>
        <w:tc>
          <w:tcPr>
            <w:tcW w:w="4293" w:type="dxa"/>
            <w:tcBorders>
              <w:bottom w:val="single" w:color="auto" w:sz="4" w:space="0"/>
            </w:tcBorders>
            <w:shd w:val="clear" w:color="auto" w:fill="auto"/>
            <w:vAlign w:val="center"/>
          </w:tcPr>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修改文本及补充资料：</w:t>
            </w:r>
          </w:p>
          <w:p>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1.评价工作组提出绩效报告修改意见，并反馈项目单位进行修改；</w:t>
            </w:r>
          </w:p>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sz w:val="20"/>
                <w:szCs w:val="20"/>
              </w:rPr>
              <w:t>2.评价工作组对资料进行审核，提出补充修改意见。</w:t>
            </w:r>
          </w:p>
        </w:tc>
        <w:tc>
          <w:tcPr>
            <w:tcW w:w="1814" w:type="dxa"/>
            <w:tcBorders>
              <w:bottom w:val="single" w:color="auto" w:sz="4" w:space="0"/>
            </w:tcBorders>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20</w:t>
            </w:r>
            <w:r>
              <w:rPr>
                <w:rFonts w:hint="eastAsia" w:ascii="Times New Roman" w:hAnsi="Times New Roman" w:eastAsia="仿宋_GB2312" w:cs="仿宋"/>
                <w:sz w:val="20"/>
                <w:szCs w:val="20"/>
              </w:rPr>
              <w:t>日</w:t>
            </w:r>
          </w:p>
        </w:tc>
        <w:tc>
          <w:tcPr>
            <w:tcW w:w="1175" w:type="dxa"/>
            <w:vMerge w:val="continue"/>
            <w:shd w:val="clear" w:color="auto" w:fill="auto"/>
            <w:vAlign w:val="center"/>
          </w:tcPr>
          <w:p>
            <w:pPr>
              <w:adjustRightInd w:val="0"/>
              <w:snapToGrid w:val="0"/>
              <w:jc w:val="center"/>
              <w:rPr>
                <w:rFonts w:hint="eastAsia" w:ascii="仿宋" w:hAnsi="仿宋" w:eastAsia="仿宋" w:cs="仿宋"/>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7" w:hRule="atLeast"/>
          <w:jc w:val="center"/>
        </w:trPr>
        <w:tc>
          <w:tcPr>
            <w:tcW w:w="688" w:type="dxa"/>
            <w:vMerge w:val="continue"/>
            <w:shd w:val="clear" w:color="auto" w:fill="auto"/>
            <w:vAlign w:val="center"/>
          </w:tcPr>
          <w:p>
            <w:pPr>
              <w:adjustRightInd w:val="0"/>
              <w:snapToGrid w:val="0"/>
              <w:ind w:firstLine="560" w:firstLineChars="200"/>
              <w:jc w:val="center"/>
              <w:rPr>
                <w:rFonts w:hint="eastAsia" w:ascii="仿宋" w:hAnsi="仿宋" w:eastAsia="仿宋" w:cs="仿宋"/>
                <w:spacing w:val="40"/>
                <w:sz w:val="20"/>
                <w:szCs w:val="20"/>
              </w:rPr>
            </w:pPr>
          </w:p>
        </w:tc>
        <w:tc>
          <w:tcPr>
            <w:tcW w:w="534" w:type="dxa"/>
            <w:vMerge w:val="continue"/>
            <w:shd w:val="clear" w:color="auto" w:fill="auto"/>
            <w:vAlign w:val="center"/>
          </w:tcPr>
          <w:p>
            <w:pPr>
              <w:adjustRightInd w:val="0"/>
              <w:snapToGrid w:val="0"/>
              <w:spacing w:after="120"/>
              <w:jc w:val="left"/>
              <w:rPr>
                <w:rFonts w:hint="eastAsia" w:ascii="仿宋" w:hAnsi="仿宋" w:eastAsia="仿宋" w:cs="仿宋"/>
                <w:b/>
                <w:bCs/>
                <w:sz w:val="20"/>
                <w:szCs w:val="20"/>
              </w:rPr>
            </w:pPr>
          </w:p>
        </w:tc>
        <w:tc>
          <w:tcPr>
            <w:tcW w:w="4293" w:type="dxa"/>
            <w:shd w:val="clear" w:color="auto" w:fill="auto"/>
            <w:vAlign w:val="center"/>
          </w:tcPr>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确定终版文本及资料：</w:t>
            </w:r>
          </w:p>
          <w:p>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1.评价工作组再次审核绩效报告，项目单位参照修改意见进行修改并定稿；</w:t>
            </w:r>
          </w:p>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rPr>
              <w:t>2.项目单位按照补充修改意见完善资料，并将终版资料提交评价工作组，并签署资料确认单。</w:t>
            </w:r>
          </w:p>
        </w:tc>
        <w:tc>
          <w:tcPr>
            <w:tcW w:w="1814"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22</w:t>
            </w:r>
            <w:r>
              <w:rPr>
                <w:rFonts w:hint="eastAsia" w:ascii="Times New Roman" w:hAnsi="Times New Roman" w:eastAsia="仿宋_GB2312" w:cs="仿宋"/>
                <w:sz w:val="20"/>
                <w:szCs w:val="20"/>
              </w:rPr>
              <w:t>日</w:t>
            </w:r>
          </w:p>
        </w:tc>
        <w:tc>
          <w:tcPr>
            <w:tcW w:w="1175" w:type="dxa"/>
            <w:vMerge w:val="continue"/>
            <w:shd w:val="clear" w:color="auto" w:fill="auto"/>
            <w:vAlign w:val="center"/>
          </w:tcPr>
          <w:p>
            <w:pPr>
              <w:adjustRightInd w:val="0"/>
              <w:snapToGrid w:val="0"/>
              <w:jc w:val="center"/>
              <w:rPr>
                <w:rFonts w:hint="eastAsia" w:ascii="仿宋" w:hAnsi="仿宋" w:eastAsia="仿宋" w:cs="仿宋"/>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8" w:hRule="atLeast"/>
          <w:jc w:val="center"/>
        </w:trPr>
        <w:tc>
          <w:tcPr>
            <w:tcW w:w="688" w:type="dxa"/>
            <w:vMerge w:val="continue"/>
            <w:shd w:val="clear" w:color="auto" w:fill="auto"/>
            <w:textDirection w:val="tbRlV"/>
            <w:vAlign w:val="center"/>
          </w:tcPr>
          <w:p>
            <w:pPr>
              <w:adjustRightInd w:val="0"/>
              <w:snapToGrid w:val="0"/>
              <w:ind w:firstLine="560" w:firstLineChars="200"/>
              <w:jc w:val="center"/>
              <w:rPr>
                <w:rFonts w:hint="eastAsia" w:ascii="仿宋" w:hAnsi="仿宋" w:eastAsia="仿宋" w:cs="仿宋"/>
                <w:spacing w:val="40"/>
                <w:sz w:val="20"/>
                <w:szCs w:val="20"/>
              </w:rPr>
            </w:pPr>
          </w:p>
        </w:tc>
        <w:tc>
          <w:tcPr>
            <w:tcW w:w="4827" w:type="dxa"/>
            <w:gridSpan w:val="2"/>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整理、分析资料：</w:t>
            </w:r>
            <w:r>
              <w:rPr>
                <w:rFonts w:hint="eastAsia" w:ascii="Times New Roman" w:hAnsi="Times New Roman" w:eastAsia="仿宋_GB2312" w:cs="仿宋"/>
                <w:sz w:val="20"/>
                <w:szCs w:val="20"/>
              </w:rPr>
              <w:t>评价工作组对所收集资料进行整理、对资金支出情况进行分析，就有关问题与项目单位核实。</w:t>
            </w:r>
          </w:p>
        </w:tc>
        <w:tc>
          <w:tcPr>
            <w:tcW w:w="1814"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3</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项目单位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0" w:hRule="atLeast"/>
          <w:jc w:val="center"/>
        </w:trPr>
        <w:tc>
          <w:tcPr>
            <w:tcW w:w="688" w:type="dxa"/>
            <w:vMerge w:val="continue"/>
            <w:shd w:val="clear" w:color="auto" w:fill="auto"/>
            <w:textDirection w:val="tbRlV"/>
            <w:vAlign w:val="center"/>
          </w:tcPr>
          <w:p>
            <w:pPr>
              <w:adjustRightInd w:val="0"/>
              <w:snapToGrid w:val="0"/>
              <w:ind w:left="113" w:leftChars="0" w:firstLine="560" w:firstLineChars="200"/>
              <w:jc w:val="center"/>
              <w:rPr>
                <w:rFonts w:hint="eastAsia" w:ascii="仿宋" w:hAnsi="仿宋" w:eastAsia="仿宋" w:cs="仿宋"/>
                <w:spacing w:val="40"/>
                <w:sz w:val="20"/>
                <w:szCs w:val="20"/>
              </w:rPr>
            </w:pPr>
          </w:p>
        </w:tc>
        <w:tc>
          <w:tcPr>
            <w:tcW w:w="4827" w:type="dxa"/>
            <w:gridSpan w:val="2"/>
            <w:tcBorders>
              <w:bottom w:val="single" w:color="auto" w:sz="4" w:space="0"/>
            </w:tcBorders>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成立评价工作小组：</w:t>
            </w:r>
            <w:r>
              <w:rPr>
                <w:rFonts w:hint="eastAsia" w:ascii="Times New Roman" w:hAnsi="Times New Roman" w:eastAsia="仿宋_GB2312" w:cs="仿宋"/>
                <w:sz w:val="20"/>
                <w:szCs w:val="20"/>
              </w:rPr>
              <w:t>遴选相关业务、财务、管理等组成评价工作小组，并对小组成员进行培训。</w:t>
            </w:r>
          </w:p>
        </w:tc>
        <w:tc>
          <w:tcPr>
            <w:tcW w:w="1814" w:type="dxa"/>
            <w:tcBorders>
              <w:bottom w:val="single" w:color="auto" w:sz="4" w:space="0"/>
            </w:tcBorders>
            <w:shd w:val="clear" w:color="auto" w:fill="auto"/>
            <w:vAlign w:val="center"/>
          </w:tcPr>
          <w:p>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4</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4" w:hRule="atLeast"/>
          <w:jc w:val="center"/>
        </w:trPr>
        <w:tc>
          <w:tcPr>
            <w:tcW w:w="688" w:type="dxa"/>
            <w:vMerge w:val="restart"/>
            <w:shd w:val="clear" w:color="auto" w:fill="auto"/>
            <w:textDirection w:val="tbRlV"/>
            <w:vAlign w:val="center"/>
          </w:tcPr>
          <w:p>
            <w:pPr>
              <w:adjustRightInd w:val="0"/>
              <w:snapToGrid w:val="0"/>
              <w:ind w:firstLine="281" w:firstLineChars="100"/>
              <w:rPr>
                <w:rFonts w:hint="eastAsia" w:ascii="仿宋" w:hAnsi="仿宋" w:eastAsia="仿宋" w:cs="仿宋"/>
                <w:spacing w:val="40"/>
                <w:sz w:val="20"/>
                <w:szCs w:val="20"/>
              </w:rPr>
            </w:pPr>
            <w:r>
              <w:rPr>
                <w:rFonts w:hint="eastAsia" w:ascii="Times New Roman" w:hAnsi="Times New Roman" w:eastAsia="仿宋_GB2312" w:cs="仿宋"/>
                <w:b/>
                <w:bCs/>
                <w:spacing w:val="40"/>
                <w:sz w:val="20"/>
                <w:szCs w:val="20"/>
              </w:rPr>
              <w:t>评价实施阶段</w:t>
            </w:r>
          </w:p>
        </w:tc>
        <w:tc>
          <w:tcPr>
            <w:tcW w:w="4827" w:type="dxa"/>
            <w:gridSpan w:val="2"/>
            <w:tcBorders>
              <w:bottom w:val="single" w:color="auto" w:sz="4" w:space="0"/>
            </w:tcBorders>
            <w:shd w:val="clear" w:color="auto" w:fill="auto"/>
            <w:vAlign w:val="center"/>
          </w:tcPr>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现场调研：</w:t>
            </w:r>
            <w:r>
              <w:rPr>
                <w:rFonts w:hint="eastAsia" w:ascii="Times New Roman" w:hAnsi="Times New Roman" w:eastAsia="仿宋_GB2312" w:cs="仿宋"/>
                <w:sz w:val="20"/>
                <w:szCs w:val="20"/>
              </w:rPr>
              <w:t>根据项目情况，评价工作组对项目现场进行调研，核实项目完成情况及效益实现情况。</w:t>
            </w:r>
          </w:p>
        </w:tc>
        <w:tc>
          <w:tcPr>
            <w:tcW w:w="1814" w:type="dxa"/>
            <w:tcBorders>
              <w:bottom w:val="single" w:color="auto" w:sz="4" w:space="0"/>
            </w:tcBorders>
            <w:shd w:val="clear" w:color="auto" w:fill="auto"/>
            <w:vAlign w:val="center"/>
          </w:tcPr>
          <w:p>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10</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0" w:hRule="atLeast"/>
          <w:jc w:val="center"/>
        </w:trPr>
        <w:tc>
          <w:tcPr>
            <w:tcW w:w="688" w:type="dxa"/>
            <w:vMerge w:val="continue"/>
            <w:shd w:val="clear" w:color="auto" w:fill="auto"/>
            <w:textDirection w:val="tbRlV"/>
            <w:vAlign w:val="center"/>
          </w:tcPr>
          <w:p>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pPr>
              <w:rPr>
                <w:rFonts w:hint="eastAsia" w:ascii="仿宋" w:hAnsi="仿宋" w:eastAsia="仿宋" w:cs="仿宋"/>
                <w:b/>
                <w:bCs/>
                <w:sz w:val="20"/>
                <w:szCs w:val="20"/>
              </w:rPr>
            </w:pPr>
            <w:r>
              <w:rPr>
                <w:rFonts w:hint="eastAsia" w:ascii="Times New Roman" w:hAnsi="Times New Roman" w:eastAsia="仿宋_GB2312" w:cs="仿宋"/>
                <w:b/>
                <w:bCs/>
                <w:sz w:val="20"/>
                <w:szCs w:val="20"/>
              </w:rPr>
              <w:t>组织针对性培训：</w:t>
            </w:r>
            <w:r>
              <w:rPr>
                <w:rFonts w:hint="eastAsia" w:ascii="Times New Roman" w:hAnsi="Times New Roman" w:eastAsia="仿宋_GB2312" w:cs="仿宋"/>
                <w:sz w:val="20"/>
                <w:szCs w:val="20"/>
              </w:rPr>
              <w:t>评价工作组根据预算部门（单位）的不同需求，开展有针对性的培训工作。</w:t>
            </w:r>
          </w:p>
        </w:tc>
        <w:tc>
          <w:tcPr>
            <w:tcW w:w="1814" w:type="dxa"/>
            <w:shd w:val="clear" w:color="auto" w:fill="auto"/>
            <w:vAlign w:val="center"/>
          </w:tcPr>
          <w:p>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12</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688" w:type="dxa"/>
            <w:vMerge w:val="continue"/>
            <w:shd w:val="clear" w:color="auto" w:fill="auto"/>
            <w:textDirection w:val="tbRlV"/>
            <w:vAlign w:val="center"/>
          </w:tcPr>
          <w:p>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现场评价会：</w:t>
            </w:r>
            <w:r>
              <w:rPr>
                <w:rFonts w:hint="eastAsia" w:ascii="Times New Roman" w:hAnsi="Times New Roman" w:eastAsia="仿宋_GB2312" w:cs="仿宋"/>
                <w:sz w:val="20"/>
                <w:szCs w:val="20"/>
              </w:rPr>
              <w:t>召开现场评价会议，核实项目执行情况，出具评价意见。</w:t>
            </w:r>
          </w:p>
        </w:tc>
        <w:tc>
          <w:tcPr>
            <w:tcW w:w="1814" w:type="dxa"/>
            <w:shd w:val="clear" w:color="auto" w:fill="auto"/>
            <w:vAlign w:val="center"/>
          </w:tcPr>
          <w:p>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8" w:hRule="atLeast"/>
          <w:jc w:val="center"/>
        </w:trPr>
        <w:tc>
          <w:tcPr>
            <w:tcW w:w="688" w:type="dxa"/>
            <w:vMerge w:val="restart"/>
            <w:shd w:val="clear" w:color="auto" w:fill="auto"/>
            <w:textDirection w:val="tbRlV"/>
            <w:vAlign w:val="center"/>
          </w:tcPr>
          <w:p>
            <w:pPr>
              <w:adjustRightInd w:val="0"/>
              <w:snapToGrid w:val="0"/>
              <w:ind w:firstLine="120" w:firstLineChars="50"/>
              <w:rPr>
                <w:rFonts w:hint="eastAsia" w:ascii="仿宋" w:hAnsi="仿宋" w:eastAsia="仿宋" w:cs="仿宋"/>
                <w:spacing w:val="20"/>
                <w:sz w:val="20"/>
                <w:szCs w:val="20"/>
              </w:rPr>
            </w:pPr>
            <w:r>
              <w:rPr>
                <w:rFonts w:hint="eastAsia" w:ascii="Times New Roman" w:hAnsi="Times New Roman" w:eastAsia="仿宋_GB2312" w:cs="仿宋"/>
                <w:b/>
                <w:bCs/>
                <w:spacing w:val="20"/>
                <w:sz w:val="20"/>
                <w:szCs w:val="20"/>
              </w:rPr>
              <w:t>形成报告阶段</w:t>
            </w:r>
          </w:p>
        </w:tc>
        <w:tc>
          <w:tcPr>
            <w:tcW w:w="4827" w:type="dxa"/>
            <w:gridSpan w:val="2"/>
            <w:shd w:val="clear" w:color="auto" w:fill="auto"/>
            <w:vAlign w:val="center"/>
          </w:tcPr>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撰写报告：</w:t>
            </w:r>
            <w:r>
              <w:rPr>
                <w:rFonts w:hint="eastAsia" w:ascii="Times New Roman" w:hAnsi="Times New Roman" w:eastAsia="仿宋_GB2312" w:cs="仿宋"/>
                <w:sz w:val="20"/>
                <w:szCs w:val="20"/>
              </w:rPr>
              <w:t>评价工作组撰写项目绩效评价报告。</w:t>
            </w:r>
          </w:p>
        </w:tc>
        <w:tc>
          <w:tcPr>
            <w:tcW w:w="1814"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16</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0" w:hRule="atLeast"/>
          <w:jc w:val="center"/>
        </w:trPr>
        <w:tc>
          <w:tcPr>
            <w:tcW w:w="688" w:type="dxa"/>
            <w:vMerge w:val="continue"/>
            <w:shd w:val="clear" w:color="auto" w:fill="auto"/>
            <w:vAlign w:val="center"/>
          </w:tcPr>
          <w:p>
            <w:pPr>
              <w:adjustRightInd w:val="0"/>
              <w:snapToGrid w:val="0"/>
              <w:ind w:firstLine="400" w:firstLineChars="200"/>
              <w:jc w:val="center"/>
              <w:rPr>
                <w:rFonts w:hint="eastAsia" w:ascii="仿宋" w:hAnsi="仿宋" w:eastAsia="仿宋" w:cs="仿宋"/>
                <w:sz w:val="20"/>
                <w:szCs w:val="20"/>
              </w:rPr>
            </w:pPr>
          </w:p>
        </w:tc>
        <w:tc>
          <w:tcPr>
            <w:tcW w:w="4827" w:type="dxa"/>
            <w:gridSpan w:val="2"/>
            <w:tcBorders>
              <w:bottom w:val="single" w:color="auto" w:sz="4" w:space="0"/>
            </w:tcBorders>
            <w:shd w:val="clear" w:color="auto" w:fill="auto"/>
            <w:vAlign w:val="center"/>
          </w:tcPr>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报告征求意见：</w:t>
            </w:r>
            <w:r>
              <w:rPr>
                <w:rFonts w:hint="eastAsia" w:ascii="Times New Roman" w:hAnsi="Times New Roman" w:eastAsia="仿宋_GB2312" w:cs="仿宋"/>
                <w:sz w:val="20"/>
                <w:szCs w:val="20"/>
              </w:rPr>
              <w:t>评价报告经评价机构三级审核后，送交委托方及项目单位征求意见。</w:t>
            </w:r>
          </w:p>
        </w:tc>
        <w:tc>
          <w:tcPr>
            <w:tcW w:w="1814" w:type="dxa"/>
            <w:tcBorders>
              <w:bottom w:val="single" w:color="auto" w:sz="4" w:space="0"/>
            </w:tcBorders>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23</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8" w:hRule="atLeast"/>
          <w:jc w:val="center"/>
        </w:trPr>
        <w:tc>
          <w:tcPr>
            <w:tcW w:w="688" w:type="dxa"/>
            <w:vMerge w:val="continue"/>
            <w:shd w:val="clear" w:color="auto" w:fill="auto"/>
            <w:vAlign w:val="center"/>
          </w:tcPr>
          <w:p>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报送报告：</w:t>
            </w:r>
            <w:r>
              <w:rPr>
                <w:rFonts w:hint="eastAsia" w:ascii="Times New Roman" w:hAnsi="Times New Roman" w:eastAsia="仿宋_GB2312" w:cs="仿宋"/>
                <w:sz w:val="20"/>
                <w:szCs w:val="20"/>
              </w:rPr>
              <w:t>根据委托方意见修改报告，在规定时间内正式向委托方报送绩效评价报告。</w:t>
            </w:r>
          </w:p>
        </w:tc>
        <w:tc>
          <w:tcPr>
            <w:tcW w:w="1814" w:type="dxa"/>
            <w:shd w:val="clear" w:color="auto" w:fill="auto"/>
            <w:vAlign w:val="center"/>
          </w:tcPr>
          <w:p>
            <w:pPr>
              <w:adjustRightInd w:val="0"/>
              <w:snapToGrid w:val="0"/>
              <w:spacing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highlight w:val="none"/>
                <w:lang w:val="en-US" w:eastAsia="zh-CN"/>
              </w:rPr>
              <w:t>30</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bl>
    <w:p>
      <w:pPr>
        <w:pStyle w:val="33"/>
        <w:tabs>
          <w:tab w:val="left" w:pos="1559"/>
        </w:tabs>
        <w:adjustRightInd w:val="0"/>
        <w:snapToGrid w:val="0"/>
        <w:spacing w:line="560" w:lineRule="exact"/>
        <w:ind w:left="0" w:leftChars="0" w:firstLine="640" w:firstLineChars="200"/>
        <w:outlineLvl w:val="2"/>
        <w:rPr>
          <w:rFonts w:ascii="楷体" w:hAnsi="楷体" w:eastAsia="楷体" w:cs="楷体"/>
          <w:bCs/>
          <w:sz w:val="32"/>
          <w:szCs w:val="32"/>
        </w:rPr>
      </w:pPr>
      <w:r>
        <w:rPr>
          <w:rFonts w:hint="eastAsia" w:ascii="楷体" w:hAnsi="楷体" w:eastAsia="楷体" w:cs="楷体"/>
          <w:bCs/>
          <w:sz w:val="32"/>
          <w:szCs w:val="32"/>
        </w:rPr>
        <w:t>2.实地调研概况</w:t>
      </w:r>
      <w:bookmarkEnd w:id="63"/>
      <w:bookmarkEnd w:id="64"/>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走访调查：采取现场走访调查的形式，了解项目实际情况。到项目实施单位及实施现场，深入实地进行调研和分析，严格按照项目实施方案进行管理，了解前期工作及项目实施情况。</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研读文件：通过检查实施单位自评（总结）报告、研读相关制度文件等，了解在项目实施过程中，作为项目主管单位，是否对项目实施进行协调监督管理，是否制定相关、有效的监督管理制度，是否监督落实项目建设质量情况。</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审阅项目财务收支情况：审阅该项目实施单位记录资金收支的凭证、后附单据及相关文件，审阅该项目的相关规定，审核资金收支是否合规等。</w:t>
      </w:r>
    </w:p>
    <w:p>
      <w:pPr>
        <w:adjustRightInd w:val="0"/>
        <w:snapToGrid w:val="0"/>
        <w:spacing w:line="560" w:lineRule="exact"/>
        <w:ind w:firstLine="640" w:firstLineChars="200"/>
        <w:jc w:val="left"/>
        <w:outlineLvl w:val="0"/>
        <w:rPr>
          <w:rFonts w:ascii="黑体" w:hAnsi="黑体" w:eastAsia="黑体" w:cs="宋体"/>
          <w:sz w:val="32"/>
          <w:szCs w:val="32"/>
        </w:rPr>
      </w:pPr>
      <w:bookmarkStart w:id="65" w:name="_Toc27359"/>
      <w:r>
        <w:rPr>
          <w:rFonts w:hint="eastAsia" w:ascii="黑体" w:hAnsi="黑体" w:eastAsia="黑体" w:cs="宋体"/>
          <w:sz w:val="32"/>
          <w:szCs w:val="32"/>
        </w:rPr>
        <w:t>三、绩效评价分析</w:t>
      </w:r>
      <w:bookmarkEnd w:id="65"/>
    </w:p>
    <w:p>
      <w:pPr>
        <w:pStyle w:val="33"/>
        <w:numPr>
          <w:ilvl w:val="0"/>
          <w:numId w:val="3"/>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绩效评价分析</w:t>
      </w:r>
    </w:p>
    <w:p>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66" w:name="_Toc5787"/>
      <w:r>
        <w:rPr>
          <w:rFonts w:hint="eastAsia" w:ascii="仿宋_GB2312" w:hAnsi="仿宋" w:eastAsia="仿宋_GB2312" w:cs="宋体"/>
          <w:b/>
          <w:bCs/>
          <w:sz w:val="32"/>
          <w:szCs w:val="32"/>
          <w:highlight w:val="none"/>
        </w:rPr>
        <w:t>（一）项目决策分析</w:t>
      </w:r>
      <w:bookmarkEnd w:id="66"/>
    </w:p>
    <w:p>
      <w:pPr>
        <w:pStyle w:val="33"/>
        <w:tabs>
          <w:tab w:val="left" w:pos="1559"/>
        </w:tabs>
        <w:adjustRightInd w:val="0"/>
        <w:snapToGrid w:val="0"/>
        <w:spacing w:line="560" w:lineRule="exact"/>
        <w:ind w:firstLine="640"/>
        <w:outlineLvl w:val="2"/>
        <w:rPr>
          <w:rFonts w:hint="eastAsia" w:ascii="楷体" w:hAnsi="楷体" w:eastAsia="楷体" w:cs="楷体"/>
          <w:bCs/>
          <w:sz w:val="32"/>
          <w:szCs w:val="32"/>
          <w:highlight w:val="none"/>
          <w:lang w:val="en-US" w:eastAsia="zh-CN"/>
        </w:rPr>
      </w:pPr>
      <w:bookmarkStart w:id="67" w:name="_Toc27861"/>
      <w:r>
        <w:rPr>
          <w:rFonts w:hint="eastAsia" w:ascii="楷体" w:hAnsi="楷体" w:eastAsia="楷体" w:cs="楷体"/>
          <w:bCs/>
          <w:sz w:val="32"/>
          <w:szCs w:val="32"/>
          <w:highlight w:val="none"/>
        </w:rPr>
        <w:t>1.</w:t>
      </w:r>
      <w:r>
        <w:rPr>
          <w:rFonts w:hint="eastAsia" w:ascii="楷体" w:hAnsi="楷体" w:eastAsia="楷体" w:cs="楷体"/>
          <w:bCs/>
          <w:sz w:val="32"/>
          <w:szCs w:val="32"/>
          <w:highlight w:val="none"/>
          <w:lang w:val="en-US" w:eastAsia="zh-CN"/>
        </w:rPr>
        <w:t xml:space="preserve">项目立项情况  </w:t>
      </w:r>
    </w:p>
    <w:p>
      <w:pPr>
        <w:adjustRightInd w:val="0"/>
        <w:snapToGrid w:val="0"/>
        <w:spacing w:line="560" w:lineRule="exact"/>
        <w:ind w:firstLine="640" w:firstLineChars="200"/>
        <w:rPr>
          <w:rFonts w:hint="eastAsia" w:ascii="仿宋_GB2312" w:hAnsi="仿宋_GB2312" w:eastAsia="仿宋_GB2312" w:cs="仿宋_GB2312"/>
          <w:sz w:val="32"/>
          <w:szCs w:val="32"/>
          <w:highlight w:val="yellow"/>
          <w:lang w:val="en-US" w:eastAsia="zh-CN"/>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立项依据的充分性</w:t>
      </w:r>
    </w:p>
    <w:p>
      <w:pPr>
        <w:pStyle w:val="41"/>
        <w:keepNext w:val="0"/>
        <w:keepLines w:val="0"/>
        <w:pageBreakBefore w:val="0"/>
        <w:widowControl w:val="0"/>
        <w:kinsoku/>
        <w:wordWrap/>
        <w:overflowPunct/>
        <w:topLinePunct w:val="0"/>
        <w:autoSpaceDE/>
        <w:autoSpaceDN/>
        <w:bidi w:val="0"/>
        <w:adjustRightInd/>
        <w:snapToGrid/>
        <w:spacing w:line="560" w:lineRule="exact"/>
        <w:ind w:left="0" w:firstLine="56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该项目符合地委组织部相关政策要求，项目的立项符合相关法规政策及部门职责，依据充分；项目是按照规定的程序申请设立；审批文件、材料符合相关要求，项目前期是已经过必要的集体决策。</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（2）立项程序规范性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决策依据情况：项目符合经济社会发展规划和部门年度工作计划，为全面贯彻落实中央、自治区、地区关于人才引进培养工作的相关安排部署，制定《洛浦县2020年新招录年轻干部生活物资采购资金项目实施方案》，对该项目进行实施。</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楷体" w:hAnsi="楷体" w:eastAsia="楷体" w:cs="楷体"/>
          <w:bCs/>
          <w:sz w:val="32"/>
          <w:szCs w:val="32"/>
          <w:highlight w:val="cyan"/>
          <w:lang w:val="en-US"/>
        </w:rPr>
      </w:pPr>
      <w:r>
        <w:rPr>
          <w:rFonts w:hint="eastAsia" w:ascii="仿宋_GB2312" w:hAnsi="仿宋_GB2312" w:eastAsia="仿宋_GB2312" w:cs="仿宋_GB2312"/>
          <w:sz w:val="32"/>
          <w:szCs w:val="32"/>
          <w:highlight w:val="none"/>
          <w:lang w:val="en-US" w:eastAsia="zh-CN"/>
        </w:rPr>
        <w:t>决策程序情况：按照地区印发的实施方案，由中共洛浦县委组织部牵头编辑实施方案并报人民政府审批，相关乡镇人民政府负责登记符合条件的援疆干部信息，通过开会再次对人员名单数量进行核定，无异议后通过招投标开始采购项目物资并发放至援疆干部</w:t>
      </w:r>
      <w:bookmarkEnd w:id="67"/>
      <w:r>
        <w:rPr>
          <w:rFonts w:hint="eastAsia" w:ascii="仿宋_GB2312" w:hAnsi="仿宋_GB2312" w:eastAsia="仿宋_GB2312" w:cs="仿宋_GB2312"/>
          <w:sz w:val="32"/>
          <w:szCs w:val="32"/>
          <w:highlight w:val="none"/>
          <w:lang w:val="en-US" w:eastAsia="zh-CN"/>
        </w:rPr>
        <w:t>；由此可见</w:t>
      </w:r>
      <w:r>
        <w:rPr>
          <w:rFonts w:hint="eastAsia" w:ascii="仿宋" w:hAnsi="仿宋" w:eastAsia="仿宋" w:cs="仿宋"/>
          <w:sz w:val="32"/>
          <w:szCs w:val="32"/>
          <w:highlight w:val="none"/>
          <w:lang w:val="en-US" w:eastAsia="zh-CN"/>
        </w:rPr>
        <w:t>项目立项程序简洁规范。</w:t>
      </w:r>
    </w:p>
    <w:p>
      <w:pPr>
        <w:adjustRightInd w:val="0"/>
        <w:snapToGrid w:val="0"/>
        <w:spacing w:line="560" w:lineRule="exact"/>
        <w:ind w:firstLine="640" w:firstLineChars="200"/>
        <w:outlineLvl w:val="2"/>
        <w:rPr>
          <w:rFonts w:hint="default" w:ascii="楷体" w:hAnsi="楷体" w:eastAsia="楷体" w:cs="楷体"/>
          <w:bCs/>
          <w:kern w:val="2"/>
          <w:sz w:val="32"/>
          <w:szCs w:val="32"/>
          <w:lang w:val="en-US" w:eastAsia="zh-CN" w:bidi="ar-SA"/>
        </w:rPr>
      </w:pPr>
      <w:r>
        <w:rPr>
          <w:rFonts w:hint="eastAsia" w:ascii="楷体" w:hAnsi="楷体" w:eastAsia="楷体" w:cs="楷体"/>
          <w:bCs/>
          <w:kern w:val="2"/>
          <w:sz w:val="32"/>
          <w:szCs w:val="32"/>
          <w:lang w:val="en-US" w:eastAsia="zh-CN" w:bidi="ar-SA"/>
        </w:rPr>
        <w:t>2.绩效目标设立情况</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（1）绩效目标合理性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绩效目标的内涵明确、具体、可衡量。所设立的绩效目标可以考核并能够指导中共洛浦县委组织部2020年新招录年轻干部生活物资采购资金的业务工作。指标与评价对象密切相关，全面反映项目实施内容及项目预期绩效情况，绩效目标设立符合洛浦县引进人才政策要求和中共洛浦县委组织部单位2021年工作计划，明确了项目产出数量和预期达到的效果。整体来看，绩效目标设立比较明确。</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（2）绩效指标明确性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该项目所设置绩效目标是：一级指标3条，二级指标7条，三级指标9条，可量化指标7条，指标量化率77.78%，该项目总体绩效目标明确，符合绩效目标明确、细化、量化条件。</w:t>
      </w:r>
    </w:p>
    <w:p>
      <w:pPr>
        <w:adjustRightInd w:val="0"/>
        <w:snapToGrid w:val="0"/>
        <w:spacing w:line="560" w:lineRule="exact"/>
        <w:ind w:firstLine="640" w:firstLineChars="200"/>
        <w:outlineLvl w:val="2"/>
        <w:rPr>
          <w:rFonts w:hint="default" w:ascii="楷体" w:hAnsi="楷体" w:eastAsia="楷体" w:cs="楷体"/>
          <w:bCs/>
          <w:kern w:val="2"/>
          <w:sz w:val="32"/>
          <w:szCs w:val="32"/>
          <w:lang w:val="en-US" w:eastAsia="zh-CN" w:bidi="ar-SA"/>
        </w:rPr>
      </w:pPr>
      <w:r>
        <w:rPr>
          <w:rFonts w:hint="eastAsia" w:ascii="楷体" w:hAnsi="楷体" w:eastAsia="楷体" w:cs="楷体"/>
          <w:bCs/>
          <w:kern w:val="2"/>
          <w:sz w:val="32"/>
          <w:szCs w:val="32"/>
          <w:lang w:val="en-US" w:eastAsia="zh-CN" w:bidi="ar-SA"/>
        </w:rPr>
        <w:t>3.资金投入情况</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（1）预算编制科学性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主要是根据地委组织部相关要求，2020年新招录内招干部及留疆战士按照每人一套住房配备生活物资，共140套。通过该项目实施，保障了内招干部和留疆战士掕包入住，使内招干部及留疆战士基本生活得以保障并提高考核干部工作积极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yellow"/>
          <w:lang w:val="en-US" w:eastAsia="zh-CN"/>
        </w:rPr>
      </w:pPr>
      <w:r>
        <w:rPr>
          <w:rFonts w:hint="eastAsia" w:ascii="仿宋_GB2312" w:hAnsi="仿宋_GB2312" w:eastAsia="仿宋_GB2312" w:cs="仿宋_GB2312"/>
          <w:sz w:val="32"/>
          <w:szCs w:val="32"/>
          <w:highlight w:val="none"/>
          <w:lang w:val="en-US" w:eastAsia="zh-CN"/>
        </w:rPr>
        <w:t>洛浦县中共洛浦县委组织部根据项目情况进行预算编制，使项目的资金额度与年度目标相适应，制定了明确详细的项目资金支出计划和进度，该项目预算编制比较科学合理。</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（2）资金分配合理性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68" w:name="_Toc5610"/>
      <w:r>
        <w:rPr>
          <w:rFonts w:hint="eastAsia" w:ascii="仿宋_GB2312" w:hAnsi="仿宋_GB2312" w:eastAsia="仿宋_GB2312" w:cs="仿宋_GB2312"/>
          <w:sz w:val="32"/>
          <w:szCs w:val="32"/>
          <w:highlight w:val="none"/>
          <w:lang w:val="en-US" w:eastAsia="zh-CN"/>
        </w:rPr>
        <w:t>本项目预算总计163.09万元，明细如下：拜什托格拉克乡采购8套96137.44元；阿其克乡采购6套72103.08元；洛浦镇采购13套156223.34元，街道办事处采购7套84120.26元，纳瓦乡采购10套120171.80元，山普鲁镇采购9套108154.62元，恰尔巴格乡采购14套168240.52元，布亚乡采购15套180257.70元，多鲁乡采购13套156223.34元，杭桂镇采购15套180257.70元，县委采购30套（不含电视机）308970元，共140套房子的生活用品。项目预算资金分配具有测算依据，分配额度合理，与补助单位或地方实际相适应，与工作任务相匹配，充分体现了资金分配的合理性。</w:t>
      </w:r>
    </w:p>
    <w:p>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（二）项目管理</w:t>
      </w:r>
      <w:r>
        <w:rPr>
          <w:rFonts w:hint="eastAsia" w:ascii="仿宋_GB2312" w:hAnsi="仿宋" w:eastAsia="仿宋_GB2312" w:cs="宋体"/>
          <w:b/>
          <w:bCs/>
          <w:sz w:val="32"/>
          <w:szCs w:val="32"/>
          <w:lang w:val="en-US" w:eastAsia="zh-CN"/>
        </w:rPr>
        <w:t>过程</w:t>
      </w:r>
      <w:r>
        <w:rPr>
          <w:rFonts w:hint="eastAsia" w:ascii="仿宋_GB2312" w:hAnsi="仿宋" w:eastAsia="仿宋_GB2312" w:cs="宋体"/>
          <w:b/>
          <w:bCs/>
          <w:sz w:val="32"/>
          <w:szCs w:val="32"/>
        </w:rPr>
        <w:t>情况分析</w:t>
      </w:r>
      <w:bookmarkEnd w:id="68"/>
    </w:p>
    <w:p>
      <w:pPr>
        <w:pStyle w:val="33"/>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bookmarkStart w:id="69" w:name="_Toc11398"/>
      <w:r>
        <w:rPr>
          <w:rFonts w:hint="eastAsia" w:ascii="楷体" w:hAnsi="楷体" w:eastAsia="楷体" w:cs="楷体"/>
          <w:bCs/>
          <w:sz w:val="32"/>
          <w:szCs w:val="32"/>
        </w:rPr>
        <w:t>1.项目资金</w:t>
      </w:r>
      <w:bookmarkEnd w:id="69"/>
      <w:r>
        <w:rPr>
          <w:rFonts w:hint="eastAsia" w:ascii="楷体" w:hAnsi="楷体" w:eastAsia="楷体" w:cs="楷体"/>
          <w:bCs/>
          <w:sz w:val="32"/>
          <w:szCs w:val="32"/>
          <w:lang w:val="en-US" w:eastAsia="zh-CN"/>
        </w:rPr>
        <w:t>情况</w:t>
      </w:r>
    </w:p>
    <w:p>
      <w:pPr>
        <w:adjustRightInd w:val="0"/>
        <w:snapToGrid w:val="0"/>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rPr>
        <w:t>）资金到位情况</w:t>
      </w:r>
    </w:p>
    <w:p>
      <w:pPr>
        <w:pStyle w:val="41"/>
        <w:keepNext w:val="0"/>
        <w:keepLines w:val="0"/>
        <w:pageBreakBefore w:val="0"/>
        <w:widowControl w:val="0"/>
        <w:kinsoku/>
        <w:wordWrap/>
        <w:overflowPunct/>
        <w:topLinePunct w:val="0"/>
        <w:autoSpaceDE/>
        <w:autoSpaceDN/>
        <w:bidi w:val="0"/>
        <w:adjustRightInd/>
        <w:snapToGrid/>
        <w:spacing w:line="560" w:lineRule="exact"/>
        <w:ind w:firstLine="56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本项目预算资金为163.09万元，实际到位资金为163.09万元；资金来源为县级配套资金</w:t>
      </w:r>
      <w:r>
        <w:rPr>
          <w:rFonts w:hint="eastAsia" w:ascii="仿宋_GB2312" w:hAnsi="仿宋_GB2312" w:eastAsia="仿宋_GB2312" w:cs="仿宋_GB2312"/>
          <w:kern w:val="2"/>
          <w:sz w:val="32"/>
          <w:szCs w:val="32"/>
          <w:highlight w:val="none"/>
          <w:lang w:val="en-US" w:eastAsia="zh-CN" w:bidi="ar-SA"/>
        </w:rPr>
        <w:t>。</w:t>
      </w:r>
      <w:r>
        <w:rPr>
          <w:rFonts w:hint="eastAsia" w:ascii="仿宋_GB2312" w:hAnsi="仿宋_GB2312" w:eastAsia="仿宋_GB2312" w:cs="仿宋_GB2312"/>
          <w:sz w:val="32"/>
          <w:szCs w:val="32"/>
          <w:highlight w:val="none"/>
          <w:lang w:val="en-US" w:eastAsia="zh-CN"/>
        </w:rPr>
        <w:t>资金到位率100%。</w:t>
      </w:r>
    </w:p>
    <w:p>
      <w:pPr>
        <w:pStyle w:val="41"/>
        <w:keepNext w:val="0"/>
        <w:keepLines w:val="0"/>
        <w:pageBreakBefore w:val="0"/>
        <w:widowControl w:val="0"/>
        <w:kinsoku/>
        <w:wordWrap/>
        <w:overflowPunct/>
        <w:topLinePunct w:val="0"/>
        <w:autoSpaceDE/>
        <w:autoSpaceDN/>
        <w:bidi w:val="0"/>
        <w:spacing w:line="560" w:lineRule="exact"/>
        <w:ind w:firstLine="56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（2）预算管理情况</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项目预算163.09万元，实际支出158.19万元，预算执行率97%，其余3%资金为质保金。</w:t>
      </w:r>
    </w:p>
    <w:p>
      <w:pPr>
        <w:numPr>
          <w:ilvl w:val="0"/>
          <w:numId w:val="5"/>
        </w:numPr>
        <w:adjustRightInd w:val="0"/>
        <w:snapToGrid w:val="0"/>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资金使用合规性</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资金严格按照洛浦县财政资金管理制度支付资金；资金的支付有完整的审批程序和手续，符合制度要求；项目资金进行单独核算，财务手续基本合理、完整，资金支付是按照自治区和洛浦县县级配套资金管理办法规定执行，资金使用规范合理。未发现专项资金有截留、挤占、挪用、虚列开支等情况。</w:t>
      </w:r>
    </w:p>
    <w:p>
      <w:pPr>
        <w:pStyle w:val="33"/>
        <w:tabs>
          <w:tab w:val="left" w:pos="1559"/>
        </w:tabs>
        <w:adjustRightInd w:val="0"/>
        <w:snapToGrid w:val="0"/>
        <w:spacing w:line="560" w:lineRule="exact"/>
        <w:ind w:firstLine="640"/>
        <w:outlineLvl w:val="2"/>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2</w:t>
      </w:r>
      <w:r>
        <w:rPr>
          <w:rFonts w:hint="eastAsia" w:ascii="楷体" w:hAnsi="楷体" w:eastAsia="楷体" w:cs="楷体"/>
          <w:bCs/>
          <w:sz w:val="32"/>
          <w:szCs w:val="32"/>
        </w:rPr>
        <w:t>.</w:t>
      </w:r>
      <w:r>
        <w:rPr>
          <w:rFonts w:hint="eastAsia" w:ascii="楷体" w:hAnsi="楷体" w:eastAsia="楷体" w:cs="楷体"/>
          <w:bCs/>
          <w:sz w:val="32"/>
          <w:szCs w:val="32"/>
          <w:lang w:val="en-US" w:eastAsia="zh-CN"/>
        </w:rPr>
        <w:t>组织实施情况</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（1）管理制度健全性</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洛浦县中共洛浦县委组织部项目资金管理参照《洛浦县财政资金拨付管理暂行办法》等文件，规范了项目资金使用标准，确保项目实施单位的资金预算申请、资金执行、资金调整、监督检查、验收等过程在相关制度和流程的有效监督管控之下。项目单位建立《项目管理制度》，制度涵盖了项目的设立、质量管理、安全管理、成本控制、项目验收等流程管理制度，项目管理制度健全。</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（2）制度执行有效性</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资金支出严格按照自治区、地区（市）、县专项资金管理办法运行，项目启动实施后，为了加快该项目的实施，项目严格按照有关管理制度和资金管理制度实施。单位不定期下项目现场进行视察，督促项目进度，把控项目质量，要求按时按标准完成项目。按照合同约定提出资金拨付申请，按程序审批后报账。</w:t>
      </w:r>
      <w:r>
        <w:rPr>
          <w:rFonts w:hint="eastAsia" w:ascii="仿宋_GB2312" w:hAnsi="仿宋_GB2312" w:eastAsia="仿宋_GB2312" w:cs="仿宋_GB2312"/>
          <w:kern w:val="2"/>
          <w:sz w:val="32"/>
          <w:szCs w:val="32"/>
          <w:highlight w:val="none"/>
          <w:lang w:val="en-US" w:eastAsia="zh-CN" w:bidi="ar-SA"/>
        </w:rPr>
        <w:t>建立健全财务管理制度，健全资金支付台账，做好与金</w:t>
      </w:r>
      <w:r>
        <w:rPr>
          <w:rFonts w:hint="eastAsia" w:ascii="仿宋_GB2312" w:hAnsi="仿宋_GB2312" w:eastAsia="仿宋_GB2312" w:cs="仿宋_GB2312"/>
          <w:kern w:val="2"/>
          <w:sz w:val="32"/>
          <w:szCs w:val="32"/>
          <w:lang w:val="en-US" w:eastAsia="zh-CN" w:bidi="ar-SA"/>
        </w:rPr>
        <w:t>融机构的定期对账工作，确保项目资金安全使用，</w:t>
      </w:r>
      <w:r>
        <w:rPr>
          <w:rFonts w:hint="eastAsia" w:ascii="仿宋_GB2312" w:hAnsi="仿宋_GB2312" w:eastAsia="仿宋_GB2312" w:cs="仿宋_GB2312"/>
          <w:sz w:val="32"/>
          <w:szCs w:val="32"/>
          <w:lang w:val="en-US" w:eastAsia="zh-CN"/>
        </w:rPr>
        <w:t>资金的支付有完整的审批程序和手续，符合制度要求；项目资金进行单独核算，财务手续基本合理、完整，未发现资金有截留、挤占、挪用、虚列开支等情况。</w:t>
      </w:r>
    </w:p>
    <w:p>
      <w:pPr>
        <w:pStyle w:val="33"/>
        <w:adjustRightInd w:val="0"/>
        <w:snapToGrid w:val="0"/>
        <w:spacing w:line="560" w:lineRule="exact"/>
        <w:ind w:left="420" w:leftChars="200" w:firstLine="321" w:firstLineChars="100"/>
        <w:outlineLvl w:val="1"/>
        <w:rPr>
          <w:rFonts w:hint="eastAsia" w:ascii="楷体" w:hAnsi="楷体" w:eastAsia="楷体" w:cs="楷体"/>
          <w:bCs/>
          <w:sz w:val="32"/>
          <w:szCs w:val="32"/>
          <w:highlight w:val="none"/>
          <w:lang w:val="en-US" w:eastAsia="zh-CN"/>
        </w:rPr>
      </w:pPr>
      <w:bookmarkStart w:id="70" w:name="_Toc31015"/>
      <w:r>
        <w:rPr>
          <w:rFonts w:hint="eastAsia" w:ascii="仿宋_GB2312" w:hAnsi="仿宋" w:eastAsia="仿宋_GB2312" w:cs="宋体"/>
          <w:b/>
          <w:bCs/>
          <w:sz w:val="32"/>
          <w:szCs w:val="32"/>
          <w:highlight w:val="none"/>
        </w:rPr>
        <w:t>（</w:t>
      </w:r>
      <w:r>
        <w:rPr>
          <w:rFonts w:hint="eastAsia" w:ascii="仿宋_GB2312" w:hAnsi="仿宋" w:eastAsia="仿宋_GB2312" w:cs="宋体"/>
          <w:b/>
          <w:bCs/>
          <w:sz w:val="32"/>
          <w:szCs w:val="32"/>
          <w:highlight w:val="none"/>
          <w:lang w:val="en-US" w:eastAsia="zh-CN"/>
        </w:rPr>
        <w:t>三</w:t>
      </w:r>
      <w:r>
        <w:rPr>
          <w:rFonts w:hint="eastAsia" w:ascii="仿宋_GB2312" w:hAnsi="仿宋" w:eastAsia="仿宋_GB2312" w:cs="宋体"/>
          <w:b/>
          <w:bCs/>
          <w:sz w:val="32"/>
          <w:szCs w:val="32"/>
          <w:highlight w:val="none"/>
        </w:rPr>
        <w:t>）项目</w:t>
      </w:r>
      <w:r>
        <w:rPr>
          <w:rFonts w:hint="eastAsia" w:ascii="仿宋_GB2312" w:hAnsi="仿宋" w:eastAsia="仿宋_GB2312" w:cs="宋体"/>
          <w:b/>
          <w:bCs/>
          <w:sz w:val="32"/>
          <w:szCs w:val="32"/>
          <w:highlight w:val="none"/>
          <w:lang w:val="en-US" w:eastAsia="zh-CN"/>
        </w:rPr>
        <w:t>产出</w:t>
      </w:r>
      <w:r>
        <w:rPr>
          <w:rFonts w:hint="eastAsia" w:ascii="仿宋_GB2312" w:hAnsi="仿宋" w:eastAsia="仿宋_GB2312" w:cs="宋体"/>
          <w:b/>
          <w:bCs/>
          <w:sz w:val="32"/>
          <w:szCs w:val="32"/>
          <w:highlight w:val="none"/>
        </w:rPr>
        <w:t>情况分析</w:t>
      </w:r>
      <w:bookmarkEnd w:id="70"/>
    </w:p>
    <w:p>
      <w:pPr>
        <w:pStyle w:val="33"/>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1.产出数量情况</w:t>
      </w:r>
    </w:p>
    <w:p>
      <w:pPr>
        <w:pStyle w:val="33"/>
        <w:tabs>
          <w:tab w:val="left" w:pos="1559"/>
        </w:tabs>
        <w:adjustRightInd w:val="0"/>
        <w:snapToGrid w:val="0"/>
        <w:spacing w:line="560" w:lineRule="exact"/>
        <w:ind w:firstLine="640"/>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截止评价日，该项目已完成了对2020年新招录内招干部及留疆战士按照每人一套住房配备生活物资，共140套，达到了年初预期指标。</w:t>
      </w:r>
    </w:p>
    <w:p>
      <w:pPr>
        <w:pStyle w:val="33"/>
        <w:tabs>
          <w:tab w:val="left" w:pos="1559"/>
        </w:tabs>
        <w:adjustRightInd w:val="0"/>
        <w:snapToGrid w:val="0"/>
        <w:spacing w:line="560" w:lineRule="exact"/>
        <w:ind w:firstLine="640"/>
        <w:outlineLvl w:val="2"/>
        <w:rPr>
          <w:rFonts w:hint="eastAsia" w:ascii="楷体" w:hAnsi="楷体" w:eastAsia="楷体" w:cs="楷体"/>
          <w:bCs/>
          <w:sz w:val="32"/>
          <w:szCs w:val="32"/>
          <w:highlight w:val="none"/>
          <w:lang w:val="en-US" w:eastAsia="zh-CN"/>
        </w:rPr>
      </w:pPr>
      <w:r>
        <w:rPr>
          <w:rFonts w:hint="eastAsia" w:ascii="楷体" w:hAnsi="楷体" w:eastAsia="楷体" w:cs="楷体"/>
          <w:bCs/>
          <w:sz w:val="32"/>
          <w:szCs w:val="32"/>
          <w:highlight w:val="none"/>
          <w:lang w:val="en-US" w:eastAsia="zh-CN"/>
        </w:rPr>
        <w:t>2.产出质量情况</w:t>
      </w:r>
    </w:p>
    <w:p>
      <w:pPr>
        <w:pStyle w:val="33"/>
        <w:tabs>
          <w:tab w:val="left" w:pos="1559"/>
        </w:tabs>
        <w:adjustRightInd w:val="0"/>
        <w:snapToGrid w:val="0"/>
        <w:spacing w:line="560" w:lineRule="exact"/>
        <w:ind w:firstLine="640"/>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该项目到位资金163.09万元，资金执行158.19万元，资金到位率100%，资金执行率97%，其余3%资金均为质保金。</w:t>
      </w:r>
    </w:p>
    <w:p>
      <w:pPr>
        <w:pStyle w:val="33"/>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3.产出时效情况</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2021年4月已完成项目物资采购以及发放工作。</w:t>
      </w:r>
    </w:p>
    <w:p>
      <w:pPr>
        <w:pStyle w:val="33"/>
        <w:tabs>
          <w:tab w:val="left" w:pos="1559"/>
        </w:tabs>
        <w:adjustRightInd w:val="0"/>
        <w:snapToGrid w:val="0"/>
        <w:spacing w:line="560" w:lineRule="exact"/>
        <w:ind w:firstLine="640"/>
        <w:outlineLvl w:val="2"/>
        <w:rPr>
          <w:rFonts w:hint="eastAsia" w:ascii="楷体" w:hAnsi="楷体" w:eastAsia="楷体" w:cs="楷体"/>
          <w:bCs/>
          <w:sz w:val="32"/>
          <w:szCs w:val="32"/>
          <w:highlight w:val="yellow"/>
          <w:lang w:val="en-US" w:eastAsia="zh-CN"/>
        </w:rPr>
      </w:pPr>
      <w:r>
        <w:rPr>
          <w:rFonts w:hint="eastAsia" w:ascii="楷体" w:hAnsi="楷体" w:eastAsia="楷体" w:cs="楷体"/>
          <w:bCs/>
          <w:sz w:val="32"/>
          <w:szCs w:val="32"/>
          <w:highlight w:val="none"/>
          <w:lang w:val="en-US" w:eastAsia="zh-CN"/>
        </w:rPr>
        <w:t>4.产出成本情况</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bookmarkStart w:id="71" w:name="_Toc3708"/>
      <w:r>
        <w:rPr>
          <w:rFonts w:hint="eastAsia" w:ascii="仿宋_GB2312" w:hAnsi="仿宋_GB2312" w:eastAsia="仿宋_GB2312" w:cs="仿宋_GB2312"/>
          <w:kern w:val="2"/>
          <w:sz w:val="32"/>
          <w:szCs w:val="32"/>
          <w:highlight w:val="none"/>
          <w:lang w:val="en-US" w:eastAsia="zh-CN" w:bidi="ar-SA"/>
        </w:rPr>
        <w:t>项目计划总投资163.09万元，项目实际支出金额为 158.19万元，项目支出有效控制在预算范围内。</w:t>
      </w:r>
    </w:p>
    <w:p>
      <w:pPr>
        <w:pStyle w:val="6"/>
        <w:ind w:firstLine="321" w:firstLineChars="100"/>
        <w:rPr>
          <w:rFonts w:hint="eastAsia" w:ascii="仿宋_GB2312" w:hAnsi="仿宋" w:eastAsia="仿宋_GB2312" w:cs="宋体"/>
          <w:b/>
          <w:bCs/>
          <w:sz w:val="32"/>
          <w:szCs w:val="32"/>
          <w:highlight w:val="none"/>
          <w:lang w:val="en-US" w:eastAsia="zh-CN"/>
        </w:rPr>
      </w:pPr>
      <w:r>
        <w:rPr>
          <w:rFonts w:hint="eastAsia" w:ascii="仿宋_GB2312" w:hAnsi="仿宋" w:eastAsia="仿宋_GB2312" w:cs="宋体"/>
          <w:b/>
          <w:bCs/>
          <w:sz w:val="32"/>
          <w:szCs w:val="32"/>
          <w:highlight w:val="none"/>
          <w:lang w:val="en-US" w:eastAsia="zh-CN"/>
        </w:rPr>
        <w:t>（四）项目效益评价分析</w:t>
      </w:r>
      <w:bookmarkEnd w:id="71"/>
    </w:p>
    <w:p>
      <w:pPr>
        <w:pStyle w:val="33"/>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1.经济效益情况</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该项目未涉及经济效益。</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2.社会效益情况</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通过该项目实施，确保了内招干部和留疆战士掕包入住，基本生活得到了保障并提高了考核干部工作积极性。</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3.生态效益情况</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该项目未涉及生态效益。</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4.可持续影响情况</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项目保障时间为1年。</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5.服务对象满意度情况</w:t>
      </w:r>
    </w:p>
    <w:p>
      <w:pPr>
        <w:pStyle w:val="33"/>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kern w:val="2"/>
          <w:sz w:val="32"/>
          <w:szCs w:val="32"/>
          <w:highlight w:val="none"/>
          <w:lang w:val="en-US" w:eastAsia="zh-CN" w:bidi="ar-SA"/>
        </w:rPr>
      </w:pPr>
      <w:bookmarkStart w:id="72" w:name="_Toc6584"/>
      <w:r>
        <w:rPr>
          <w:rFonts w:hint="eastAsia" w:ascii="仿宋_GB2312" w:hAnsi="仿宋_GB2312" w:eastAsia="仿宋_GB2312" w:cs="仿宋_GB2312"/>
          <w:kern w:val="2"/>
          <w:sz w:val="32"/>
          <w:szCs w:val="32"/>
          <w:highlight w:val="none"/>
          <w:lang w:val="en-US" w:eastAsia="zh-CN" w:bidi="ar-SA"/>
        </w:rPr>
        <w:t>通过走访受益对象，发放调查问卷一共30份，回收有效问卷共计30份，按照调查问卷来看，服务对象对项目实施效果的满意程度达100%。</w:t>
      </w:r>
    </w:p>
    <w:p>
      <w:pPr>
        <w:numPr>
          <w:ilvl w:val="0"/>
          <w:numId w:val="0"/>
        </w:num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lang w:val="en-US" w:eastAsia="zh-CN"/>
        </w:rPr>
        <w:t>四、</w:t>
      </w:r>
      <w:r>
        <w:rPr>
          <w:rFonts w:hint="eastAsia" w:ascii="黑体" w:hAnsi="黑体" w:eastAsia="黑体" w:cs="宋体"/>
          <w:sz w:val="32"/>
          <w:szCs w:val="32"/>
          <w:highlight w:val="none"/>
        </w:rPr>
        <w:t>评价结论</w:t>
      </w:r>
      <w:bookmarkEnd w:id="72"/>
    </w:p>
    <w:p>
      <w:pPr>
        <w:pStyle w:val="33"/>
        <w:adjustRightInd w:val="0"/>
        <w:snapToGrid w:val="0"/>
        <w:spacing w:line="560" w:lineRule="exact"/>
        <w:ind w:firstLine="643"/>
        <w:outlineLvl w:val="1"/>
        <w:rPr>
          <w:rFonts w:ascii="仿宋_GB2312" w:hAnsi="仿宋" w:eastAsia="仿宋_GB2312" w:cs="宋体"/>
          <w:b/>
          <w:bCs/>
          <w:sz w:val="32"/>
          <w:szCs w:val="32"/>
        </w:rPr>
      </w:pPr>
      <w:bookmarkStart w:id="73" w:name="_Toc13481"/>
      <w:r>
        <w:rPr>
          <w:rFonts w:hint="eastAsia" w:ascii="仿宋_GB2312" w:hAnsi="仿宋" w:eastAsia="仿宋_GB2312" w:cs="宋体"/>
          <w:b/>
          <w:bCs/>
          <w:sz w:val="32"/>
          <w:szCs w:val="32"/>
        </w:rPr>
        <w:t>（一）评分结果</w:t>
      </w:r>
      <w:bookmarkEnd w:id="73"/>
    </w:p>
    <w:p>
      <w:pPr>
        <w:spacing w:line="560" w:lineRule="exact"/>
        <w:ind w:firstLine="640" w:firstLineChars="200"/>
        <w:rPr>
          <w:rFonts w:ascii="仿宋" w:hAnsi="仿宋" w:eastAsia="仿宋" w:cs="仿宋_GB2312"/>
          <w:sz w:val="32"/>
          <w:szCs w:val="32"/>
          <w:highlight w:val="yellow"/>
        </w:rPr>
      </w:pPr>
      <w:r>
        <w:rPr>
          <w:rFonts w:hint="eastAsia" w:ascii="仿宋_GB2312" w:hAnsi="仿宋_GB2312" w:eastAsia="仿宋_GB2312" w:cs="仿宋_GB2312"/>
          <w:kern w:val="2"/>
          <w:sz w:val="32"/>
          <w:szCs w:val="32"/>
          <w:highlight w:val="none"/>
          <w:lang w:val="en-US" w:eastAsia="zh-CN" w:bidi="ar-SA"/>
        </w:rPr>
        <w:t>经综合评价，项目得分为100分，评价等级为优，一级指标各项得分情况见下表：</w:t>
      </w:r>
    </w:p>
    <w:p>
      <w:pPr>
        <w:pStyle w:val="40"/>
      </w:pPr>
      <w:r>
        <w:rPr>
          <w:rFonts w:hint="eastAsia"/>
          <w:lang w:eastAsia="zh-CN"/>
        </w:rPr>
        <w:t>202</w:t>
      </w:r>
      <w:r>
        <w:rPr>
          <w:rFonts w:hint="eastAsia"/>
          <w:lang w:val="en-US" w:eastAsia="zh-CN"/>
        </w:rPr>
        <w:t>1</w:t>
      </w:r>
      <w:r>
        <w:rPr>
          <w:rFonts w:hint="eastAsia"/>
        </w:rPr>
        <w:t>年度该项目绩效评价</w:t>
      </w:r>
      <w:r>
        <w:t>得分情况表</w:t>
      </w:r>
    </w:p>
    <w:tbl>
      <w:tblPr>
        <w:tblStyle w:val="19"/>
        <w:tblW w:w="83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1517"/>
        <w:gridCol w:w="1543"/>
        <w:gridCol w:w="1413"/>
        <w:gridCol w:w="1152"/>
        <w:gridCol w:w="1290"/>
        <w:gridCol w:w="13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16" w:hRule="atLeast"/>
          <w:jc w:val="center"/>
        </w:trPr>
        <w:tc>
          <w:tcPr>
            <w:tcW w:w="1517" w:type="dxa"/>
            <w:tcBorders>
              <w:bottom w:val="single" w:color="auto" w:sz="4" w:space="0"/>
            </w:tcBorders>
            <w:shd w:val="clear" w:color="auto" w:fill="auto"/>
            <w:vAlign w:val="center"/>
          </w:tcPr>
          <w:p>
            <w:pPr>
              <w:pStyle w:val="40"/>
              <w:rPr>
                <w:rFonts w:ascii="仿宋" w:hAnsi="仿宋" w:eastAsia="仿宋" w:cs="仿宋"/>
                <w:color w:val="auto"/>
                <w:sz w:val="21"/>
                <w:szCs w:val="21"/>
                <w:highlight w:val="none"/>
              </w:rPr>
            </w:pPr>
            <w:r>
              <w:rPr>
                <w:rFonts w:hint="eastAsia" w:ascii="仿宋" w:hAnsi="仿宋" w:eastAsia="仿宋" w:cs="仿宋"/>
                <w:color w:val="auto"/>
                <w:sz w:val="21"/>
                <w:szCs w:val="21"/>
                <w:highlight w:val="none"/>
              </w:rPr>
              <w:t>指标</w:t>
            </w:r>
          </w:p>
        </w:tc>
        <w:tc>
          <w:tcPr>
            <w:tcW w:w="1543" w:type="dxa"/>
            <w:tcBorders>
              <w:bottom w:val="single" w:color="auto" w:sz="4" w:space="0"/>
            </w:tcBorders>
            <w:shd w:val="clear" w:color="auto" w:fill="auto"/>
            <w:vAlign w:val="center"/>
          </w:tcPr>
          <w:p>
            <w:pPr>
              <w:pStyle w:val="40"/>
              <w:rPr>
                <w:rFonts w:ascii="仿宋" w:hAnsi="仿宋" w:eastAsia="仿宋" w:cs="仿宋"/>
                <w:color w:val="auto"/>
                <w:sz w:val="21"/>
                <w:szCs w:val="21"/>
                <w:highlight w:val="none"/>
              </w:rPr>
            </w:pPr>
            <w:r>
              <w:rPr>
                <w:rFonts w:hint="eastAsia" w:ascii="仿宋" w:hAnsi="仿宋" w:eastAsia="仿宋" w:cs="仿宋"/>
                <w:color w:val="auto"/>
                <w:sz w:val="21"/>
                <w:szCs w:val="21"/>
                <w:highlight w:val="none"/>
              </w:rPr>
              <w:t>项目决策</w:t>
            </w:r>
          </w:p>
        </w:tc>
        <w:tc>
          <w:tcPr>
            <w:tcW w:w="1413" w:type="dxa"/>
            <w:tcBorders>
              <w:bottom w:val="single" w:color="auto" w:sz="4" w:space="0"/>
            </w:tcBorders>
            <w:shd w:val="clear" w:color="auto" w:fill="auto"/>
            <w:vAlign w:val="center"/>
          </w:tcPr>
          <w:p>
            <w:pPr>
              <w:pStyle w:val="40"/>
              <w:rPr>
                <w:rFonts w:hint="eastAsia" w:ascii="仿宋" w:hAnsi="仿宋" w:eastAsia="仿宋" w:cs="仿宋"/>
                <w:color w:val="auto"/>
                <w:sz w:val="21"/>
                <w:szCs w:val="21"/>
                <w:highlight w:val="none"/>
                <w:lang w:eastAsia="zh-CN"/>
              </w:rPr>
            </w:pPr>
            <w:r>
              <w:rPr>
                <w:rFonts w:hint="eastAsia" w:ascii="仿宋" w:hAnsi="仿宋" w:eastAsia="仿宋" w:cs="仿宋"/>
                <w:color w:val="auto"/>
                <w:sz w:val="21"/>
                <w:szCs w:val="21"/>
                <w:highlight w:val="none"/>
              </w:rPr>
              <w:t>项目</w:t>
            </w:r>
            <w:r>
              <w:rPr>
                <w:rFonts w:hint="eastAsia" w:ascii="仿宋" w:hAnsi="仿宋" w:eastAsia="仿宋" w:cs="仿宋"/>
                <w:color w:val="auto"/>
                <w:sz w:val="21"/>
                <w:szCs w:val="21"/>
                <w:highlight w:val="none"/>
                <w:lang w:val="en-US" w:eastAsia="zh-CN"/>
              </w:rPr>
              <w:t>过程</w:t>
            </w:r>
          </w:p>
        </w:tc>
        <w:tc>
          <w:tcPr>
            <w:tcW w:w="1152" w:type="dxa"/>
            <w:tcBorders>
              <w:bottom w:val="single" w:color="auto" w:sz="4" w:space="0"/>
            </w:tcBorders>
            <w:shd w:val="clear" w:color="auto" w:fill="auto"/>
            <w:vAlign w:val="center"/>
          </w:tcPr>
          <w:p>
            <w:pPr>
              <w:pStyle w:val="40"/>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项目产出</w:t>
            </w:r>
          </w:p>
        </w:tc>
        <w:tc>
          <w:tcPr>
            <w:tcW w:w="1290" w:type="dxa"/>
            <w:tcBorders>
              <w:bottom w:val="single" w:color="auto" w:sz="4" w:space="0"/>
            </w:tcBorders>
            <w:shd w:val="clear" w:color="auto" w:fill="auto"/>
            <w:vAlign w:val="center"/>
          </w:tcPr>
          <w:p>
            <w:pPr>
              <w:pStyle w:val="40"/>
              <w:rPr>
                <w:rFonts w:hint="eastAsia" w:ascii="仿宋" w:hAnsi="仿宋" w:eastAsia="仿宋" w:cs="仿宋"/>
                <w:color w:val="auto"/>
                <w:sz w:val="21"/>
                <w:szCs w:val="21"/>
                <w:highlight w:val="none"/>
                <w:lang w:eastAsia="zh-CN"/>
              </w:rPr>
            </w:pPr>
            <w:r>
              <w:rPr>
                <w:rFonts w:hint="eastAsia" w:ascii="仿宋" w:hAnsi="仿宋" w:eastAsia="仿宋" w:cs="仿宋"/>
                <w:color w:val="auto"/>
                <w:sz w:val="21"/>
                <w:szCs w:val="21"/>
                <w:highlight w:val="none"/>
              </w:rPr>
              <w:t>项目</w:t>
            </w:r>
            <w:r>
              <w:rPr>
                <w:rFonts w:hint="eastAsia" w:ascii="仿宋" w:hAnsi="仿宋" w:eastAsia="仿宋" w:cs="仿宋"/>
                <w:color w:val="auto"/>
                <w:sz w:val="21"/>
                <w:szCs w:val="21"/>
                <w:highlight w:val="none"/>
                <w:lang w:val="en-US" w:eastAsia="zh-CN"/>
              </w:rPr>
              <w:t>效益</w:t>
            </w:r>
          </w:p>
        </w:tc>
        <w:tc>
          <w:tcPr>
            <w:tcW w:w="1388" w:type="dxa"/>
            <w:tcBorders>
              <w:bottom w:val="single" w:color="auto" w:sz="4" w:space="0"/>
            </w:tcBorders>
            <w:shd w:val="clear" w:color="auto" w:fill="auto"/>
            <w:vAlign w:val="center"/>
          </w:tcPr>
          <w:p>
            <w:pPr>
              <w:pStyle w:val="40"/>
              <w:rPr>
                <w:rFonts w:ascii="仿宋" w:hAnsi="仿宋" w:eastAsia="仿宋" w:cs="仿宋"/>
                <w:color w:val="auto"/>
                <w:sz w:val="21"/>
                <w:szCs w:val="21"/>
                <w:highlight w:val="none"/>
              </w:rPr>
            </w:pPr>
            <w:r>
              <w:rPr>
                <w:rFonts w:hint="eastAsia" w:ascii="仿宋" w:hAnsi="仿宋" w:eastAsia="仿宋" w:cs="仿宋"/>
                <w:color w:val="auto"/>
                <w:sz w:val="21"/>
                <w:szCs w:val="21"/>
                <w:highlight w:val="none"/>
              </w:rPr>
              <w:t>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jc w:val="center"/>
        </w:trPr>
        <w:tc>
          <w:tcPr>
            <w:tcW w:w="1517" w:type="dxa"/>
            <w:shd w:val="clear" w:color="auto" w:fill="auto"/>
            <w:vAlign w:val="center"/>
          </w:tcPr>
          <w:p>
            <w:pPr>
              <w:pStyle w:val="40"/>
              <w:rPr>
                <w:rFonts w:ascii="仿宋" w:hAnsi="仿宋" w:eastAsia="仿宋" w:cs="仿宋"/>
                <w:color w:val="auto"/>
                <w:sz w:val="21"/>
                <w:szCs w:val="21"/>
                <w:highlight w:val="none"/>
              </w:rPr>
            </w:pPr>
            <w:r>
              <w:rPr>
                <w:rFonts w:hint="eastAsia" w:ascii="仿宋" w:hAnsi="仿宋" w:eastAsia="仿宋" w:cs="仿宋"/>
                <w:color w:val="auto"/>
                <w:sz w:val="21"/>
                <w:szCs w:val="21"/>
                <w:highlight w:val="none"/>
              </w:rPr>
              <w:t>权重</w:t>
            </w:r>
          </w:p>
        </w:tc>
        <w:tc>
          <w:tcPr>
            <w:tcW w:w="1543" w:type="dxa"/>
            <w:shd w:val="clear" w:color="auto" w:fill="auto"/>
            <w:vAlign w:val="center"/>
          </w:tcPr>
          <w:p>
            <w:pPr>
              <w:pStyle w:val="40"/>
              <w:rPr>
                <w:rFonts w:hint="eastAsia" w:ascii="仿宋" w:hAnsi="仿宋" w:eastAsia="仿宋" w:cs="仿宋"/>
                <w:b w:val="0"/>
                <w:color w:val="auto"/>
                <w:sz w:val="21"/>
                <w:szCs w:val="21"/>
                <w:highlight w:val="none"/>
                <w:lang w:eastAsia="zh-CN"/>
              </w:rPr>
            </w:pPr>
            <w:r>
              <w:rPr>
                <w:rFonts w:hint="eastAsia" w:ascii="仿宋" w:hAnsi="仿宋" w:eastAsia="仿宋" w:cs="仿宋"/>
                <w:b w:val="0"/>
                <w:color w:val="auto"/>
                <w:sz w:val="21"/>
                <w:szCs w:val="21"/>
                <w:highlight w:val="none"/>
              </w:rPr>
              <w:t>2</w:t>
            </w:r>
            <w:r>
              <w:rPr>
                <w:rFonts w:hint="eastAsia" w:ascii="仿宋" w:hAnsi="仿宋" w:eastAsia="仿宋" w:cs="仿宋"/>
                <w:b w:val="0"/>
                <w:color w:val="auto"/>
                <w:sz w:val="21"/>
                <w:szCs w:val="21"/>
                <w:highlight w:val="none"/>
                <w:lang w:val="en-US" w:eastAsia="zh-CN"/>
              </w:rPr>
              <w:t>0</w:t>
            </w:r>
          </w:p>
        </w:tc>
        <w:tc>
          <w:tcPr>
            <w:tcW w:w="1413" w:type="dxa"/>
            <w:shd w:val="clear" w:color="auto" w:fill="auto"/>
            <w:vAlign w:val="center"/>
          </w:tcPr>
          <w:p>
            <w:pPr>
              <w:pStyle w:val="40"/>
              <w:rPr>
                <w:rFonts w:hint="default" w:ascii="仿宋" w:hAnsi="仿宋" w:eastAsia="仿宋" w:cs="仿宋"/>
                <w:b w:val="0"/>
                <w:color w:val="auto"/>
                <w:sz w:val="21"/>
                <w:szCs w:val="21"/>
                <w:highlight w:val="none"/>
                <w:lang w:val="en-US" w:eastAsia="zh-CN"/>
              </w:rPr>
            </w:pPr>
            <w:r>
              <w:rPr>
                <w:rFonts w:hint="eastAsia" w:ascii="仿宋" w:hAnsi="仿宋" w:eastAsia="仿宋" w:cs="仿宋"/>
                <w:b w:val="0"/>
                <w:color w:val="auto"/>
                <w:sz w:val="21"/>
                <w:szCs w:val="21"/>
                <w:highlight w:val="none"/>
                <w:lang w:val="en-US" w:eastAsia="zh-CN"/>
              </w:rPr>
              <w:t>20</w:t>
            </w:r>
          </w:p>
        </w:tc>
        <w:tc>
          <w:tcPr>
            <w:tcW w:w="1152" w:type="dxa"/>
            <w:shd w:val="clear" w:color="auto" w:fill="auto"/>
            <w:vAlign w:val="center"/>
          </w:tcPr>
          <w:p>
            <w:pPr>
              <w:pStyle w:val="40"/>
              <w:rPr>
                <w:rFonts w:hint="default" w:ascii="仿宋" w:hAnsi="仿宋" w:eastAsia="仿宋" w:cs="仿宋"/>
                <w:b w:val="0"/>
                <w:color w:val="auto"/>
                <w:sz w:val="21"/>
                <w:szCs w:val="21"/>
                <w:highlight w:val="none"/>
                <w:lang w:val="en-US" w:eastAsia="zh-CN"/>
              </w:rPr>
            </w:pPr>
            <w:r>
              <w:rPr>
                <w:rFonts w:hint="eastAsia" w:ascii="仿宋" w:hAnsi="仿宋" w:eastAsia="仿宋" w:cs="仿宋"/>
                <w:b w:val="0"/>
                <w:color w:val="auto"/>
                <w:sz w:val="21"/>
                <w:szCs w:val="21"/>
                <w:highlight w:val="none"/>
                <w:lang w:val="en-US" w:eastAsia="zh-CN"/>
              </w:rPr>
              <w:t>30</w:t>
            </w:r>
          </w:p>
        </w:tc>
        <w:tc>
          <w:tcPr>
            <w:tcW w:w="1290" w:type="dxa"/>
            <w:shd w:val="clear" w:color="auto" w:fill="auto"/>
            <w:vAlign w:val="center"/>
          </w:tcPr>
          <w:p>
            <w:pPr>
              <w:pStyle w:val="40"/>
              <w:rPr>
                <w:rFonts w:hint="default" w:ascii="仿宋" w:hAnsi="仿宋" w:eastAsia="仿宋" w:cs="仿宋"/>
                <w:b w:val="0"/>
                <w:color w:val="auto"/>
                <w:sz w:val="21"/>
                <w:szCs w:val="21"/>
                <w:highlight w:val="none"/>
                <w:lang w:val="en-US" w:eastAsia="zh-CN"/>
              </w:rPr>
            </w:pPr>
            <w:r>
              <w:rPr>
                <w:rFonts w:hint="eastAsia" w:ascii="仿宋" w:hAnsi="仿宋" w:eastAsia="仿宋" w:cs="仿宋"/>
                <w:b w:val="0"/>
                <w:color w:val="auto"/>
                <w:sz w:val="21"/>
                <w:szCs w:val="21"/>
                <w:highlight w:val="none"/>
                <w:lang w:val="en-US" w:eastAsia="zh-CN"/>
              </w:rPr>
              <w:t>30</w:t>
            </w:r>
          </w:p>
        </w:tc>
        <w:tc>
          <w:tcPr>
            <w:tcW w:w="1388" w:type="dxa"/>
            <w:shd w:val="clear" w:color="auto" w:fill="auto"/>
            <w:vAlign w:val="center"/>
          </w:tcPr>
          <w:p>
            <w:pPr>
              <w:pStyle w:val="40"/>
              <w:rPr>
                <w:rFonts w:ascii="仿宋" w:hAnsi="仿宋" w:eastAsia="仿宋" w:cs="仿宋"/>
                <w:b w:val="0"/>
                <w:color w:val="auto"/>
                <w:sz w:val="21"/>
                <w:szCs w:val="21"/>
                <w:highlight w:val="none"/>
              </w:rPr>
            </w:pPr>
            <w:r>
              <w:rPr>
                <w:rFonts w:hint="eastAsia" w:ascii="仿宋" w:hAnsi="仿宋" w:eastAsia="仿宋" w:cs="仿宋"/>
                <w:b w:val="0"/>
                <w:color w:val="auto"/>
                <w:sz w:val="21"/>
                <w:szCs w:val="21"/>
                <w:highlight w:val="none"/>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jc w:val="center"/>
        </w:trPr>
        <w:tc>
          <w:tcPr>
            <w:tcW w:w="1517" w:type="dxa"/>
            <w:shd w:val="clear" w:color="auto" w:fill="auto"/>
            <w:vAlign w:val="center"/>
          </w:tcPr>
          <w:p>
            <w:pPr>
              <w:pStyle w:val="40"/>
              <w:rPr>
                <w:rFonts w:ascii="仿宋" w:hAnsi="仿宋" w:eastAsia="仿宋" w:cs="仿宋"/>
                <w:color w:val="auto"/>
                <w:sz w:val="21"/>
                <w:szCs w:val="21"/>
                <w:highlight w:val="none"/>
              </w:rPr>
            </w:pPr>
            <w:r>
              <w:rPr>
                <w:rFonts w:hint="eastAsia" w:ascii="仿宋" w:hAnsi="仿宋" w:eastAsia="仿宋" w:cs="仿宋"/>
                <w:color w:val="auto"/>
                <w:sz w:val="21"/>
                <w:szCs w:val="21"/>
                <w:highlight w:val="none"/>
              </w:rPr>
              <w:t>分值</w:t>
            </w:r>
          </w:p>
        </w:tc>
        <w:tc>
          <w:tcPr>
            <w:tcW w:w="1543" w:type="dxa"/>
            <w:shd w:val="clear" w:color="auto" w:fill="auto"/>
            <w:vAlign w:val="center"/>
          </w:tcPr>
          <w:p>
            <w:pPr>
              <w:pStyle w:val="40"/>
              <w:rPr>
                <w:rFonts w:hint="default" w:ascii="仿宋" w:hAnsi="仿宋" w:eastAsia="仿宋" w:cs="仿宋"/>
                <w:b w:val="0"/>
                <w:color w:val="auto"/>
                <w:sz w:val="21"/>
                <w:szCs w:val="21"/>
                <w:highlight w:val="none"/>
                <w:lang w:val="en-US" w:eastAsia="zh-CN"/>
              </w:rPr>
            </w:pPr>
            <w:r>
              <w:rPr>
                <w:rFonts w:hint="eastAsia" w:ascii="仿宋" w:hAnsi="仿宋" w:eastAsia="仿宋" w:cs="仿宋"/>
                <w:b w:val="0"/>
                <w:color w:val="auto"/>
                <w:sz w:val="21"/>
                <w:szCs w:val="21"/>
                <w:highlight w:val="none"/>
                <w:lang w:val="en-US" w:eastAsia="zh-CN"/>
              </w:rPr>
              <w:t>20</w:t>
            </w:r>
          </w:p>
        </w:tc>
        <w:tc>
          <w:tcPr>
            <w:tcW w:w="1413" w:type="dxa"/>
            <w:shd w:val="clear" w:color="auto" w:fill="auto"/>
            <w:vAlign w:val="center"/>
          </w:tcPr>
          <w:p>
            <w:pPr>
              <w:pStyle w:val="40"/>
              <w:rPr>
                <w:rFonts w:hint="default" w:ascii="仿宋" w:hAnsi="仿宋" w:eastAsia="仿宋" w:cs="仿宋"/>
                <w:b w:val="0"/>
                <w:color w:val="auto"/>
                <w:sz w:val="21"/>
                <w:szCs w:val="21"/>
                <w:highlight w:val="none"/>
                <w:lang w:val="en-US" w:eastAsia="zh-CN"/>
              </w:rPr>
            </w:pPr>
            <w:r>
              <w:rPr>
                <w:rFonts w:hint="eastAsia" w:ascii="仿宋" w:hAnsi="仿宋" w:eastAsia="仿宋" w:cs="仿宋"/>
                <w:b w:val="0"/>
                <w:color w:val="auto"/>
                <w:sz w:val="21"/>
                <w:szCs w:val="21"/>
                <w:highlight w:val="none"/>
                <w:lang w:val="en-US" w:eastAsia="zh-CN"/>
              </w:rPr>
              <w:t>20</w:t>
            </w:r>
          </w:p>
        </w:tc>
        <w:tc>
          <w:tcPr>
            <w:tcW w:w="1152" w:type="dxa"/>
            <w:shd w:val="clear" w:color="auto" w:fill="auto"/>
            <w:vAlign w:val="center"/>
          </w:tcPr>
          <w:p>
            <w:pPr>
              <w:pStyle w:val="40"/>
              <w:rPr>
                <w:rFonts w:hint="default" w:ascii="仿宋" w:hAnsi="仿宋" w:eastAsia="仿宋" w:cs="仿宋"/>
                <w:b w:val="0"/>
                <w:color w:val="auto"/>
                <w:sz w:val="21"/>
                <w:szCs w:val="21"/>
                <w:highlight w:val="none"/>
                <w:lang w:val="en-US" w:eastAsia="zh-CN"/>
              </w:rPr>
            </w:pPr>
            <w:r>
              <w:rPr>
                <w:rFonts w:hint="eastAsia" w:ascii="仿宋" w:hAnsi="仿宋" w:eastAsia="仿宋" w:cs="仿宋"/>
                <w:b w:val="0"/>
                <w:color w:val="auto"/>
                <w:sz w:val="21"/>
                <w:szCs w:val="21"/>
                <w:highlight w:val="none"/>
                <w:lang w:val="en-US" w:eastAsia="zh-CN"/>
              </w:rPr>
              <w:t>30</w:t>
            </w:r>
          </w:p>
        </w:tc>
        <w:tc>
          <w:tcPr>
            <w:tcW w:w="1290" w:type="dxa"/>
            <w:shd w:val="clear" w:color="auto" w:fill="auto"/>
            <w:vAlign w:val="center"/>
          </w:tcPr>
          <w:p>
            <w:pPr>
              <w:pStyle w:val="40"/>
              <w:rPr>
                <w:rFonts w:hint="default" w:ascii="仿宋" w:hAnsi="仿宋" w:eastAsia="仿宋" w:cs="仿宋"/>
                <w:b w:val="0"/>
                <w:color w:val="auto"/>
                <w:sz w:val="21"/>
                <w:szCs w:val="21"/>
                <w:highlight w:val="none"/>
                <w:lang w:val="en-US" w:eastAsia="zh-CN"/>
              </w:rPr>
            </w:pPr>
            <w:r>
              <w:rPr>
                <w:rFonts w:hint="eastAsia" w:ascii="仿宋" w:hAnsi="仿宋" w:eastAsia="仿宋" w:cs="仿宋"/>
                <w:b w:val="0"/>
                <w:color w:val="auto"/>
                <w:sz w:val="21"/>
                <w:szCs w:val="21"/>
                <w:highlight w:val="none"/>
                <w:lang w:val="en-US" w:eastAsia="zh-CN"/>
              </w:rPr>
              <w:t>30</w:t>
            </w:r>
          </w:p>
        </w:tc>
        <w:tc>
          <w:tcPr>
            <w:tcW w:w="1388" w:type="dxa"/>
            <w:shd w:val="clear" w:color="auto" w:fill="auto"/>
            <w:vAlign w:val="center"/>
          </w:tcPr>
          <w:p>
            <w:pPr>
              <w:pStyle w:val="40"/>
              <w:rPr>
                <w:rFonts w:hint="default" w:ascii="仿宋" w:hAnsi="仿宋" w:eastAsia="仿宋" w:cs="仿宋"/>
                <w:b w:val="0"/>
                <w:color w:val="auto"/>
                <w:sz w:val="21"/>
                <w:szCs w:val="21"/>
                <w:highlight w:val="none"/>
                <w:lang w:val="en-US" w:eastAsia="zh-CN"/>
              </w:rPr>
            </w:pPr>
            <w:r>
              <w:rPr>
                <w:rFonts w:hint="eastAsia" w:ascii="仿宋" w:hAnsi="仿宋" w:eastAsia="仿宋" w:cs="仿宋"/>
                <w:b w:val="0"/>
                <w:color w:val="auto"/>
                <w:sz w:val="21"/>
                <w:szCs w:val="21"/>
                <w:highlight w:val="none"/>
                <w:lang w:val="en-US" w:eastAsia="zh-CN"/>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jc w:val="center"/>
        </w:trPr>
        <w:tc>
          <w:tcPr>
            <w:tcW w:w="1517" w:type="dxa"/>
            <w:shd w:val="clear" w:color="auto" w:fill="auto"/>
            <w:vAlign w:val="center"/>
          </w:tcPr>
          <w:p>
            <w:pPr>
              <w:pStyle w:val="40"/>
              <w:rPr>
                <w:rFonts w:ascii="仿宋" w:hAnsi="仿宋" w:eastAsia="仿宋" w:cs="仿宋"/>
                <w:color w:val="auto"/>
                <w:sz w:val="21"/>
                <w:szCs w:val="21"/>
                <w:highlight w:val="none"/>
              </w:rPr>
            </w:pPr>
            <w:r>
              <w:rPr>
                <w:rFonts w:hint="eastAsia" w:ascii="仿宋" w:hAnsi="仿宋" w:eastAsia="仿宋" w:cs="仿宋"/>
                <w:color w:val="auto"/>
                <w:sz w:val="21"/>
                <w:szCs w:val="21"/>
                <w:highlight w:val="none"/>
              </w:rPr>
              <w:t>得分率</w:t>
            </w:r>
          </w:p>
        </w:tc>
        <w:tc>
          <w:tcPr>
            <w:tcW w:w="1543" w:type="dxa"/>
            <w:shd w:val="clear" w:color="auto" w:fill="auto"/>
            <w:vAlign w:val="center"/>
          </w:tcPr>
          <w:p>
            <w:pPr>
              <w:pStyle w:val="40"/>
              <w:rPr>
                <w:rFonts w:ascii="仿宋" w:hAnsi="仿宋" w:eastAsia="仿宋" w:cs="仿宋"/>
                <w:b w:val="0"/>
                <w:color w:val="auto"/>
                <w:sz w:val="21"/>
                <w:szCs w:val="21"/>
                <w:highlight w:val="none"/>
              </w:rPr>
            </w:pPr>
            <w:r>
              <w:rPr>
                <w:rFonts w:hint="eastAsia" w:ascii="仿宋" w:hAnsi="仿宋" w:eastAsia="仿宋" w:cs="仿宋"/>
                <w:b w:val="0"/>
                <w:color w:val="auto"/>
                <w:sz w:val="21"/>
                <w:szCs w:val="21"/>
                <w:highlight w:val="none"/>
                <w:lang w:val="en-US" w:eastAsia="zh-CN"/>
              </w:rPr>
              <w:t>100</w:t>
            </w:r>
            <w:r>
              <w:rPr>
                <w:rFonts w:hint="eastAsia" w:ascii="仿宋" w:hAnsi="仿宋" w:eastAsia="仿宋" w:cs="仿宋"/>
                <w:b w:val="0"/>
                <w:color w:val="auto"/>
                <w:sz w:val="21"/>
                <w:szCs w:val="21"/>
                <w:highlight w:val="none"/>
              </w:rPr>
              <w:t>%</w:t>
            </w:r>
          </w:p>
        </w:tc>
        <w:tc>
          <w:tcPr>
            <w:tcW w:w="1413" w:type="dxa"/>
            <w:shd w:val="clear" w:color="auto" w:fill="auto"/>
            <w:vAlign w:val="center"/>
          </w:tcPr>
          <w:p>
            <w:pPr>
              <w:pStyle w:val="40"/>
              <w:rPr>
                <w:rFonts w:ascii="仿宋" w:hAnsi="仿宋" w:eastAsia="仿宋" w:cs="仿宋"/>
                <w:b w:val="0"/>
                <w:color w:val="auto"/>
                <w:sz w:val="21"/>
                <w:szCs w:val="21"/>
                <w:highlight w:val="none"/>
              </w:rPr>
            </w:pPr>
            <w:r>
              <w:rPr>
                <w:rFonts w:hint="eastAsia" w:ascii="仿宋" w:hAnsi="仿宋" w:eastAsia="仿宋" w:cs="仿宋"/>
                <w:b w:val="0"/>
                <w:color w:val="auto"/>
                <w:sz w:val="21"/>
                <w:szCs w:val="21"/>
                <w:highlight w:val="none"/>
                <w:lang w:val="en-US" w:eastAsia="zh-CN"/>
              </w:rPr>
              <w:t>100</w:t>
            </w:r>
            <w:r>
              <w:rPr>
                <w:rFonts w:hint="eastAsia" w:ascii="仿宋" w:hAnsi="仿宋" w:eastAsia="仿宋" w:cs="仿宋"/>
                <w:b w:val="0"/>
                <w:color w:val="auto"/>
                <w:sz w:val="21"/>
                <w:szCs w:val="21"/>
                <w:highlight w:val="none"/>
              </w:rPr>
              <w:t>%</w:t>
            </w:r>
          </w:p>
        </w:tc>
        <w:tc>
          <w:tcPr>
            <w:tcW w:w="1152" w:type="dxa"/>
            <w:shd w:val="clear" w:color="auto" w:fill="auto"/>
            <w:vAlign w:val="center"/>
          </w:tcPr>
          <w:p>
            <w:pPr>
              <w:pStyle w:val="40"/>
              <w:rPr>
                <w:rFonts w:hint="eastAsia" w:ascii="仿宋" w:hAnsi="仿宋" w:eastAsia="仿宋" w:cs="仿宋"/>
                <w:b w:val="0"/>
                <w:color w:val="auto"/>
                <w:sz w:val="21"/>
                <w:szCs w:val="21"/>
                <w:highlight w:val="none"/>
              </w:rPr>
            </w:pPr>
            <w:r>
              <w:rPr>
                <w:rFonts w:hint="eastAsia" w:ascii="仿宋" w:hAnsi="仿宋" w:eastAsia="仿宋" w:cs="仿宋"/>
                <w:b w:val="0"/>
                <w:color w:val="auto"/>
                <w:sz w:val="21"/>
                <w:szCs w:val="21"/>
                <w:highlight w:val="none"/>
                <w:lang w:val="en-US" w:eastAsia="zh-CN"/>
              </w:rPr>
              <w:t>100</w:t>
            </w:r>
            <w:r>
              <w:rPr>
                <w:rFonts w:hint="eastAsia" w:ascii="仿宋" w:hAnsi="仿宋" w:eastAsia="仿宋" w:cs="仿宋"/>
                <w:b w:val="0"/>
                <w:color w:val="auto"/>
                <w:sz w:val="21"/>
                <w:szCs w:val="21"/>
                <w:highlight w:val="none"/>
              </w:rPr>
              <w:t>%</w:t>
            </w:r>
          </w:p>
        </w:tc>
        <w:tc>
          <w:tcPr>
            <w:tcW w:w="1290" w:type="dxa"/>
            <w:shd w:val="clear" w:color="auto" w:fill="auto"/>
            <w:vAlign w:val="center"/>
          </w:tcPr>
          <w:p>
            <w:pPr>
              <w:pStyle w:val="40"/>
              <w:rPr>
                <w:rFonts w:ascii="仿宋" w:hAnsi="仿宋" w:eastAsia="仿宋" w:cs="仿宋"/>
                <w:b w:val="0"/>
                <w:color w:val="auto"/>
                <w:sz w:val="21"/>
                <w:szCs w:val="21"/>
                <w:highlight w:val="none"/>
              </w:rPr>
            </w:pPr>
            <w:r>
              <w:rPr>
                <w:rFonts w:hint="eastAsia" w:ascii="仿宋" w:hAnsi="仿宋" w:eastAsia="仿宋" w:cs="仿宋"/>
                <w:b w:val="0"/>
                <w:color w:val="auto"/>
                <w:sz w:val="21"/>
                <w:szCs w:val="21"/>
                <w:highlight w:val="none"/>
                <w:lang w:val="en-US" w:eastAsia="zh-CN"/>
              </w:rPr>
              <w:t>100</w:t>
            </w:r>
            <w:r>
              <w:rPr>
                <w:rFonts w:hint="eastAsia" w:ascii="仿宋" w:hAnsi="仿宋" w:eastAsia="仿宋" w:cs="仿宋"/>
                <w:b w:val="0"/>
                <w:color w:val="auto"/>
                <w:sz w:val="21"/>
                <w:szCs w:val="21"/>
                <w:highlight w:val="none"/>
              </w:rPr>
              <w:t>%</w:t>
            </w:r>
          </w:p>
        </w:tc>
        <w:tc>
          <w:tcPr>
            <w:tcW w:w="1388" w:type="dxa"/>
            <w:shd w:val="clear" w:color="auto" w:fill="auto"/>
            <w:vAlign w:val="center"/>
          </w:tcPr>
          <w:p>
            <w:pPr>
              <w:pStyle w:val="40"/>
              <w:rPr>
                <w:rFonts w:ascii="仿宋" w:hAnsi="仿宋" w:eastAsia="仿宋" w:cs="仿宋"/>
                <w:b w:val="0"/>
                <w:color w:val="auto"/>
                <w:sz w:val="21"/>
                <w:szCs w:val="21"/>
                <w:highlight w:val="none"/>
              </w:rPr>
            </w:pPr>
            <w:r>
              <w:rPr>
                <w:rFonts w:hint="eastAsia" w:ascii="仿宋" w:hAnsi="仿宋" w:eastAsia="仿宋" w:cs="仿宋"/>
                <w:b w:val="0"/>
                <w:color w:val="auto"/>
                <w:sz w:val="21"/>
                <w:szCs w:val="21"/>
                <w:highlight w:val="none"/>
                <w:lang w:val="en-US" w:eastAsia="zh-CN"/>
              </w:rPr>
              <w:t>100</w:t>
            </w:r>
            <w:r>
              <w:rPr>
                <w:rFonts w:hint="eastAsia" w:ascii="仿宋" w:hAnsi="仿宋" w:eastAsia="仿宋" w:cs="仿宋"/>
                <w:b w:val="0"/>
                <w:color w:val="auto"/>
                <w:sz w:val="21"/>
                <w:szCs w:val="21"/>
                <w:highlight w:val="none"/>
              </w:rPr>
              <w:t>%</w:t>
            </w:r>
          </w:p>
        </w:tc>
      </w:tr>
    </w:tbl>
    <w:p>
      <w:pPr>
        <w:pStyle w:val="17"/>
        <w:ind w:firstLine="0" w:firstLineChars="0"/>
      </w:pPr>
    </w:p>
    <w:p>
      <w:pPr>
        <w:pStyle w:val="33"/>
        <w:numPr>
          <w:ilvl w:val="0"/>
          <w:numId w:val="3"/>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评价结论</w:t>
      </w:r>
    </w:p>
    <w:p>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74" w:name="_Toc3803"/>
      <w:r>
        <w:rPr>
          <w:rFonts w:hint="eastAsia" w:ascii="仿宋_GB2312" w:hAnsi="仿宋" w:eastAsia="仿宋_GB2312" w:cs="宋体"/>
          <w:b/>
          <w:bCs/>
          <w:sz w:val="32"/>
          <w:szCs w:val="32"/>
        </w:rPr>
        <w:t>（二）项目总体评价结论</w:t>
      </w:r>
      <w:bookmarkEnd w:id="74"/>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yellow"/>
          <w:lang w:val="en-US" w:eastAsia="zh-CN" w:bidi="ar-SA"/>
        </w:rPr>
      </w:pPr>
      <w:r>
        <w:rPr>
          <w:rFonts w:hint="eastAsia" w:ascii="仿宋_GB2312" w:hAnsi="仿宋_GB2312" w:eastAsia="仿宋_GB2312" w:cs="仿宋_GB2312"/>
          <w:kern w:val="2"/>
          <w:sz w:val="32"/>
          <w:szCs w:val="32"/>
          <w:highlight w:val="none"/>
          <w:lang w:val="en-US" w:eastAsia="zh-CN" w:bidi="ar-SA"/>
        </w:rPr>
        <w:t>项目立项较规范，绩效目标合理，绩效指标明确，项目管理制度较健全，制度建设基本有效执行。项目总投资163.09万元，财政资金到位率100%，实际支出158.19万元，预算资金执行率97%，其余3%资金为质保金。资金使用程序较规范，能够做到专项资金专款专用，未发现截留、挤占、挪用、虚列支出等情况。项目实施后，使内招干部及留疆战士基本生活得以保障并提高了考核干部工作积极性。</w:t>
      </w:r>
    </w:p>
    <w:p>
      <w:pPr>
        <w:adjustRightInd w:val="0"/>
        <w:snapToGrid w:val="0"/>
        <w:spacing w:line="560" w:lineRule="exact"/>
        <w:ind w:firstLine="640" w:firstLineChars="200"/>
        <w:jc w:val="left"/>
        <w:outlineLvl w:val="0"/>
        <w:rPr>
          <w:rFonts w:hint="default" w:ascii="黑体" w:hAnsi="黑体" w:eastAsia="黑体" w:cs="宋体"/>
          <w:sz w:val="32"/>
          <w:szCs w:val="32"/>
          <w:highlight w:val="none"/>
          <w:lang w:val="en-US" w:eastAsia="zh-CN"/>
        </w:rPr>
      </w:pPr>
      <w:bookmarkStart w:id="75" w:name="_Toc7267"/>
      <w:r>
        <w:rPr>
          <w:rFonts w:hint="eastAsia" w:ascii="黑体" w:hAnsi="黑体" w:eastAsia="黑体" w:cs="宋体"/>
          <w:sz w:val="32"/>
          <w:szCs w:val="32"/>
          <w:highlight w:val="none"/>
        </w:rPr>
        <w:t>五、问题</w:t>
      </w:r>
      <w:bookmarkEnd w:id="75"/>
      <w:r>
        <w:rPr>
          <w:rFonts w:hint="eastAsia" w:ascii="黑体" w:hAnsi="黑体" w:eastAsia="黑体" w:cs="宋体"/>
          <w:sz w:val="32"/>
          <w:szCs w:val="32"/>
          <w:highlight w:val="none"/>
          <w:lang w:val="en-US" w:eastAsia="zh-CN"/>
        </w:rPr>
        <w:t>及建议</w:t>
      </w:r>
    </w:p>
    <w:p>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76" w:name="_Toc2013"/>
      <w:bookmarkStart w:id="77" w:name="_Toc14039"/>
      <w:r>
        <w:rPr>
          <w:rFonts w:hint="eastAsia" w:ascii="仿宋_GB2312" w:hAnsi="仿宋" w:eastAsia="仿宋_GB2312" w:cs="宋体"/>
          <w:b/>
          <w:bCs/>
          <w:sz w:val="32"/>
          <w:szCs w:val="32"/>
        </w:rPr>
        <w:t>（一）问题</w:t>
      </w:r>
      <w:bookmarkEnd w:id="76"/>
    </w:p>
    <w:p>
      <w:pPr>
        <w:pStyle w:val="33"/>
        <w:adjustRightInd w:val="0"/>
        <w:snapToGrid w:val="0"/>
        <w:spacing w:line="560" w:lineRule="exact"/>
        <w:ind w:left="420" w:leftChars="200" w:firstLine="320" w:firstLineChars="100"/>
        <w:outlineLvl w:val="1"/>
        <w:rPr>
          <w:rFonts w:hint="eastAsia" w:ascii="仿宋_GB2312" w:hAnsi="仿宋_GB2312" w:eastAsia="仿宋_GB2312" w:cs="仿宋_GB2312"/>
          <w:kern w:val="2"/>
          <w:sz w:val="32"/>
          <w:szCs w:val="32"/>
          <w:highlight w:val="none"/>
          <w:lang w:val="en-US" w:eastAsia="zh-CN" w:bidi="ar-SA"/>
        </w:rPr>
      </w:pPr>
      <w:bookmarkStart w:id="78" w:name="_Toc4075"/>
      <w:r>
        <w:rPr>
          <w:rFonts w:hint="eastAsia" w:ascii="仿宋_GB2312" w:hAnsi="仿宋_GB2312" w:eastAsia="仿宋_GB2312" w:cs="仿宋_GB2312"/>
          <w:kern w:val="2"/>
          <w:sz w:val="32"/>
          <w:szCs w:val="32"/>
          <w:highlight w:val="none"/>
          <w:lang w:val="en-US" w:eastAsia="zh-CN" w:bidi="ar-SA"/>
        </w:rPr>
        <w:t>无。</w:t>
      </w:r>
    </w:p>
    <w:p>
      <w:pPr>
        <w:pStyle w:val="33"/>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w:t>
      </w:r>
      <w:r>
        <w:rPr>
          <w:rFonts w:hint="eastAsia" w:ascii="仿宋_GB2312" w:hAnsi="仿宋" w:eastAsia="仿宋_GB2312" w:cs="宋体"/>
          <w:b/>
          <w:bCs/>
          <w:sz w:val="32"/>
          <w:szCs w:val="32"/>
          <w:lang w:val="en-US" w:eastAsia="zh-CN"/>
        </w:rPr>
        <w:t>二</w:t>
      </w:r>
      <w:r>
        <w:rPr>
          <w:rFonts w:hint="eastAsia" w:ascii="仿宋_GB2312" w:hAnsi="仿宋" w:eastAsia="仿宋_GB2312" w:cs="宋体"/>
          <w:b/>
          <w:bCs/>
          <w:sz w:val="32"/>
          <w:szCs w:val="32"/>
        </w:rPr>
        <w:t>）意见和建议</w:t>
      </w:r>
      <w:bookmarkEnd w:id="78"/>
    </w:p>
    <w:p>
      <w:pPr>
        <w:ind w:firstLine="640" w:firstLineChars="200"/>
        <w:jc w:val="left"/>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无。</w:t>
      </w:r>
    </w:p>
    <w:p>
      <w:pPr>
        <w:adjustRightInd w:val="0"/>
        <w:snapToGrid w:val="0"/>
        <w:spacing w:line="560" w:lineRule="exact"/>
        <w:ind w:firstLine="640" w:firstLineChars="200"/>
        <w:jc w:val="left"/>
        <w:outlineLvl w:val="0"/>
        <w:rPr>
          <w:rFonts w:ascii="黑体" w:hAnsi="黑体" w:eastAsia="黑体" w:cs="宋体"/>
          <w:sz w:val="32"/>
          <w:szCs w:val="32"/>
          <w:highlight w:val="none"/>
        </w:rPr>
      </w:pPr>
      <w:bookmarkStart w:id="79" w:name="_Toc17475"/>
      <w:r>
        <w:rPr>
          <w:rFonts w:hint="eastAsia" w:ascii="黑体" w:hAnsi="黑体" w:eastAsia="黑体" w:cs="宋体"/>
          <w:sz w:val="32"/>
          <w:szCs w:val="32"/>
          <w:highlight w:val="none"/>
        </w:rPr>
        <w:t>六、主要经验及做法</w:t>
      </w:r>
      <w:bookmarkEnd w:id="77"/>
      <w:bookmarkEnd w:id="79"/>
    </w:p>
    <w:p>
      <w:pPr>
        <w:pStyle w:val="33"/>
        <w:adjustRightInd w:val="0"/>
        <w:snapToGrid w:val="0"/>
        <w:spacing w:line="560" w:lineRule="exact"/>
        <w:ind w:left="0" w:leftChars="0" w:firstLine="643" w:firstLineChars="200"/>
        <w:outlineLvl w:val="1"/>
        <w:rPr>
          <w:rFonts w:ascii="仿宋_GB2312" w:hAnsi="仿宋" w:eastAsia="仿宋_GB2312" w:cs="宋体"/>
          <w:b/>
          <w:bCs/>
          <w:sz w:val="32"/>
          <w:szCs w:val="32"/>
        </w:rPr>
      </w:pPr>
      <w:bookmarkStart w:id="80" w:name="_Toc25465"/>
      <w:bookmarkStart w:id="81" w:name="_Toc32230"/>
      <w:bookmarkStart w:id="82" w:name="_Toc16919"/>
      <w:r>
        <w:rPr>
          <w:rFonts w:hint="eastAsia" w:ascii="仿宋_GB2312" w:hAnsi="仿宋" w:eastAsia="仿宋_GB2312" w:cs="宋体"/>
          <w:b/>
          <w:bCs/>
          <w:sz w:val="32"/>
          <w:szCs w:val="32"/>
        </w:rPr>
        <w:t>（一）项目实施过程有效监控</w:t>
      </w:r>
      <w:bookmarkEnd w:id="80"/>
      <w:bookmarkEnd w:id="81"/>
    </w:p>
    <w:p>
      <w:pPr>
        <w:adjustRightInd w:val="0"/>
        <w:snapToGrid w:val="0"/>
        <w:spacing w:line="560" w:lineRule="exact"/>
        <w:ind w:firstLine="640" w:firstLineChars="200"/>
        <w:rPr>
          <w:rFonts w:hint="eastAsia" w:ascii="仿宋_GB2312" w:hAnsi="仿宋_GB2312" w:eastAsia="仿宋_GB2312" w:cs="仿宋_GB2312"/>
          <w:sz w:val="32"/>
          <w:szCs w:val="32"/>
          <w:highlight w:val="none"/>
        </w:rPr>
      </w:pPr>
      <w:bookmarkStart w:id="83" w:name="_Toc191"/>
      <w:bookmarkStart w:id="84" w:name="_Toc22631"/>
      <w:r>
        <w:rPr>
          <w:rFonts w:hint="eastAsia" w:ascii="仿宋_GB2312" w:hAnsi="仿宋_GB2312" w:eastAsia="仿宋_GB2312" w:cs="仿宋_GB2312"/>
          <w:sz w:val="32"/>
          <w:szCs w:val="32"/>
          <w:highlight w:val="none"/>
          <w:lang w:val="en-US" w:eastAsia="zh-CN"/>
        </w:rPr>
        <w:t>洛浦县</w:t>
      </w:r>
      <w:r>
        <w:rPr>
          <w:rFonts w:hint="eastAsia" w:ascii="仿宋_GB2312" w:hAnsi="仿宋_GB2312" w:eastAsia="仿宋_GB2312" w:cs="仿宋_GB2312"/>
          <w:sz w:val="32"/>
          <w:szCs w:val="32"/>
          <w:highlight w:val="none"/>
        </w:rPr>
        <w:t>财政局</w:t>
      </w:r>
      <w:r>
        <w:rPr>
          <w:rFonts w:hint="eastAsia" w:ascii="仿宋_GB2312" w:hAnsi="仿宋_GB2312" w:eastAsia="仿宋_GB2312" w:cs="仿宋_GB2312"/>
          <w:sz w:val="32"/>
          <w:szCs w:val="32"/>
          <w:highlight w:val="none"/>
          <w:lang w:val="en-US" w:eastAsia="zh-CN"/>
        </w:rPr>
        <w:t>针对项目</w:t>
      </w:r>
      <w:r>
        <w:rPr>
          <w:rFonts w:hint="eastAsia" w:ascii="仿宋_GB2312" w:hAnsi="仿宋_GB2312" w:eastAsia="仿宋_GB2312" w:cs="仿宋_GB2312"/>
          <w:sz w:val="32"/>
          <w:szCs w:val="32"/>
          <w:highlight w:val="none"/>
        </w:rPr>
        <w:t>实施全过程</w:t>
      </w:r>
      <w:r>
        <w:rPr>
          <w:rFonts w:hint="eastAsia" w:ascii="仿宋_GB2312" w:hAnsi="仿宋_GB2312" w:eastAsia="仿宋_GB2312" w:cs="仿宋_GB2312"/>
          <w:sz w:val="32"/>
          <w:szCs w:val="32"/>
          <w:highlight w:val="none"/>
          <w:lang w:val="en-US" w:eastAsia="zh-CN"/>
        </w:rPr>
        <w:t>进行</w:t>
      </w:r>
      <w:r>
        <w:rPr>
          <w:rFonts w:hint="eastAsia" w:ascii="仿宋_GB2312" w:hAnsi="仿宋_GB2312" w:eastAsia="仿宋_GB2312" w:cs="仿宋_GB2312"/>
          <w:sz w:val="32"/>
          <w:szCs w:val="32"/>
          <w:highlight w:val="none"/>
        </w:rPr>
        <w:t>绩效管理</w:t>
      </w:r>
      <w:r>
        <w:rPr>
          <w:rFonts w:hint="eastAsia" w:ascii="仿宋_GB2312" w:hAnsi="仿宋_GB2312" w:eastAsia="仿宋_GB2312" w:cs="仿宋_GB2312"/>
          <w:sz w:val="32"/>
          <w:szCs w:val="32"/>
          <w:highlight w:val="none"/>
          <w:lang w:eastAsia="zh-CN"/>
        </w:rPr>
        <w:t>；根据</w:t>
      </w:r>
      <w:r>
        <w:rPr>
          <w:rFonts w:hint="eastAsia" w:ascii="仿宋_GB2312" w:hAnsi="仿宋_GB2312" w:eastAsia="仿宋_GB2312" w:cs="仿宋_GB2312"/>
          <w:sz w:val="32"/>
          <w:szCs w:val="32"/>
          <w:highlight w:val="none"/>
          <w:lang w:val="en-US" w:eastAsia="zh-CN"/>
        </w:rPr>
        <w:t>专项</w:t>
      </w:r>
      <w:r>
        <w:rPr>
          <w:rFonts w:hint="eastAsia" w:ascii="仿宋_GB2312" w:hAnsi="仿宋_GB2312" w:eastAsia="仿宋_GB2312" w:cs="仿宋_GB2312"/>
          <w:sz w:val="32"/>
          <w:szCs w:val="32"/>
          <w:highlight w:val="none"/>
          <w:lang w:eastAsia="zh-CN"/>
        </w:rPr>
        <w:t>资金管理工作，于</w:t>
      </w:r>
      <w:r>
        <w:rPr>
          <w:rFonts w:hint="eastAsia" w:ascii="仿宋_GB2312" w:hAnsi="仿宋_GB2312" w:eastAsia="仿宋_GB2312" w:cs="仿宋_GB2312"/>
          <w:sz w:val="32"/>
          <w:szCs w:val="32"/>
          <w:highlight w:val="none"/>
          <w:lang w:val="en-US" w:eastAsia="zh-CN"/>
        </w:rPr>
        <w:t>5月、8月</w:t>
      </w:r>
      <w:r>
        <w:rPr>
          <w:rFonts w:hint="eastAsia" w:ascii="仿宋_GB2312" w:hAnsi="仿宋_GB2312" w:eastAsia="仿宋_GB2312" w:cs="仿宋_GB2312"/>
          <w:sz w:val="32"/>
          <w:szCs w:val="32"/>
          <w:highlight w:val="none"/>
        </w:rPr>
        <w:t>对</w:t>
      </w:r>
      <w:r>
        <w:rPr>
          <w:rFonts w:hint="eastAsia" w:ascii="仿宋_GB2312" w:hAnsi="仿宋_GB2312" w:eastAsia="仿宋_GB2312" w:cs="仿宋_GB2312"/>
          <w:sz w:val="32"/>
          <w:szCs w:val="32"/>
          <w:highlight w:val="none"/>
          <w:lang w:eastAsia="zh-CN"/>
        </w:rPr>
        <w:t>该</w:t>
      </w:r>
      <w:r>
        <w:rPr>
          <w:rFonts w:hint="eastAsia" w:ascii="仿宋_GB2312" w:hAnsi="仿宋_GB2312" w:eastAsia="仿宋_GB2312" w:cs="仿宋_GB2312"/>
          <w:sz w:val="32"/>
          <w:szCs w:val="32"/>
          <w:highlight w:val="none"/>
        </w:rPr>
        <w:t>项目开展绩效监控，实行项目</w:t>
      </w:r>
      <w:r>
        <w:rPr>
          <w:rFonts w:hint="eastAsia" w:ascii="仿宋_GB2312" w:hAnsi="仿宋_GB2312" w:eastAsia="仿宋_GB2312" w:cs="仿宋_GB2312"/>
          <w:sz w:val="32"/>
          <w:szCs w:val="32"/>
          <w:highlight w:val="none"/>
          <w:lang w:eastAsia="zh-CN"/>
        </w:rPr>
        <w:t>预算执行率与</w:t>
      </w:r>
      <w:r>
        <w:rPr>
          <w:rFonts w:hint="eastAsia" w:ascii="仿宋_GB2312" w:hAnsi="仿宋_GB2312" w:eastAsia="仿宋_GB2312" w:cs="仿宋_GB2312"/>
          <w:sz w:val="32"/>
          <w:szCs w:val="32"/>
          <w:highlight w:val="none"/>
        </w:rPr>
        <w:t>工作完成进度双监控</w:t>
      </w:r>
      <w:r>
        <w:rPr>
          <w:rFonts w:hint="eastAsia" w:ascii="仿宋_GB2312" w:hAnsi="仿宋_GB2312" w:eastAsia="仿宋_GB2312" w:cs="仿宋_GB2312"/>
          <w:sz w:val="32"/>
          <w:szCs w:val="32"/>
          <w:highlight w:val="none"/>
          <w:lang w:eastAsia="zh-CN"/>
        </w:rPr>
        <w:t>，并</w:t>
      </w:r>
      <w:r>
        <w:rPr>
          <w:rFonts w:hint="eastAsia" w:ascii="仿宋_GB2312" w:hAnsi="仿宋_GB2312" w:eastAsia="仿宋_GB2312" w:cs="仿宋_GB2312"/>
          <w:sz w:val="32"/>
          <w:szCs w:val="32"/>
          <w:highlight w:val="none"/>
        </w:rPr>
        <w:t>全面把握资金使用效率和项目实施开展进度，督促相关责任人按期保质完成工作。</w:t>
      </w:r>
    </w:p>
    <w:p>
      <w:pPr>
        <w:adjustRightInd w:val="0"/>
        <w:snapToGrid w:val="0"/>
        <w:spacing w:line="560" w:lineRule="exact"/>
        <w:ind w:firstLine="640"/>
        <w:outlineLvl w:val="1"/>
        <w:rPr>
          <w:rFonts w:ascii="仿宋_GB2312" w:hAnsi="仿宋" w:eastAsia="仿宋_GB2312" w:cs="宋体"/>
          <w:b/>
          <w:bCs/>
          <w:sz w:val="32"/>
          <w:szCs w:val="32"/>
        </w:rPr>
      </w:pPr>
      <w:r>
        <w:rPr>
          <w:rFonts w:hint="eastAsia" w:ascii="仿宋_GB2312" w:hAnsi="仿宋" w:eastAsia="仿宋_GB2312" w:cs="宋体"/>
          <w:b/>
          <w:bCs/>
          <w:sz w:val="32"/>
          <w:szCs w:val="32"/>
        </w:rPr>
        <w:t>（二）强化领导，明确职责，合理安排使用资金</w:t>
      </w:r>
      <w:bookmarkEnd w:id="83"/>
      <w:bookmarkEnd w:id="84"/>
    </w:p>
    <w:bookmarkEnd w:id="82"/>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bookmarkStart w:id="85" w:name="_Toc13108"/>
      <w:bookmarkStart w:id="86" w:name="_Toc20562"/>
      <w:bookmarkStart w:id="87" w:name="_Toc31915"/>
      <w:bookmarkStart w:id="88" w:name="_Toc30107"/>
      <w:bookmarkStart w:id="89" w:name="_Toc14650"/>
      <w:bookmarkStart w:id="90" w:name="_Toc24288"/>
      <w:bookmarkStart w:id="91" w:name="_Toc7837"/>
      <w:bookmarkStart w:id="92" w:name="_Toc14723"/>
      <w:bookmarkStart w:id="93" w:name="_Toc22725"/>
      <w:r>
        <w:rPr>
          <w:rFonts w:hint="eastAsia" w:ascii="仿宋_GB2312" w:hAnsi="仿宋_GB2312" w:eastAsia="仿宋_GB2312" w:cs="仿宋_GB2312"/>
          <w:sz w:val="32"/>
          <w:szCs w:val="32"/>
          <w:highlight w:val="none"/>
          <w:lang w:val="en-US" w:eastAsia="zh-CN"/>
        </w:rPr>
        <w:t>项目管理单位按照财务管理制度，认真落实项目工作任务，资金安排、资金配套数额、项目监管制度等方面做出了相应的规定，并高度重视，提高政治站位，牢固树立“花钱必问效、无效必问责”的绩效理念，切实增强绩效管理工作的主动性、积极性，对项目资金进行监管，从而提高资金的效益。</w:t>
      </w:r>
      <w:bookmarkEnd w:id="85"/>
      <w:bookmarkEnd w:id="86"/>
      <w:bookmarkEnd w:id="87"/>
    </w:p>
    <w:p>
      <w:pPr>
        <w:tabs>
          <w:tab w:val="left" w:pos="938"/>
        </w:tabs>
        <w:spacing w:line="560" w:lineRule="exact"/>
        <w:ind w:firstLine="640" w:firstLineChars="200"/>
        <w:outlineLvl w:val="0"/>
        <w:rPr>
          <w:rFonts w:ascii="黑体" w:hAnsi="黑体" w:eastAsia="黑体" w:cs="宋体"/>
          <w:sz w:val="32"/>
          <w:szCs w:val="32"/>
        </w:rPr>
      </w:pPr>
      <w:r>
        <w:rPr>
          <w:rFonts w:hint="eastAsia" w:ascii="黑体" w:hAnsi="黑体" w:eastAsia="黑体" w:cs="宋体"/>
          <w:sz w:val="32"/>
          <w:szCs w:val="32"/>
        </w:rPr>
        <w:t>七、评价结果应用建议</w:t>
      </w:r>
      <w:bookmarkEnd w:id="88"/>
      <w:bookmarkEnd w:id="89"/>
    </w:p>
    <w:p>
      <w:pPr>
        <w:spacing w:line="560" w:lineRule="exact"/>
        <w:ind w:firstLine="643" w:firstLineChars="200"/>
        <w:outlineLvl w:val="1"/>
        <w:rPr>
          <w:rFonts w:ascii="仿宋_GB2312" w:hAnsi="黑体" w:eastAsia="仿宋_GB2312" w:cs="Times New Roman"/>
          <w:b/>
          <w:bCs/>
          <w:sz w:val="32"/>
          <w:szCs w:val="32"/>
        </w:rPr>
      </w:pPr>
      <w:bookmarkStart w:id="94" w:name="_Toc6072"/>
      <w:r>
        <w:rPr>
          <w:rFonts w:hint="eastAsia" w:ascii="仿宋_GB2312" w:hAnsi="黑体" w:eastAsia="仿宋_GB2312" w:cs="Times New Roman"/>
          <w:b/>
          <w:bCs/>
          <w:sz w:val="32"/>
          <w:szCs w:val="32"/>
        </w:rPr>
        <w:t>（一）及时对发现的问题进行整改</w:t>
      </w:r>
      <w:bookmarkEnd w:id="90"/>
      <w:bookmarkEnd w:id="94"/>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bookmarkStart w:id="95" w:name="_Toc20240"/>
      <w:bookmarkStart w:id="96" w:name="_Toc31513"/>
      <w:r>
        <w:rPr>
          <w:rFonts w:hint="eastAsia" w:ascii="仿宋_GB2312" w:hAnsi="仿宋_GB2312" w:eastAsia="仿宋_GB2312" w:cs="仿宋_GB2312"/>
          <w:sz w:val="32"/>
          <w:szCs w:val="32"/>
          <w:highlight w:val="none"/>
          <w:lang w:val="en-US" w:eastAsia="zh-CN"/>
        </w:rPr>
        <w:t>在绩效管理工作中，针对绩效评价中发现的问题，建议项目管理单位进行梳理，对能够整改的问题及时进行整改，并将整改过程及佐证资料形成档案，提交财政局进行备案，不能整改的问题以后加强管理，切实提高财政资源配置效率和使用效益。</w:t>
      </w:r>
    </w:p>
    <w:p>
      <w:pPr>
        <w:numPr>
          <w:ilvl w:val="0"/>
          <w:numId w:val="6"/>
        </w:numPr>
        <w:spacing w:line="560" w:lineRule="exact"/>
        <w:ind w:firstLine="643" w:firstLineChars="200"/>
        <w:outlineLvl w:val="1"/>
        <w:rPr>
          <w:rFonts w:hint="eastAsia" w:ascii="仿宋_GB2312" w:hAnsi="黑体" w:eastAsia="仿宋_GB2312" w:cs="Times New Roman"/>
          <w:b/>
          <w:bCs/>
          <w:sz w:val="32"/>
          <w:szCs w:val="32"/>
        </w:rPr>
      </w:pPr>
      <w:r>
        <w:rPr>
          <w:rFonts w:hint="eastAsia" w:ascii="仿宋_GB2312" w:hAnsi="黑体" w:eastAsia="仿宋_GB2312" w:cs="Times New Roman"/>
          <w:b/>
          <w:bCs/>
          <w:sz w:val="32"/>
          <w:szCs w:val="32"/>
        </w:rPr>
        <w:t>建立绩效评价结果应用制度</w:t>
      </w:r>
      <w:bookmarkEnd w:id="95"/>
      <w:bookmarkEnd w:id="96"/>
    </w:p>
    <w:p>
      <w:pPr>
        <w:pStyle w:val="17"/>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绩效评价结果应用，既是开展绩效评价工作的基本前提，又是加强财政支出管理、增强资金绩效理念、合理配置公共资源、优化财政支出结构、强化资金管理水平、提高资金使用效益的重要手段。为使绩效评价结果得到合理应用，应将此次绩效评价结果作为以后年度建设资金分配的重要依据。应将此次绩效评价结果作为以后年度建设资金分配的重要依据。</w:t>
      </w:r>
    </w:p>
    <w:p>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1.建议建立实施绩效评价结果公开制度（结果反馈制度、结果共享制度、结果报告制度、结果公示制度）；</w:t>
      </w:r>
    </w:p>
    <w:p>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2.建议建立绩效评价结果通报、约谈和问责机制；</w:t>
      </w:r>
    </w:p>
    <w:p>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3.建议建立绩效评价结果在部门预算中激励与约束挂钩机制；</w:t>
      </w:r>
    </w:p>
    <w:p>
      <w:pPr>
        <w:tabs>
          <w:tab w:val="left" w:pos="938"/>
        </w:tabs>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kern w:val="2"/>
          <w:sz w:val="32"/>
          <w:szCs w:val="32"/>
          <w:highlight w:val="none"/>
          <w:lang w:val="en-US" w:eastAsia="zh-CN" w:bidi="ar-SA"/>
        </w:rPr>
        <w:t>4.建议建立评价结果惩处机制。</w:t>
      </w:r>
    </w:p>
    <w:p>
      <w:pPr>
        <w:spacing w:line="560" w:lineRule="exact"/>
        <w:ind w:firstLine="643" w:firstLineChars="200"/>
        <w:outlineLvl w:val="1"/>
        <w:rPr>
          <w:rFonts w:ascii="仿宋_GB2312" w:hAnsi="黑体" w:eastAsia="仿宋_GB2312" w:cs="Times New Roman"/>
          <w:b/>
          <w:bCs/>
          <w:sz w:val="32"/>
          <w:szCs w:val="32"/>
        </w:rPr>
      </w:pPr>
      <w:bookmarkStart w:id="97" w:name="_Toc10628"/>
      <w:bookmarkStart w:id="98" w:name="_Toc5443"/>
      <w:r>
        <w:rPr>
          <w:rFonts w:hint="eastAsia" w:ascii="仿宋_GB2312" w:hAnsi="黑体" w:eastAsia="仿宋_GB2312" w:cs="Times New Roman"/>
          <w:b/>
          <w:bCs/>
          <w:sz w:val="32"/>
          <w:szCs w:val="32"/>
        </w:rPr>
        <w:t>（三）</w:t>
      </w:r>
      <w:r>
        <w:rPr>
          <w:rFonts w:hint="eastAsia" w:ascii="仿宋_GB2312" w:hAnsi="黑体" w:eastAsia="仿宋_GB2312" w:cs="Times New Roman"/>
          <w:b/>
          <w:bCs/>
          <w:sz w:val="32"/>
          <w:szCs w:val="32"/>
          <w:lang w:val="en-US" w:eastAsia="zh-CN"/>
        </w:rPr>
        <w:t>强化</w:t>
      </w:r>
      <w:r>
        <w:rPr>
          <w:rFonts w:hint="eastAsia" w:ascii="仿宋_GB2312" w:hAnsi="黑体" w:eastAsia="仿宋_GB2312" w:cs="Times New Roman"/>
          <w:b/>
          <w:bCs/>
          <w:sz w:val="32"/>
          <w:szCs w:val="32"/>
        </w:rPr>
        <w:t>绩效评价结果应用</w:t>
      </w:r>
      <w:bookmarkEnd w:id="97"/>
      <w:bookmarkEnd w:id="98"/>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一是严格落实评价结果与预算安排挂钩制度。要严格执行《洛浦县财政支出绩效评价结果应用暂行办法》文件规定，充分应用评价结果，对低效无效资金一律削减或取消。</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二是将此次评价工作开展情况及评价结果纳入洛浦县全面实施预算绩效管理年度综合评价考核范畴，年终形成总结报告，上报县政府、发改委和县人大。</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三是进一步加大对评价结果的应用，洛浦县2021年度项目绩效评价情况，可作为以后年度部门单位项目预算编制和安排财政资金的重要依据。</w:t>
      </w:r>
    </w:p>
    <w:p>
      <w:pPr>
        <w:spacing w:line="560" w:lineRule="exact"/>
        <w:ind w:firstLine="643" w:firstLineChars="200"/>
        <w:outlineLvl w:val="1"/>
        <w:rPr>
          <w:rFonts w:ascii="仿宋_GB2312" w:hAnsi="黑体" w:eastAsia="仿宋_GB2312" w:cs="Times New Roman"/>
          <w:b/>
          <w:bCs/>
          <w:sz w:val="32"/>
          <w:szCs w:val="32"/>
        </w:rPr>
      </w:pPr>
      <w:bookmarkStart w:id="99" w:name="_Toc4069"/>
      <w:bookmarkStart w:id="100" w:name="_Toc13172"/>
      <w:r>
        <w:rPr>
          <w:rFonts w:hint="eastAsia" w:ascii="仿宋_GB2312" w:hAnsi="黑体" w:eastAsia="仿宋_GB2312" w:cs="Times New Roman"/>
          <w:b/>
          <w:bCs/>
          <w:sz w:val="32"/>
          <w:szCs w:val="32"/>
        </w:rPr>
        <w:t>（四）评价结果公开</w:t>
      </w:r>
      <w:bookmarkEnd w:id="99"/>
      <w:bookmarkEnd w:id="100"/>
    </w:p>
    <w:p>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建议按照政府信息公开管理的相关规定将绩效评价结果（涉密信息除外）向社会公开评价结果，提高工作透明度，接受社会公众的监督。</w:t>
      </w:r>
      <w:bookmarkEnd w:id="91"/>
    </w:p>
    <w:p>
      <w:pPr>
        <w:tabs>
          <w:tab w:val="left" w:pos="938"/>
        </w:tabs>
        <w:spacing w:line="560" w:lineRule="exact"/>
        <w:ind w:firstLine="640" w:firstLineChars="200"/>
        <w:outlineLvl w:val="0"/>
        <w:rPr>
          <w:rFonts w:hint="eastAsia" w:ascii="黑体" w:hAnsi="黑体" w:eastAsia="黑体" w:cs="宋体"/>
          <w:sz w:val="32"/>
          <w:szCs w:val="32"/>
          <w:lang w:val="en-US" w:eastAsia="zh-CN"/>
        </w:rPr>
      </w:pPr>
      <w:bookmarkStart w:id="101" w:name="_Toc17018"/>
      <w:r>
        <w:rPr>
          <w:rFonts w:hint="eastAsia" w:ascii="黑体" w:hAnsi="黑体" w:eastAsia="黑体" w:cs="宋体"/>
          <w:sz w:val="32"/>
          <w:szCs w:val="32"/>
          <w:lang w:val="en-US" w:eastAsia="zh-CN"/>
        </w:rPr>
        <w:t>八、其他需说明的问题</w:t>
      </w:r>
      <w:bookmarkEnd w:id="92"/>
      <w:bookmarkEnd w:id="93"/>
      <w:bookmarkEnd w:id="101"/>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第一，该项目部分间接产生的效果无法准确在短期内衡量，因此很难认定项目产生的全部效果。通过指标来反映绩效，指标的科学性和全面性需要不断地完善和研究。</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第二，评价结果作为安排政府预算、完善政策和改进管理的重要依据。原则上，对评价等级为优、良的，根据情况予以支持；对评价等级为中、差的，要完善政策、改进管理，根据情况核减预算。</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第三，评价结果分别编入政府决算和部门预算，报送本级人民代表大会常务委员会，并依法予以公开。</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四，对使用财政资金严重低效无效并造成重大损失的责任人，要按照相关规定追责问责。对绩效评价过程中发现的资金使用单位和个人的财政违法行为，依照《中华人民共和国预算法》、《财政违法行为处罚处分条例》等有关规定追究责任；发现违纪违法问题线索的，应当及时移送纪检监察机关。</w:t>
      </w:r>
    </w:p>
    <w:p>
      <w:pPr>
        <w:pStyle w:val="17"/>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五，各级财政部门、预算部门和单位及其工作人员在绩效评价管理工作中存在违反《项目支出绩效评价管理办法》（财预〔2020〕10号）文件行为，以及其他滥用职权、玩忽职守、徇私舞弊等违法违纪行为的，依照《中华人民共和国预算法》、《中华人民共和国公务员法》、《中华人民共和国监察法》、《财政违法行为处罚处分条例》等国家有关规定追究相应责任；涉嫌犯罪的，依法移送司法机关处理。</w:t>
      </w:r>
    </w:p>
    <w:p>
      <w:pPr>
        <w:adjustRightInd w:val="0"/>
        <w:snapToGrid w:val="0"/>
        <w:spacing w:line="560" w:lineRule="exact"/>
        <w:ind w:firstLine="640" w:firstLineChars="200"/>
        <w:jc w:val="left"/>
        <w:outlineLvl w:val="0"/>
        <w:rPr>
          <w:rFonts w:ascii="黑体" w:hAnsi="黑体" w:eastAsia="黑体" w:cs="宋体"/>
          <w:sz w:val="32"/>
          <w:szCs w:val="32"/>
        </w:rPr>
      </w:pPr>
      <w:bookmarkStart w:id="102" w:name="_Toc25791"/>
      <w:r>
        <w:rPr>
          <w:rFonts w:hint="eastAsia" w:ascii="黑体" w:hAnsi="黑体" w:eastAsia="黑体" w:cs="宋体"/>
          <w:sz w:val="32"/>
          <w:szCs w:val="32"/>
        </w:rPr>
        <w:t>九、附件</w:t>
      </w:r>
      <w:bookmarkEnd w:id="102"/>
    </w:p>
    <w:bookmarkEnd w:id="30"/>
    <w:p>
      <w:pPr>
        <w:pStyle w:val="33"/>
        <w:numPr>
          <w:ilvl w:val="0"/>
          <w:numId w:val="3"/>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附件</w:t>
      </w:r>
    </w:p>
    <w:p>
      <w:pPr>
        <w:pStyle w:val="33"/>
        <w:spacing w:line="560" w:lineRule="exact"/>
        <w:ind w:firstLine="640"/>
        <w:outlineLvl w:val="0"/>
        <w:rPr>
          <w:rFonts w:hint="default" w:ascii="仿宋_GB2312" w:hAnsi="仿宋_GB2312" w:eastAsia="仿宋_GB2312" w:cs="仿宋_GB2312"/>
          <w:kern w:val="2"/>
          <w:sz w:val="32"/>
          <w:szCs w:val="32"/>
          <w:highlight w:val="none"/>
          <w:lang w:val="en-US" w:eastAsia="zh-CN" w:bidi="ar-SA"/>
        </w:rPr>
      </w:pPr>
      <w:bookmarkStart w:id="103" w:name="_Toc11156"/>
      <w:bookmarkStart w:id="104" w:name="_Toc13969"/>
      <w:bookmarkStart w:id="105" w:name="_Toc9070"/>
      <w:bookmarkStart w:id="106" w:name="_Toc3379"/>
      <w:bookmarkStart w:id="107" w:name="_Toc5066"/>
      <w:r>
        <w:rPr>
          <w:rFonts w:hint="eastAsia" w:ascii="仿宋_GB2312" w:hAnsi="仿宋_GB2312" w:eastAsia="仿宋_GB2312" w:cs="仿宋_GB2312"/>
          <w:kern w:val="2"/>
          <w:sz w:val="32"/>
          <w:szCs w:val="32"/>
          <w:highlight w:val="none"/>
          <w:lang w:val="en-US" w:eastAsia="zh-CN" w:bidi="ar-SA"/>
        </w:rPr>
        <w:t>附件一、2020年新招录年轻干部生活物资采购资金项目项目支出绩效评价指标体系</w:t>
      </w:r>
      <w:bookmarkEnd w:id="103"/>
      <w:bookmarkEnd w:id="104"/>
      <w:bookmarkEnd w:id="105"/>
      <w:bookmarkEnd w:id="106"/>
      <w:bookmarkEnd w:id="107"/>
    </w:p>
    <w:p>
      <w:pPr>
        <w:pStyle w:val="33"/>
        <w:spacing w:line="560" w:lineRule="exact"/>
        <w:ind w:firstLine="640"/>
        <w:outlineLvl w:val="0"/>
        <w:rPr>
          <w:rFonts w:hint="default" w:ascii="仿宋_GB2312" w:hAnsi="仿宋_GB2312" w:eastAsia="仿宋_GB2312" w:cs="仿宋_GB2312"/>
          <w:kern w:val="2"/>
          <w:sz w:val="32"/>
          <w:szCs w:val="32"/>
          <w:highlight w:val="none"/>
          <w:lang w:val="en-US" w:eastAsia="zh-CN" w:bidi="ar-SA"/>
        </w:rPr>
      </w:pPr>
      <w:bookmarkStart w:id="108" w:name="_Toc5753"/>
      <w:bookmarkStart w:id="109" w:name="_Toc31506"/>
      <w:bookmarkStart w:id="110" w:name="_Toc19426"/>
      <w:bookmarkStart w:id="111" w:name="_Toc17647"/>
      <w:bookmarkStart w:id="112" w:name="_Toc32762"/>
      <w:r>
        <w:rPr>
          <w:rFonts w:hint="eastAsia" w:ascii="仿宋_GB2312" w:hAnsi="仿宋_GB2312" w:eastAsia="仿宋_GB2312" w:cs="仿宋_GB2312"/>
          <w:kern w:val="2"/>
          <w:sz w:val="32"/>
          <w:szCs w:val="32"/>
          <w:highlight w:val="none"/>
          <w:lang w:val="en-US" w:eastAsia="zh-CN" w:bidi="ar-SA"/>
        </w:rPr>
        <w:t>附件二、2020年新招录年轻干部生活物资采购资金项目项目资金使用明细表</w:t>
      </w:r>
      <w:bookmarkEnd w:id="108"/>
      <w:bookmarkEnd w:id="109"/>
      <w:bookmarkEnd w:id="110"/>
      <w:bookmarkEnd w:id="111"/>
      <w:bookmarkEnd w:id="112"/>
    </w:p>
    <w:p>
      <w:pPr>
        <w:pStyle w:val="33"/>
        <w:spacing w:line="560" w:lineRule="exact"/>
        <w:ind w:firstLine="640"/>
        <w:outlineLvl w:val="0"/>
        <w:rPr>
          <w:rFonts w:hint="eastAsia" w:ascii="仿宋_GB2312" w:hAnsi="仿宋_GB2312" w:eastAsia="仿宋_GB2312" w:cs="仿宋_GB2312"/>
          <w:kern w:val="2"/>
          <w:sz w:val="32"/>
          <w:szCs w:val="32"/>
          <w:highlight w:val="none"/>
          <w:lang w:val="en-US" w:eastAsia="zh-CN" w:bidi="ar-SA"/>
        </w:rPr>
      </w:pPr>
      <w:bookmarkStart w:id="113" w:name="_Toc22995"/>
      <w:bookmarkStart w:id="114" w:name="_Toc21161"/>
      <w:bookmarkStart w:id="115" w:name="_Toc27332"/>
      <w:bookmarkStart w:id="116" w:name="_Toc16544"/>
      <w:bookmarkStart w:id="117" w:name="_Toc27746"/>
      <w:r>
        <w:rPr>
          <w:rFonts w:hint="eastAsia" w:ascii="仿宋_GB2312" w:hAnsi="仿宋_GB2312" w:eastAsia="仿宋_GB2312" w:cs="仿宋_GB2312"/>
          <w:kern w:val="2"/>
          <w:sz w:val="32"/>
          <w:szCs w:val="32"/>
          <w:highlight w:val="none"/>
          <w:lang w:val="en-US" w:eastAsia="zh-CN" w:bidi="ar-SA"/>
        </w:rPr>
        <w:t>附件三、2020年新招录年轻干部生活物资采购资金项目项目绩效评价工作记录单</w:t>
      </w:r>
      <w:bookmarkEnd w:id="113"/>
      <w:bookmarkEnd w:id="114"/>
      <w:bookmarkEnd w:id="115"/>
      <w:bookmarkEnd w:id="116"/>
      <w:bookmarkEnd w:id="117"/>
      <w:bookmarkStart w:id="118" w:name="_Toc16822"/>
      <w:bookmarkStart w:id="119" w:name="_Toc18769"/>
      <w:bookmarkStart w:id="120" w:name="_Toc20564"/>
    </w:p>
    <w:p>
      <w:pPr>
        <w:pStyle w:val="33"/>
        <w:spacing w:line="560" w:lineRule="exact"/>
        <w:ind w:firstLine="640"/>
        <w:outlineLvl w:val="0"/>
        <w:rPr>
          <w:rFonts w:hint="default" w:ascii="仿宋_GB2312" w:hAnsi="仿宋_GB2312" w:eastAsia="仿宋_GB2312" w:cs="仿宋_GB2312"/>
          <w:kern w:val="2"/>
          <w:sz w:val="32"/>
          <w:szCs w:val="32"/>
          <w:highlight w:val="none"/>
          <w:lang w:val="en-US" w:eastAsia="zh-CN" w:bidi="ar-SA"/>
        </w:rPr>
      </w:pPr>
      <w:bookmarkStart w:id="121" w:name="_Toc27218"/>
      <w:r>
        <w:rPr>
          <w:rFonts w:hint="eastAsia" w:ascii="仿宋_GB2312" w:hAnsi="仿宋_GB2312" w:eastAsia="仿宋_GB2312" w:cs="仿宋_GB2312"/>
          <w:kern w:val="2"/>
          <w:sz w:val="32"/>
          <w:szCs w:val="32"/>
          <w:highlight w:val="none"/>
          <w:lang w:val="en-US" w:eastAsia="zh-CN" w:bidi="ar-SA"/>
        </w:rPr>
        <w:t>附件四、2020年新招录年轻干部生活物资采购资金项目项目调查问卷统计表</w:t>
      </w:r>
      <w:bookmarkEnd w:id="118"/>
      <w:bookmarkEnd w:id="119"/>
      <w:bookmarkEnd w:id="120"/>
      <w:bookmarkEnd w:id="121"/>
    </w:p>
    <w:p>
      <w:pPr>
        <w:widowControl/>
        <w:adjustRightInd w:val="0"/>
        <w:snapToGrid w:val="0"/>
        <w:spacing w:line="560" w:lineRule="exact"/>
        <w:jc w:val="left"/>
        <w:rPr>
          <w:rFonts w:hint="default" w:ascii="仿宋_GB2312" w:hAnsi="仿宋_GB2312" w:eastAsia="仿宋_GB2312" w:cs="仿宋_GB2312"/>
          <w:kern w:val="2"/>
          <w:sz w:val="32"/>
          <w:szCs w:val="32"/>
          <w:highlight w:val="none"/>
          <w:lang w:val="en-US" w:eastAsia="zh-CN" w:bidi="ar-SA"/>
        </w:rPr>
      </w:pPr>
    </w:p>
    <w:p>
      <w:pPr>
        <w:pStyle w:val="2"/>
        <w:rPr>
          <w:rFonts w:hint="default"/>
          <w:lang w:val="en-US" w:eastAsia="zh-CN"/>
        </w:rPr>
      </w:pPr>
    </w:p>
    <w:p>
      <w:pPr>
        <w:spacing w:line="560" w:lineRule="exact"/>
        <w:ind w:firstLine="640" w:firstLineChars="200"/>
        <w:jc w:val="right"/>
        <w:rPr>
          <w:rFonts w:ascii="仿宋_GB2312" w:hAnsi="仿宋" w:eastAsia="仿宋_GB2312" w:cs="宋体"/>
          <w:sz w:val="32"/>
          <w:szCs w:val="32"/>
          <w:lang w:bidi="ar"/>
        </w:rPr>
      </w:pPr>
      <w:r>
        <w:rPr>
          <w:rFonts w:hint="eastAsia" w:ascii="仿宋_GB2312" w:hAnsi="仿宋" w:eastAsia="仿宋_GB2312" w:cs="宋体"/>
          <w:sz w:val="32"/>
          <w:szCs w:val="32"/>
          <w:lang w:bidi="ar"/>
        </w:rPr>
        <w:t>中瑞诚会计师事务所</w:t>
      </w:r>
      <w:r>
        <w:rPr>
          <w:rFonts w:hint="eastAsia" w:ascii="仿宋_GB2312" w:hAnsi="仿宋" w:eastAsia="仿宋_GB2312" w:cs="宋体"/>
          <w:sz w:val="32"/>
          <w:szCs w:val="32"/>
          <w:lang w:eastAsia="zh-CN" w:bidi="ar"/>
        </w:rPr>
        <w:t>（特殊普通合伙）</w:t>
      </w:r>
      <w:r>
        <w:rPr>
          <w:rFonts w:hint="eastAsia" w:ascii="仿宋_GB2312" w:hAnsi="仿宋" w:eastAsia="仿宋_GB2312" w:cs="宋体"/>
          <w:sz w:val="32"/>
          <w:szCs w:val="32"/>
          <w:lang w:bidi="ar"/>
        </w:rPr>
        <w:t>喀什分所</w:t>
      </w:r>
    </w:p>
    <w:p>
      <w:pPr>
        <w:spacing w:line="560" w:lineRule="exact"/>
        <w:ind w:firstLine="3827" w:firstLineChars="1196"/>
        <w:jc w:val="right"/>
        <w:rPr>
          <w:rFonts w:ascii="仿宋_GB2312" w:hAnsi="仿宋" w:eastAsia="仿宋_GB2312" w:cs="宋体"/>
          <w:sz w:val="32"/>
          <w:szCs w:val="32"/>
          <w:lang w:bidi="ar"/>
        </w:rPr>
      </w:pPr>
      <w:bookmarkStart w:id="122" w:name="_GoBack"/>
      <w:bookmarkEnd w:id="122"/>
      <w:r>
        <w:rPr>
          <w:rFonts w:hint="eastAsia" w:ascii="仿宋_GB2312" w:hAnsi="仿宋" w:eastAsia="仿宋_GB2312" w:cs="宋体"/>
          <w:sz w:val="32"/>
          <w:szCs w:val="32"/>
          <w:lang w:bidi="ar"/>
        </w:rPr>
        <w:t xml:space="preserve">  </w:t>
      </w:r>
      <w:r>
        <w:rPr>
          <w:rFonts w:hint="eastAsia" w:ascii="仿宋_GB2312" w:hAnsi="仿宋" w:eastAsia="仿宋_GB2312" w:cs="宋体"/>
          <w:sz w:val="32"/>
          <w:szCs w:val="32"/>
          <w:lang w:eastAsia="zh-CN" w:bidi="ar"/>
        </w:rPr>
        <w:t>202</w:t>
      </w:r>
      <w:r>
        <w:rPr>
          <w:rFonts w:hint="eastAsia" w:ascii="仿宋_GB2312" w:hAnsi="仿宋" w:eastAsia="仿宋_GB2312" w:cs="宋体"/>
          <w:sz w:val="32"/>
          <w:szCs w:val="32"/>
          <w:lang w:val="en-US" w:eastAsia="zh-CN" w:bidi="ar"/>
        </w:rPr>
        <w:t>2</w:t>
      </w:r>
      <w:r>
        <w:rPr>
          <w:rFonts w:hint="eastAsia" w:ascii="仿宋_GB2312" w:hAnsi="仿宋" w:eastAsia="仿宋_GB2312" w:cs="宋体"/>
          <w:sz w:val="32"/>
          <w:szCs w:val="32"/>
          <w:highlight w:val="none"/>
          <w:lang w:bidi="ar"/>
        </w:rPr>
        <w:t>年</w:t>
      </w:r>
      <w:r>
        <w:rPr>
          <w:rFonts w:hint="eastAsia" w:ascii="仿宋_GB2312" w:hAnsi="仿宋" w:eastAsia="仿宋_GB2312" w:cs="宋体"/>
          <w:sz w:val="32"/>
          <w:szCs w:val="32"/>
          <w:highlight w:val="none"/>
          <w:lang w:val="en-US" w:eastAsia="zh-CN" w:bidi="ar"/>
        </w:rPr>
        <w:t>06</w:t>
      </w:r>
      <w:r>
        <w:rPr>
          <w:rFonts w:hint="eastAsia" w:ascii="仿宋_GB2312" w:hAnsi="仿宋" w:eastAsia="仿宋_GB2312" w:cs="宋体"/>
          <w:sz w:val="32"/>
          <w:szCs w:val="32"/>
          <w:lang w:bidi="ar"/>
        </w:rPr>
        <w:t>月</w:t>
      </w:r>
      <w:r>
        <w:rPr>
          <w:rFonts w:hint="eastAsia" w:ascii="仿宋_GB2312" w:hAnsi="仿宋" w:eastAsia="仿宋_GB2312" w:cs="宋体"/>
          <w:sz w:val="32"/>
          <w:szCs w:val="32"/>
          <w:lang w:val="en-US" w:eastAsia="zh-CN" w:bidi="ar"/>
        </w:rPr>
        <w:t>30</w:t>
      </w:r>
      <w:r>
        <w:rPr>
          <w:rFonts w:hint="eastAsia" w:ascii="仿宋_GB2312" w:hAnsi="仿宋" w:eastAsia="仿宋_GB2312" w:cs="宋体"/>
          <w:sz w:val="32"/>
          <w:szCs w:val="32"/>
          <w:lang w:bidi="ar"/>
        </w:rPr>
        <w:t>日</w:t>
      </w:r>
    </w:p>
    <w:sectPr>
      <w:footerReference r:id="rId3" w:type="default"/>
      <w:pgSz w:w="11906" w:h="16838"/>
      <w:pgMar w:top="1440" w:right="17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4C38A731-4E79-4C1C-A8EA-7FF544A1E04D}"/>
  </w:font>
  <w:font w:name="Arial">
    <w:panose1 w:val="020B0604020202020204"/>
    <w:charset w:val="01"/>
    <w:family w:val="swiss"/>
    <w:pitch w:val="default"/>
    <w:sig w:usb0="E0002EFF" w:usb1="C000785B" w:usb2="00000009" w:usb3="00000000" w:csb0="400001FF" w:csb1="FFFF0000"/>
    <w:embedRegular r:id="rId2" w:fontKey="{ED2F7392-FA81-4C50-BCD9-8D9DB4CA686D}"/>
  </w:font>
  <w:font w:name="黑体">
    <w:panose1 w:val="02010609060101010101"/>
    <w:charset w:val="86"/>
    <w:family w:val="auto"/>
    <w:pitch w:val="default"/>
    <w:sig w:usb0="800002BF" w:usb1="38CF7CFA" w:usb2="00000016" w:usb3="00000000" w:csb0="00040001" w:csb1="00000000"/>
    <w:embedRegular r:id="rId3" w:fontKey="{F86967D8-3C03-4A7E-AEDF-6E2608F0CBB1}"/>
  </w:font>
  <w:font w:name="Courier New">
    <w:panose1 w:val="02070309020205020404"/>
    <w:charset w:val="01"/>
    <w:family w:val="modern"/>
    <w:pitch w:val="default"/>
    <w:sig w:usb0="E0002EFF" w:usb1="C0007843" w:usb2="00000009" w:usb3="00000000" w:csb0="400001FF" w:csb1="FFFF0000"/>
    <w:embedRegular r:id="rId4" w:fontKey="{49620C1B-726A-4EFE-B245-5EE1F1BBA353}"/>
  </w:font>
  <w:font w:name="Symbol">
    <w:panose1 w:val="05050102010706020507"/>
    <w:charset w:val="02"/>
    <w:family w:val="roman"/>
    <w:pitch w:val="default"/>
    <w:sig w:usb0="00000000" w:usb1="00000000" w:usb2="00000000" w:usb3="00000000" w:csb0="80000000" w:csb1="00000000"/>
    <w:embedRegular r:id="rId5" w:fontKey="{DAB08362-34D8-4176-8E7E-C227F3DF1867}"/>
  </w:font>
  <w:font w:name="Calibri">
    <w:panose1 w:val="020F0502020204030204"/>
    <w:charset w:val="00"/>
    <w:family w:val="swiss"/>
    <w:pitch w:val="default"/>
    <w:sig w:usb0="E4002EFF" w:usb1="C000247B" w:usb2="00000009" w:usb3="00000000" w:csb0="200001FF" w:csb1="00000000"/>
    <w:embedRegular r:id="rId6" w:fontKey="{9D08FE4F-24D4-4AFB-AD84-E5CB2098DE8C}"/>
  </w:font>
  <w:font w:name="仿宋">
    <w:panose1 w:val="02010609060101010101"/>
    <w:charset w:val="86"/>
    <w:family w:val="modern"/>
    <w:pitch w:val="default"/>
    <w:sig w:usb0="800002BF" w:usb1="38CF7CFA" w:usb2="00000016" w:usb3="00000000" w:csb0="00040001" w:csb1="00000000"/>
    <w:embedRegular r:id="rId7" w:fontKey="{78B8C204-4779-47DB-8630-9197BC50B721}"/>
  </w:font>
  <w:font w:name="Cambria">
    <w:panose1 w:val="02040503050406030204"/>
    <w:charset w:val="00"/>
    <w:family w:val="roman"/>
    <w:pitch w:val="default"/>
    <w:sig w:usb0="E00006FF" w:usb1="420024FF" w:usb2="02000000" w:usb3="00000000" w:csb0="2000019F" w:csb1="00000000"/>
    <w:embedRegular r:id="rId8" w:fontKey="{48A754C1-1063-4A15-A78D-030BA55B9A09}"/>
  </w:font>
  <w:font w:name="HYb2gj">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9" w:fontKey="{7A9326E0-20D5-4483-97D1-591472CA2E3C}"/>
  </w:font>
  <w:font w:name="方正小标宋简体">
    <w:panose1 w:val="02010601030101010101"/>
    <w:charset w:val="86"/>
    <w:family w:val="auto"/>
    <w:pitch w:val="default"/>
    <w:sig w:usb0="00000001" w:usb1="080E0000" w:usb2="00000000" w:usb3="00000000" w:csb0="00040000" w:csb1="00000000"/>
  </w:font>
  <w:font w:name="华文中宋">
    <w:panose1 w:val="02010600040101010101"/>
    <w:charset w:val="86"/>
    <w:family w:val="auto"/>
    <w:pitch w:val="default"/>
    <w:sig w:usb0="00000287" w:usb1="080F0000" w:usb2="00000000" w:usb3="00000000" w:csb0="0004009F" w:csb1="DFD70000"/>
    <w:embedRegular r:id="rId10" w:fontKey="{B54ADC22-A832-4677-914D-86BCB0DE86D6}"/>
  </w:font>
  <w:font w:name="方正小标宋_GBK">
    <w:panose1 w:val="02000000000000000000"/>
    <w:charset w:val="86"/>
    <w:family w:val="script"/>
    <w:pitch w:val="default"/>
    <w:sig w:usb0="A00002BF" w:usb1="38CF7CFA" w:usb2="00082016" w:usb3="00000000" w:csb0="00040001" w:csb1="00000000"/>
    <w:embedRegular r:id="rId11" w:fontKey="{72D03AFC-3307-4EF4-AE03-4F98043FC38D}"/>
  </w:font>
  <w:font w:name="楷体">
    <w:panose1 w:val="02010609060101010101"/>
    <w:charset w:val="86"/>
    <w:family w:val="modern"/>
    <w:pitch w:val="default"/>
    <w:sig w:usb0="800002BF" w:usb1="38CF7CFA" w:usb2="00000016" w:usb3="00000000" w:csb0="00040001" w:csb1="00000000"/>
    <w:embedRegular r:id="rId12" w:fontKey="{585C906C-E1E7-42FB-8C9E-4ED769CF49FE}"/>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pStyle w:val="11"/>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cYOQyAgAAYwQAAA4AAABkcnMvZTJvRG9jLnhtbK1UzY7aMBC+V+o7&#10;WL6XABUrhAgruoiqEuquRKuejeOQSP6TbUjoA7Rv0FMvvfe5eI797BC22vawh17C2DP+Zr5vZpjf&#10;tkqSo3C+Njqno8GQEqG5KWq9z+nnT+s3U0p8YLpg0miR05Pw9Hbx+tW8sTMxNpWRhXAEINrPGpvT&#10;KgQ7yzLPK6GYHxgrNJylcYoFHN0+KxxrgK5kNh4Ob7LGuMI6w4X3uF11TnpBdC8BNGVZc7Ey/KCE&#10;Dh2qE5IFUPJVbT1dpGrLUvBwX5ZeBCJzCqYhfZEE9i5+s8WczfaO2armlxLYS0p4xkmxWiPpFWrF&#10;AiMHV/8FpWrujDdlGHCjso5IUgQsRsNn2mwrZkXiAqm9vYru/x8s/3h8cKQucjqhRDOFhp9/fD//&#10;/H3+9Y1MojyN9TNEbS3iQvvOtBia/t7jMrJuS6fiL/gQ+CHu6SquaAPh8dF0PJ0O4eLw9QfgZ0/P&#10;rfPhvTCKRCOnDt1LorLjxocutA+J2bRZ11KmDkpNmpzevJ0M04OrB+BSx1iRZuECEyl1pUcrtLv2&#10;wnNnihNoOtPNibd8XaOUDfPhgTkMBsrH6oR7fEppkNJcLEoq477+6z7Go1/wUtJg0HKqsVeUyA8a&#10;fQRg6A3XG7ve0Ad1ZzC5I6yk5cnEAxdkb5bOqC/Yp2XMARfTHJlyGnrzLnTDjn3kYrlMQZg8y8JG&#10;by2P0FEeb5eHADmTylGUTgl0Jx4we6lPlz2Jw/3nOUU9/TcsH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2Zxg5DICAABjBAAADgAAAAAAAAABACAAAAAfAQAAZHJzL2Uyb0RvYy54bWxQSwUG&#10;AAAAAAYABgBZAQAAwwUAAAAA&#10;">
              <v:fill on="f" focussize="0,0"/>
              <v:stroke on="f" weight="0.5pt"/>
              <v:imagedata o:title=""/>
              <o:lock v:ext="edit" aspectratio="f"/>
              <v:textbox inset="0mm,0mm,0mm,0mm" style="mso-fit-shape-to-text:t;">
                <w:txbxContent>
                  <w:p>
                    <w:pPr>
                      <w:pStyle w:val="11"/>
                    </w:pPr>
                    <w:r>
                      <w:fldChar w:fldCharType="begin"/>
                    </w:r>
                    <w:r>
                      <w:instrText xml:space="preserve"> PAGE  \* MERGEFORMAT </w:instrText>
                    </w:r>
                    <w:r>
                      <w:fldChar w:fldCharType="separate"/>
                    </w:r>
                    <w:r>
                      <w:t>13</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809717B"/>
    <w:multiLevelType w:val="singleLevel"/>
    <w:tmpl w:val="A809717B"/>
    <w:lvl w:ilvl="0" w:tentative="0">
      <w:start w:val="2"/>
      <w:numFmt w:val="chineseCounting"/>
      <w:suff w:val="nothing"/>
      <w:lvlText w:val="（%1）"/>
      <w:lvlJc w:val="left"/>
      <w:rPr>
        <w:rFonts w:hint="eastAsia"/>
      </w:rPr>
    </w:lvl>
  </w:abstractNum>
  <w:abstractNum w:abstractNumId="1">
    <w:nsid w:val="C3C38CFD"/>
    <w:multiLevelType w:val="singleLevel"/>
    <w:tmpl w:val="C3C38CFD"/>
    <w:lvl w:ilvl="0" w:tentative="0">
      <w:start w:val="3"/>
      <w:numFmt w:val="decimal"/>
      <w:suff w:val="nothing"/>
      <w:lvlText w:val="（%1）"/>
      <w:lvlJc w:val="left"/>
    </w:lvl>
  </w:abstractNum>
  <w:abstractNum w:abstractNumId="2">
    <w:nsid w:val="E8DA9C4C"/>
    <w:multiLevelType w:val="singleLevel"/>
    <w:tmpl w:val="E8DA9C4C"/>
    <w:lvl w:ilvl="0" w:tentative="0">
      <w:start w:val="5"/>
      <w:numFmt w:val="chineseCounting"/>
      <w:suff w:val="nothing"/>
      <w:lvlText w:val="（%1）"/>
      <w:lvlJc w:val="left"/>
      <w:rPr>
        <w:rFonts w:hint="eastAsia"/>
      </w:rPr>
    </w:lvl>
  </w:abstractNum>
  <w:abstractNum w:abstractNumId="3">
    <w:nsid w:val="06830D9A"/>
    <w:multiLevelType w:val="multilevel"/>
    <w:tmpl w:val="06830D9A"/>
    <w:lvl w:ilvl="0" w:tentative="0">
      <w:start w:val="1"/>
      <w:numFmt w:val="decimal"/>
      <w:lvlText w:val="%1"/>
      <w:lvlJc w:val="left"/>
      <w:pPr>
        <w:ind w:left="425" w:hanging="425"/>
      </w:pPr>
      <w:rPr>
        <w:rFonts w:hint="eastAsia"/>
      </w:rPr>
    </w:lvl>
    <w:lvl w:ilvl="1" w:tentative="0">
      <w:start w:val="1"/>
      <w:numFmt w:val="decimal"/>
      <w:lvlText w:val="%1.%2"/>
      <w:lvlJc w:val="left"/>
      <w:pPr>
        <w:ind w:left="992" w:hanging="567"/>
      </w:pPr>
      <w:rPr>
        <w:rFonts w:hint="eastAsia"/>
      </w:rPr>
    </w:lvl>
    <w:lvl w:ilvl="2" w:tentative="0">
      <w:start w:val="1"/>
      <w:numFmt w:val="decimal"/>
      <w:lvlText w:val="%1.%2.%3"/>
      <w:lvlJc w:val="left"/>
      <w:pPr>
        <w:ind w:left="1702"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4">
    <w:nsid w:val="4BBB029A"/>
    <w:multiLevelType w:val="multilevel"/>
    <w:tmpl w:val="4BBB029A"/>
    <w:lvl w:ilvl="0" w:tentative="0">
      <w:start w:val="1"/>
      <w:numFmt w:val="decimal"/>
      <w:pStyle w:val="3"/>
      <w:lvlText w:val="%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6EA16E0C"/>
    <w:multiLevelType w:val="multilevel"/>
    <w:tmpl w:val="6EA16E0C"/>
    <w:lvl w:ilvl="0" w:tentative="0">
      <w:start w:val="1"/>
      <w:numFmt w:val="decimal"/>
      <w:pStyle w:val="4"/>
      <w:lvlText w:val="%1.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4"/>
  </w:num>
  <w:num w:numId="2">
    <w:abstractNumId w:val="5"/>
  </w:num>
  <w:num w:numId="3">
    <w:abstractNumId w:val="3"/>
  </w:num>
  <w:num w:numId="4">
    <w:abstractNumId w:val="2"/>
  </w:num>
  <w:num w:numId="5">
    <w:abstractNumId w:val="1"/>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QxYWQ0OWQxNDM3Y2IxYWFiMWMxZjMzN2QxNjEzZDUifQ=="/>
  </w:docVars>
  <w:rsids>
    <w:rsidRoot w:val="00414B7D"/>
    <w:rsid w:val="00016E08"/>
    <w:rsid w:val="00021851"/>
    <w:rsid w:val="00024B57"/>
    <w:rsid w:val="00036D0D"/>
    <w:rsid w:val="00036D41"/>
    <w:rsid w:val="00046D50"/>
    <w:rsid w:val="000475FC"/>
    <w:rsid w:val="00082C50"/>
    <w:rsid w:val="0008358D"/>
    <w:rsid w:val="00083F67"/>
    <w:rsid w:val="00087E49"/>
    <w:rsid w:val="000B0B81"/>
    <w:rsid w:val="000B1623"/>
    <w:rsid w:val="000B1CCE"/>
    <w:rsid w:val="000C3557"/>
    <w:rsid w:val="000C5082"/>
    <w:rsid w:val="000D57B9"/>
    <w:rsid w:val="000E1377"/>
    <w:rsid w:val="000F719E"/>
    <w:rsid w:val="00103F61"/>
    <w:rsid w:val="001040BC"/>
    <w:rsid w:val="00107A8F"/>
    <w:rsid w:val="00130F27"/>
    <w:rsid w:val="00136B2F"/>
    <w:rsid w:val="00160CDB"/>
    <w:rsid w:val="00161F5F"/>
    <w:rsid w:val="00162F2E"/>
    <w:rsid w:val="001764F0"/>
    <w:rsid w:val="00176DFF"/>
    <w:rsid w:val="001825A2"/>
    <w:rsid w:val="00186F45"/>
    <w:rsid w:val="00187575"/>
    <w:rsid w:val="001C1801"/>
    <w:rsid w:val="001C64B5"/>
    <w:rsid w:val="0020463E"/>
    <w:rsid w:val="0021140C"/>
    <w:rsid w:val="00230276"/>
    <w:rsid w:val="00230A7C"/>
    <w:rsid w:val="002358FA"/>
    <w:rsid w:val="0023779B"/>
    <w:rsid w:val="002443C4"/>
    <w:rsid w:val="0025623B"/>
    <w:rsid w:val="00257940"/>
    <w:rsid w:val="0027097D"/>
    <w:rsid w:val="00271E15"/>
    <w:rsid w:val="0027684A"/>
    <w:rsid w:val="00276A45"/>
    <w:rsid w:val="00282C28"/>
    <w:rsid w:val="0029663F"/>
    <w:rsid w:val="00297D3C"/>
    <w:rsid w:val="002A49E8"/>
    <w:rsid w:val="002A64D8"/>
    <w:rsid w:val="002A6ECE"/>
    <w:rsid w:val="002B2807"/>
    <w:rsid w:val="002C092D"/>
    <w:rsid w:val="002C1471"/>
    <w:rsid w:val="002C7301"/>
    <w:rsid w:val="002D239F"/>
    <w:rsid w:val="002D49A2"/>
    <w:rsid w:val="002E3475"/>
    <w:rsid w:val="002F2ABF"/>
    <w:rsid w:val="002F5C69"/>
    <w:rsid w:val="00300C5C"/>
    <w:rsid w:val="00334AA6"/>
    <w:rsid w:val="00335ABC"/>
    <w:rsid w:val="0035174C"/>
    <w:rsid w:val="00353891"/>
    <w:rsid w:val="00357062"/>
    <w:rsid w:val="003762B7"/>
    <w:rsid w:val="00377AB2"/>
    <w:rsid w:val="003963D0"/>
    <w:rsid w:val="003A243D"/>
    <w:rsid w:val="003A3F8A"/>
    <w:rsid w:val="003D3349"/>
    <w:rsid w:val="003F5B9B"/>
    <w:rsid w:val="003F5E87"/>
    <w:rsid w:val="003F7B44"/>
    <w:rsid w:val="00403605"/>
    <w:rsid w:val="00414B7D"/>
    <w:rsid w:val="00425B0B"/>
    <w:rsid w:val="00427588"/>
    <w:rsid w:val="0044086E"/>
    <w:rsid w:val="0044115C"/>
    <w:rsid w:val="004419BF"/>
    <w:rsid w:val="004446AF"/>
    <w:rsid w:val="00456D64"/>
    <w:rsid w:val="00461A03"/>
    <w:rsid w:val="00461C13"/>
    <w:rsid w:val="00466D62"/>
    <w:rsid w:val="00480EBB"/>
    <w:rsid w:val="004837BC"/>
    <w:rsid w:val="00491DC0"/>
    <w:rsid w:val="0049279D"/>
    <w:rsid w:val="004929DD"/>
    <w:rsid w:val="004A17A9"/>
    <w:rsid w:val="004A3BA3"/>
    <w:rsid w:val="004C27AA"/>
    <w:rsid w:val="004C4305"/>
    <w:rsid w:val="004C48B5"/>
    <w:rsid w:val="004D64A9"/>
    <w:rsid w:val="004F5174"/>
    <w:rsid w:val="004F7E0C"/>
    <w:rsid w:val="00505ACA"/>
    <w:rsid w:val="00520F1C"/>
    <w:rsid w:val="0052602D"/>
    <w:rsid w:val="00535343"/>
    <w:rsid w:val="0054358D"/>
    <w:rsid w:val="005510BE"/>
    <w:rsid w:val="0055540B"/>
    <w:rsid w:val="005674C1"/>
    <w:rsid w:val="005A11A3"/>
    <w:rsid w:val="005A299C"/>
    <w:rsid w:val="005B40F5"/>
    <w:rsid w:val="005B5C85"/>
    <w:rsid w:val="005D2E62"/>
    <w:rsid w:val="005D3B9D"/>
    <w:rsid w:val="00621D18"/>
    <w:rsid w:val="006264C5"/>
    <w:rsid w:val="006276D2"/>
    <w:rsid w:val="00633F43"/>
    <w:rsid w:val="00635FD4"/>
    <w:rsid w:val="006451C9"/>
    <w:rsid w:val="00682CC7"/>
    <w:rsid w:val="006838D1"/>
    <w:rsid w:val="00683B82"/>
    <w:rsid w:val="006A0C6F"/>
    <w:rsid w:val="006A530D"/>
    <w:rsid w:val="006B5D89"/>
    <w:rsid w:val="006E0F22"/>
    <w:rsid w:val="006F03CF"/>
    <w:rsid w:val="006F614A"/>
    <w:rsid w:val="00706A4E"/>
    <w:rsid w:val="007115C8"/>
    <w:rsid w:val="00722E10"/>
    <w:rsid w:val="00752CB5"/>
    <w:rsid w:val="00760C80"/>
    <w:rsid w:val="00765FA0"/>
    <w:rsid w:val="00770E0C"/>
    <w:rsid w:val="00776C05"/>
    <w:rsid w:val="00783B17"/>
    <w:rsid w:val="00796661"/>
    <w:rsid w:val="007A3C4B"/>
    <w:rsid w:val="007B38F5"/>
    <w:rsid w:val="007C462B"/>
    <w:rsid w:val="007C6866"/>
    <w:rsid w:val="007D1B86"/>
    <w:rsid w:val="007D58AE"/>
    <w:rsid w:val="007E49F4"/>
    <w:rsid w:val="007F5B60"/>
    <w:rsid w:val="00804413"/>
    <w:rsid w:val="0080484E"/>
    <w:rsid w:val="00807F37"/>
    <w:rsid w:val="00813205"/>
    <w:rsid w:val="00853D02"/>
    <w:rsid w:val="008726A9"/>
    <w:rsid w:val="00873B68"/>
    <w:rsid w:val="008741FC"/>
    <w:rsid w:val="008764E8"/>
    <w:rsid w:val="008B08D1"/>
    <w:rsid w:val="008C646A"/>
    <w:rsid w:val="008C6AA7"/>
    <w:rsid w:val="008D2C5C"/>
    <w:rsid w:val="008E0491"/>
    <w:rsid w:val="008E496C"/>
    <w:rsid w:val="009167F1"/>
    <w:rsid w:val="00932232"/>
    <w:rsid w:val="00942A28"/>
    <w:rsid w:val="00952F6D"/>
    <w:rsid w:val="00957616"/>
    <w:rsid w:val="00960A8B"/>
    <w:rsid w:val="00974DAE"/>
    <w:rsid w:val="00975A3A"/>
    <w:rsid w:val="00987C5A"/>
    <w:rsid w:val="0099597E"/>
    <w:rsid w:val="0099715E"/>
    <w:rsid w:val="009A4DCB"/>
    <w:rsid w:val="009A507D"/>
    <w:rsid w:val="009B213F"/>
    <w:rsid w:val="009B47A3"/>
    <w:rsid w:val="009B5649"/>
    <w:rsid w:val="009B56E1"/>
    <w:rsid w:val="009C110C"/>
    <w:rsid w:val="009C79C7"/>
    <w:rsid w:val="009D79E4"/>
    <w:rsid w:val="009E5C35"/>
    <w:rsid w:val="009F3991"/>
    <w:rsid w:val="009F3EFC"/>
    <w:rsid w:val="009F6B69"/>
    <w:rsid w:val="00A10B96"/>
    <w:rsid w:val="00A177CD"/>
    <w:rsid w:val="00A202D7"/>
    <w:rsid w:val="00A21618"/>
    <w:rsid w:val="00A21665"/>
    <w:rsid w:val="00A225EB"/>
    <w:rsid w:val="00A262B3"/>
    <w:rsid w:val="00A35141"/>
    <w:rsid w:val="00A35A5E"/>
    <w:rsid w:val="00A415E3"/>
    <w:rsid w:val="00A426D9"/>
    <w:rsid w:val="00A45F48"/>
    <w:rsid w:val="00A621B0"/>
    <w:rsid w:val="00A72180"/>
    <w:rsid w:val="00A74E49"/>
    <w:rsid w:val="00A773A3"/>
    <w:rsid w:val="00AA252A"/>
    <w:rsid w:val="00AA2C44"/>
    <w:rsid w:val="00AC2A90"/>
    <w:rsid w:val="00AD43E3"/>
    <w:rsid w:val="00AE34E7"/>
    <w:rsid w:val="00AF0AFB"/>
    <w:rsid w:val="00AF7214"/>
    <w:rsid w:val="00B03232"/>
    <w:rsid w:val="00B053C8"/>
    <w:rsid w:val="00B05937"/>
    <w:rsid w:val="00B10C7D"/>
    <w:rsid w:val="00B12A63"/>
    <w:rsid w:val="00B143E3"/>
    <w:rsid w:val="00B20D12"/>
    <w:rsid w:val="00B219EF"/>
    <w:rsid w:val="00B4360F"/>
    <w:rsid w:val="00B46B99"/>
    <w:rsid w:val="00B4775C"/>
    <w:rsid w:val="00B54402"/>
    <w:rsid w:val="00B6760A"/>
    <w:rsid w:val="00B83DC4"/>
    <w:rsid w:val="00BB7563"/>
    <w:rsid w:val="00BC0899"/>
    <w:rsid w:val="00BE28B4"/>
    <w:rsid w:val="00C0298E"/>
    <w:rsid w:val="00C13121"/>
    <w:rsid w:val="00C17077"/>
    <w:rsid w:val="00C1762E"/>
    <w:rsid w:val="00C20D59"/>
    <w:rsid w:val="00C37C3C"/>
    <w:rsid w:val="00C47601"/>
    <w:rsid w:val="00C53CE0"/>
    <w:rsid w:val="00C553E8"/>
    <w:rsid w:val="00C64B66"/>
    <w:rsid w:val="00C669C6"/>
    <w:rsid w:val="00C735FC"/>
    <w:rsid w:val="00C7792A"/>
    <w:rsid w:val="00C87D33"/>
    <w:rsid w:val="00C900CB"/>
    <w:rsid w:val="00C90434"/>
    <w:rsid w:val="00CA6ECC"/>
    <w:rsid w:val="00CB23FF"/>
    <w:rsid w:val="00CD5385"/>
    <w:rsid w:val="00CF007C"/>
    <w:rsid w:val="00CF08F6"/>
    <w:rsid w:val="00D02D71"/>
    <w:rsid w:val="00D21A15"/>
    <w:rsid w:val="00D51B3C"/>
    <w:rsid w:val="00D70DBE"/>
    <w:rsid w:val="00D85954"/>
    <w:rsid w:val="00D868FA"/>
    <w:rsid w:val="00D942D8"/>
    <w:rsid w:val="00DA1E6E"/>
    <w:rsid w:val="00DF6D58"/>
    <w:rsid w:val="00DF79A0"/>
    <w:rsid w:val="00E01285"/>
    <w:rsid w:val="00E06E72"/>
    <w:rsid w:val="00E101C5"/>
    <w:rsid w:val="00E14352"/>
    <w:rsid w:val="00E25CE9"/>
    <w:rsid w:val="00E25E58"/>
    <w:rsid w:val="00E274D7"/>
    <w:rsid w:val="00E35680"/>
    <w:rsid w:val="00E52AFF"/>
    <w:rsid w:val="00E54E41"/>
    <w:rsid w:val="00E77BFD"/>
    <w:rsid w:val="00EA4F02"/>
    <w:rsid w:val="00EA52D5"/>
    <w:rsid w:val="00EA62F4"/>
    <w:rsid w:val="00EE64AF"/>
    <w:rsid w:val="00EF0362"/>
    <w:rsid w:val="00EF7923"/>
    <w:rsid w:val="00F0169E"/>
    <w:rsid w:val="00F02ECD"/>
    <w:rsid w:val="00F03FEA"/>
    <w:rsid w:val="00F32F3A"/>
    <w:rsid w:val="00F3638E"/>
    <w:rsid w:val="00F37675"/>
    <w:rsid w:val="00F52189"/>
    <w:rsid w:val="00F843F0"/>
    <w:rsid w:val="00F845E1"/>
    <w:rsid w:val="00F87D7A"/>
    <w:rsid w:val="00F90E9A"/>
    <w:rsid w:val="00F9178B"/>
    <w:rsid w:val="00FA2D92"/>
    <w:rsid w:val="00FA79ED"/>
    <w:rsid w:val="00FB055D"/>
    <w:rsid w:val="00FB13FC"/>
    <w:rsid w:val="00FB20DA"/>
    <w:rsid w:val="00FB212B"/>
    <w:rsid w:val="00FC0C10"/>
    <w:rsid w:val="00FC1F1B"/>
    <w:rsid w:val="00FC312F"/>
    <w:rsid w:val="00FD336C"/>
    <w:rsid w:val="011C5968"/>
    <w:rsid w:val="017A1376"/>
    <w:rsid w:val="019C1042"/>
    <w:rsid w:val="01D976F9"/>
    <w:rsid w:val="01DB05CA"/>
    <w:rsid w:val="02C624B1"/>
    <w:rsid w:val="02E24B65"/>
    <w:rsid w:val="031B4FD7"/>
    <w:rsid w:val="03384BB1"/>
    <w:rsid w:val="033B3541"/>
    <w:rsid w:val="03685B95"/>
    <w:rsid w:val="03A17C2D"/>
    <w:rsid w:val="03C9420E"/>
    <w:rsid w:val="03EC6EBA"/>
    <w:rsid w:val="03EE2230"/>
    <w:rsid w:val="043F0DA3"/>
    <w:rsid w:val="045545F7"/>
    <w:rsid w:val="04A406D7"/>
    <w:rsid w:val="04BC5076"/>
    <w:rsid w:val="04DD3CEE"/>
    <w:rsid w:val="05403880"/>
    <w:rsid w:val="05466AD0"/>
    <w:rsid w:val="057D1D75"/>
    <w:rsid w:val="05AE6F6A"/>
    <w:rsid w:val="063F521C"/>
    <w:rsid w:val="06766A33"/>
    <w:rsid w:val="068D2C76"/>
    <w:rsid w:val="06D21523"/>
    <w:rsid w:val="072D56D3"/>
    <w:rsid w:val="073076D9"/>
    <w:rsid w:val="07722B91"/>
    <w:rsid w:val="07867BF0"/>
    <w:rsid w:val="07E36243"/>
    <w:rsid w:val="0822779D"/>
    <w:rsid w:val="086039B5"/>
    <w:rsid w:val="089C44B6"/>
    <w:rsid w:val="08E806AC"/>
    <w:rsid w:val="09035DC8"/>
    <w:rsid w:val="092B1014"/>
    <w:rsid w:val="093A1BBD"/>
    <w:rsid w:val="09415222"/>
    <w:rsid w:val="09A37E69"/>
    <w:rsid w:val="09CA6A7A"/>
    <w:rsid w:val="09CB150A"/>
    <w:rsid w:val="09DC263D"/>
    <w:rsid w:val="09EC6DE6"/>
    <w:rsid w:val="0A037E2F"/>
    <w:rsid w:val="0A0402F4"/>
    <w:rsid w:val="0A5343BB"/>
    <w:rsid w:val="0A844F3D"/>
    <w:rsid w:val="0A870EFF"/>
    <w:rsid w:val="0A9224F0"/>
    <w:rsid w:val="0AA243BD"/>
    <w:rsid w:val="0AB358AB"/>
    <w:rsid w:val="0AC26F81"/>
    <w:rsid w:val="0AE64A4E"/>
    <w:rsid w:val="0B4777AE"/>
    <w:rsid w:val="0BC43BCA"/>
    <w:rsid w:val="0C1E6CF7"/>
    <w:rsid w:val="0C4C516B"/>
    <w:rsid w:val="0C5149F8"/>
    <w:rsid w:val="0C6100E9"/>
    <w:rsid w:val="0C9408B1"/>
    <w:rsid w:val="0CD12227"/>
    <w:rsid w:val="0D4A7C88"/>
    <w:rsid w:val="0D681993"/>
    <w:rsid w:val="0D9E1D21"/>
    <w:rsid w:val="0D9F2933"/>
    <w:rsid w:val="0DA94513"/>
    <w:rsid w:val="0DB83C70"/>
    <w:rsid w:val="0DBD4354"/>
    <w:rsid w:val="0DC93204"/>
    <w:rsid w:val="0E020B6B"/>
    <w:rsid w:val="0E1D36E7"/>
    <w:rsid w:val="0E5C62A4"/>
    <w:rsid w:val="0EC72756"/>
    <w:rsid w:val="0EFF4355"/>
    <w:rsid w:val="0F397B92"/>
    <w:rsid w:val="0F4C711B"/>
    <w:rsid w:val="0F6B1F68"/>
    <w:rsid w:val="0F704B97"/>
    <w:rsid w:val="0FCC46EF"/>
    <w:rsid w:val="104D2185"/>
    <w:rsid w:val="107E409D"/>
    <w:rsid w:val="10B42DBB"/>
    <w:rsid w:val="10F351D8"/>
    <w:rsid w:val="10F54453"/>
    <w:rsid w:val="10FE360A"/>
    <w:rsid w:val="110A197C"/>
    <w:rsid w:val="11542761"/>
    <w:rsid w:val="1188035B"/>
    <w:rsid w:val="11C16297"/>
    <w:rsid w:val="11C87659"/>
    <w:rsid w:val="11F87298"/>
    <w:rsid w:val="128D210B"/>
    <w:rsid w:val="12940E0B"/>
    <w:rsid w:val="12BC68F7"/>
    <w:rsid w:val="12EB67CB"/>
    <w:rsid w:val="131D1FC0"/>
    <w:rsid w:val="13200321"/>
    <w:rsid w:val="133E3F47"/>
    <w:rsid w:val="14530434"/>
    <w:rsid w:val="145D32C7"/>
    <w:rsid w:val="14FD2BB2"/>
    <w:rsid w:val="151547B8"/>
    <w:rsid w:val="15294C1C"/>
    <w:rsid w:val="152C7249"/>
    <w:rsid w:val="154510DF"/>
    <w:rsid w:val="16181B81"/>
    <w:rsid w:val="163E45AA"/>
    <w:rsid w:val="16453E27"/>
    <w:rsid w:val="16465A40"/>
    <w:rsid w:val="16AD702C"/>
    <w:rsid w:val="16DD6B31"/>
    <w:rsid w:val="173A7388"/>
    <w:rsid w:val="17461C62"/>
    <w:rsid w:val="17AA48DE"/>
    <w:rsid w:val="17E62AA7"/>
    <w:rsid w:val="17EF2C21"/>
    <w:rsid w:val="17F4424E"/>
    <w:rsid w:val="189A61CB"/>
    <w:rsid w:val="18EF46F1"/>
    <w:rsid w:val="19165ED3"/>
    <w:rsid w:val="196116C8"/>
    <w:rsid w:val="19837757"/>
    <w:rsid w:val="1A2447D6"/>
    <w:rsid w:val="1A4F2ED7"/>
    <w:rsid w:val="1A6B70D6"/>
    <w:rsid w:val="1BDB434B"/>
    <w:rsid w:val="1BFF75B4"/>
    <w:rsid w:val="1CCD3ED3"/>
    <w:rsid w:val="1D0826D3"/>
    <w:rsid w:val="1D3C33F2"/>
    <w:rsid w:val="1D74030A"/>
    <w:rsid w:val="1E1910DF"/>
    <w:rsid w:val="1E765D9E"/>
    <w:rsid w:val="1E852558"/>
    <w:rsid w:val="1EA43555"/>
    <w:rsid w:val="1EC62B79"/>
    <w:rsid w:val="1F270062"/>
    <w:rsid w:val="1F3D026E"/>
    <w:rsid w:val="1F4024E6"/>
    <w:rsid w:val="1F8054F8"/>
    <w:rsid w:val="1FC90F95"/>
    <w:rsid w:val="200B154A"/>
    <w:rsid w:val="201A26D0"/>
    <w:rsid w:val="20413C5F"/>
    <w:rsid w:val="209E1CA7"/>
    <w:rsid w:val="20B31AFE"/>
    <w:rsid w:val="20D47D98"/>
    <w:rsid w:val="21164FA2"/>
    <w:rsid w:val="21311EA5"/>
    <w:rsid w:val="213F555E"/>
    <w:rsid w:val="21832154"/>
    <w:rsid w:val="2183368C"/>
    <w:rsid w:val="21C25F7F"/>
    <w:rsid w:val="21C86D7A"/>
    <w:rsid w:val="21F148E9"/>
    <w:rsid w:val="21F9422C"/>
    <w:rsid w:val="21FA4D09"/>
    <w:rsid w:val="22A23A20"/>
    <w:rsid w:val="22F35566"/>
    <w:rsid w:val="231373D0"/>
    <w:rsid w:val="23DE067B"/>
    <w:rsid w:val="2449672E"/>
    <w:rsid w:val="25177E64"/>
    <w:rsid w:val="25BC2B1C"/>
    <w:rsid w:val="26311933"/>
    <w:rsid w:val="263521FC"/>
    <w:rsid w:val="26A02230"/>
    <w:rsid w:val="26A946F1"/>
    <w:rsid w:val="270F717E"/>
    <w:rsid w:val="27430DFA"/>
    <w:rsid w:val="27D23000"/>
    <w:rsid w:val="287F0225"/>
    <w:rsid w:val="2888633C"/>
    <w:rsid w:val="28967876"/>
    <w:rsid w:val="28DC6D8D"/>
    <w:rsid w:val="28E658A2"/>
    <w:rsid w:val="2934369F"/>
    <w:rsid w:val="293539E2"/>
    <w:rsid w:val="294806D3"/>
    <w:rsid w:val="29584F90"/>
    <w:rsid w:val="29601992"/>
    <w:rsid w:val="29700F10"/>
    <w:rsid w:val="29C75BF1"/>
    <w:rsid w:val="2A3537E9"/>
    <w:rsid w:val="2B116393"/>
    <w:rsid w:val="2B280230"/>
    <w:rsid w:val="2B2B6B34"/>
    <w:rsid w:val="2B3C1752"/>
    <w:rsid w:val="2B6407D7"/>
    <w:rsid w:val="2B68020E"/>
    <w:rsid w:val="2BC96FB4"/>
    <w:rsid w:val="2BCB1CCD"/>
    <w:rsid w:val="2BED42B0"/>
    <w:rsid w:val="2BF72439"/>
    <w:rsid w:val="2C120FBA"/>
    <w:rsid w:val="2C2926C2"/>
    <w:rsid w:val="2C2D516F"/>
    <w:rsid w:val="2CF23076"/>
    <w:rsid w:val="2D1550EE"/>
    <w:rsid w:val="2D270E95"/>
    <w:rsid w:val="2D3B7778"/>
    <w:rsid w:val="2DA43847"/>
    <w:rsid w:val="2DBF0548"/>
    <w:rsid w:val="2DDB109D"/>
    <w:rsid w:val="2DE67EA2"/>
    <w:rsid w:val="2E28596F"/>
    <w:rsid w:val="2E503645"/>
    <w:rsid w:val="2E8F6D9B"/>
    <w:rsid w:val="2E943024"/>
    <w:rsid w:val="2F545A81"/>
    <w:rsid w:val="2F676C11"/>
    <w:rsid w:val="2F6D2B41"/>
    <w:rsid w:val="301532EA"/>
    <w:rsid w:val="30377C0B"/>
    <w:rsid w:val="303C7515"/>
    <w:rsid w:val="30450F97"/>
    <w:rsid w:val="30592DBB"/>
    <w:rsid w:val="309B5AA8"/>
    <w:rsid w:val="30D74F49"/>
    <w:rsid w:val="31032936"/>
    <w:rsid w:val="310E7A63"/>
    <w:rsid w:val="315F2B6B"/>
    <w:rsid w:val="31630678"/>
    <w:rsid w:val="31C75A19"/>
    <w:rsid w:val="31F65444"/>
    <w:rsid w:val="31FD2DFF"/>
    <w:rsid w:val="31FE1724"/>
    <w:rsid w:val="32393EA5"/>
    <w:rsid w:val="32505F18"/>
    <w:rsid w:val="325B5CA8"/>
    <w:rsid w:val="32844C58"/>
    <w:rsid w:val="32E57142"/>
    <w:rsid w:val="330149B7"/>
    <w:rsid w:val="33062B8C"/>
    <w:rsid w:val="3314415B"/>
    <w:rsid w:val="3373322C"/>
    <w:rsid w:val="343E2D93"/>
    <w:rsid w:val="345D70F2"/>
    <w:rsid w:val="348A0827"/>
    <w:rsid w:val="34DF4479"/>
    <w:rsid w:val="353C2939"/>
    <w:rsid w:val="35956D0A"/>
    <w:rsid w:val="35AC7563"/>
    <w:rsid w:val="35C325F8"/>
    <w:rsid w:val="35E36877"/>
    <w:rsid w:val="35E55CD1"/>
    <w:rsid w:val="35EC1630"/>
    <w:rsid w:val="35EF4932"/>
    <w:rsid w:val="361653D4"/>
    <w:rsid w:val="36723A2B"/>
    <w:rsid w:val="3678556E"/>
    <w:rsid w:val="36C40E55"/>
    <w:rsid w:val="36EF37C9"/>
    <w:rsid w:val="37685E7A"/>
    <w:rsid w:val="37800460"/>
    <w:rsid w:val="37920AEE"/>
    <w:rsid w:val="37D556C3"/>
    <w:rsid w:val="384A7A41"/>
    <w:rsid w:val="385B2EF8"/>
    <w:rsid w:val="38905D39"/>
    <w:rsid w:val="38A774A1"/>
    <w:rsid w:val="38B2148E"/>
    <w:rsid w:val="38C068C5"/>
    <w:rsid w:val="38D94CED"/>
    <w:rsid w:val="391E1F52"/>
    <w:rsid w:val="39465DF3"/>
    <w:rsid w:val="394A5FF0"/>
    <w:rsid w:val="396B5391"/>
    <w:rsid w:val="3A593B03"/>
    <w:rsid w:val="3A7845C1"/>
    <w:rsid w:val="3A914A27"/>
    <w:rsid w:val="3B352BD2"/>
    <w:rsid w:val="3B43014D"/>
    <w:rsid w:val="3BB719E6"/>
    <w:rsid w:val="3BCC0025"/>
    <w:rsid w:val="3BCF17A7"/>
    <w:rsid w:val="3C052A44"/>
    <w:rsid w:val="3C3505F9"/>
    <w:rsid w:val="3C356645"/>
    <w:rsid w:val="3CAC15D2"/>
    <w:rsid w:val="3CB20F70"/>
    <w:rsid w:val="3D061283"/>
    <w:rsid w:val="3DD72468"/>
    <w:rsid w:val="3DDA79A5"/>
    <w:rsid w:val="3E054764"/>
    <w:rsid w:val="3E107CA2"/>
    <w:rsid w:val="3E4B02B0"/>
    <w:rsid w:val="3E504A51"/>
    <w:rsid w:val="3E5D7F6D"/>
    <w:rsid w:val="3E720BBD"/>
    <w:rsid w:val="3E7F0FD3"/>
    <w:rsid w:val="3F3A7B06"/>
    <w:rsid w:val="3F4E727B"/>
    <w:rsid w:val="3F4E7974"/>
    <w:rsid w:val="3F8F4793"/>
    <w:rsid w:val="3F9600B4"/>
    <w:rsid w:val="3F9E131B"/>
    <w:rsid w:val="40214590"/>
    <w:rsid w:val="402B7E3F"/>
    <w:rsid w:val="40575044"/>
    <w:rsid w:val="40A1781F"/>
    <w:rsid w:val="40A801E1"/>
    <w:rsid w:val="40AB238A"/>
    <w:rsid w:val="411F71B7"/>
    <w:rsid w:val="41322588"/>
    <w:rsid w:val="41B32333"/>
    <w:rsid w:val="41DD6993"/>
    <w:rsid w:val="421D2353"/>
    <w:rsid w:val="427A506E"/>
    <w:rsid w:val="4284303B"/>
    <w:rsid w:val="42847D13"/>
    <w:rsid w:val="42AA07D4"/>
    <w:rsid w:val="42AD7A50"/>
    <w:rsid w:val="42CE1FCF"/>
    <w:rsid w:val="431E58B7"/>
    <w:rsid w:val="432B278D"/>
    <w:rsid w:val="43825D54"/>
    <w:rsid w:val="4388488F"/>
    <w:rsid w:val="43A8521B"/>
    <w:rsid w:val="443326F0"/>
    <w:rsid w:val="444D3426"/>
    <w:rsid w:val="446737BF"/>
    <w:rsid w:val="447A6FA6"/>
    <w:rsid w:val="449E3F2F"/>
    <w:rsid w:val="4553243B"/>
    <w:rsid w:val="45834774"/>
    <w:rsid w:val="459C3C24"/>
    <w:rsid w:val="45A80E97"/>
    <w:rsid w:val="467C1E8C"/>
    <w:rsid w:val="46897314"/>
    <w:rsid w:val="46E84D4F"/>
    <w:rsid w:val="470343A1"/>
    <w:rsid w:val="4713714A"/>
    <w:rsid w:val="472B474E"/>
    <w:rsid w:val="47802038"/>
    <w:rsid w:val="478B6735"/>
    <w:rsid w:val="47B324DC"/>
    <w:rsid w:val="47EB03B5"/>
    <w:rsid w:val="47FB099F"/>
    <w:rsid w:val="483504F4"/>
    <w:rsid w:val="48394494"/>
    <w:rsid w:val="48A7564B"/>
    <w:rsid w:val="48BD099B"/>
    <w:rsid w:val="48F74ABF"/>
    <w:rsid w:val="4940640D"/>
    <w:rsid w:val="49497549"/>
    <w:rsid w:val="497E123A"/>
    <w:rsid w:val="4993326C"/>
    <w:rsid w:val="49BF66B8"/>
    <w:rsid w:val="4A432BA3"/>
    <w:rsid w:val="4A72756B"/>
    <w:rsid w:val="4A797541"/>
    <w:rsid w:val="4A7F5FCD"/>
    <w:rsid w:val="4B010B09"/>
    <w:rsid w:val="4BC149DF"/>
    <w:rsid w:val="4BE30283"/>
    <w:rsid w:val="4BF37B2C"/>
    <w:rsid w:val="4CF31CB8"/>
    <w:rsid w:val="4D1E0B50"/>
    <w:rsid w:val="4D917D31"/>
    <w:rsid w:val="4E002236"/>
    <w:rsid w:val="4E4179EE"/>
    <w:rsid w:val="4E470433"/>
    <w:rsid w:val="4E767DC2"/>
    <w:rsid w:val="4E8F6F3C"/>
    <w:rsid w:val="4ED57ECB"/>
    <w:rsid w:val="4EFF6481"/>
    <w:rsid w:val="4F9F7B0F"/>
    <w:rsid w:val="4FCE03C2"/>
    <w:rsid w:val="50372AC6"/>
    <w:rsid w:val="50F66874"/>
    <w:rsid w:val="510711CE"/>
    <w:rsid w:val="51186AE9"/>
    <w:rsid w:val="512438F2"/>
    <w:rsid w:val="512B0AEB"/>
    <w:rsid w:val="51B24506"/>
    <w:rsid w:val="51C90B72"/>
    <w:rsid w:val="52414FCD"/>
    <w:rsid w:val="52603064"/>
    <w:rsid w:val="52677290"/>
    <w:rsid w:val="52803B80"/>
    <w:rsid w:val="52B27FA0"/>
    <w:rsid w:val="53434A68"/>
    <w:rsid w:val="534838B6"/>
    <w:rsid w:val="53D725CB"/>
    <w:rsid w:val="542B42CD"/>
    <w:rsid w:val="547140A9"/>
    <w:rsid w:val="54B21C9B"/>
    <w:rsid w:val="54C25001"/>
    <w:rsid w:val="54CB1C1C"/>
    <w:rsid w:val="55083AF1"/>
    <w:rsid w:val="55360C50"/>
    <w:rsid w:val="55AE5125"/>
    <w:rsid w:val="56443477"/>
    <w:rsid w:val="56686407"/>
    <w:rsid w:val="5670694D"/>
    <w:rsid w:val="568203C1"/>
    <w:rsid w:val="5692044B"/>
    <w:rsid w:val="570C6A4D"/>
    <w:rsid w:val="57200AAC"/>
    <w:rsid w:val="57400FAC"/>
    <w:rsid w:val="57FA77E0"/>
    <w:rsid w:val="588472F7"/>
    <w:rsid w:val="58E443C8"/>
    <w:rsid w:val="58F12371"/>
    <w:rsid w:val="590B4AF5"/>
    <w:rsid w:val="59255366"/>
    <w:rsid w:val="592E3D42"/>
    <w:rsid w:val="5957077D"/>
    <w:rsid w:val="5A0679B5"/>
    <w:rsid w:val="5A5F5703"/>
    <w:rsid w:val="5B10408B"/>
    <w:rsid w:val="5B614E05"/>
    <w:rsid w:val="5B9F729D"/>
    <w:rsid w:val="5BBB54FB"/>
    <w:rsid w:val="5C304108"/>
    <w:rsid w:val="5CD22B72"/>
    <w:rsid w:val="5CD37180"/>
    <w:rsid w:val="5D0D0413"/>
    <w:rsid w:val="5D226ACA"/>
    <w:rsid w:val="5D3778A4"/>
    <w:rsid w:val="5D684E59"/>
    <w:rsid w:val="5D6A02A3"/>
    <w:rsid w:val="5D76641B"/>
    <w:rsid w:val="5D873867"/>
    <w:rsid w:val="5D9D4B3C"/>
    <w:rsid w:val="5DAC0B5B"/>
    <w:rsid w:val="5DEC3733"/>
    <w:rsid w:val="5E324CFB"/>
    <w:rsid w:val="5EAE580E"/>
    <w:rsid w:val="5F3351B1"/>
    <w:rsid w:val="5F373A61"/>
    <w:rsid w:val="5F6A0D11"/>
    <w:rsid w:val="5F6D6775"/>
    <w:rsid w:val="60091B2F"/>
    <w:rsid w:val="601B7887"/>
    <w:rsid w:val="60666BAE"/>
    <w:rsid w:val="60CB6295"/>
    <w:rsid w:val="60EF3577"/>
    <w:rsid w:val="612F2FC5"/>
    <w:rsid w:val="61810DAC"/>
    <w:rsid w:val="61BA34EB"/>
    <w:rsid w:val="61F64342"/>
    <w:rsid w:val="62361D20"/>
    <w:rsid w:val="624F1FFB"/>
    <w:rsid w:val="626838A5"/>
    <w:rsid w:val="62743A36"/>
    <w:rsid w:val="62B214F1"/>
    <w:rsid w:val="62BD4A25"/>
    <w:rsid w:val="63146D7E"/>
    <w:rsid w:val="63230500"/>
    <w:rsid w:val="63513D97"/>
    <w:rsid w:val="63920A42"/>
    <w:rsid w:val="64760EA5"/>
    <w:rsid w:val="64963F53"/>
    <w:rsid w:val="64C32216"/>
    <w:rsid w:val="64CC30EB"/>
    <w:rsid w:val="64D85CAF"/>
    <w:rsid w:val="64E67343"/>
    <w:rsid w:val="65240CFF"/>
    <w:rsid w:val="65611872"/>
    <w:rsid w:val="656C6C0C"/>
    <w:rsid w:val="663B0545"/>
    <w:rsid w:val="663C6FD7"/>
    <w:rsid w:val="664A1A6A"/>
    <w:rsid w:val="66690A9C"/>
    <w:rsid w:val="66846F63"/>
    <w:rsid w:val="66AE6963"/>
    <w:rsid w:val="66B5704E"/>
    <w:rsid w:val="66EF19E5"/>
    <w:rsid w:val="67F3262C"/>
    <w:rsid w:val="67F72DF6"/>
    <w:rsid w:val="6801064C"/>
    <w:rsid w:val="68083B50"/>
    <w:rsid w:val="680B3A79"/>
    <w:rsid w:val="686F0A84"/>
    <w:rsid w:val="688E629F"/>
    <w:rsid w:val="68917166"/>
    <w:rsid w:val="68CE2566"/>
    <w:rsid w:val="68DF4C87"/>
    <w:rsid w:val="69006B8C"/>
    <w:rsid w:val="69603B4A"/>
    <w:rsid w:val="696320E7"/>
    <w:rsid w:val="698A6289"/>
    <w:rsid w:val="69AB5865"/>
    <w:rsid w:val="6A295EBD"/>
    <w:rsid w:val="6A6352C7"/>
    <w:rsid w:val="6ACD7664"/>
    <w:rsid w:val="6B224577"/>
    <w:rsid w:val="6B3063AB"/>
    <w:rsid w:val="6B785364"/>
    <w:rsid w:val="6BC87F76"/>
    <w:rsid w:val="6C0A4E0D"/>
    <w:rsid w:val="6C2B0249"/>
    <w:rsid w:val="6D011978"/>
    <w:rsid w:val="6D4C7577"/>
    <w:rsid w:val="6D614BA0"/>
    <w:rsid w:val="6DF40034"/>
    <w:rsid w:val="6DFB3AAB"/>
    <w:rsid w:val="6E296577"/>
    <w:rsid w:val="6E2E7467"/>
    <w:rsid w:val="6E8B3828"/>
    <w:rsid w:val="6EE82A97"/>
    <w:rsid w:val="6F2227AC"/>
    <w:rsid w:val="6F2548C9"/>
    <w:rsid w:val="6F65704C"/>
    <w:rsid w:val="6F670D3C"/>
    <w:rsid w:val="6F806D7A"/>
    <w:rsid w:val="6FB00B6F"/>
    <w:rsid w:val="705742C5"/>
    <w:rsid w:val="708519A6"/>
    <w:rsid w:val="70953AEF"/>
    <w:rsid w:val="70D84686"/>
    <w:rsid w:val="71103916"/>
    <w:rsid w:val="711B49BC"/>
    <w:rsid w:val="714C6B86"/>
    <w:rsid w:val="71697858"/>
    <w:rsid w:val="717C4FF8"/>
    <w:rsid w:val="718F2948"/>
    <w:rsid w:val="71C10EE3"/>
    <w:rsid w:val="71DA1C11"/>
    <w:rsid w:val="71F32CE0"/>
    <w:rsid w:val="721754DD"/>
    <w:rsid w:val="72D47A43"/>
    <w:rsid w:val="738144AE"/>
    <w:rsid w:val="73A94202"/>
    <w:rsid w:val="73D5303E"/>
    <w:rsid w:val="73F0565F"/>
    <w:rsid w:val="740E54B7"/>
    <w:rsid w:val="74557BA0"/>
    <w:rsid w:val="74667C0C"/>
    <w:rsid w:val="74750532"/>
    <w:rsid w:val="74A2489D"/>
    <w:rsid w:val="74DA6C11"/>
    <w:rsid w:val="750931DA"/>
    <w:rsid w:val="754427F8"/>
    <w:rsid w:val="75642364"/>
    <w:rsid w:val="756A176D"/>
    <w:rsid w:val="757B2EFF"/>
    <w:rsid w:val="757C60BA"/>
    <w:rsid w:val="75AC36CE"/>
    <w:rsid w:val="75B93025"/>
    <w:rsid w:val="75C31316"/>
    <w:rsid w:val="75CC3D65"/>
    <w:rsid w:val="75D14FF0"/>
    <w:rsid w:val="75FE6729"/>
    <w:rsid w:val="760E4EC1"/>
    <w:rsid w:val="76207A89"/>
    <w:rsid w:val="762F3558"/>
    <w:rsid w:val="763B1F21"/>
    <w:rsid w:val="76826103"/>
    <w:rsid w:val="770316D3"/>
    <w:rsid w:val="773548BB"/>
    <w:rsid w:val="77B67B5F"/>
    <w:rsid w:val="781D20DD"/>
    <w:rsid w:val="78306109"/>
    <w:rsid w:val="783B31FD"/>
    <w:rsid w:val="78497278"/>
    <w:rsid w:val="78AE2748"/>
    <w:rsid w:val="7925747B"/>
    <w:rsid w:val="792A33BB"/>
    <w:rsid w:val="7988615C"/>
    <w:rsid w:val="798F0E1C"/>
    <w:rsid w:val="79BB2739"/>
    <w:rsid w:val="79E43492"/>
    <w:rsid w:val="7A03359A"/>
    <w:rsid w:val="7A467F03"/>
    <w:rsid w:val="7A4915EA"/>
    <w:rsid w:val="7AA367B5"/>
    <w:rsid w:val="7AC55644"/>
    <w:rsid w:val="7B0E2083"/>
    <w:rsid w:val="7B52495F"/>
    <w:rsid w:val="7B8B1DF6"/>
    <w:rsid w:val="7B9A69BB"/>
    <w:rsid w:val="7BAC4808"/>
    <w:rsid w:val="7BE76D09"/>
    <w:rsid w:val="7C1169AE"/>
    <w:rsid w:val="7C616904"/>
    <w:rsid w:val="7C646F65"/>
    <w:rsid w:val="7C8A7419"/>
    <w:rsid w:val="7C9F4A04"/>
    <w:rsid w:val="7D5C5C78"/>
    <w:rsid w:val="7E0000DB"/>
    <w:rsid w:val="7E0D7ED1"/>
    <w:rsid w:val="7E5129C6"/>
    <w:rsid w:val="7E8B57D8"/>
    <w:rsid w:val="7F0510C2"/>
    <w:rsid w:val="7F0C4881"/>
    <w:rsid w:val="7F305838"/>
    <w:rsid w:val="7F3B73BA"/>
    <w:rsid w:val="7FCC0955"/>
    <w:rsid w:val="7FD5136B"/>
    <w:rsid w:val="7FFA4B2B"/>
    <w:rsid w:val="7FFD0EBB"/>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1"/>
    <w:basedOn w:val="1"/>
    <w:next w:val="1"/>
    <w:link w:val="31"/>
    <w:qFormat/>
    <w:uiPriority w:val="9"/>
    <w:pPr>
      <w:keepNext/>
      <w:keepLines/>
      <w:numPr>
        <w:ilvl w:val="0"/>
        <w:numId w:val="1"/>
      </w:numPr>
      <w:spacing w:before="340" w:after="330" w:line="578" w:lineRule="auto"/>
      <w:ind w:left="0" w:firstLine="0"/>
      <w:outlineLvl w:val="0"/>
    </w:pPr>
    <w:rPr>
      <w:rFonts w:eastAsia="仿宋"/>
      <w:b/>
      <w:bCs/>
      <w:kern w:val="44"/>
      <w:sz w:val="32"/>
      <w:szCs w:val="44"/>
    </w:rPr>
  </w:style>
  <w:style w:type="paragraph" w:styleId="4">
    <w:name w:val="heading 2"/>
    <w:basedOn w:val="1"/>
    <w:next w:val="1"/>
    <w:link w:val="32"/>
    <w:unhideWhenUsed/>
    <w:qFormat/>
    <w:uiPriority w:val="9"/>
    <w:pPr>
      <w:keepNext/>
      <w:keepLines/>
      <w:numPr>
        <w:ilvl w:val="0"/>
        <w:numId w:val="2"/>
      </w:numPr>
      <w:spacing w:before="260" w:after="260" w:line="416" w:lineRule="auto"/>
      <w:outlineLvl w:val="1"/>
    </w:pPr>
    <w:rPr>
      <w:rFonts w:eastAsia="仿宋" w:asciiTheme="majorHAnsi" w:hAnsiTheme="majorHAnsi" w:cstheme="majorBidi"/>
      <w:bCs/>
      <w:sz w:val="32"/>
      <w:szCs w:val="32"/>
    </w:rPr>
  </w:style>
  <w:style w:type="paragraph" w:styleId="2">
    <w:name w:val="heading 3"/>
    <w:basedOn w:val="1"/>
    <w:next w:val="1"/>
    <w:unhideWhenUsed/>
    <w:qFormat/>
    <w:uiPriority w:val="9"/>
    <w:pPr>
      <w:keepNext/>
      <w:widowControl/>
      <w:spacing w:before="240" w:after="60"/>
      <w:jc w:val="left"/>
      <w:outlineLvl w:val="2"/>
    </w:pPr>
    <w:rPr>
      <w:rFonts w:ascii="Cambria" w:hAnsi="Cambria" w:eastAsia="宋体"/>
      <w:b/>
      <w:bCs/>
      <w:kern w:val="0"/>
      <w:sz w:val="26"/>
      <w:szCs w:val="26"/>
    </w:rPr>
  </w:style>
  <w:style w:type="character" w:default="1" w:styleId="21">
    <w:name w:val="Default Paragraph Font"/>
    <w:semiHidden/>
    <w:unhideWhenUsed/>
    <w:qFormat/>
    <w:uiPriority w:val="1"/>
  </w:style>
  <w:style w:type="table" w:default="1" w:styleId="19">
    <w:name w:val="Normal Table"/>
    <w:semiHidden/>
    <w:unhideWhenUsed/>
    <w:qFormat/>
    <w:uiPriority w:val="99"/>
    <w:tblPr>
      <w:tblCellMar>
        <w:top w:w="0" w:type="dxa"/>
        <w:left w:w="108" w:type="dxa"/>
        <w:bottom w:w="0" w:type="dxa"/>
        <w:right w:w="108" w:type="dxa"/>
      </w:tblCellMar>
    </w:tblPr>
  </w:style>
  <w:style w:type="paragraph" w:styleId="5">
    <w:name w:val="caption"/>
    <w:basedOn w:val="1"/>
    <w:next w:val="1"/>
    <w:unhideWhenUsed/>
    <w:qFormat/>
    <w:uiPriority w:val="35"/>
    <w:rPr>
      <w:rFonts w:eastAsia="黑体" w:asciiTheme="majorHAnsi" w:hAnsiTheme="majorHAnsi" w:cstheme="majorBidi"/>
      <w:sz w:val="20"/>
      <w:szCs w:val="20"/>
    </w:rPr>
  </w:style>
  <w:style w:type="paragraph" w:styleId="6">
    <w:name w:val="annotation text"/>
    <w:basedOn w:val="1"/>
    <w:link w:val="38"/>
    <w:semiHidden/>
    <w:unhideWhenUsed/>
    <w:qFormat/>
    <w:uiPriority w:val="99"/>
    <w:pPr>
      <w:jc w:val="left"/>
    </w:pPr>
  </w:style>
  <w:style w:type="paragraph" w:styleId="7">
    <w:name w:val="Body Text"/>
    <w:basedOn w:val="1"/>
    <w:qFormat/>
    <w:uiPriority w:val="0"/>
  </w:style>
  <w:style w:type="paragraph" w:styleId="8">
    <w:name w:val="Body Text Indent"/>
    <w:basedOn w:val="1"/>
    <w:qFormat/>
    <w:uiPriority w:val="0"/>
    <w:pPr>
      <w:ind w:firstLine="660"/>
    </w:pPr>
    <w:rPr>
      <w:sz w:val="30"/>
    </w:rPr>
  </w:style>
  <w:style w:type="paragraph" w:styleId="9">
    <w:name w:val="toc 3"/>
    <w:basedOn w:val="1"/>
    <w:next w:val="1"/>
    <w:semiHidden/>
    <w:unhideWhenUsed/>
    <w:qFormat/>
    <w:uiPriority w:val="39"/>
    <w:pPr>
      <w:ind w:left="840" w:leftChars="400"/>
    </w:pPr>
  </w:style>
  <w:style w:type="paragraph" w:styleId="10">
    <w:name w:val="Balloon Text"/>
    <w:basedOn w:val="1"/>
    <w:link w:val="37"/>
    <w:semiHidden/>
    <w:unhideWhenUsed/>
    <w:qFormat/>
    <w:uiPriority w:val="99"/>
    <w:rPr>
      <w:sz w:val="18"/>
      <w:szCs w:val="18"/>
    </w:rPr>
  </w:style>
  <w:style w:type="paragraph" w:styleId="11">
    <w:name w:val="footer"/>
    <w:basedOn w:val="1"/>
    <w:link w:val="29"/>
    <w:unhideWhenUsed/>
    <w:qFormat/>
    <w:uiPriority w:val="99"/>
    <w:pPr>
      <w:tabs>
        <w:tab w:val="center" w:pos="4153"/>
        <w:tab w:val="right" w:pos="8306"/>
      </w:tabs>
      <w:snapToGrid w:val="0"/>
      <w:jc w:val="left"/>
    </w:pPr>
    <w:rPr>
      <w:sz w:val="18"/>
      <w:szCs w:val="18"/>
    </w:rPr>
  </w:style>
  <w:style w:type="paragraph" w:styleId="12">
    <w:name w:val="header"/>
    <w:basedOn w:val="1"/>
    <w:link w:val="28"/>
    <w:unhideWhenUsed/>
    <w:qFormat/>
    <w:uiPriority w:val="99"/>
    <w:pPr>
      <w:pBdr>
        <w:bottom w:val="single" w:color="auto" w:sz="6" w:space="1"/>
      </w:pBdr>
      <w:tabs>
        <w:tab w:val="center" w:pos="4153"/>
        <w:tab w:val="right" w:pos="8306"/>
      </w:tabs>
      <w:snapToGrid w:val="0"/>
      <w:jc w:val="center"/>
    </w:pPr>
    <w:rPr>
      <w:sz w:val="18"/>
      <w:szCs w:val="18"/>
    </w:rPr>
  </w:style>
  <w:style w:type="paragraph" w:styleId="13">
    <w:name w:val="toc 1"/>
    <w:basedOn w:val="1"/>
    <w:next w:val="1"/>
    <w:qFormat/>
    <w:uiPriority w:val="39"/>
    <w:rPr>
      <w:rFonts w:ascii="Times New Roman" w:hAnsi="Times New Roman" w:eastAsia="宋体" w:cs="Times New Roman"/>
    </w:rPr>
  </w:style>
  <w:style w:type="paragraph" w:styleId="14">
    <w:name w:val="toc 2"/>
    <w:basedOn w:val="1"/>
    <w:next w:val="1"/>
    <w:semiHidden/>
    <w:unhideWhenUsed/>
    <w:qFormat/>
    <w:uiPriority w:val="39"/>
    <w:pPr>
      <w:ind w:left="420" w:leftChars="200"/>
    </w:pPr>
  </w:style>
  <w:style w:type="paragraph" w:styleId="15">
    <w:name w:val="Normal (Web)"/>
    <w:basedOn w:val="1"/>
    <w:semiHidden/>
    <w:unhideWhenUsed/>
    <w:qFormat/>
    <w:uiPriority w:val="99"/>
    <w:pPr>
      <w:spacing w:before="0" w:beforeAutospacing="1" w:after="0" w:afterAutospacing="1"/>
      <w:ind w:left="0" w:right="0"/>
      <w:jc w:val="left"/>
    </w:pPr>
    <w:rPr>
      <w:kern w:val="0"/>
      <w:sz w:val="14"/>
      <w:szCs w:val="14"/>
      <w:lang w:val="en-US" w:eastAsia="zh-CN" w:bidi="ar"/>
    </w:rPr>
  </w:style>
  <w:style w:type="paragraph" w:styleId="16">
    <w:name w:val="annotation subject"/>
    <w:basedOn w:val="6"/>
    <w:next w:val="6"/>
    <w:link w:val="39"/>
    <w:semiHidden/>
    <w:unhideWhenUsed/>
    <w:qFormat/>
    <w:uiPriority w:val="99"/>
    <w:rPr>
      <w:b/>
      <w:bCs/>
    </w:rPr>
  </w:style>
  <w:style w:type="paragraph" w:styleId="17">
    <w:name w:val="Body Text First Indent"/>
    <w:basedOn w:val="7"/>
    <w:semiHidden/>
    <w:unhideWhenUsed/>
    <w:qFormat/>
    <w:uiPriority w:val="99"/>
    <w:pPr>
      <w:ind w:firstLine="420" w:firstLineChars="100"/>
    </w:pPr>
  </w:style>
  <w:style w:type="paragraph" w:styleId="18">
    <w:name w:val="Body Text First Indent 2"/>
    <w:basedOn w:val="8"/>
    <w:qFormat/>
    <w:uiPriority w:val="0"/>
    <w:pPr>
      <w:tabs>
        <w:tab w:val="left" w:pos="180"/>
        <w:tab w:val="left" w:pos="540"/>
      </w:tabs>
      <w:ind w:firstLine="420" w:firstLineChars="200"/>
    </w:pPr>
  </w:style>
  <w:style w:type="table" w:styleId="20">
    <w:name w:val="Table Grid"/>
    <w:basedOn w:val="19"/>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Strong"/>
    <w:basedOn w:val="21"/>
    <w:qFormat/>
    <w:uiPriority w:val="0"/>
    <w:rPr>
      <w:b/>
      <w:bCs/>
    </w:rPr>
  </w:style>
  <w:style w:type="character" w:styleId="23">
    <w:name w:val="FollowedHyperlink"/>
    <w:basedOn w:val="21"/>
    <w:semiHidden/>
    <w:unhideWhenUsed/>
    <w:qFormat/>
    <w:uiPriority w:val="99"/>
    <w:rPr>
      <w:color w:val="000000"/>
      <w:u w:val="none"/>
    </w:rPr>
  </w:style>
  <w:style w:type="character" w:styleId="24">
    <w:name w:val="Emphasis"/>
    <w:basedOn w:val="21"/>
    <w:qFormat/>
    <w:uiPriority w:val="20"/>
  </w:style>
  <w:style w:type="character" w:styleId="25">
    <w:name w:val="Hyperlink"/>
    <w:basedOn w:val="21"/>
    <w:semiHidden/>
    <w:unhideWhenUsed/>
    <w:qFormat/>
    <w:uiPriority w:val="99"/>
    <w:rPr>
      <w:color w:val="000000"/>
      <w:u w:val="none"/>
    </w:rPr>
  </w:style>
  <w:style w:type="character" w:styleId="26">
    <w:name w:val="annotation reference"/>
    <w:basedOn w:val="21"/>
    <w:semiHidden/>
    <w:unhideWhenUsed/>
    <w:qFormat/>
    <w:uiPriority w:val="99"/>
    <w:rPr>
      <w:sz w:val="21"/>
      <w:szCs w:val="21"/>
    </w:rPr>
  </w:style>
  <w:style w:type="paragraph" w:customStyle="1" w:styleId="27">
    <w:name w:val="Default"/>
    <w:qFormat/>
    <w:uiPriority w:val="0"/>
    <w:pPr>
      <w:widowControl w:val="0"/>
      <w:autoSpaceDE w:val="0"/>
      <w:autoSpaceDN w:val="0"/>
      <w:adjustRightInd w:val="0"/>
    </w:pPr>
    <w:rPr>
      <w:rFonts w:ascii="HYb2gj" w:hAnsi="Times New Roman" w:eastAsia="HYb2gj" w:cs="HYb2gj"/>
      <w:color w:val="000000"/>
      <w:sz w:val="24"/>
      <w:szCs w:val="24"/>
      <w:lang w:val="en-US" w:eastAsia="zh-CN" w:bidi="ar-SA"/>
    </w:rPr>
  </w:style>
  <w:style w:type="character" w:customStyle="1" w:styleId="28">
    <w:name w:val="页眉 Char"/>
    <w:basedOn w:val="21"/>
    <w:link w:val="12"/>
    <w:qFormat/>
    <w:uiPriority w:val="99"/>
    <w:rPr>
      <w:sz w:val="18"/>
      <w:szCs w:val="18"/>
    </w:rPr>
  </w:style>
  <w:style w:type="character" w:customStyle="1" w:styleId="29">
    <w:name w:val="页脚 Char"/>
    <w:basedOn w:val="21"/>
    <w:link w:val="11"/>
    <w:qFormat/>
    <w:uiPriority w:val="99"/>
    <w:rPr>
      <w:sz w:val="18"/>
      <w:szCs w:val="18"/>
    </w:rPr>
  </w:style>
  <w:style w:type="character" w:customStyle="1" w:styleId="30">
    <w:name w:val="font41"/>
    <w:basedOn w:val="21"/>
    <w:qFormat/>
    <w:uiPriority w:val="0"/>
    <w:rPr>
      <w:rFonts w:ascii="仿宋_GB2312" w:eastAsia="仿宋_GB2312" w:cs="仿宋_GB2312"/>
      <w:color w:val="000000"/>
      <w:sz w:val="24"/>
      <w:szCs w:val="24"/>
      <w:u w:val="none"/>
    </w:rPr>
  </w:style>
  <w:style w:type="character" w:customStyle="1" w:styleId="31">
    <w:name w:val="标题 1 Char"/>
    <w:basedOn w:val="21"/>
    <w:link w:val="3"/>
    <w:qFormat/>
    <w:uiPriority w:val="9"/>
    <w:rPr>
      <w:rFonts w:eastAsia="仿宋"/>
      <w:b/>
      <w:bCs/>
      <w:kern w:val="44"/>
      <w:sz w:val="32"/>
      <w:szCs w:val="44"/>
    </w:rPr>
  </w:style>
  <w:style w:type="character" w:customStyle="1" w:styleId="32">
    <w:name w:val="标题 2 Char"/>
    <w:basedOn w:val="21"/>
    <w:link w:val="4"/>
    <w:qFormat/>
    <w:uiPriority w:val="9"/>
    <w:rPr>
      <w:rFonts w:eastAsia="仿宋" w:asciiTheme="majorHAnsi" w:hAnsiTheme="majorHAnsi" w:cstheme="majorBidi"/>
      <w:bCs/>
      <w:sz w:val="32"/>
      <w:szCs w:val="32"/>
    </w:rPr>
  </w:style>
  <w:style w:type="paragraph" w:styleId="33">
    <w:name w:val="List Paragraph"/>
    <w:basedOn w:val="1"/>
    <w:qFormat/>
    <w:uiPriority w:val="34"/>
    <w:pPr>
      <w:ind w:firstLine="420" w:firstLineChars="200"/>
    </w:pPr>
  </w:style>
  <w:style w:type="paragraph" w:customStyle="1" w:styleId="34">
    <w:name w:val="WPSOffice手动目录 1"/>
    <w:qFormat/>
    <w:uiPriority w:val="0"/>
    <w:rPr>
      <w:rFonts w:asciiTheme="minorHAnsi" w:hAnsiTheme="minorHAnsi" w:eastAsiaTheme="minorEastAsia" w:cstheme="minorBidi"/>
      <w:lang w:val="en-US" w:eastAsia="zh-CN" w:bidi="ar-SA"/>
    </w:rPr>
  </w:style>
  <w:style w:type="paragraph" w:customStyle="1" w:styleId="35">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36">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37">
    <w:name w:val="批注框文本 Char"/>
    <w:basedOn w:val="21"/>
    <w:link w:val="10"/>
    <w:semiHidden/>
    <w:qFormat/>
    <w:uiPriority w:val="99"/>
    <w:rPr>
      <w:kern w:val="2"/>
      <w:sz w:val="18"/>
      <w:szCs w:val="18"/>
    </w:rPr>
  </w:style>
  <w:style w:type="character" w:customStyle="1" w:styleId="38">
    <w:name w:val="批注文字 Char"/>
    <w:basedOn w:val="21"/>
    <w:link w:val="6"/>
    <w:semiHidden/>
    <w:qFormat/>
    <w:uiPriority w:val="99"/>
    <w:rPr>
      <w:kern w:val="2"/>
      <w:sz w:val="21"/>
      <w:szCs w:val="24"/>
    </w:rPr>
  </w:style>
  <w:style w:type="character" w:customStyle="1" w:styleId="39">
    <w:name w:val="批注主题 Char"/>
    <w:basedOn w:val="38"/>
    <w:link w:val="16"/>
    <w:semiHidden/>
    <w:qFormat/>
    <w:uiPriority w:val="99"/>
    <w:rPr>
      <w:b/>
      <w:bCs/>
      <w:kern w:val="2"/>
      <w:sz w:val="21"/>
      <w:szCs w:val="24"/>
    </w:rPr>
  </w:style>
  <w:style w:type="paragraph" w:customStyle="1" w:styleId="40">
    <w:name w:val="闻政表"/>
    <w:basedOn w:val="1"/>
    <w:qFormat/>
    <w:uiPriority w:val="99"/>
    <w:pPr>
      <w:spacing w:before="60" w:after="60"/>
      <w:jc w:val="center"/>
    </w:pPr>
    <w:rPr>
      <w:rFonts w:ascii="Times New Roman" w:hAnsi="Times New Roman" w:eastAsia="仿宋_GB2312"/>
      <w:b/>
      <w:kern w:val="0"/>
      <w:sz w:val="24"/>
      <w:szCs w:val="28"/>
    </w:rPr>
  </w:style>
  <w:style w:type="paragraph" w:customStyle="1" w:styleId="41">
    <w:name w:val="列表段落1"/>
    <w:basedOn w:val="1"/>
    <w:qFormat/>
    <w:uiPriority w:val="34"/>
    <w:pPr>
      <w:ind w:firstLine="420" w:firstLineChars="200"/>
    </w:pPr>
  </w:style>
  <w:style w:type="paragraph" w:customStyle="1" w:styleId="42">
    <w:name w:val="无间隔1"/>
    <w:basedOn w:val="1"/>
    <w:qFormat/>
    <w:uiPriority w:val="1"/>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73F39DA-BB28-4752-A7CB-656F2CF4CE59}">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26</Pages>
  <Words>11167</Words>
  <Characters>11975</Characters>
  <Lines>79</Lines>
  <Paragraphs>22</Paragraphs>
  <TotalTime>45</TotalTime>
  <ScaleCrop>false</ScaleCrop>
  <LinksUpToDate>false</LinksUpToDate>
  <CharactersWithSpaces>12108</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2019-11-07T05:25:00Z</dcterms:created>
  <dc:creator>jc</dc:creator>
  <cp:lastModifiedBy>@</cp:lastModifiedBy>
  <cp:lastPrinted>2021-07-28T10:34:00Z</cp:lastPrinted>
  <dcterms:modified xsi:type="dcterms:W3CDTF">2022-09-25T03:57:23Z</dcterms:modified>
  <cp:revision>182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A8312BA226C94F5A884B33DB13DDFAF3</vt:lpwstr>
  </property>
  <property fmtid="{D5CDD505-2E9C-101B-9397-08002B2CF9AE}" pid="4" name="KSOSaveFontToCloudKey">
    <vt:lpwstr>999270995_embed</vt:lpwstr>
  </property>
</Properties>
</file>