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40"/>
          <w:szCs w:val="40"/>
        </w:rPr>
      </w:pPr>
      <w:bookmarkStart w:id="0" w:name="_GoBack"/>
      <w:bookmarkEnd w:id="0"/>
    </w:p>
    <w:p>
      <w:pPr>
        <w:tabs>
          <w:tab w:val="left" w:pos="3111"/>
        </w:tabs>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行政处罚决定书</w:t>
      </w:r>
    </w:p>
    <w:p>
      <w:pPr>
        <w:tabs>
          <w:tab w:val="left" w:pos="3111"/>
        </w:tabs>
        <w:jc w:val="righ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22号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br w:type="textWrapping"/>
      </w:r>
      <w:r>
        <w:rPr>
          <w:rFonts w:hint="eastAsia" w:ascii="仿宋_GB2312" w:hAnsi="仿宋_GB2312" w:eastAsia="仿宋_GB2312" w:cs="仿宋_GB2312"/>
          <w:b/>
          <w:bCs/>
          <w:sz w:val="32"/>
          <w:szCs w:val="32"/>
          <w:u w:val="none"/>
          <w:lang w:val="en-US" w:eastAsia="zh-CN"/>
        </w:rPr>
        <w:t>单位名称</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洛浦县商务和工业信息化局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bCs/>
          <w:sz w:val="32"/>
          <w:szCs w:val="32"/>
          <w:u w:val="none"/>
          <w:lang w:val="en-US" w:eastAsia="zh-CN"/>
        </w:rPr>
        <w:t>社会信用代码：</w:t>
      </w:r>
      <w:r>
        <w:rPr>
          <w:rFonts w:hint="eastAsia" w:ascii="仿宋_GB2312" w:hAnsi="仿宋_GB2312" w:eastAsia="仿宋_GB2312" w:cs="仿宋_GB2312"/>
          <w:color w:val="auto"/>
          <w:sz w:val="32"/>
          <w:szCs w:val="32"/>
          <w:u w:val="single"/>
          <w:lang w:val="en-US" w:eastAsia="zh-CN"/>
        </w:rPr>
        <w:t>116532XXXXXXXX114W</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单位地址：</w:t>
      </w:r>
      <w:r>
        <w:rPr>
          <w:rFonts w:hint="eastAsia" w:ascii="仿宋_GB2312" w:hAnsi="仿宋_GB2312" w:eastAsia="仿宋_GB2312" w:cs="仿宋_GB2312"/>
          <w:sz w:val="32"/>
          <w:szCs w:val="32"/>
          <w:u w:val="single"/>
          <w:lang w:val="en-US" w:eastAsia="zh-CN"/>
        </w:rPr>
        <w:t>洛浦县北京路XX号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局于2024年5月10日，对你（单位）非法占用土地一案立案调查。经查，你（单位）于2021年4月18日未经批准，擅自占用位于洛浦县北京工业园区北园区怀柔路2路的2.004亩（1336平方米）的土地，地类现状为建设用地（村庄）和未利用地（沙地）的行为，违反了</w:t>
      </w:r>
      <w:r>
        <w:rPr>
          <w:rFonts w:hint="eastAsia" w:ascii="仿宋_GB2312" w:hAnsi="仿宋_GB2312" w:eastAsia="仿宋_GB2312" w:cs="仿宋_GB2312"/>
          <w:b w:val="0"/>
          <w:bCs/>
          <w:sz w:val="32"/>
          <w:szCs w:val="32"/>
          <w:u w:val="none" w:color="auto"/>
          <w:lang w:val="en-US" w:eastAsia="zh-CN"/>
        </w:rPr>
        <w:t>《中华人民共和国土地管理法》第二条第三款的规定</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1、询问笔录；2、移交函；3、现场图片；4、现场勘验笔录；5、勘测定界图。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日依法向你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送达了行政处罚告知书（洛自然资罚告字〔2024〕2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号）和行政处罚听证告知书（洛自然资听告字〔2024〕2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在法定限期内未向我局提出陈述、申辩以及听证要求、视为主动放弃陈述，申辩以及听证权利。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根据《中华人民共和国土地管理法》（2004年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8月28日</w:t>
      </w:r>
      <w:r>
        <w:rPr>
          <w:rFonts w:hint="eastAsia" w:ascii="仿宋_GB2312" w:hAnsi="仿宋_GB2312" w:eastAsia="仿宋_GB2312" w:cs="仿宋_GB2312"/>
          <w:color w:val="000000" w:themeColor="text1"/>
          <w:sz w:val="32"/>
          <w:szCs w:val="32"/>
          <w14:textFill>
            <w14:solidFill>
              <w14:schemeClr w14:val="tx1"/>
            </w14:solidFill>
          </w14:textFill>
        </w:rPr>
        <w:t>修</w:t>
      </w:r>
      <w:r>
        <w:rPr>
          <w:rFonts w:hint="eastAsia" w:ascii="仿宋_GB2312" w:hAnsi="仿宋_GB2312" w:eastAsia="仿宋_GB2312" w:cs="仿宋_GB2312"/>
          <w:color w:val="000000" w:themeColor="text1"/>
          <w:sz w:val="32"/>
          <w:szCs w:val="32"/>
          <w:lang w:eastAsia="zh-CN"/>
          <w14:textFill>
            <w14:solidFill>
              <w14:schemeClr w14:val="tx1"/>
            </w14:solidFill>
          </w14:textFill>
        </w:rPr>
        <w:t>正</w:t>
      </w:r>
      <w:r>
        <w:rPr>
          <w:rFonts w:hint="eastAsia" w:ascii="仿宋_GB2312" w:hAnsi="仿宋_GB2312" w:eastAsia="仿宋_GB2312" w:cs="仿宋_GB2312"/>
          <w:color w:val="000000" w:themeColor="text1"/>
          <w:sz w:val="32"/>
          <w:szCs w:val="32"/>
          <w14:textFill>
            <w14:solidFill>
              <w14:schemeClr w14:val="tx1"/>
            </w14:solidFill>
          </w14:textFill>
        </w:rPr>
        <w:t>）第七十六条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《中华人民共和国土地管理法实施条例》</w:t>
      </w:r>
      <w:r>
        <w:rPr>
          <w:rFonts w:hint="eastAsia" w:ascii="仿宋_GB2312" w:hAnsi="仿宋_GB2312" w:eastAsia="仿宋_GB2312" w:cs="仿宋_GB2312"/>
          <w:sz w:val="32"/>
          <w:szCs w:val="32"/>
        </w:rPr>
        <w:t>（2014年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7月29日</w:t>
      </w:r>
      <w:r>
        <w:rPr>
          <w:rFonts w:hint="eastAsia" w:ascii="仿宋_GB2312" w:hAnsi="仿宋_GB2312" w:eastAsia="仿宋_GB2312" w:cs="仿宋_GB2312"/>
          <w:sz w:val="32"/>
          <w:szCs w:val="32"/>
        </w:rPr>
        <w:t>修订）</w:t>
      </w:r>
      <w:r>
        <w:rPr>
          <w:rFonts w:hint="eastAsia" w:ascii="仿宋_GB2312" w:hAnsi="仿宋_GB2312" w:eastAsia="仿宋_GB2312" w:cs="仿宋_GB2312"/>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依照《新疆维吾尔自治区国土资源常见违法行为行政处罚裁量权适用标准》（新国土资监总发〔2019〕40号）</w:t>
      </w:r>
      <w:r>
        <w:rPr>
          <w:rFonts w:hint="eastAsia" w:ascii="仿宋_GB2312" w:hAnsi="仿宋_GB2312" w:eastAsia="仿宋_GB2312" w:cs="仿宋_GB2312"/>
          <w:sz w:val="32"/>
          <w:szCs w:val="32"/>
          <w:u w:val="none"/>
          <w:lang w:val="en-US" w:eastAsia="zh-CN"/>
        </w:rPr>
        <w:t>，决定处罚如下：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1、责令退还非法占用的2.004亩（1336㎡，地类现状为建设用地（村庄）和未利用地（沙地））土地，限十五日之内退还至洛浦县人民政府；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2、没收在非法占用的2.004亩（1336㎡，地类现状为建设用地（村庄）和未利用地（沙地），用地现状符合国土空间规划）土地上新建的建筑物和其他设施；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3、处非法占地每平方米5元的罚款，罚款为人民币6680元（大写：人民币陆仟陆佰捌拾元整）（1336㎡</w:t>
      </w:r>
      <w:r>
        <w:rPr>
          <w:rFonts w:hint="default" w:ascii="仿宋_GB2312" w:hAnsi="仿宋_GB2312" w:eastAsia="仿宋_GB2312" w:cs="仿宋_GB2312"/>
          <w:b w:val="0"/>
          <w:bCs/>
          <w:sz w:val="32"/>
          <w:szCs w:val="32"/>
          <w:u w:val="none" w:color="auto"/>
          <w:lang w:val="en-US" w:eastAsia="zh-CN"/>
        </w:rPr>
        <w:t>×</w:t>
      </w:r>
      <w:r>
        <w:rPr>
          <w:rFonts w:hint="eastAsia" w:ascii="仿宋_GB2312" w:hAnsi="仿宋_GB2312" w:eastAsia="仿宋_GB2312" w:cs="仿宋_GB2312"/>
          <w:b w:val="0"/>
          <w:bCs/>
          <w:sz w:val="32"/>
          <w:szCs w:val="32"/>
          <w:u w:val="none" w:color="auto"/>
          <w:lang w:val="en-US" w:eastAsia="zh-CN"/>
        </w:rPr>
        <w:t>5元/平米=6680元）。</w:t>
      </w:r>
    </w:p>
    <w:p>
      <w:pPr>
        <w:pStyle w:val="3"/>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行政处罚履行方式和期限：根据《中华人民共和国行政处罚法》第六十七条第三款的规定，你应当自收到本行政处罚决定书之日起十五日内，将罚没款缴至新疆维吾尔自治区财政厅非税收入专用账户，银行账号：3002010109024911123，执收户：洛浦县国土资源执法监察大队。逾期不缴纳的，根据《中华人民共和国行政处罚法》第七十二条第一项的规定，每日按照罚款的百分之三加处罚款。</w:t>
      </w:r>
    </w:p>
    <w:p>
      <w:pPr>
        <w:pStyle w:val="3"/>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本决定书送达当事人，即发生法律效力。</w:t>
      </w:r>
    </w:p>
    <w:p>
      <w:pPr>
        <w:pStyle w:val="3"/>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rPr>
        <w:t>你如不服本处罚决定，可以在收到本处罚决定书之日起六十日内向洛浦县人民政府申请行政复议，或者六个月内直接向洛浦县人民法院提起行政诉讼，逾期不申请行政复议，也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single"/>
          <w:lang w:val="en-US" w:eastAsia="zh-CN"/>
        </w:rPr>
        <w:t xml:space="preserve">唐春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王晨旭</w:t>
      </w: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640" w:firstLineChars="200"/>
        <w:textAlignment w:val="auto"/>
        <w:outlineLvl w:val="9"/>
        <w:rPr>
          <w:rFonts w:hint="default"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bidi="ar-SA"/>
        </w:rPr>
        <w:t xml:space="preserve">0903-6627877 </w:t>
      </w:r>
      <w:r>
        <w:rPr>
          <w:rFonts w:hint="eastAsia" w:ascii="仿宋_GB2312" w:hAnsi="仿宋_GB2312" w:cs="仿宋_GB231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u w:val="single"/>
          <w:rtl w:val="0"/>
          <w:lang w:val="en-US" w:eastAsia="zh-CN" w:bidi="ar-SA"/>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kern w:val="2"/>
          <w:sz w:val="32"/>
          <w:szCs w:val="32"/>
          <w:u w:val="single"/>
          <w:rtl w:val="0"/>
          <w:lang w:val="en-US" w:eastAsia="zh-CN" w:bidi="ar-SA"/>
        </w:rPr>
        <w:t>洛浦县城区街道北京路</w:t>
      </w:r>
      <w:r>
        <w:rPr>
          <w:rFonts w:hint="eastAsia" w:ascii="仿宋_GB2312" w:hAnsi="仿宋_GB2312" w:eastAsia="仿宋_GB2312" w:cs="仿宋_GB2312"/>
          <w:sz w:val="32"/>
          <w:szCs w:val="32"/>
          <w:u w:val="single"/>
          <w:rtl w:val="0"/>
          <w:lang w:val="en-US" w:eastAsia="zh-CN" w:bidi="ar-SA"/>
        </w:rPr>
        <w:t>46</w:t>
      </w:r>
      <w:r>
        <w:rPr>
          <w:rFonts w:hint="eastAsia" w:ascii="仿宋_GB2312" w:hAnsi="仿宋_GB2312" w:eastAsia="仿宋_GB2312" w:cs="仿宋_GB2312"/>
          <w:kern w:val="2"/>
          <w:sz w:val="32"/>
          <w:szCs w:val="32"/>
          <w:u w:val="single"/>
          <w:rtl w:val="0"/>
          <w:lang w:val="en-US" w:eastAsia="zh-CN" w:bidi="ar-SA"/>
        </w:rPr>
        <w:t>号</w:t>
      </w:r>
    </w:p>
    <w:p>
      <w:pPr>
        <w:pStyle w:val="2"/>
        <w:pageBreakBefore w:val="0"/>
        <w:widowControl w:val="0"/>
        <w:kinsoku/>
        <w:wordWrap/>
        <w:overflowPunct/>
        <w:topLinePunct w:val="0"/>
        <w:bidi w:val="0"/>
        <w:snapToGrid/>
        <w:spacing w:before="0" w:after="0"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洛浦县自然资源局</w:t>
      </w:r>
    </w:p>
    <w:p>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sz w:val="30"/>
        </w:rPr>
      </w:pPr>
      <w:r>
        <w:rPr>
          <w:rFonts w:hint="eastAsia" w:ascii="仿宋_GB2312" w:hAnsi="仿宋_GB2312" w:eastAsia="仿宋_GB2312" w:cs="仿宋_GB2312"/>
          <w:sz w:val="32"/>
          <w:szCs w:val="32"/>
          <w:u w:val="none"/>
          <w:lang w:val="en-US" w:eastAsia="zh-CN"/>
        </w:rPr>
        <w:t xml:space="preserve">                                   2024</w:t>
      </w:r>
      <w:r>
        <w:rPr>
          <w:rFonts w:hint="eastAsia" w:ascii="仿宋_GB2312" w:hAnsi="仿宋_GB2312" w:eastAsia="仿宋_GB2312" w:cs="仿宋_GB2312"/>
          <w:sz w:val="32"/>
          <w:szCs w:val="32"/>
          <w:u w:val="none"/>
          <w:lang w:val="en-US" w:eastAsia="zh-CN" w:bidi="ar-SA"/>
        </w:rPr>
        <w:t>年 6 月 7 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rPr>
        <w:t xml:space="preserve">    </w:t>
      </w:r>
    </w:p>
    <w:p>
      <w:pPr>
        <w:jc w:val="center"/>
        <w:rPr>
          <w:rFonts w:hint="eastAsia" w:ascii="宋体" w:hAnsi="宋体"/>
          <w:b/>
          <w:bCs/>
          <w:sz w:val="40"/>
          <w:szCs w:val="40"/>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rFonts w:hint="eastAsia"/>
                              <w:sz w:val="24"/>
                              <w:szCs w:val="24"/>
                              <w:lang w:val="en-US" w:eastAsia="zh-CN"/>
                            </w:rPr>
                            <w:t>2</w:t>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rFonts w:hint="eastAsia"/>
                        <w:sz w:val="24"/>
                        <w:szCs w:val="24"/>
                        <w:lang w:val="en-US" w:eastAsia="zh-CN"/>
                      </w:rPr>
                      <w:t>2</w:t>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0F247DC2"/>
    <w:rsid w:val="0D803A09"/>
    <w:rsid w:val="0F247DC2"/>
    <w:rsid w:val="0FCE28F9"/>
    <w:rsid w:val="10326711"/>
    <w:rsid w:val="124729F3"/>
    <w:rsid w:val="174169CD"/>
    <w:rsid w:val="27F3158A"/>
    <w:rsid w:val="2B7E5325"/>
    <w:rsid w:val="38BB760B"/>
    <w:rsid w:val="3F747286"/>
    <w:rsid w:val="4A405398"/>
    <w:rsid w:val="4CC434B0"/>
    <w:rsid w:val="54CA70F3"/>
    <w:rsid w:val="5FD0480C"/>
    <w:rsid w:val="6CFA415C"/>
    <w:rsid w:val="6EFB64D3"/>
    <w:rsid w:val="6F1A006E"/>
    <w:rsid w:val="7573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2024-05-23T08:28:00Z</dcterms:created>
  <dc:creator>Lenovo</dc:creator>
  <cp:lastModifiedBy>Administrator</cp:lastModifiedBy>
  <cp:lastPrinted>2024-05-31T03:30:00Z</cp:lastPrinted>
  <dcterms:modified xsi:type="dcterms:W3CDTF">2024-07-29T02:43:17Z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278ADB5C68E54460B5F1A365A64C8F7D</vt:lpwstr>
  </property>
</Properties>
</file>