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ind w:left="0" w:leftChars="0"/>
        <w:jc w:val="left"/>
        <w:rPr>
          <w:rFonts w:hint="eastAsia" w:ascii="宋体" w:hAnsi="宋体" w:eastAsia="方正黑体_GBK" w:cs="方正黑体_GBK"/>
          <w:color w:val="auto"/>
          <w:sz w:val="32"/>
          <w:szCs w:val="32"/>
          <w:lang w:eastAsia="zh-CN"/>
        </w:rPr>
      </w:pPr>
    </w:p>
    <w:p>
      <w:pPr>
        <w:keepNext w:val="0"/>
        <w:keepLines w:val="0"/>
        <w:pageBreakBefore w:val="0"/>
        <w:kinsoku/>
        <w:wordWrap/>
        <w:overflowPunct/>
        <w:topLinePunct w:val="0"/>
        <w:autoSpaceDE/>
        <w:autoSpaceDN/>
        <w:bidi w:val="0"/>
        <w:adjustRightInd/>
        <w:snapToGrid/>
        <w:spacing w:line="560" w:lineRule="exact"/>
        <w:ind w:left="0" w:leftChars="0" w:firstLine="400"/>
        <w:rPr>
          <w:rFonts w:hint="eastAsia" w:ascii="宋体" w:hAnsi="宋体"/>
        </w:rPr>
      </w:pPr>
    </w:p>
    <w:p>
      <w:pPr>
        <w:keepNext w:val="0"/>
        <w:keepLines w:val="0"/>
        <w:pageBreakBefore w:val="0"/>
        <w:kinsoku/>
        <w:wordWrap/>
        <w:overflowPunct/>
        <w:topLinePunct w:val="0"/>
        <w:autoSpaceDE/>
        <w:autoSpaceDN/>
        <w:bidi w:val="0"/>
        <w:adjustRightInd/>
        <w:snapToGrid/>
        <w:spacing w:line="560" w:lineRule="exact"/>
        <w:ind w:left="0" w:leftChars="0" w:firstLine="400"/>
        <w:rPr>
          <w:rFonts w:hint="eastAsia" w:ascii="宋体" w:hAnsi="宋体"/>
        </w:rPr>
      </w:pPr>
    </w:p>
    <w:p>
      <w:pPr>
        <w:keepNext w:val="0"/>
        <w:keepLines w:val="0"/>
        <w:pageBreakBefore w:val="0"/>
        <w:kinsoku/>
        <w:wordWrap/>
        <w:overflowPunct/>
        <w:topLinePunct w:val="0"/>
        <w:autoSpaceDE/>
        <w:autoSpaceDN/>
        <w:bidi w:val="0"/>
        <w:adjustRightInd/>
        <w:snapToGrid/>
        <w:spacing w:line="560" w:lineRule="exact"/>
        <w:ind w:left="0" w:leftChars="0" w:firstLine="400"/>
        <w:rPr>
          <w:rFonts w:hint="eastAsia" w:ascii="宋体" w:hAnsi="宋体"/>
        </w:rPr>
      </w:pPr>
    </w:p>
    <w:p>
      <w:pPr>
        <w:keepNext w:val="0"/>
        <w:keepLines w:val="0"/>
        <w:pageBreakBefore w:val="0"/>
        <w:kinsoku/>
        <w:wordWrap/>
        <w:overflowPunct/>
        <w:topLinePunct w:val="0"/>
        <w:autoSpaceDE/>
        <w:autoSpaceDN/>
        <w:bidi w:val="0"/>
        <w:adjustRightInd/>
        <w:snapToGrid/>
        <w:spacing w:line="560" w:lineRule="exact"/>
        <w:ind w:left="0" w:leftChars="0" w:firstLine="400"/>
        <w:rPr>
          <w:rFonts w:hint="eastAsia" w:ascii="宋体" w:hAnsi="宋体"/>
        </w:rPr>
      </w:pPr>
    </w:p>
    <w:p>
      <w:pPr>
        <w:keepNext w:val="0"/>
        <w:keepLines w:val="0"/>
        <w:pageBreakBefore w:val="0"/>
        <w:kinsoku/>
        <w:wordWrap/>
        <w:overflowPunct/>
        <w:topLinePunct w:val="0"/>
        <w:autoSpaceDE/>
        <w:autoSpaceDN/>
        <w:bidi w:val="0"/>
        <w:adjustRightInd/>
        <w:snapToGrid/>
        <w:spacing w:line="560" w:lineRule="exact"/>
        <w:jc w:val="both"/>
        <w:rPr>
          <w:rFonts w:hint="eastAsia" w:ascii="宋体" w:hAnsi="宋体" w:eastAsia="方正小标宋_GBK"/>
          <w:bCs/>
          <w:sz w:val="32"/>
          <w:szCs w:val="32"/>
        </w:rPr>
      </w:pPr>
      <w:bookmarkStart w:id="0" w:name="_GoBack"/>
      <w:bookmarkEnd w:id="0"/>
    </w:p>
    <w:p>
      <w:pPr>
        <w:pStyle w:val="8"/>
        <w:keepNext w:val="0"/>
        <w:keepLines w:val="0"/>
        <w:pageBreakBefore w:val="0"/>
        <w:kinsoku/>
        <w:overflowPunct/>
        <w:topLinePunct w:val="0"/>
        <w:bidi w:val="0"/>
        <w:spacing w:line="560" w:lineRule="exact"/>
        <w:rPr>
          <w:rFonts w:hint="eastAsia" w:ascii="宋体" w:hAnsi="宋体"/>
        </w:rPr>
      </w:pPr>
    </w:p>
    <w:p>
      <w:pPr>
        <w:keepNext w:val="0"/>
        <w:keepLines w:val="0"/>
        <w:pageBreakBefore w:val="0"/>
        <w:kinsoku/>
        <w:wordWrap/>
        <w:overflowPunct/>
        <w:topLinePunct w:val="0"/>
        <w:autoSpaceDE/>
        <w:autoSpaceDN/>
        <w:bidi w:val="0"/>
        <w:adjustRightInd/>
        <w:snapToGrid/>
        <w:spacing w:line="560" w:lineRule="exact"/>
        <w:ind w:left="0" w:leftChars="0" w:firstLine="19" w:firstLineChars="6"/>
        <w:jc w:val="center"/>
        <w:rPr>
          <w:rFonts w:hint="eastAsia" w:ascii="宋体" w:hAnsi="宋体" w:eastAsia="仿宋_GB2312"/>
          <w:sz w:val="32"/>
          <w:szCs w:val="32"/>
        </w:rPr>
      </w:pPr>
      <w:r>
        <w:rPr>
          <w:rFonts w:hint="eastAsia" w:ascii="宋体" w:hAnsi="宋体" w:eastAsia="仿宋_GB2312"/>
          <w:sz w:val="32"/>
          <w:szCs w:val="32"/>
        </w:rPr>
        <w:t>洛政办发〔20</w:t>
      </w:r>
      <w:r>
        <w:rPr>
          <w:rFonts w:hint="eastAsia" w:ascii="宋体" w:hAnsi="宋体" w:eastAsia="仿宋_GB2312"/>
          <w:sz w:val="32"/>
          <w:szCs w:val="32"/>
          <w:lang w:val="en-US" w:eastAsia="zh-CN"/>
        </w:rPr>
        <w:t>23</w:t>
      </w:r>
      <w:r>
        <w:rPr>
          <w:rFonts w:hint="eastAsia" w:ascii="宋体" w:hAnsi="宋体" w:eastAsia="仿宋_GB2312"/>
          <w:sz w:val="32"/>
          <w:szCs w:val="32"/>
        </w:rPr>
        <w:t>〕</w:t>
      </w:r>
      <w:r>
        <w:rPr>
          <w:rFonts w:hint="eastAsia" w:ascii="宋体" w:hAnsi="宋体" w:eastAsia="仿宋_GB2312"/>
          <w:sz w:val="32"/>
          <w:szCs w:val="32"/>
          <w:lang w:val="en-US" w:eastAsia="zh-CN"/>
        </w:rPr>
        <w:t>15</w:t>
      </w:r>
      <w:r>
        <w:rPr>
          <w:rFonts w:hint="eastAsia" w:ascii="宋体" w:hAnsi="宋体" w:eastAsia="仿宋_GB2312"/>
          <w:sz w:val="32"/>
          <w:szCs w:val="32"/>
        </w:rPr>
        <w:t>号</w:t>
      </w:r>
    </w:p>
    <w:p>
      <w:pPr>
        <w:keepNext w:val="0"/>
        <w:keepLines w:val="0"/>
        <w:pageBreakBefore w:val="0"/>
        <w:kinsoku/>
        <w:wordWrap/>
        <w:overflowPunct/>
        <w:topLinePunct w:val="0"/>
        <w:autoSpaceDE/>
        <w:autoSpaceDN/>
        <w:bidi w:val="0"/>
        <w:adjustRightInd/>
        <w:snapToGrid/>
        <w:spacing w:line="560" w:lineRule="exact"/>
        <w:ind w:left="0" w:leftChars="0" w:firstLine="19" w:firstLineChars="6"/>
        <w:jc w:val="center"/>
        <w:rPr>
          <w:rFonts w:hint="eastAsia" w:ascii="宋体" w:hAnsi="宋体" w:eastAsia="仿宋_GB2312"/>
          <w:sz w:val="32"/>
          <w:szCs w:val="32"/>
        </w:rPr>
      </w:pPr>
    </w:p>
    <w:p>
      <w:pPr>
        <w:pStyle w:val="8"/>
        <w:keepNext w:val="0"/>
        <w:keepLines w:val="0"/>
        <w:pageBreakBefore w:val="0"/>
        <w:kinsoku/>
        <w:overflowPunct/>
        <w:topLinePunct w:val="0"/>
        <w:bidi w:val="0"/>
        <w:spacing w:line="560" w:lineRule="exact"/>
        <w:rPr>
          <w:rFonts w:hint="eastAsia" w:ascii="宋体" w:hAnsi="宋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宋体" w:hAnsi="宋体" w:eastAsia="方正小标宋简体" w:cs="方正小标宋简体"/>
          <w:sz w:val="44"/>
          <w:szCs w:val="44"/>
        </w:rPr>
      </w:pPr>
      <w:r>
        <w:rPr>
          <w:rFonts w:hint="eastAsia" w:ascii="宋体" w:hAnsi="宋体" w:eastAsia="方正小标宋_GBK" w:cs="方正小标宋_GBK"/>
          <w:sz w:val="44"/>
          <w:szCs w:val="44"/>
          <w:lang w:val="en-US" w:eastAsia="zh-CN"/>
        </w:rPr>
        <w:t>关于印发《</w:t>
      </w:r>
      <w:r>
        <w:rPr>
          <w:rFonts w:hint="eastAsia" w:ascii="宋体" w:hAnsi="宋体" w:eastAsia="方正小标宋简体" w:cs="方正小标宋简体"/>
          <w:spacing w:val="0"/>
          <w:sz w:val="44"/>
          <w:szCs w:val="44"/>
          <w:u w:val="none"/>
          <w:lang w:eastAsia="zh-CN"/>
        </w:rPr>
        <w:t>洛浦县创建国家卫生县城工作实施方案</w:t>
      </w:r>
      <w:r>
        <w:rPr>
          <w:rFonts w:hint="eastAsia" w:ascii="宋体" w:hAnsi="宋体" w:eastAsia="方正小标宋_GBK" w:cs="方正小标宋_GBK"/>
          <w:sz w:val="44"/>
          <w:szCs w:val="44"/>
          <w:lang w:val="en-US" w:eastAsia="zh-CN"/>
        </w:rPr>
        <w:t>》的通知</w:t>
      </w:r>
    </w:p>
    <w:p>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rPr>
          <w:rFonts w:hint="eastAsia" w:ascii="宋体" w:hAnsi="宋体" w:eastAsia="方正仿宋简体" w:cs="方正仿宋简体"/>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ind w:left="0" w:leftChars="0"/>
        <w:rPr>
          <w:rFonts w:hint="eastAsia" w:ascii="宋体" w:hAnsi="宋体" w:eastAsia="方正楷体简体" w:cs="方正楷体简体"/>
          <w:sz w:val="32"/>
          <w:szCs w:val="32"/>
          <w:lang w:val="en-US" w:eastAsia="zh-CN"/>
        </w:rPr>
      </w:pPr>
      <w:r>
        <w:rPr>
          <w:rFonts w:hint="eastAsia" w:ascii="宋体" w:hAnsi="宋体" w:eastAsia="方正楷体简体" w:cs="方正楷体简体"/>
          <w:sz w:val="32"/>
          <w:szCs w:val="32"/>
          <w:lang w:val="en-US" w:eastAsia="zh-CN"/>
        </w:rPr>
        <w:t>各乡镇（街道）、县直各单位，各企事业单位，各直属机构：</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rPr>
          <w:rFonts w:hint="eastAsia" w:ascii="宋体" w:hAnsi="宋体" w:eastAsia="方正楷体简体" w:cs="方正楷体简体"/>
          <w:sz w:val="32"/>
          <w:szCs w:val="32"/>
          <w:lang w:val="en-US" w:eastAsia="zh-CN"/>
        </w:rPr>
      </w:pPr>
      <w:r>
        <w:rPr>
          <w:rFonts w:hint="eastAsia" w:ascii="宋体" w:hAnsi="宋体" w:eastAsia="方正楷体简体" w:cs="方正楷体简体"/>
          <w:sz w:val="32"/>
          <w:szCs w:val="32"/>
          <w:lang w:val="en-US" w:eastAsia="zh-CN"/>
        </w:rPr>
        <w:t>《洛浦县创建国家卫生县城工作实施方案》已经洛浦县2023年第39次常委会和洛浦县人民政府2023年第17次常务会议研究通过，现印发你们，请认真抓好贯彻落实。</w:t>
      </w:r>
    </w:p>
    <w:p>
      <w:pPr>
        <w:keepNext w:val="0"/>
        <w:keepLines w:val="0"/>
        <w:pageBreakBefore w:val="0"/>
        <w:kinsoku/>
        <w:wordWrap/>
        <w:overflowPunct/>
        <w:topLinePunct w:val="0"/>
        <w:autoSpaceDE/>
        <w:autoSpaceDN/>
        <w:bidi w:val="0"/>
        <w:adjustRightInd/>
        <w:snapToGrid/>
        <w:spacing w:line="560" w:lineRule="exact"/>
        <w:ind w:left="0" w:leftChars="0"/>
        <w:rPr>
          <w:rFonts w:hint="eastAsia" w:ascii="宋体" w:hAnsi="宋体" w:eastAsia="方正楷体简体" w:cs="方正楷体简体"/>
          <w:sz w:val="32"/>
          <w:szCs w:val="32"/>
        </w:rPr>
      </w:pPr>
      <w:r>
        <w:rPr>
          <w:rFonts w:hint="eastAsia" w:ascii="宋体" w:hAnsi="宋体" w:eastAsia="方正楷体简体" w:cs="方正楷体简体"/>
          <w:sz w:val="32"/>
          <w:szCs w:val="32"/>
        </w:rPr>
        <w:t xml:space="preserve"> </w:t>
      </w:r>
    </w:p>
    <w:p>
      <w:pPr>
        <w:keepNext w:val="0"/>
        <w:keepLines w:val="0"/>
        <w:pageBreakBefore w:val="0"/>
        <w:kinsoku/>
        <w:wordWrap/>
        <w:overflowPunct/>
        <w:topLinePunct w:val="0"/>
        <w:autoSpaceDE/>
        <w:autoSpaceDN/>
        <w:bidi w:val="0"/>
        <w:adjustRightInd/>
        <w:snapToGrid/>
        <w:spacing w:line="560" w:lineRule="exact"/>
        <w:ind w:left="0" w:leftChars="0"/>
        <w:rPr>
          <w:rFonts w:hint="eastAsia" w:ascii="宋体" w:hAnsi="宋体" w:eastAsia="方正楷体简体" w:cs="方正楷体简体"/>
          <w:sz w:val="32"/>
          <w:szCs w:val="32"/>
        </w:rPr>
      </w:pPr>
      <w:r>
        <w:rPr>
          <w:rFonts w:hint="eastAsia" w:ascii="宋体" w:hAnsi="宋体" w:eastAsia="方正楷体简体" w:cs="方正楷体简体"/>
          <w:sz w:val="32"/>
          <w:szCs w:val="32"/>
        </w:rPr>
        <w:t xml:space="preserve">                           洛浦县人民政府办公室           </w:t>
      </w:r>
    </w:p>
    <w:p>
      <w:pPr>
        <w:keepNext w:val="0"/>
        <w:keepLines w:val="0"/>
        <w:pageBreakBefore w:val="0"/>
        <w:kinsoku/>
        <w:wordWrap/>
        <w:overflowPunct/>
        <w:topLinePunct w:val="0"/>
        <w:autoSpaceDE/>
        <w:autoSpaceDN/>
        <w:bidi w:val="0"/>
        <w:adjustRightInd/>
        <w:snapToGrid/>
        <w:spacing w:line="560" w:lineRule="exact"/>
        <w:ind w:left="0" w:leftChars="0"/>
        <w:jc w:val="center"/>
        <w:rPr>
          <w:rFonts w:hint="default" w:ascii="宋体" w:hAnsi="宋体" w:eastAsia="方正楷体简体" w:cs="方正小标宋简体"/>
          <w:color w:val="000000"/>
          <w:sz w:val="44"/>
          <w:szCs w:val="44"/>
          <w:lang w:val="en-US" w:eastAsia="zh-CN"/>
        </w:rPr>
        <w:sectPr>
          <w:pgSz w:w="11906" w:h="16838"/>
          <w:pgMar w:top="2098" w:right="1531" w:bottom="1984" w:left="1531" w:header="851" w:footer="992" w:gutter="0"/>
          <w:pgNumType w:fmt="numberInDash"/>
          <w:cols w:space="720" w:num="1"/>
          <w:docGrid w:type="lines" w:linePitch="312" w:charSpace="0"/>
        </w:sectPr>
      </w:pPr>
      <w:r>
        <w:rPr>
          <w:rFonts w:hint="eastAsia" w:ascii="宋体" w:hAnsi="宋体" w:eastAsia="方正楷体简体" w:cs="方正楷体简体"/>
          <w:sz w:val="32"/>
          <w:szCs w:val="32"/>
        </w:rPr>
        <w:t xml:space="preserve">                   20</w:t>
      </w:r>
      <w:r>
        <w:rPr>
          <w:rFonts w:hint="eastAsia" w:ascii="宋体" w:hAnsi="宋体" w:eastAsia="方正楷体简体" w:cs="方正楷体简体"/>
          <w:sz w:val="32"/>
          <w:szCs w:val="32"/>
          <w:lang w:val="en-US" w:eastAsia="zh-CN"/>
        </w:rPr>
        <w:t>23</w:t>
      </w:r>
      <w:r>
        <w:rPr>
          <w:rFonts w:hint="eastAsia" w:ascii="宋体" w:hAnsi="宋体" w:eastAsia="方正楷体简体" w:cs="方正楷体简体"/>
          <w:sz w:val="32"/>
          <w:szCs w:val="32"/>
        </w:rPr>
        <w:t>年</w:t>
      </w:r>
      <w:r>
        <w:rPr>
          <w:rFonts w:hint="eastAsia" w:ascii="宋体" w:hAnsi="宋体" w:eastAsia="方正楷体简体" w:cs="方正楷体简体"/>
          <w:sz w:val="32"/>
          <w:szCs w:val="32"/>
          <w:lang w:val="en-US" w:eastAsia="zh-CN"/>
        </w:rPr>
        <w:t>6</w:t>
      </w:r>
      <w:r>
        <w:rPr>
          <w:rFonts w:hint="eastAsia" w:ascii="宋体" w:hAnsi="宋体" w:eastAsia="方正楷体简体" w:cs="方正楷体简体"/>
          <w:sz w:val="32"/>
          <w:szCs w:val="32"/>
        </w:rPr>
        <w:t>月</w:t>
      </w:r>
      <w:r>
        <w:rPr>
          <w:rFonts w:hint="eastAsia" w:ascii="宋体" w:hAnsi="宋体" w:eastAsia="方正楷体简体" w:cs="方正楷体简体"/>
          <w:sz w:val="32"/>
          <w:szCs w:val="32"/>
          <w:lang w:val="en-US" w:eastAsia="zh-CN"/>
        </w:rPr>
        <w:t>29日</w:t>
      </w:r>
    </w:p>
    <w:p>
      <w:pPr>
        <w:keepNext w:val="0"/>
        <w:keepLines w:val="0"/>
        <w:pageBreakBefore w:val="0"/>
        <w:kinsoku/>
        <w:overflowPunct/>
        <w:topLinePunct w:val="0"/>
        <w:bidi w:val="0"/>
        <w:spacing w:line="560" w:lineRule="exact"/>
        <w:jc w:val="center"/>
        <w:rPr>
          <w:rFonts w:hint="eastAsia" w:ascii="宋体" w:hAnsi="宋体" w:eastAsia="方正小标宋简体" w:cs="方正小标宋简体"/>
          <w:b w:val="0"/>
          <w:bCs w:val="0"/>
          <w:sz w:val="32"/>
          <w:szCs w:val="32"/>
          <w:lang w:eastAsia="zh-CN"/>
        </w:rPr>
      </w:pPr>
    </w:p>
    <w:p>
      <w:pPr>
        <w:keepNext w:val="0"/>
        <w:keepLines w:val="0"/>
        <w:pageBreakBefore w:val="0"/>
        <w:kinsoku/>
        <w:overflowPunct/>
        <w:topLinePunct w:val="0"/>
        <w:bidi w:val="0"/>
        <w:spacing w:line="560" w:lineRule="exact"/>
        <w:jc w:val="center"/>
        <w:rPr>
          <w:rFonts w:hint="eastAsia" w:ascii="宋体" w:hAnsi="宋体" w:eastAsia="方正小标宋简体" w:cs="方正小标宋简体"/>
          <w:b w:val="0"/>
          <w:bCs w:val="0"/>
          <w:sz w:val="44"/>
          <w:szCs w:val="44"/>
        </w:rPr>
      </w:pPr>
      <w:r>
        <w:rPr>
          <w:rFonts w:hint="eastAsia" w:ascii="宋体" w:hAnsi="宋体" w:eastAsia="方正小标宋简体" w:cs="方正小标宋简体"/>
          <w:b w:val="0"/>
          <w:bCs w:val="0"/>
          <w:sz w:val="44"/>
          <w:szCs w:val="44"/>
          <w:lang w:eastAsia="zh-CN"/>
        </w:rPr>
        <w:t>洛浦县</w:t>
      </w:r>
      <w:r>
        <w:rPr>
          <w:rFonts w:hint="eastAsia" w:ascii="宋体" w:hAnsi="宋体" w:eastAsia="方正小标宋简体" w:cs="方正小标宋简体"/>
          <w:b w:val="0"/>
          <w:bCs w:val="0"/>
          <w:sz w:val="44"/>
          <w:szCs w:val="44"/>
        </w:rPr>
        <w:t>创建国家卫生</w:t>
      </w:r>
      <w:r>
        <w:rPr>
          <w:rFonts w:hint="eastAsia" w:ascii="宋体" w:hAnsi="宋体" w:eastAsia="方正小标宋简体" w:cs="方正小标宋简体"/>
          <w:b w:val="0"/>
          <w:bCs w:val="0"/>
          <w:sz w:val="44"/>
          <w:szCs w:val="44"/>
          <w:lang w:eastAsia="zh-CN"/>
        </w:rPr>
        <w:t>县城工作</w:t>
      </w:r>
      <w:r>
        <w:rPr>
          <w:rFonts w:hint="eastAsia" w:ascii="宋体" w:hAnsi="宋体" w:eastAsia="方正小标宋简体" w:cs="方正小标宋简体"/>
          <w:b w:val="0"/>
          <w:bCs w:val="0"/>
          <w:sz w:val="44"/>
          <w:szCs w:val="44"/>
        </w:rPr>
        <w:t>实施方案</w:t>
      </w: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宋体" w:hAnsi="宋体" w:eastAsia="仿宋_GB2312" w:cs="仿宋_GB2312"/>
          <w:sz w:val="32"/>
          <w:szCs w:val="32"/>
        </w:rPr>
      </w:pPr>
      <w:r>
        <w:rPr>
          <w:rFonts w:hint="eastAsia" w:ascii="宋体" w:hAnsi="宋体" w:eastAsia="仿宋_GB2312" w:cs="仿宋_GB2312"/>
          <w:sz w:val="32"/>
          <w:szCs w:val="32"/>
        </w:rPr>
        <w:t xml:space="preserve">    </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74" w:lineRule="exact"/>
        <w:ind w:left="0" w:right="0" w:firstLine="640" w:firstLineChars="200"/>
        <w:jc w:val="both"/>
        <w:textAlignment w:val="auto"/>
        <w:rPr>
          <w:rFonts w:hint="eastAsia" w:ascii="宋体" w:hAnsi="宋体" w:eastAsia="方正仿宋简体" w:cs="Times New Roman"/>
          <w:sz w:val="32"/>
          <w:szCs w:val="32"/>
          <w:lang w:bidi="ar-SA"/>
        </w:rPr>
      </w:pPr>
      <w:r>
        <w:rPr>
          <w:rFonts w:hint="eastAsia" w:ascii="宋体" w:hAnsi="宋体" w:eastAsia="方正仿宋简体" w:cs="Times New Roman"/>
          <w:sz w:val="32"/>
          <w:szCs w:val="32"/>
          <w:lang w:bidi="ar-SA"/>
        </w:rPr>
        <w:t>为深入贯彻落实国务院《关于深入开展爱国卫生运动的意见》（国</w:t>
      </w:r>
      <w:r>
        <w:rPr>
          <w:rFonts w:hint="eastAsia" w:ascii="宋体" w:hAnsi="宋体" w:eastAsia="方正仿宋简体" w:cs="Times New Roman"/>
          <w:sz w:val="32"/>
          <w:szCs w:val="32"/>
          <w:lang w:eastAsia="zh-CN" w:bidi="ar-SA"/>
        </w:rPr>
        <w:t>办</w:t>
      </w:r>
      <w:r>
        <w:rPr>
          <w:rFonts w:hint="eastAsia" w:ascii="宋体" w:hAnsi="宋体" w:eastAsia="方正仿宋简体" w:cs="Times New Roman"/>
          <w:sz w:val="32"/>
          <w:szCs w:val="32"/>
          <w:lang w:bidi="ar-SA"/>
        </w:rPr>
        <w:t>发〔2020〕15号）</w:t>
      </w:r>
      <w:r>
        <w:rPr>
          <w:rFonts w:hint="eastAsia" w:ascii="宋体" w:hAnsi="宋体" w:eastAsia="方正仿宋简体" w:cs="Times New Roman"/>
          <w:sz w:val="32"/>
          <w:szCs w:val="32"/>
          <w:lang w:eastAsia="zh-CN" w:bidi="ar-SA"/>
        </w:rPr>
        <w:t>《习近平总书记关于开展爱国卫生运动重要指示精神》</w:t>
      </w:r>
      <w:r>
        <w:rPr>
          <w:rFonts w:hint="eastAsia" w:ascii="宋体" w:hAnsi="宋体" w:eastAsia="方正仿宋简体" w:cs="Times New Roman"/>
          <w:sz w:val="32"/>
          <w:szCs w:val="32"/>
          <w:lang w:bidi="ar-SA"/>
        </w:rPr>
        <w:t>，全面推进</w:t>
      </w:r>
      <w:r>
        <w:rPr>
          <w:rFonts w:hint="eastAsia" w:ascii="宋体" w:hAnsi="宋体" w:eastAsia="方正仿宋简体" w:cs="Times New Roman"/>
          <w:sz w:val="32"/>
          <w:szCs w:val="32"/>
          <w:lang w:eastAsia="zh-CN" w:bidi="ar-SA"/>
        </w:rPr>
        <w:t>我县卫生县城</w:t>
      </w:r>
      <w:r>
        <w:rPr>
          <w:rFonts w:hint="eastAsia" w:ascii="宋体" w:hAnsi="宋体" w:eastAsia="方正仿宋简体" w:cs="Times New Roman"/>
          <w:sz w:val="32"/>
          <w:szCs w:val="32"/>
          <w:lang w:bidi="ar-SA"/>
        </w:rPr>
        <w:t>创建工作，进一步完善城市功能，改善投资环境，提升城市品位，优化人居环境，提高</w:t>
      </w:r>
      <w:r>
        <w:rPr>
          <w:rFonts w:hint="eastAsia" w:ascii="宋体" w:hAnsi="宋体" w:eastAsia="方正仿宋简体" w:cs="Times New Roman"/>
          <w:sz w:val="32"/>
          <w:szCs w:val="32"/>
          <w:lang w:eastAsia="zh-CN" w:bidi="ar-SA"/>
        </w:rPr>
        <w:t>群众</w:t>
      </w:r>
      <w:r>
        <w:rPr>
          <w:rFonts w:hint="eastAsia" w:ascii="宋体" w:hAnsi="宋体" w:eastAsia="方正仿宋简体" w:cs="Times New Roman"/>
          <w:sz w:val="32"/>
          <w:szCs w:val="32"/>
          <w:lang w:bidi="ar-SA"/>
        </w:rPr>
        <w:t>的素质和城市文明程度，构建和谐社会，依照《国家</w:t>
      </w:r>
      <w:r>
        <w:rPr>
          <w:rFonts w:hint="eastAsia" w:ascii="宋体" w:hAnsi="宋体" w:eastAsia="方正仿宋简体" w:cs="Times New Roman"/>
          <w:sz w:val="32"/>
          <w:szCs w:val="32"/>
          <w:lang w:eastAsia="zh-CN" w:bidi="ar-SA"/>
        </w:rPr>
        <w:t>卫生城镇</w:t>
      </w:r>
      <w:r>
        <w:rPr>
          <w:rFonts w:hint="eastAsia" w:ascii="宋体" w:hAnsi="宋体" w:eastAsia="方正仿宋简体" w:cs="Times New Roman"/>
          <w:sz w:val="32"/>
          <w:szCs w:val="32"/>
          <w:lang w:bidi="ar-SA"/>
        </w:rPr>
        <w:t>标准（2021版）》（以下简称《标准》），结合</w:t>
      </w:r>
      <w:r>
        <w:rPr>
          <w:rFonts w:hint="eastAsia" w:ascii="宋体" w:hAnsi="宋体" w:eastAsia="方正仿宋简体" w:cs="Times New Roman"/>
          <w:sz w:val="32"/>
          <w:szCs w:val="32"/>
          <w:lang w:eastAsia="zh-CN" w:bidi="ar-SA"/>
        </w:rPr>
        <w:t>我县</w:t>
      </w:r>
      <w:r>
        <w:rPr>
          <w:rFonts w:hint="eastAsia" w:ascii="宋体" w:hAnsi="宋体" w:eastAsia="方正仿宋简体" w:cs="Times New Roman"/>
          <w:sz w:val="32"/>
          <w:szCs w:val="32"/>
          <w:lang w:bidi="ar-SA"/>
        </w:rPr>
        <w:t xml:space="preserve">实际，制定本方案。 </w:t>
      </w: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宋体" w:hAnsi="宋体" w:eastAsia="方正黑体_GBK" w:cs="方正黑体_GBK"/>
          <w:sz w:val="32"/>
          <w:szCs w:val="32"/>
        </w:rPr>
      </w:pPr>
      <w:r>
        <w:rPr>
          <w:rFonts w:hint="eastAsia" w:ascii="宋体" w:hAnsi="宋体" w:eastAsia="仿宋_GB2312" w:cs="仿宋_GB2312"/>
          <w:sz w:val="32"/>
          <w:szCs w:val="32"/>
        </w:rPr>
        <w:t xml:space="preserve"> </w:t>
      </w:r>
      <w:r>
        <w:rPr>
          <w:rFonts w:hint="eastAsia" w:ascii="宋体" w:hAnsi="宋体" w:eastAsia="方正仿宋_GBK" w:cs="方正仿宋_GBK"/>
          <w:sz w:val="32"/>
          <w:szCs w:val="32"/>
        </w:rPr>
        <w:t xml:space="preserve">  </w:t>
      </w:r>
      <w:r>
        <w:rPr>
          <w:rFonts w:hint="eastAsia" w:ascii="宋体" w:hAnsi="宋体" w:eastAsia="方正黑体_GBK" w:cs="方正黑体_GBK"/>
          <w:sz w:val="32"/>
          <w:szCs w:val="32"/>
        </w:rPr>
        <w:t xml:space="preserve"> 一、指导思想 </w:t>
      </w: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宋体" w:hAnsi="宋体" w:eastAsia="方正仿宋简体" w:cs="Times New Roman"/>
          <w:kern w:val="0"/>
          <w:sz w:val="32"/>
          <w:szCs w:val="32"/>
          <w:lang w:val="en-US" w:eastAsia="zh-CN" w:bidi="ar-SA"/>
        </w:rPr>
      </w:pPr>
      <w:r>
        <w:rPr>
          <w:rFonts w:hint="eastAsia" w:ascii="宋体" w:hAnsi="宋体" w:eastAsia="方正仿宋_GBK" w:cs="方正仿宋_GBK"/>
          <w:sz w:val="32"/>
          <w:szCs w:val="32"/>
        </w:rPr>
        <w:t xml:space="preserve">    </w:t>
      </w:r>
      <w:r>
        <w:rPr>
          <w:rFonts w:hint="eastAsia" w:ascii="宋体" w:hAnsi="宋体" w:eastAsia="方正仿宋简体" w:cs="Times New Roman"/>
          <w:kern w:val="0"/>
          <w:sz w:val="32"/>
          <w:szCs w:val="32"/>
          <w:lang w:val="en-US" w:eastAsia="zh-CN" w:bidi="ar-SA"/>
        </w:rPr>
        <w:t xml:space="preserve">认真贯彻落实党的二十大精神及自治区关于创建卫生县城工作要求，通过政府主导、部门合作、社会参与，本着“以人为本，完善功能，优化环境，提升品位”的原则，以治理脏、乱、差为切入点，全面改变城乡环境卫生面貌，优化人居环境，提高城市文明程度，促进我县经济社会高质量发展，建立完善卫生县城管理的长效机制。 </w:t>
      </w: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 xml:space="preserve">  </w:t>
      </w:r>
      <w:r>
        <w:rPr>
          <w:rFonts w:hint="eastAsia" w:ascii="宋体" w:hAnsi="宋体" w:eastAsia="方正黑体_GBK" w:cs="方正黑体_GBK"/>
          <w:sz w:val="32"/>
          <w:szCs w:val="32"/>
        </w:rPr>
        <w:t xml:space="preserve">  二、总体目标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简体" w:cs="Times New Roman"/>
          <w:kern w:val="0"/>
          <w:sz w:val="32"/>
          <w:szCs w:val="32"/>
          <w:lang w:val="en-US" w:eastAsia="zh-CN" w:bidi="ar-SA"/>
        </w:rPr>
      </w:pPr>
      <w:r>
        <w:rPr>
          <w:rFonts w:hint="eastAsia" w:ascii="宋体" w:hAnsi="宋体" w:eastAsia="方正仿宋简体" w:cs="Times New Roman"/>
          <w:kern w:val="0"/>
          <w:sz w:val="32"/>
          <w:szCs w:val="32"/>
          <w:lang w:val="en-US" w:eastAsia="zh-CN" w:bidi="ar-SA"/>
        </w:rPr>
        <w:t xml:space="preserve">根据《标准》，在爱国卫生组织管理、健康教育和健康促进、市容环境卫生、生态环境、重点场所卫生、食品和生活饮用水安全、疾病防控与医疗卫生服务等7大项42小项任务全部达标，坚持重点突破与全面推进、专项整治与综合治理、阶段工作与长效管理相结合，坚持为民、靠民、惠民的创建理念，抓重点、补短板、强弱项，按照“统一领导、属地管理、部门负责、集中整治、注重长效”的工作原则，精心组织，周密部署，横向到边，纵向到底，全民动员，全面整治，进一步加强城市硬件、软件建设，提升全民卫生文明素质，提高城市建设与卫生管理水平，以优异的成绩顺利通过2024年国家卫生县城验收。 </w:t>
      </w: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560" w:lineRule="exact"/>
        <w:ind w:firstLine="640" w:firstLineChars="200"/>
        <w:textAlignment w:val="auto"/>
        <w:rPr>
          <w:rFonts w:hint="eastAsia" w:ascii="宋体" w:hAnsi="宋体" w:eastAsia="方正黑体_GBK" w:cs="方正黑体_GBK"/>
          <w:kern w:val="0"/>
          <w:sz w:val="32"/>
          <w:szCs w:val="32"/>
          <w:lang w:val="en-US" w:eastAsia="zh-CN" w:bidi="ar"/>
        </w:rPr>
      </w:pPr>
      <w:r>
        <w:rPr>
          <w:rFonts w:hint="eastAsia" w:ascii="宋体" w:hAnsi="宋体" w:eastAsia="方正黑体_GBK" w:cs="方正黑体_GBK"/>
          <w:sz w:val="32"/>
          <w:szCs w:val="32"/>
          <w:lang w:eastAsia="zh-CN"/>
        </w:rPr>
        <w:t>三、</w:t>
      </w:r>
      <w:r>
        <w:rPr>
          <w:rFonts w:hint="eastAsia" w:ascii="宋体" w:hAnsi="宋体" w:eastAsia="方正黑体_GBK" w:cs="方正黑体_GBK"/>
          <w:kern w:val="0"/>
          <w:sz w:val="32"/>
          <w:szCs w:val="32"/>
          <w:lang w:val="en-US" w:eastAsia="zh-CN" w:bidi="ar"/>
        </w:rPr>
        <w:t>组织领导</w:t>
      </w: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560" w:lineRule="exact"/>
        <w:ind w:firstLine="640" w:firstLineChars="200"/>
        <w:textAlignment w:val="auto"/>
        <w:rPr>
          <w:rFonts w:hint="eastAsia" w:ascii="宋体" w:hAnsi="宋体" w:eastAsia="方正仿宋_GBK" w:cs="方正仿宋_GBK"/>
          <w:lang w:val="en-US" w:eastAsia="zh-CN"/>
        </w:rPr>
      </w:pPr>
      <w:r>
        <w:rPr>
          <w:rFonts w:hint="eastAsia" w:ascii="宋体" w:hAnsi="宋体" w:eastAsia="方正仿宋简体" w:cs="Times New Roman"/>
          <w:kern w:val="0"/>
          <w:sz w:val="32"/>
          <w:szCs w:val="32"/>
          <w:lang w:val="en-US" w:eastAsia="zh-CN" w:bidi="ar-SA"/>
        </w:rPr>
        <w:t>为全力做好洛浦县创建国家卫生县城工作，成立洛浦县创卫工作领导小组，组成人员如下：</w:t>
      </w:r>
    </w:p>
    <w:p>
      <w:pPr>
        <w:keepNext w:val="0"/>
        <w:keepLines w:val="0"/>
        <w:pageBreakBefore w:val="0"/>
        <w:widowControl w:val="0"/>
        <w:kinsoku/>
        <w:wordWrap/>
        <w:overflowPunct/>
        <w:topLinePunct w:val="0"/>
        <w:autoSpaceDE/>
        <w:autoSpaceDN/>
        <w:bidi w:val="0"/>
        <w:adjustRightInd/>
        <w:spacing w:line="560" w:lineRule="exact"/>
        <w:ind w:firstLine="642" w:firstLineChars="200"/>
        <w:textAlignment w:val="auto"/>
        <w:rPr>
          <w:rFonts w:hint="eastAsia" w:ascii="宋体" w:hAnsi="宋体" w:eastAsia="方正仿宋简体" w:cs="Times New Roman"/>
          <w:kern w:val="0"/>
          <w:sz w:val="32"/>
          <w:szCs w:val="32"/>
          <w:lang w:val="en-US" w:eastAsia="zh-CN" w:bidi="ar-SA"/>
        </w:rPr>
      </w:pPr>
      <w:r>
        <w:rPr>
          <w:rFonts w:hint="eastAsia" w:ascii="宋体" w:hAnsi="宋体" w:eastAsia="方正仿宋简体" w:cs="Times New Roman"/>
          <w:b/>
          <w:bCs/>
          <w:kern w:val="0"/>
          <w:sz w:val="32"/>
          <w:szCs w:val="32"/>
          <w:lang w:val="en-US" w:eastAsia="zh-CN" w:bidi="ar-SA"/>
        </w:rPr>
        <w:t>组  长</w:t>
      </w:r>
      <w:r>
        <w:rPr>
          <w:rFonts w:hint="eastAsia" w:ascii="宋体" w:hAnsi="宋体" w:eastAsia="方正仿宋简体" w:cs="Times New Roman"/>
          <w:kern w:val="0"/>
          <w:sz w:val="32"/>
          <w:szCs w:val="32"/>
          <w:lang w:val="en-US" w:eastAsia="zh-CN" w:bidi="ar-SA"/>
        </w:rPr>
        <w:t xml:space="preserve">：地力夏提·库尔班    </w:t>
      </w:r>
      <w:r>
        <w:rPr>
          <w:rFonts w:hint="eastAsia" w:ascii="宋体" w:hAnsi="宋体" w:eastAsia="方正仿宋简体" w:cs="Times New Roman"/>
          <w:kern w:val="0"/>
          <w:sz w:val="32"/>
          <w:szCs w:val="32"/>
          <w:lang w:val="en" w:eastAsia="zh-CN" w:bidi="ar-SA"/>
        </w:rPr>
        <w:t xml:space="preserve">    </w:t>
      </w:r>
      <w:r>
        <w:rPr>
          <w:rFonts w:hint="eastAsia" w:ascii="宋体" w:hAnsi="宋体" w:eastAsia="方正仿宋简体" w:cs="Times New Roman"/>
          <w:kern w:val="0"/>
          <w:sz w:val="32"/>
          <w:szCs w:val="32"/>
          <w:lang w:val="en-US" w:eastAsia="zh-CN" w:bidi="ar-SA"/>
        </w:rPr>
        <w:t xml:space="preserve">   县委副书记、县长</w:t>
      </w:r>
    </w:p>
    <w:p>
      <w:pPr>
        <w:pStyle w:val="5"/>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2" w:firstLineChars="200"/>
        <w:jc w:val="both"/>
        <w:textAlignment w:val="auto"/>
        <w:rPr>
          <w:rFonts w:hint="default" w:ascii="宋体" w:hAnsi="宋体" w:eastAsia="方正仿宋_GBK" w:cs="方正仿宋_GBK"/>
          <w:color w:val="auto"/>
          <w:w w:val="100"/>
          <w:sz w:val="32"/>
          <w:szCs w:val="32"/>
          <w:lang w:val="en-US" w:eastAsia="zh-CN"/>
        </w:rPr>
      </w:pPr>
      <w:r>
        <w:rPr>
          <w:rFonts w:hint="eastAsia" w:ascii="宋体" w:hAnsi="宋体" w:eastAsia="方正仿宋_GBK" w:cs="方正仿宋_GBK"/>
          <w:b/>
          <w:bCs/>
          <w:color w:val="auto"/>
          <w:w w:val="100"/>
          <w:sz w:val="32"/>
          <w:szCs w:val="32"/>
        </w:rPr>
        <w:t>副</w:t>
      </w:r>
      <w:r>
        <w:rPr>
          <w:rFonts w:hint="eastAsia" w:ascii="宋体" w:hAnsi="宋体" w:eastAsia="方正仿宋_GBK" w:cs="方正仿宋_GBK"/>
          <w:b/>
          <w:bCs/>
          <w:color w:val="auto"/>
          <w:w w:val="100"/>
          <w:sz w:val="32"/>
          <w:szCs w:val="32"/>
          <w:lang w:eastAsia="zh-CN"/>
        </w:rPr>
        <w:t>组长</w:t>
      </w:r>
      <w:r>
        <w:rPr>
          <w:rFonts w:hint="eastAsia" w:ascii="宋体" w:hAnsi="宋体" w:eastAsia="方正仿宋_GBK" w:cs="方正仿宋_GBK"/>
          <w:color w:val="auto"/>
          <w:w w:val="100"/>
          <w:sz w:val="32"/>
          <w:szCs w:val="32"/>
          <w:lang w:eastAsia="zh-CN"/>
        </w:rPr>
        <w:t>：艾合买提江</w:t>
      </w:r>
      <w:r>
        <w:rPr>
          <w:rFonts w:hint="eastAsia" w:ascii="宋体" w:hAnsi="宋体" w:eastAsia="方正仿宋_GBK" w:cs="方正仿宋_GBK"/>
          <w:color w:val="auto"/>
          <w:w w:val="100"/>
          <w:sz w:val="32"/>
          <w:szCs w:val="32"/>
          <w:lang w:val="en-US" w:eastAsia="zh-CN"/>
        </w:rPr>
        <w:t>·司马义               县委副书记</w:t>
      </w:r>
    </w:p>
    <w:p>
      <w:pPr>
        <w:pStyle w:val="5"/>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1920" w:firstLineChars="600"/>
        <w:jc w:val="left"/>
        <w:textAlignment w:val="auto"/>
        <w:rPr>
          <w:rFonts w:hint="default" w:ascii="宋体" w:hAnsi="宋体" w:eastAsia="方正仿宋_GBK" w:cs="方正仿宋_GBK"/>
          <w:color w:val="auto"/>
          <w:w w:val="100"/>
          <w:sz w:val="32"/>
          <w:szCs w:val="32"/>
          <w:lang w:val="en-US" w:eastAsia="zh-CN"/>
        </w:rPr>
      </w:pPr>
      <w:r>
        <w:rPr>
          <w:rFonts w:hint="eastAsia" w:ascii="宋体" w:hAnsi="宋体" w:eastAsia="方正仿宋_GBK" w:cs="方正仿宋_GBK"/>
          <w:color w:val="auto"/>
          <w:w w:val="100"/>
          <w:sz w:val="32"/>
          <w:szCs w:val="32"/>
          <w:lang w:val="en-US" w:eastAsia="zh-CN"/>
        </w:rPr>
        <w:t>吴长海               县委副书记、政法委书记</w:t>
      </w:r>
    </w:p>
    <w:p>
      <w:pPr>
        <w:pStyle w:val="5"/>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1920" w:firstLineChars="600"/>
        <w:jc w:val="both"/>
        <w:textAlignment w:val="auto"/>
        <w:rPr>
          <w:rFonts w:hint="eastAsia" w:ascii="宋体" w:hAnsi="宋体" w:eastAsia="方正仿宋_GBK" w:cs="方正仿宋_GBK"/>
          <w:color w:val="auto"/>
          <w:w w:val="100"/>
          <w:sz w:val="32"/>
          <w:szCs w:val="32"/>
          <w:lang w:eastAsia="zh-CN"/>
        </w:rPr>
      </w:pPr>
      <w:r>
        <w:rPr>
          <w:rFonts w:hint="eastAsia" w:ascii="宋体" w:hAnsi="宋体" w:eastAsia="方正仿宋_GBK" w:cs="方正仿宋_GBK"/>
          <w:color w:val="auto"/>
          <w:w w:val="100"/>
          <w:sz w:val="32"/>
          <w:szCs w:val="32"/>
          <w:lang w:eastAsia="zh-CN"/>
        </w:rPr>
        <w:t>邹世音</w:t>
      </w:r>
      <w:r>
        <w:rPr>
          <w:rFonts w:hint="eastAsia" w:ascii="宋体" w:hAnsi="宋体" w:eastAsia="方正仿宋_GBK" w:cs="方正仿宋_GBK"/>
          <w:color w:val="auto"/>
          <w:w w:val="100"/>
          <w:sz w:val="32"/>
          <w:szCs w:val="32"/>
          <w:lang w:val="en-US" w:eastAsia="zh-CN"/>
        </w:rPr>
        <w:t xml:space="preserve">                 县委常委、</w:t>
      </w:r>
      <w:r>
        <w:rPr>
          <w:rFonts w:hint="eastAsia" w:ascii="宋体" w:hAnsi="宋体" w:eastAsia="方正仿宋_GBK" w:cs="方正仿宋_GBK"/>
          <w:color w:val="auto"/>
          <w:w w:val="100"/>
          <w:sz w:val="32"/>
          <w:szCs w:val="32"/>
          <w:lang w:eastAsia="zh-CN"/>
        </w:rPr>
        <w:t>组织部部长</w:t>
      </w:r>
    </w:p>
    <w:p>
      <w:pPr>
        <w:pStyle w:val="5"/>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jc w:val="left"/>
        <w:textAlignment w:val="auto"/>
        <w:rPr>
          <w:rFonts w:hint="default" w:ascii="宋体" w:hAnsi="宋体" w:eastAsia="方正仿宋_GBK" w:cs="方正仿宋_GBK"/>
          <w:color w:val="auto"/>
          <w:w w:val="100"/>
          <w:sz w:val="32"/>
          <w:szCs w:val="32"/>
          <w:lang w:val="en-US" w:eastAsia="zh-CN"/>
        </w:rPr>
      </w:pPr>
      <w:r>
        <w:rPr>
          <w:rFonts w:hint="eastAsia" w:ascii="宋体" w:hAnsi="宋体" w:eastAsia="方正仿宋_GBK" w:cs="方正仿宋_GBK"/>
          <w:color w:val="auto"/>
          <w:w w:val="100"/>
          <w:sz w:val="32"/>
          <w:szCs w:val="32"/>
          <w:lang w:val="en-US" w:eastAsia="zh-CN"/>
        </w:rPr>
        <w:t xml:space="preserve">            黄湘鹏                 县委常委、常务副县长</w:t>
      </w:r>
    </w:p>
    <w:p>
      <w:pPr>
        <w:pStyle w:val="5"/>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1920" w:firstLineChars="600"/>
        <w:jc w:val="left"/>
        <w:textAlignment w:val="auto"/>
        <w:rPr>
          <w:rFonts w:hint="default" w:ascii="宋体" w:hAnsi="宋体" w:eastAsia="方正仿宋_GBK" w:cs="方正仿宋_GBK"/>
          <w:color w:val="auto"/>
          <w:w w:val="100"/>
          <w:sz w:val="32"/>
          <w:szCs w:val="32"/>
          <w:lang w:val="en-US" w:eastAsia="zh-CN"/>
        </w:rPr>
      </w:pPr>
      <w:r>
        <w:rPr>
          <w:rFonts w:hint="eastAsia" w:ascii="宋体" w:hAnsi="宋体" w:eastAsia="方正仿宋_GBK" w:cs="方正仿宋_GBK"/>
          <w:color w:val="auto"/>
          <w:w w:val="100"/>
          <w:sz w:val="32"/>
          <w:szCs w:val="32"/>
          <w:lang w:val="en-US" w:eastAsia="zh-CN"/>
        </w:rPr>
        <w:t>白秀茜                 县委常委、宣传部部长</w:t>
      </w:r>
    </w:p>
    <w:p>
      <w:pPr>
        <w:pStyle w:val="5"/>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1920" w:firstLineChars="600"/>
        <w:jc w:val="left"/>
        <w:textAlignment w:val="auto"/>
        <w:rPr>
          <w:rFonts w:hint="default" w:ascii="宋体" w:hAnsi="宋体" w:eastAsia="方正仿宋_GBK" w:cs="方正仿宋_GBK"/>
          <w:color w:val="auto"/>
          <w:w w:val="100"/>
          <w:sz w:val="32"/>
          <w:szCs w:val="32"/>
          <w:lang w:val="en-US" w:eastAsia="zh-CN"/>
        </w:rPr>
      </w:pPr>
      <w:r>
        <w:rPr>
          <w:rFonts w:hint="eastAsia" w:ascii="宋体" w:hAnsi="宋体" w:eastAsia="方正仿宋_GBK" w:cs="方正仿宋_GBK"/>
          <w:color w:val="auto"/>
          <w:w w:val="100"/>
          <w:sz w:val="32"/>
          <w:szCs w:val="32"/>
          <w:lang w:val="en-US" w:eastAsia="zh-CN"/>
        </w:rPr>
        <w:t>艾力·巴拉提                         副县长</w:t>
      </w:r>
    </w:p>
    <w:p>
      <w:pPr>
        <w:pStyle w:val="5"/>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1920" w:firstLineChars="600"/>
        <w:jc w:val="left"/>
        <w:textAlignment w:val="auto"/>
        <w:rPr>
          <w:rFonts w:hint="eastAsia" w:ascii="宋体" w:hAnsi="宋体" w:eastAsia="方正仿宋_GBK" w:cs="方正仿宋_GBK"/>
          <w:color w:val="auto"/>
          <w:w w:val="100"/>
          <w:sz w:val="32"/>
          <w:szCs w:val="32"/>
          <w:lang w:eastAsia="zh-CN"/>
        </w:rPr>
      </w:pPr>
      <w:r>
        <w:rPr>
          <w:rFonts w:hint="eastAsia" w:ascii="宋体" w:hAnsi="宋体" w:eastAsia="方正仿宋_GBK" w:cs="方正仿宋_GBK"/>
          <w:color w:val="auto"/>
          <w:w w:val="100"/>
          <w:sz w:val="32"/>
          <w:szCs w:val="32"/>
          <w:lang w:eastAsia="zh-CN"/>
        </w:rPr>
        <w:t>王润景</w:t>
      </w:r>
      <w:r>
        <w:rPr>
          <w:rFonts w:hint="eastAsia" w:ascii="宋体" w:hAnsi="宋体" w:eastAsia="方正仿宋_GBK" w:cs="方正仿宋_GBK"/>
          <w:color w:val="auto"/>
          <w:w w:val="100"/>
          <w:sz w:val="32"/>
          <w:szCs w:val="32"/>
          <w:lang w:val="en-US" w:eastAsia="zh-CN"/>
        </w:rPr>
        <w:t xml:space="preserve">                               </w:t>
      </w:r>
      <w:r>
        <w:rPr>
          <w:rFonts w:hint="eastAsia" w:ascii="宋体" w:hAnsi="宋体" w:eastAsia="方正仿宋_GBK" w:cs="方正仿宋_GBK"/>
          <w:color w:val="auto"/>
          <w:w w:val="100"/>
          <w:sz w:val="32"/>
          <w:szCs w:val="32"/>
        </w:rPr>
        <w:t>副县长</w:t>
      </w:r>
    </w:p>
    <w:p>
      <w:pPr>
        <w:pStyle w:val="5"/>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2" w:firstLineChars="200"/>
        <w:jc w:val="both"/>
        <w:textAlignment w:val="auto"/>
        <w:rPr>
          <w:rFonts w:hint="eastAsia" w:ascii="宋体" w:hAnsi="宋体" w:eastAsia="方正仿宋_GBK" w:cs="方正仿宋_GBK"/>
          <w:color w:val="auto"/>
          <w:sz w:val="32"/>
          <w:szCs w:val="32"/>
        </w:rPr>
      </w:pPr>
      <w:r>
        <w:rPr>
          <w:rFonts w:hint="eastAsia" w:ascii="宋体" w:hAnsi="宋体" w:eastAsia="方正仿宋_GBK" w:cs="方正仿宋_GBK"/>
          <w:b/>
          <w:bCs/>
          <w:color w:val="auto"/>
          <w:sz w:val="32"/>
          <w:szCs w:val="32"/>
        </w:rPr>
        <w:t>成</w:t>
      </w:r>
      <w:r>
        <w:rPr>
          <w:rFonts w:hint="eastAsia" w:ascii="宋体" w:hAnsi="宋体" w:eastAsia="方正仿宋_GBK" w:cs="方正仿宋_GBK"/>
          <w:b/>
          <w:bCs/>
          <w:color w:val="auto"/>
          <w:sz w:val="32"/>
          <w:szCs w:val="32"/>
          <w:lang w:val="en-US" w:eastAsia="zh-CN"/>
        </w:rPr>
        <w:t xml:space="preserve">  </w:t>
      </w:r>
      <w:r>
        <w:rPr>
          <w:rFonts w:hint="eastAsia" w:ascii="宋体" w:hAnsi="宋体" w:eastAsia="方正仿宋_GBK" w:cs="方正仿宋_GBK"/>
          <w:b/>
          <w:bCs/>
          <w:color w:val="auto"/>
          <w:sz w:val="32"/>
          <w:szCs w:val="32"/>
        </w:rPr>
        <w:t>员</w:t>
      </w:r>
      <w:r>
        <w:rPr>
          <w:rFonts w:hint="eastAsia" w:ascii="宋体" w:hAnsi="宋体" w:eastAsia="方正仿宋_GBK" w:cs="方正仿宋_GBK"/>
          <w:color w:val="auto"/>
          <w:sz w:val="32"/>
          <w:szCs w:val="32"/>
        </w:rPr>
        <w:t>：</w:t>
      </w:r>
      <w:r>
        <w:rPr>
          <w:rFonts w:hint="eastAsia" w:ascii="宋体" w:hAnsi="宋体" w:eastAsia="方正仿宋_GBK" w:cs="方正仿宋_GBK"/>
          <w:color w:val="auto"/>
          <w:sz w:val="32"/>
          <w:szCs w:val="32"/>
          <w:lang w:eastAsia="zh-CN"/>
        </w:rPr>
        <w:t>王</w:t>
      </w:r>
      <w:r>
        <w:rPr>
          <w:rFonts w:hint="eastAsia" w:ascii="宋体" w:hAnsi="宋体" w:eastAsia="方正仿宋_GBK" w:cs="方正仿宋_GBK"/>
          <w:color w:val="auto"/>
          <w:sz w:val="32"/>
          <w:szCs w:val="32"/>
          <w:lang w:val="en-US" w:eastAsia="zh-CN"/>
        </w:rPr>
        <w:t xml:space="preserve">  </w:t>
      </w:r>
      <w:r>
        <w:rPr>
          <w:rFonts w:hint="eastAsia" w:ascii="宋体" w:hAnsi="宋体" w:eastAsia="方正仿宋_GBK" w:cs="方正仿宋_GBK"/>
          <w:color w:val="auto"/>
          <w:sz w:val="32"/>
          <w:szCs w:val="32"/>
          <w:lang w:eastAsia="zh-CN"/>
        </w:rPr>
        <w:t>刚</w:t>
      </w:r>
      <w:r>
        <w:rPr>
          <w:rFonts w:hint="eastAsia" w:ascii="宋体" w:hAnsi="宋体" w:eastAsia="方正仿宋_GBK" w:cs="方正仿宋_GBK"/>
          <w:color w:val="auto"/>
          <w:sz w:val="32"/>
          <w:szCs w:val="32"/>
          <w:lang w:val="en-US" w:eastAsia="zh-CN"/>
        </w:rPr>
        <w:t xml:space="preserve">                       </w:t>
      </w:r>
      <w:r>
        <w:rPr>
          <w:rFonts w:hint="eastAsia" w:ascii="宋体" w:hAnsi="宋体" w:eastAsia="方正仿宋_GBK" w:cs="方正仿宋_GBK"/>
          <w:color w:val="auto"/>
          <w:sz w:val="32"/>
          <w:szCs w:val="32"/>
        </w:rPr>
        <w:t>县委办公室主任</w:t>
      </w:r>
    </w:p>
    <w:p>
      <w:pPr>
        <w:pStyle w:val="5"/>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1920" w:firstLineChars="600"/>
        <w:jc w:val="both"/>
        <w:textAlignment w:val="auto"/>
        <w:rPr>
          <w:rFonts w:hint="eastAsia" w:ascii="宋体" w:hAnsi="宋体" w:eastAsia="方正仿宋_GBK" w:cs="方正仿宋_GBK"/>
          <w:color w:val="auto"/>
          <w:sz w:val="32"/>
          <w:szCs w:val="32"/>
          <w:lang w:eastAsia="zh-CN"/>
        </w:rPr>
      </w:pPr>
      <w:r>
        <w:rPr>
          <w:rFonts w:hint="eastAsia" w:ascii="宋体" w:hAnsi="宋体" w:eastAsia="方正仿宋_GBK" w:cs="方正仿宋_GBK"/>
          <w:color w:val="auto"/>
          <w:sz w:val="32"/>
          <w:szCs w:val="32"/>
          <w:lang w:val="en-US" w:eastAsia="zh-CN"/>
        </w:rPr>
        <w:t xml:space="preserve">胡  琦                       </w:t>
      </w:r>
      <w:r>
        <w:rPr>
          <w:rFonts w:hint="eastAsia" w:ascii="宋体" w:hAnsi="宋体" w:eastAsia="方正仿宋_GBK" w:cs="方正仿宋_GBK"/>
          <w:color w:val="auto"/>
          <w:sz w:val="32"/>
          <w:szCs w:val="32"/>
        </w:rPr>
        <w:t>政府办公室主任</w:t>
      </w:r>
    </w:p>
    <w:p>
      <w:pPr>
        <w:pStyle w:val="5"/>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1920" w:firstLineChars="600"/>
        <w:jc w:val="both"/>
        <w:textAlignment w:val="auto"/>
        <w:rPr>
          <w:rFonts w:hint="eastAsia" w:ascii="宋体" w:hAnsi="宋体" w:eastAsia="方正仿宋_GBK" w:cs="方正仿宋_GBK"/>
          <w:color w:val="auto"/>
          <w:sz w:val="32"/>
          <w:szCs w:val="32"/>
        </w:rPr>
      </w:pPr>
      <w:r>
        <w:rPr>
          <w:rFonts w:hint="eastAsia" w:ascii="宋体" w:hAnsi="宋体" w:eastAsia="方正仿宋_GBK" w:cs="方正仿宋_GBK"/>
          <w:color w:val="auto"/>
          <w:sz w:val="32"/>
          <w:szCs w:val="32"/>
          <w:lang w:eastAsia="zh-CN"/>
        </w:rPr>
        <w:t>艾则祖拉</w:t>
      </w:r>
      <w:r>
        <w:rPr>
          <w:rFonts w:hint="eastAsia" w:ascii="宋体" w:hAnsi="宋体" w:eastAsia="方正仿宋_GBK" w:cs="方正仿宋_GBK"/>
          <w:color w:val="auto"/>
          <w:sz w:val="32"/>
          <w:szCs w:val="32"/>
          <w:lang w:val="en-US" w:eastAsia="zh-CN"/>
        </w:rPr>
        <w:t>·</w:t>
      </w:r>
      <w:r>
        <w:rPr>
          <w:rFonts w:hint="eastAsia" w:ascii="宋体" w:hAnsi="宋体" w:eastAsia="方正仿宋_GBK" w:cs="方正仿宋_GBK"/>
          <w:color w:val="auto"/>
          <w:sz w:val="32"/>
          <w:szCs w:val="32"/>
          <w:lang w:eastAsia="zh-CN"/>
        </w:rPr>
        <w:t>热杰甫</w:t>
      </w:r>
      <w:r>
        <w:rPr>
          <w:rFonts w:hint="eastAsia" w:ascii="宋体" w:hAnsi="宋体" w:eastAsia="方正仿宋_GBK" w:cs="方正仿宋_GBK"/>
          <w:color w:val="auto"/>
          <w:sz w:val="32"/>
          <w:szCs w:val="32"/>
          <w:lang w:val="en-US" w:eastAsia="zh-CN"/>
        </w:rPr>
        <w:t xml:space="preserve">           </w:t>
      </w:r>
      <w:r>
        <w:rPr>
          <w:rFonts w:hint="eastAsia" w:ascii="宋体" w:hAnsi="宋体" w:eastAsia="方正仿宋_GBK" w:cs="方正仿宋_GBK"/>
          <w:color w:val="auto"/>
          <w:sz w:val="32"/>
          <w:szCs w:val="32"/>
        </w:rPr>
        <w:t>宣传部</w:t>
      </w:r>
      <w:r>
        <w:rPr>
          <w:rFonts w:hint="eastAsia" w:ascii="宋体" w:hAnsi="宋体" w:eastAsia="方正仿宋_GBK" w:cs="方正仿宋_GBK"/>
          <w:color w:val="auto"/>
          <w:sz w:val="32"/>
          <w:szCs w:val="32"/>
          <w:lang w:eastAsia="zh-CN"/>
        </w:rPr>
        <w:t>常务</w:t>
      </w:r>
      <w:r>
        <w:rPr>
          <w:rFonts w:hint="eastAsia" w:ascii="宋体" w:hAnsi="宋体" w:eastAsia="方正仿宋_GBK" w:cs="方正仿宋_GBK"/>
          <w:color w:val="auto"/>
          <w:sz w:val="32"/>
          <w:szCs w:val="32"/>
        </w:rPr>
        <w:t>副部长</w:t>
      </w:r>
    </w:p>
    <w:p>
      <w:pPr>
        <w:pStyle w:val="5"/>
        <w:keepNext w:val="0"/>
        <w:keepLines w:val="0"/>
        <w:pageBreakBefore w:val="0"/>
        <w:widowControl w:val="0"/>
        <w:kinsoku/>
        <w:wordWrap w:val="0"/>
        <w:overflowPunct/>
        <w:topLinePunct w:val="0"/>
        <w:autoSpaceDE/>
        <w:autoSpaceDN/>
        <w:bidi w:val="0"/>
        <w:adjustRightInd/>
        <w:snapToGrid w:val="0"/>
        <w:spacing w:before="0" w:beforeAutospacing="0" w:after="0" w:afterAutospacing="0" w:line="560" w:lineRule="exact"/>
        <w:ind w:firstLine="1920" w:firstLineChars="600"/>
        <w:jc w:val="both"/>
        <w:textAlignment w:val="auto"/>
        <w:rPr>
          <w:rFonts w:hint="eastAsia" w:ascii="宋体" w:hAnsi="宋体" w:eastAsia="方正仿宋_GBK" w:cs="方正仿宋_GBK"/>
          <w:color w:val="auto"/>
          <w:sz w:val="32"/>
          <w:szCs w:val="32"/>
          <w:lang w:eastAsia="zh-CN"/>
        </w:rPr>
      </w:pPr>
      <w:r>
        <w:rPr>
          <w:rFonts w:hint="eastAsia" w:ascii="宋体" w:hAnsi="宋体" w:eastAsia="方正仿宋_GBK" w:cs="方正仿宋_GBK"/>
          <w:color w:val="auto"/>
          <w:sz w:val="32"/>
          <w:szCs w:val="32"/>
          <w:lang w:eastAsia="zh-CN"/>
        </w:rPr>
        <w:t>周立明</w:t>
      </w:r>
      <w:r>
        <w:rPr>
          <w:rFonts w:hint="eastAsia" w:ascii="宋体" w:hAnsi="宋体" w:eastAsia="方正仿宋_GBK" w:cs="方正仿宋_GBK"/>
          <w:color w:val="auto"/>
          <w:sz w:val="32"/>
          <w:szCs w:val="32"/>
          <w:lang w:val="en-US" w:eastAsia="zh-CN"/>
        </w:rPr>
        <w:t xml:space="preserve">                           </w:t>
      </w:r>
      <w:r>
        <w:rPr>
          <w:rFonts w:hint="eastAsia" w:ascii="宋体" w:hAnsi="宋体" w:eastAsia="方正仿宋_GBK" w:cs="方正仿宋_GBK"/>
          <w:color w:val="auto"/>
          <w:sz w:val="32"/>
          <w:szCs w:val="32"/>
          <w:lang w:eastAsia="zh-CN"/>
        </w:rPr>
        <w:t>财政局局长</w:t>
      </w:r>
    </w:p>
    <w:p>
      <w:pPr>
        <w:pStyle w:val="5"/>
        <w:keepNext w:val="0"/>
        <w:keepLines w:val="0"/>
        <w:pageBreakBefore w:val="0"/>
        <w:widowControl w:val="0"/>
        <w:kinsoku/>
        <w:wordWrap w:val="0"/>
        <w:overflowPunct/>
        <w:topLinePunct w:val="0"/>
        <w:autoSpaceDE/>
        <w:autoSpaceDN/>
        <w:bidi w:val="0"/>
        <w:adjustRightInd/>
        <w:snapToGrid w:val="0"/>
        <w:spacing w:before="0" w:beforeAutospacing="0" w:after="0" w:afterAutospacing="0" w:line="560" w:lineRule="exact"/>
        <w:ind w:firstLine="1920" w:firstLineChars="600"/>
        <w:jc w:val="left"/>
        <w:textAlignment w:val="auto"/>
        <w:rPr>
          <w:rFonts w:hint="eastAsia" w:ascii="宋体" w:hAnsi="宋体" w:eastAsia="方正仿宋_GBK" w:cs="方正仿宋_GBK"/>
          <w:color w:val="auto"/>
          <w:sz w:val="32"/>
          <w:szCs w:val="32"/>
        </w:rPr>
      </w:pPr>
      <w:r>
        <w:rPr>
          <w:rFonts w:hint="eastAsia" w:ascii="宋体" w:hAnsi="宋体" w:eastAsia="方正仿宋_GBK" w:cs="方正仿宋_GBK"/>
          <w:color w:val="auto"/>
          <w:sz w:val="32"/>
          <w:szCs w:val="32"/>
        </w:rPr>
        <w:t>何晓强</w:t>
      </w:r>
      <w:r>
        <w:rPr>
          <w:rFonts w:hint="eastAsia" w:ascii="宋体" w:hAnsi="宋体" w:eastAsia="方正仿宋_GBK" w:cs="方正仿宋_GBK"/>
          <w:color w:val="auto"/>
          <w:sz w:val="32"/>
          <w:szCs w:val="32"/>
          <w:lang w:val="en-US" w:eastAsia="zh-CN"/>
        </w:rPr>
        <w:t xml:space="preserve">                       </w:t>
      </w:r>
      <w:r>
        <w:rPr>
          <w:rFonts w:hint="eastAsia" w:ascii="宋体" w:hAnsi="宋体" w:eastAsia="方正仿宋_GBK" w:cs="方正仿宋_GBK"/>
          <w:color w:val="auto"/>
          <w:sz w:val="32"/>
          <w:szCs w:val="32"/>
          <w:lang w:eastAsia="zh-CN"/>
        </w:rPr>
        <w:t>住建局党组书记</w:t>
      </w:r>
      <w:r>
        <w:rPr>
          <w:rFonts w:hint="eastAsia" w:ascii="宋体" w:hAnsi="宋体" w:eastAsia="方正仿宋_GBK" w:cs="方正仿宋_GBK"/>
          <w:color w:val="auto"/>
          <w:sz w:val="32"/>
          <w:szCs w:val="32"/>
          <w:lang w:val="en-US" w:eastAsia="zh-CN"/>
        </w:rPr>
        <w:t xml:space="preserve">            </w:t>
      </w:r>
      <w:r>
        <w:rPr>
          <w:rFonts w:hint="eastAsia" w:ascii="宋体" w:hAnsi="宋体" w:eastAsia="方正仿宋_GBK" w:cs="方正仿宋_GBK"/>
          <w:color w:val="auto"/>
          <w:sz w:val="32"/>
          <w:szCs w:val="32"/>
        </w:rPr>
        <w:t>王潮海</w:t>
      </w:r>
      <w:r>
        <w:rPr>
          <w:rFonts w:hint="eastAsia" w:ascii="宋体" w:hAnsi="宋体" w:eastAsia="方正仿宋_GBK" w:cs="方正仿宋_GBK"/>
          <w:color w:val="auto"/>
          <w:sz w:val="32"/>
          <w:szCs w:val="32"/>
          <w:lang w:val="en-US" w:eastAsia="zh-CN"/>
        </w:rPr>
        <w:t xml:space="preserve">                   </w:t>
      </w:r>
      <w:r>
        <w:rPr>
          <w:rFonts w:hint="eastAsia" w:ascii="宋体" w:hAnsi="宋体" w:eastAsia="方正仿宋_GBK" w:cs="方正仿宋_GBK"/>
          <w:color w:val="auto"/>
          <w:sz w:val="32"/>
          <w:szCs w:val="32"/>
        </w:rPr>
        <w:t>生态环境局党组书记</w:t>
      </w:r>
      <w:r>
        <w:rPr>
          <w:rFonts w:hint="eastAsia" w:ascii="宋体" w:hAnsi="宋体" w:eastAsia="方正仿宋_GBK" w:cs="方正仿宋_GBK"/>
          <w:color w:val="auto"/>
          <w:sz w:val="32"/>
          <w:szCs w:val="32"/>
          <w:lang w:val="en-US" w:eastAsia="zh-CN"/>
        </w:rPr>
        <w:t xml:space="preserve">            </w:t>
      </w:r>
      <w:r>
        <w:rPr>
          <w:rFonts w:hint="eastAsia" w:ascii="宋体" w:hAnsi="宋体" w:eastAsia="方正仿宋_GBK" w:cs="方正仿宋_GBK"/>
          <w:color w:val="auto"/>
          <w:sz w:val="32"/>
          <w:szCs w:val="32"/>
          <w:lang w:eastAsia="zh-CN"/>
        </w:rPr>
        <w:t>李飞剑</w:t>
      </w:r>
      <w:r>
        <w:rPr>
          <w:rFonts w:hint="eastAsia" w:ascii="宋体" w:hAnsi="宋体" w:eastAsia="方正仿宋_GBK" w:cs="方正仿宋_GBK"/>
          <w:color w:val="auto"/>
          <w:sz w:val="32"/>
          <w:szCs w:val="32"/>
          <w:lang w:val="en-US" w:eastAsia="zh-CN"/>
        </w:rPr>
        <w:t xml:space="preserve">                   </w:t>
      </w:r>
      <w:r>
        <w:rPr>
          <w:rFonts w:hint="eastAsia" w:ascii="宋体" w:hAnsi="宋体" w:eastAsia="方正仿宋_GBK" w:cs="方正仿宋_GBK"/>
          <w:color w:val="auto"/>
          <w:sz w:val="32"/>
          <w:szCs w:val="32"/>
        </w:rPr>
        <w:t>农业农村</w:t>
      </w:r>
      <w:r>
        <w:rPr>
          <w:rFonts w:hint="eastAsia" w:ascii="宋体" w:hAnsi="宋体" w:eastAsia="方正仿宋_GBK" w:cs="方正仿宋_GBK"/>
          <w:color w:val="auto"/>
          <w:sz w:val="32"/>
          <w:szCs w:val="32"/>
          <w:lang w:eastAsia="zh-CN"/>
        </w:rPr>
        <w:t>局党组书记</w:t>
      </w:r>
      <w:r>
        <w:rPr>
          <w:rFonts w:hint="eastAsia" w:ascii="宋体" w:hAnsi="宋体" w:eastAsia="方正仿宋_GBK" w:cs="方正仿宋_GBK"/>
          <w:color w:val="auto"/>
          <w:sz w:val="32"/>
          <w:szCs w:val="32"/>
          <w:lang w:val="en-US" w:eastAsia="zh-CN"/>
        </w:rPr>
        <w:t xml:space="preserve">            </w:t>
      </w:r>
      <w:r>
        <w:rPr>
          <w:rFonts w:hint="eastAsia" w:ascii="宋体" w:hAnsi="宋体" w:eastAsia="方正仿宋_GBK" w:cs="方正仿宋_GBK"/>
          <w:color w:val="auto"/>
          <w:sz w:val="32"/>
          <w:szCs w:val="32"/>
          <w:lang w:eastAsia="zh-CN"/>
        </w:rPr>
        <w:t>孙艳丽</w:t>
      </w:r>
      <w:r>
        <w:rPr>
          <w:rFonts w:hint="eastAsia" w:ascii="宋体" w:hAnsi="宋体" w:eastAsia="方正仿宋_GBK" w:cs="方正仿宋_GBK"/>
          <w:color w:val="auto"/>
          <w:sz w:val="32"/>
          <w:szCs w:val="32"/>
          <w:lang w:val="en-US" w:eastAsia="zh-CN"/>
        </w:rPr>
        <w:t xml:space="preserve">                         </w:t>
      </w:r>
      <w:r>
        <w:rPr>
          <w:rFonts w:hint="eastAsia" w:ascii="宋体" w:hAnsi="宋体" w:eastAsia="方正仿宋_GBK" w:cs="方正仿宋_GBK"/>
          <w:color w:val="auto"/>
          <w:sz w:val="32"/>
          <w:szCs w:val="32"/>
        </w:rPr>
        <w:t>妇联</w:t>
      </w:r>
      <w:r>
        <w:rPr>
          <w:rFonts w:hint="eastAsia" w:ascii="宋体" w:hAnsi="宋体" w:eastAsia="方正仿宋_GBK" w:cs="方正仿宋_GBK"/>
          <w:color w:val="auto"/>
          <w:sz w:val="32"/>
          <w:szCs w:val="32"/>
          <w:lang w:eastAsia="zh-CN"/>
        </w:rPr>
        <w:t>党组书记</w:t>
      </w:r>
      <w:r>
        <w:rPr>
          <w:rFonts w:hint="eastAsia" w:ascii="宋体" w:hAnsi="宋体" w:eastAsia="方正仿宋_GBK" w:cs="方正仿宋_GBK"/>
          <w:color w:val="auto"/>
          <w:sz w:val="32"/>
          <w:szCs w:val="32"/>
          <w:lang w:val="en-US" w:eastAsia="zh-CN"/>
        </w:rPr>
        <w:t xml:space="preserve">            </w:t>
      </w:r>
      <w:r>
        <w:rPr>
          <w:rFonts w:hint="eastAsia" w:ascii="宋体" w:hAnsi="宋体" w:eastAsia="方正仿宋_GBK" w:cs="方正仿宋_GBK"/>
          <w:color w:val="auto"/>
          <w:sz w:val="32"/>
          <w:szCs w:val="32"/>
        </w:rPr>
        <w:t>李光富</w:t>
      </w:r>
      <w:r>
        <w:rPr>
          <w:rFonts w:hint="eastAsia" w:ascii="宋体" w:hAnsi="宋体" w:eastAsia="方正仿宋_GBK" w:cs="方正仿宋_GBK"/>
          <w:color w:val="auto"/>
          <w:sz w:val="32"/>
          <w:szCs w:val="32"/>
          <w:lang w:val="en-US" w:eastAsia="zh-CN"/>
        </w:rPr>
        <w:t xml:space="preserve">                       </w:t>
      </w:r>
      <w:r>
        <w:rPr>
          <w:rFonts w:hint="eastAsia" w:ascii="宋体" w:hAnsi="宋体" w:eastAsia="方正仿宋_GBK" w:cs="方正仿宋_GBK"/>
          <w:color w:val="auto"/>
          <w:sz w:val="32"/>
          <w:szCs w:val="32"/>
        </w:rPr>
        <w:t>市监局党组书记</w:t>
      </w:r>
    </w:p>
    <w:p>
      <w:pPr>
        <w:pStyle w:val="5"/>
        <w:keepNext w:val="0"/>
        <w:keepLines w:val="0"/>
        <w:pageBreakBefore w:val="0"/>
        <w:widowControl w:val="0"/>
        <w:kinsoku/>
        <w:wordWrap w:val="0"/>
        <w:overflowPunct/>
        <w:topLinePunct w:val="0"/>
        <w:autoSpaceDE/>
        <w:autoSpaceDN/>
        <w:bidi w:val="0"/>
        <w:adjustRightInd/>
        <w:snapToGrid w:val="0"/>
        <w:spacing w:before="0" w:beforeAutospacing="0" w:after="0" w:afterAutospacing="0" w:line="560" w:lineRule="exact"/>
        <w:ind w:left="1915" w:leftChars="912" w:firstLine="0" w:firstLineChars="0"/>
        <w:jc w:val="left"/>
        <w:textAlignment w:val="auto"/>
        <w:rPr>
          <w:rFonts w:hint="eastAsia" w:ascii="宋体" w:hAnsi="宋体" w:eastAsia="方正仿宋_GBK" w:cs="方正仿宋_GBK"/>
          <w:color w:val="auto"/>
          <w:sz w:val="32"/>
          <w:szCs w:val="32"/>
        </w:rPr>
      </w:pPr>
      <w:r>
        <w:rPr>
          <w:rFonts w:hint="eastAsia" w:ascii="宋体" w:hAnsi="宋体" w:eastAsia="方正仿宋_GBK" w:cs="方正仿宋_GBK"/>
          <w:color w:val="auto"/>
          <w:sz w:val="32"/>
          <w:szCs w:val="32"/>
          <w:lang w:eastAsia="zh-CN"/>
        </w:rPr>
        <w:t>赵红刚</w:t>
      </w:r>
      <w:r>
        <w:rPr>
          <w:rFonts w:hint="eastAsia" w:ascii="宋体" w:hAnsi="宋体" w:eastAsia="方正仿宋_GBK" w:cs="方正仿宋_GBK"/>
          <w:color w:val="auto"/>
          <w:sz w:val="32"/>
          <w:szCs w:val="32"/>
          <w:lang w:val="en-US" w:eastAsia="zh-CN"/>
        </w:rPr>
        <w:t xml:space="preserve">                  </w:t>
      </w:r>
      <w:r>
        <w:rPr>
          <w:rFonts w:hint="eastAsia" w:ascii="宋体" w:hAnsi="宋体" w:eastAsia="方正仿宋_GBK" w:cs="方正仿宋_GBK"/>
          <w:color w:val="auto"/>
          <w:sz w:val="32"/>
          <w:szCs w:val="32"/>
        </w:rPr>
        <w:t>卫健委党组书记</w:t>
      </w:r>
      <w:r>
        <w:rPr>
          <w:rFonts w:hint="eastAsia" w:ascii="宋体" w:hAnsi="宋体" w:eastAsia="方正仿宋_GBK" w:cs="方正仿宋_GBK"/>
          <w:color w:val="auto"/>
          <w:sz w:val="32"/>
          <w:szCs w:val="32"/>
          <w:lang w:eastAsia="zh-CN"/>
        </w:rPr>
        <w:t>、主任罗</w:t>
      </w:r>
      <w:r>
        <w:rPr>
          <w:rFonts w:hint="eastAsia" w:ascii="宋体" w:hAnsi="宋体" w:eastAsia="方正仿宋_GBK" w:cs="方正仿宋_GBK"/>
          <w:color w:val="auto"/>
          <w:sz w:val="32"/>
          <w:szCs w:val="32"/>
          <w:lang w:val="en-US" w:eastAsia="zh-CN"/>
        </w:rPr>
        <w:t xml:space="preserve">  </w:t>
      </w:r>
      <w:r>
        <w:rPr>
          <w:rFonts w:hint="eastAsia" w:ascii="宋体" w:hAnsi="宋体" w:eastAsia="方正仿宋_GBK" w:cs="方正仿宋_GBK"/>
          <w:color w:val="auto"/>
          <w:sz w:val="32"/>
          <w:szCs w:val="32"/>
          <w:lang w:eastAsia="zh-CN"/>
        </w:rPr>
        <w:t>志</w:t>
      </w:r>
      <w:r>
        <w:rPr>
          <w:rFonts w:hint="eastAsia" w:ascii="宋体" w:hAnsi="宋体" w:eastAsia="方正仿宋_GBK" w:cs="方正仿宋_GBK"/>
          <w:color w:val="auto"/>
          <w:sz w:val="32"/>
          <w:szCs w:val="32"/>
          <w:lang w:val="en-US" w:eastAsia="zh-CN"/>
        </w:rPr>
        <w:t xml:space="preserve">                           </w:t>
      </w:r>
      <w:r>
        <w:rPr>
          <w:rFonts w:hint="eastAsia" w:ascii="宋体" w:hAnsi="宋体" w:eastAsia="方正仿宋_GBK" w:cs="方正仿宋_GBK"/>
          <w:color w:val="auto"/>
          <w:sz w:val="32"/>
          <w:szCs w:val="32"/>
        </w:rPr>
        <w:t>水利局局长</w:t>
      </w:r>
      <w:r>
        <w:rPr>
          <w:rFonts w:hint="eastAsia" w:ascii="宋体" w:hAnsi="宋体" w:eastAsia="方正仿宋_GBK" w:cs="方正仿宋_GBK"/>
          <w:color w:val="auto"/>
          <w:sz w:val="32"/>
          <w:szCs w:val="32"/>
          <w:lang w:val="en-US" w:eastAsia="zh-CN"/>
        </w:rPr>
        <w:t xml:space="preserve">赵  华                       </w:t>
      </w:r>
      <w:r>
        <w:rPr>
          <w:rFonts w:hint="eastAsia" w:ascii="宋体" w:hAnsi="宋体" w:eastAsia="方正仿宋_GBK" w:cs="方正仿宋_GBK"/>
          <w:color w:val="auto"/>
          <w:sz w:val="32"/>
          <w:szCs w:val="32"/>
        </w:rPr>
        <w:t>教育局</w:t>
      </w:r>
      <w:r>
        <w:rPr>
          <w:rFonts w:hint="eastAsia" w:ascii="宋体" w:hAnsi="宋体" w:eastAsia="方正仿宋_GBK" w:cs="方正仿宋_GBK"/>
          <w:color w:val="auto"/>
          <w:sz w:val="32"/>
          <w:szCs w:val="32"/>
          <w:lang w:eastAsia="zh-CN"/>
        </w:rPr>
        <w:t>党组书记图尔贡</w:t>
      </w:r>
      <w:r>
        <w:rPr>
          <w:rFonts w:hint="eastAsia" w:ascii="宋体" w:hAnsi="宋体" w:eastAsia="方正仿宋_GBK" w:cs="方正仿宋_GBK"/>
          <w:color w:val="auto"/>
          <w:sz w:val="32"/>
          <w:szCs w:val="32"/>
          <w:lang w:val="en-US" w:eastAsia="zh-CN"/>
        </w:rPr>
        <w:t xml:space="preserve">·多来提                   </w:t>
      </w:r>
      <w:r>
        <w:rPr>
          <w:rFonts w:hint="eastAsia" w:ascii="宋体" w:hAnsi="宋体" w:eastAsia="方正仿宋_GBK" w:cs="方正仿宋_GBK"/>
          <w:color w:val="auto"/>
          <w:sz w:val="32"/>
          <w:szCs w:val="32"/>
        </w:rPr>
        <w:t>文</w:t>
      </w:r>
      <w:r>
        <w:rPr>
          <w:rFonts w:hint="eastAsia" w:ascii="宋体" w:hAnsi="宋体" w:eastAsia="方正仿宋_GBK" w:cs="方正仿宋_GBK"/>
          <w:color w:val="auto"/>
          <w:sz w:val="32"/>
          <w:szCs w:val="32"/>
          <w:lang w:eastAsia="zh-CN"/>
        </w:rPr>
        <w:t>旅</w:t>
      </w:r>
      <w:r>
        <w:rPr>
          <w:rFonts w:hint="eastAsia" w:ascii="宋体" w:hAnsi="宋体" w:eastAsia="方正仿宋_GBK" w:cs="方正仿宋_GBK"/>
          <w:color w:val="auto"/>
          <w:sz w:val="32"/>
          <w:szCs w:val="32"/>
        </w:rPr>
        <w:t>局局长</w:t>
      </w:r>
    </w:p>
    <w:p>
      <w:pPr>
        <w:pStyle w:val="5"/>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jc w:val="left"/>
        <w:textAlignment w:val="auto"/>
        <w:rPr>
          <w:rFonts w:hint="eastAsia" w:ascii="宋体" w:hAnsi="宋体" w:eastAsia="方正仿宋_GBK" w:cs="方正仿宋_GBK"/>
          <w:color w:val="auto"/>
          <w:sz w:val="32"/>
          <w:szCs w:val="32"/>
          <w:highlight w:val="none"/>
          <w:lang w:eastAsia="zh-CN"/>
        </w:rPr>
      </w:pPr>
      <w:r>
        <w:rPr>
          <w:rFonts w:hint="eastAsia" w:ascii="宋体" w:hAnsi="宋体" w:eastAsia="方正仿宋_GBK" w:cs="方正仿宋_GBK"/>
          <w:color w:val="auto"/>
          <w:sz w:val="32"/>
          <w:szCs w:val="32"/>
          <w:highlight w:val="none"/>
          <w:lang w:val="en-US" w:eastAsia="zh-CN"/>
        </w:rPr>
        <w:t xml:space="preserve">            张  建                   </w:t>
      </w:r>
      <w:r>
        <w:rPr>
          <w:rFonts w:hint="eastAsia" w:ascii="宋体" w:hAnsi="宋体" w:eastAsia="方正仿宋_GBK" w:cs="方正仿宋_GBK"/>
          <w:color w:val="auto"/>
          <w:sz w:val="32"/>
          <w:szCs w:val="32"/>
          <w:highlight w:val="none"/>
        </w:rPr>
        <w:t>交通运输局</w:t>
      </w:r>
      <w:r>
        <w:rPr>
          <w:rFonts w:hint="eastAsia" w:ascii="宋体" w:hAnsi="宋体" w:eastAsia="方正仿宋_GBK" w:cs="方正仿宋_GBK"/>
          <w:color w:val="auto"/>
          <w:sz w:val="32"/>
          <w:szCs w:val="32"/>
          <w:highlight w:val="none"/>
          <w:lang w:eastAsia="zh-CN"/>
        </w:rPr>
        <w:t>党组书记</w:t>
      </w:r>
    </w:p>
    <w:p>
      <w:pPr>
        <w:pStyle w:val="5"/>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1920" w:firstLineChars="600"/>
        <w:jc w:val="left"/>
        <w:textAlignment w:val="auto"/>
        <w:rPr>
          <w:rFonts w:hint="eastAsia" w:ascii="宋体" w:hAnsi="宋体" w:eastAsia="方正仿宋_GBK" w:cs="方正仿宋_GBK"/>
          <w:color w:val="auto"/>
          <w:sz w:val="32"/>
          <w:szCs w:val="32"/>
          <w:highlight w:val="none"/>
          <w:lang w:eastAsia="zh-CN"/>
        </w:rPr>
      </w:pPr>
      <w:r>
        <w:rPr>
          <w:rFonts w:hint="eastAsia" w:ascii="宋体" w:hAnsi="宋体" w:eastAsia="方正仿宋_GBK" w:cs="方正仿宋_GBK"/>
          <w:color w:val="auto"/>
          <w:sz w:val="32"/>
          <w:szCs w:val="32"/>
          <w:lang w:eastAsia="zh-CN"/>
        </w:rPr>
        <w:t>段新征</w:t>
      </w:r>
      <w:r>
        <w:rPr>
          <w:rFonts w:hint="eastAsia" w:ascii="宋体" w:hAnsi="宋体" w:eastAsia="方正仿宋_GBK" w:cs="方正仿宋_GBK"/>
          <w:color w:val="auto"/>
          <w:sz w:val="32"/>
          <w:szCs w:val="32"/>
          <w:lang w:val="en-US" w:eastAsia="zh-CN"/>
        </w:rPr>
        <w:t xml:space="preserve">                         </w:t>
      </w:r>
      <w:r>
        <w:rPr>
          <w:rFonts w:hint="eastAsia" w:ascii="宋体" w:hAnsi="宋体" w:eastAsia="方正仿宋_GBK" w:cs="方正仿宋_GBK"/>
          <w:color w:val="auto"/>
          <w:sz w:val="32"/>
          <w:szCs w:val="32"/>
        </w:rPr>
        <w:t>公安局副局长</w:t>
      </w:r>
    </w:p>
    <w:p>
      <w:pPr>
        <w:pStyle w:val="5"/>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1920" w:firstLineChars="600"/>
        <w:jc w:val="left"/>
        <w:textAlignment w:val="auto"/>
        <w:rPr>
          <w:rFonts w:hint="eastAsia" w:ascii="宋体" w:hAnsi="宋体" w:eastAsia="方正仿宋_GBK" w:cs="方正仿宋_GBK"/>
          <w:color w:val="auto"/>
          <w:sz w:val="32"/>
          <w:szCs w:val="32"/>
          <w:lang w:eastAsia="zh-CN"/>
        </w:rPr>
      </w:pPr>
      <w:r>
        <w:rPr>
          <w:rFonts w:hint="eastAsia" w:ascii="宋体" w:hAnsi="宋体" w:eastAsia="方正仿宋_GBK" w:cs="方正仿宋_GBK"/>
          <w:color w:val="auto"/>
          <w:sz w:val="32"/>
          <w:szCs w:val="32"/>
          <w:lang w:val="en-US" w:eastAsia="zh-CN"/>
        </w:rPr>
        <w:t xml:space="preserve">苏永安           </w:t>
      </w:r>
      <w:r>
        <w:rPr>
          <w:rFonts w:hint="eastAsia" w:ascii="宋体" w:hAnsi="宋体" w:eastAsia="方正仿宋_GBK" w:cs="方正仿宋_GBK"/>
          <w:color w:val="auto"/>
          <w:sz w:val="32"/>
          <w:szCs w:val="32"/>
          <w:lang w:eastAsia="zh-CN"/>
        </w:rPr>
        <w:t>纪委监委第三纪检监察组组长</w:t>
      </w:r>
    </w:p>
    <w:p>
      <w:pPr>
        <w:pStyle w:val="5"/>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1920" w:firstLineChars="600"/>
        <w:jc w:val="left"/>
        <w:textAlignment w:val="auto"/>
        <w:rPr>
          <w:rFonts w:hint="eastAsia" w:ascii="宋体" w:hAnsi="宋体" w:eastAsia="方正仿宋_GBK" w:cs="方正仿宋_GBK"/>
          <w:color w:val="auto"/>
          <w:sz w:val="32"/>
          <w:szCs w:val="32"/>
          <w:highlight w:val="none"/>
          <w:lang w:eastAsia="zh-CN"/>
        </w:rPr>
      </w:pPr>
      <w:r>
        <w:rPr>
          <w:rFonts w:hint="eastAsia" w:ascii="宋体" w:hAnsi="宋体" w:eastAsia="方正仿宋_GBK" w:cs="方正仿宋_GBK"/>
          <w:color w:val="auto"/>
          <w:sz w:val="32"/>
          <w:szCs w:val="32"/>
          <w:highlight w:val="none"/>
          <w:lang w:val="en-US" w:eastAsia="zh-CN"/>
        </w:rPr>
        <w:t xml:space="preserve">努日买买提·托乎提艾合买提         </w:t>
      </w:r>
      <w:r>
        <w:rPr>
          <w:rFonts w:hint="eastAsia" w:ascii="宋体" w:hAnsi="宋体" w:eastAsia="方正仿宋_GBK" w:cs="方正仿宋_GBK"/>
          <w:color w:val="auto"/>
          <w:sz w:val="32"/>
          <w:szCs w:val="32"/>
        </w:rPr>
        <w:t>团委书记</w:t>
      </w:r>
    </w:p>
    <w:p>
      <w:pPr>
        <w:pStyle w:val="5"/>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1920" w:firstLineChars="600"/>
        <w:jc w:val="both"/>
        <w:textAlignment w:val="auto"/>
        <w:rPr>
          <w:rFonts w:hint="eastAsia" w:ascii="宋体" w:hAnsi="宋体" w:eastAsia="方正仿宋_GBK" w:cs="方正仿宋_GBK"/>
          <w:color w:val="auto"/>
        </w:rPr>
      </w:pPr>
      <w:r>
        <w:rPr>
          <w:rFonts w:hint="eastAsia" w:ascii="宋体" w:hAnsi="宋体" w:eastAsia="方正仿宋_GBK" w:cs="方正仿宋_GBK"/>
          <w:color w:val="auto"/>
          <w:sz w:val="32"/>
          <w:szCs w:val="32"/>
          <w:lang w:eastAsia="zh-CN"/>
        </w:rPr>
        <w:t>各</w:t>
      </w:r>
      <w:r>
        <w:rPr>
          <w:rFonts w:hint="eastAsia" w:ascii="宋体" w:hAnsi="宋体" w:eastAsia="方正仿宋_GBK" w:cs="方正仿宋_GBK"/>
          <w:color w:val="auto"/>
          <w:sz w:val="32"/>
          <w:szCs w:val="32"/>
        </w:rPr>
        <w:t>乡镇长</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街办主任</w:t>
      </w: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560" w:lineRule="exact"/>
        <w:ind w:firstLine="640" w:firstLineChars="200"/>
        <w:textAlignment w:val="auto"/>
        <w:rPr>
          <w:rFonts w:hint="eastAsia" w:ascii="宋体" w:hAnsi="宋体" w:eastAsia="方正仿宋简体" w:cs="Times New Roman"/>
          <w:kern w:val="0"/>
          <w:sz w:val="32"/>
          <w:szCs w:val="32"/>
          <w:lang w:val="en-US" w:eastAsia="zh-CN" w:bidi="ar-SA"/>
        </w:rPr>
      </w:pPr>
      <w:r>
        <w:rPr>
          <w:rFonts w:hint="eastAsia" w:ascii="宋体" w:hAnsi="宋体" w:eastAsia="方正仿宋简体" w:cs="Times New Roman"/>
          <w:kern w:val="0"/>
          <w:sz w:val="32"/>
          <w:szCs w:val="32"/>
          <w:lang w:val="en-US" w:eastAsia="zh-CN" w:bidi="ar-SA"/>
        </w:rPr>
        <w:t>创卫工作领导小组下设8个指导组（综合协调、市容环境、环境保护、公共卫生、食品安全、资料材料、宣传报道、督查考核）。办公室设在洛浦县卫生健康委员会，办公室主任由赵红刚同志兼任，负责爱国卫生工作的统筹协调，落实上级的要求和任务，协调相关部门的工作安排。</w:t>
      </w: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 xml:space="preserve">  </w:t>
      </w:r>
      <w:r>
        <w:rPr>
          <w:rFonts w:hint="eastAsia" w:ascii="宋体" w:hAnsi="宋体" w:eastAsia="方正黑体_GBK" w:cs="方正黑体_GBK"/>
          <w:sz w:val="32"/>
          <w:szCs w:val="32"/>
        </w:rPr>
        <w:t xml:space="preserve"> </w:t>
      </w:r>
      <w:r>
        <w:rPr>
          <w:rFonts w:hint="eastAsia" w:ascii="宋体" w:hAnsi="宋体" w:eastAsia="方正黑体_GBK" w:cs="方正黑体_GBK"/>
          <w:b w:val="0"/>
          <w:bCs w:val="0"/>
          <w:sz w:val="32"/>
          <w:szCs w:val="32"/>
        </w:rPr>
        <w:t xml:space="preserve"> </w:t>
      </w:r>
      <w:r>
        <w:rPr>
          <w:rFonts w:hint="eastAsia" w:ascii="宋体" w:hAnsi="宋体" w:eastAsia="方正黑体_GBK" w:cs="方正黑体_GBK"/>
          <w:b w:val="0"/>
          <w:bCs w:val="0"/>
          <w:sz w:val="32"/>
          <w:szCs w:val="32"/>
          <w:lang w:eastAsia="zh-CN"/>
        </w:rPr>
        <w:t>四</w:t>
      </w:r>
      <w:r>
        <w:rPr>
          <w:rFonts w:hint="eastAsia" w:ascii="宋体" w:hAnsi="宋体" w:eastAsia="方正黑体_GBK" w:cs="方正黑体_GBK"/>
          <w:b w:val="0"/>
          <w:bCs w:val="0"/>
          <w:sz w:val="32"/>
          <w:szCs w:val="32"/>
        </w:rPr>
        <w:t>、</w:t>
      </w:r>
      <w:r>
        <w:rPr>
          <w:rFonts w:hint="eastAsia" w:ascii="宋体" w:hAnsi="宋体" w:eastAsia="方正黑体_GBK" w:cs="方正黑体_GBK"/>
          <w:sz w:val="32"/>
          <w:szCs w:val="32"/>
        </w:rPr>
        <w:t xml:space="preserve">目标任务 </w:t>
      </w: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 xml:space="preserve">    </w:t>
      </w:r>
      <w:r>
        <w:rPr>
          <w:rFonts w:hint="eastAsia" w:ascii="宋体" w:hAnsi="宋体" w:eastAsia="方正仿宋简体" w:cs="Times New Roman"/>
          <w:kern w:val="0"/>
          <w:sz w:val="32"/>
          <w:szCs w:val="32"/>
          <w:lang w:val="en-US" w:eastAsia="zh-CN" w:bidi="ar-SA"/>
        </w:rPr>
        <w:t>各单位要对照《标准》要求，明确责任，分解任务，凡是在城市建设和管理工作中已达到《标准》要求的，要巩固坚持，对未达标的项目和暂时不具备达标条件的，要制定实施方案、工作计划和具体措施，确保实现达标标准，具体任务是：</w:t>
      </w:r>
      <w:r>
        <w:rPr>
          <w:rFonts w:hint="eastAsia" w:ascii="宋体" w:hAnsi="宋体" w:eastAsia="方正仿宋_GBK" w:cs="方正仿宋_GBK"/>
          <w:sz w:val="32"/>
          <w:szCs w:val="32"/>
        </w:rPr>
        <w:t xml:space="preserve"> </w:t>
      </w: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 xml:space="preserve">   </w:t>
      </w:r>
      <w:r>
        <w:rPr>
          <w:rFonts w:hint="eastAsia" w:ascii="宋体" w:hAnsi="宋体" w:eastAsia="方正楷体_GBK" w:cs="方正楷体_GBK"/>
          <w:sz w:val="32"/>
          <w:szCs w:val="32"/>
        </w:rPr>
        <w:t xml:space="preserve"> （一）爱国卫生组织管理</w:t>
      </w:r>
      <w:r>
        <w:rPr>
          <w:rFonts w:hint="eastAsia" w:ascii="宋体" w:hAnsi="宋体" w:eastAsia="方正仿宋_GBK" w:cs="方正仿宋_GBK"/>
          <w:sz w:val="32"/>
          <w:szCs w:val="32"/>
        </w:rPr>
        <w:t xml:space="preserve"> </w:t>
      </w: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宋体" w:hAnsi="宋体" w:eastAsia="方正楷体_GBK" w:cs="方正楷体_GBK"/>
          <w:b w:val="0"/>
          <w:bCs w:val="0"/>
          <w:sz w:val="32"/>
          <w:szCs w:val="32"/>
        </w:rPr>
      </w:pPr>
      <w:r>
        <w:rPr>
          <w:rFonts w:hint="eastAsia" w:ascii="宋体" w:hAnsi="宋体" w:eastAsia="方正仿宋_GBK" w:cs="方正仿宋_GBK"/>
          <w:sz w:val="32"/>
          <w:szCs w:val="32"/>
        </w:rPr>
        <w:t xml:space="preserve">    </w:t>
      </w:r>
      <w:r>
        <w:rPr>
          <w:rFonts w:hint="eastAsia" w:ascii="宋体" w:hAnsi="宋体" w:eastAsia="方正仿宋简体" w:cs="Times New Roman"/>
          <w:kern w:val="0"/>
          <w:sz w:val="32"/>
          <w:szCs w:val="32"/>
          <w:lang w:val="en-US" w:eastAsia="zh-CN" w:bidi="ar-SA"/>
        </w:rPr>
        <w:t>1.认真贯彻落实《国务院关于加强爱国卫生工作的决定》和《新疆维吾尔自治区爱国卫生工作条例》，将爱国卫生工作纳入政府议事日程，列入社会经济发展规划，制订洛浦县政府规范性文件。各乡镇（街道）、各部门鼓励引导广大群众积极参与爱国卫生工作。</w:t>
      </w:r>
      <w:r>
        <w:rPr>
          <w:rFonts w:hint="eastAsia" w:ascii="宋体" w:hAnsi="宋体" w:eastAsia="方正楷体_GBK" w:cs="方正楷体_GBK"/>
          <w:b w:val="0"/>
          <w:bCs w:val="0"/>
          <w:sz w:val="32"/>
          <w:szCs w:val="32"/>
          <w:highlight w:val="none"/>
          <w:lang w:eastAsia="zh-CN"/>
        </w:rPr>
        <w:t>（</w:t>
      </w:r>
      <w:r>
        <w:rPr>
          <w:rFonts w:hint="eastAsia" w:ascii="宋体" w:hAnsi="宋体" w:eastAsia="方正楷体_GBK" w:cs="方正楷体_GBK"/>
          <w:b w:val="0"/>
          <w:bCs w:val="0"/>
          <w:sz w:val="32"/>
          <w:szCs w:val="32"/>
          <w:highlight w:val="none"/>
          <w:lang w:val="en-US" w:eastAsia="zh-CN"/>
        </w:rPr>
        <w:t>责任领导：</w:t>
      </w:r>
      <w:r>
        <w:rPr>
          <w:rFonts w:hint="eastAsia" w:ascii="宋体" w:hAnsi="宋体" w:eastAsia="方正楷体_GBK" w:cs="方正楷体_GBK"/>
          <w:color w:val="auto"/>
          <w:w w:val="100"/>
          <w:sz w:val="32"/>
          <w:szCs w:val="32"/>
          <w:highlight w:val="none"/>
          <w:lang w:eastAsia="zh-CN"/>
        </w:rPr>
        <w:t>邹世音、</w:t>
      </w:r>
      <w:r>
        <w:rPr>
          <w:rFonts w:hint="eastAsia" w:ascii="宋体" w:hAnsi="宋体" w:eastAsia="方正楷体_GBK" w:cs="方正楷体_GBK"/>
          <w:b w:val="0"/>
          <w:bCs w:val="0"/>
          <w:sz w:val="32"/>
          <w:szCs w:val="32"/>
          <w:highlight w:val="none"/>
          <w:lang w:val="en-US" w:eastAsia="zh-CN"/>
        </w:rPr>
        <w:t>王润景；牵头单位：爱国卫生运动委员会</w:t>
      </w:r>
      <w:r>
        <w:rPr>
          <w:rFonts w:hint="eastAsia" w:ascii="宋体" w:hAnsi="宋体" w:eastAsia="方正楷体_GBK" w:cs="方正楷体_GBK"/>
          <w:b w:val="0"/>
          <w:bCs w:val="0"/>
          <w:sz w:val="32"/>
          <w:szCs w:val="32"/>
          <w:lang w:val="en-US" w:eastAsia="zh-CN"/>
        </w:rPr>
        <w:t>工作领导小组；责任单位：发改委、爱卫会领导小组各成员单位</w:t>
      </w:r>
      <w:r>
        <w:rPr>
          <w:rFonts w:hint="eastAsia" w:ascii="宋体" w:hAnsi="宋体" w:eastAsia="方正楷体_GBK" w:cs="方正楷体_GBK"/>
          <w:b w:val="0"/>
          <w:bCs w:val="0"/>
          <w:sz w:val="32"/>
          <w:szCs w:val="32"/>
          <w:lang w:eastAsia="zh-CN"/>
        </w:rPr>
        <w:t>）</w:t>
      </w:r>
      <w:r>
        <w:rPr>
          <w:rFonts w:hint="eastAsia" w:ascii="宋体" w:hAnsi="宋体" w:eastAsia="方正楷体_GBK" w:cs="方正楷体_GBK"/>
          <w:b w:val="0"/>
          <w:bCs w:val="0"/>
          <w:sz w:val="32"/>
          <w:szCs w:val="32"/>
        </w:rPr>
        <w:t xml:space="preserve"> </w:t>
      </w: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宋体" w:hAnsi="宋体" w:eastAsia="方正楷体_GBK" w:cs="方正楷体_GBK"/>
          <w:b w:val="0"/>
          <w:bCs w:val="0"/>
          <w:sz w:val="32"/>
          <w:szCs w:val="32"/>
          <w:lang w:eastAsia="zh-CN"/>
        </w:rPr>
      </w:pPr>
      <w:r>
        <w:rPr>
          <w:rFonts w:hint="eastAsia" w:ascii="宋体" w:hAnsi="宋体" w:eastAsia="方正仿宋_GBK" w:cs="方正仿宋_GBK"/>
          <w:sz w:val="32"/>
          <w:szCs w:val="32"/>
        </w:rPr>
        <w:t xml:space="preserve">   </w:t>
      </w:r>
      <w:r>
        <w:rPr>
          <w:rFonts w:hint="eastAsia" w:ascii="宋体" w:hAnsi="宋体" w:eastAsia="方正仿宋简体" w:cs="Times New Roman"/>
          <w:kern w:val="0"/>
          <w:sz w:val="32"/>
          <w:szCs w:val="32"/>
          <w:lang w:val="en-US" w:eastAsia="zh-CN" w:bidi="ar-SA"/>
        </w:rPr>
        <w:t xml:space="preserve"> 2.健全各级爱卫会组织，成员单位分工明确，职责落实。人员编制能适应实际工作需要，爱国卫生工作经费纳入财政预算。各乡镇、街办要配备专兼职爱国卫生工作人员，社区居委会、村委会要建立健全公共卫生委员会，协调做好爱国卫生工作。</w:t>
      </w:r>
      <w:r>
        <w:rPr>
          <w:rFonts w:hint="eastAsia" w:ascii="宋体" w:hAnsi="宋体" w:eastAsia="方正楷体_GBK" w:cs="方正楷体_GBK"/>
          <w:b w:val="0"/>
          <w:bCs w:val="0"/>
          <w:sz w:val="32"/>
          <w:szCs w:val="32"/>
          <w:lang w:eastAsia="zh-CN"/>
        </w:rPr>
        <w:t>（</w:t>
      </w:r>
      <w:r>
        <w:rPr>
          <w:rFonts w:hint="eastAsia" w:ascii="宋体" w:hAnsi="宋体" w:eastAsia="方正楷体_GBK" w:cs="方正楷体_GBK"/>
          <w:b w:val="0"/>
          <w:bCs w:val="0"/>
          <w:sz w:val="32"/>
          <w:szCs w:val="32"/>
          <w:highlight w:val="none"/>
          <w:lang w:val="en-US" w:eastAsia="zh-CN"/>
        </w:rPr>
        <w:t>责任领导：</w:t>
      </w:r>
      <w:r>
        <w:rPr>
          <w:rFonts w:hint="eastAsia" w:ascii="宋体" w:hAnsi="宋体" w:eastAsia="方正楷体_GBK" w:cs="方正楷体_GBK"/>
          <w:color w:val="auto"/>
          <w:w w:val="100"/>
          <w:sz w:val="32"/>
          <w:szCs w:val="32"/>
          <w:highlight w:val="none"/>
          <w:lang w:eastAsia="zh-CN"/>
        </w:rPr>
        <w:t>邹世音、</w:t>
      </w:r>
      <w:r>
        <w:rPr>
          <w:rFonts w:hint="eastAsia" w:ascii="宋体" w:hAnsi="宋体" w:eastAsia="方正楷体_GBK" w:cs="方正楷体_GBK"/>
          <w:b w:val="0"/>
          <w:bCs w:val="0"/>
          <w:sz w:val="32"/>
          <w:szCs w:val="32"/>
          <w:highlight w:val="none"/>
          <w:lang w:val="en-US" w:eastAsia="zh-CN"/>
        </w:rPr>
        <w:t>王润景；</w:t>
      </w:r>
      <w:r>
        <w:rPr>
          <w:rFonts w:hint="eastAsia" w:ascii="宋体" w:hAnsi="宋体" w:eastAsia="方正楷体_GBK" w:cs="方正楷体_GBK"/>
          <w:b w:val="0"/>
          <w:bCs w:val="0"/>
          <w:sz w:val="32"/>
          <w:szCs w:val="32"/>
          <w:lang w:val="en-US" w:eastAsia="zh-CN"/>
        </w:rPr>
        <w:t>牵头单位：爱国卫生运动委员会工作领导小组；责任单位：人社局、财政局，各乡镇（街办）、各村（社区）</w:t>
      </w:r>
      <w:r>
        <w:rPr>
          <w:rFonts w:hint="eastAsia" w:ascii="宋体" w:hAnsi="宋体" w:eastAsia="方正楷体_GBK" w:cs="方正楷体_GBK"/>
          <w:b w:val="0"/>
          <w:bCs w:val="0"/>
          <w:sz w:val="32"/>
          <w:szCs w:val="32"/>
          <w:lang w:eastAsia="zh-CN"/>
        </w:rPr>
        <w:t xml:space="preserve">） </w:t>
      </w: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宋体" w:hAnsi="宋体" w:eastAsia="方正仿宋_GBK" w:cs="方正仿宋_GBK"/>
          <w:b/>
          <w:bCs/>
          <w:sz w:val="32"/>
          <w:szCs w:val="32"/>
        </w:rPr>
      </w:pPr>
      <w:r>
        <w:rPr>
          <w:rFonts w:hint="eastAsia" w:ascii="宋体" w:hAnsi="宋体" w:eastAsia="方正仿宋_GBK" w:cs="方正仿宋_GBK"/>
          <w:sz w:val="32"/>
          <w:szCs w:val="32"/>
        </w:rPr>
        <w:t xml:space="preserve">   </w:t>
      </w:r>
      <w:r>
        <w:rPr>
          <w:rFonts w:hint="eastAsia" w:ascii="宋体" w:hAnsi="宋体" w:eastAsia="方正仿宋简体" w:cs="Times New Roman"/>
          <w:kern w:val="0"/>
          <w:sz w:val="32"/>
          <w:szCs w:val="32"/>
          <w:lang w:val="en-US" w:eastAsia="zh-CN" w:bidi="ar-SA"/>
        </w:rPr>
        <w:t xml:space="preserve"> 3.制订爱国卫生工作规划和年度计划，有部署、有总结。积极开展卫生乡镇（街道）及卫生村（社区）、卫生先进单位、卫生居民小区等创建活动。在城乡广泛开展爱国卫生教育宣传活动。</w:t>
      </w:r>
      <w:r>
        <w:rPr>
          <w:rFonts w:hint="eastAsia" w:ascii="宋体" w:hAnsi="宋体" w:eastAsia="方正楷体_GBK" w:cs="方正楷体_GBK"/>
          <w:b w:val="0"/>
          <w:bCs w:val="0"/>
          <w:sz w:val="32"/>
          <w:szCs w:val="32"/>
          <w:lang w:eastAsia="zh-CN"/>
        </w:rPr>
        <w:t>（</w:t>
      </w:r>
      <w:r>
        <w:rPr>
          <w:rFonts w:hint="eastAsia" w:ascii="宋体" w:hAnsi="宋体" w:eastAsia="方正楷体_GBK" w:cs="方正楷体_GBK"/>
          <w:b w:val="0"/>
          <w:bCs w:val="0"/>
          <w:sz w:val="32"/>
          <w:szCs w:val="32"/>
          <w:highlight w:val="none"/>
          <w:lang w:val="en-US" w:eastAsia="zh-CN"/>
        </w:rPr>
        <w:t>责任领导：</w:t>
      </w:r>
      <w:r>
        <w:rPr>
          <w:rFonts w:hint="eastAsia" w:ascii="宋体" w:hAnsi="宋体" w:eastAsia="方正楷体_GBK" w:cs="方正楷体_GBK"/>
          <w:color w:val="auto"/>
          <w:w w:val="100"/>
          <w:sz w:val="32"/>
          <w:szCs w:val="32"/>
          <w:highlight w:val="none"/>
          <w:lang w:eastAsia="zh-CN"/>
        </w:rPr>
        <w:t>邹世音、</w:t>
      </w:r>
      <w:r>
        <w:rPr>
          <w:rFonts w:hint="eastAsia" w:ascii="宋体" w:hAnsi="宋体" w:eastAsia="方正楷体_GBK" w:cs="方正楷体_GBK"/>
          <w:b w:val="0"/>
          <w:bCs w:val="0"/>
          <w:sz w:val="32"/>
          <w:szCs w:val="32"/>
          <w:highlight w:val="none"/>
          <w:lang w:val="en-US" w:eastAsia="zh-CN"/>
        </w:rPr>
        <w:t>王润景；</w:t>
      </w:r>
      <w:r>
        <w:rPr>
          <w:rFonts w:hint="eastAsia" w:ascii="宋体" w:hAnsi="宋体" w:eastAsia="方正楷体_GBK" w:cs="方正楷体_GBK"/>
          <w:b w:val="0"/>
          <w:bCs w:val="0"/>
          <w:sz w:val="32"/>
          <w:szCs w:val="32"/>
          <w:lang w:val="en-US" w:eastAsia="zh-CN"/>
        </w:rPr>
        <w:t>牵头单位：爱国卫生运动委员会工作领导小组；责任单位：各乡镇（街办）、各村（社区）、县直各单位</w:t>
      </w:r>
      <w:r>
        <w:rPr>
          <w:rFonts w:hint="eastAsia" w:ascii="宋体" w:hAnsi="宋体" w:eastAsia="方正楷体_GBK" w:cs="方正楷体_GBK"/>
          <w:b w:val="0"/>
          <w:bCs w:val="0"/>
          <w:sz w:val="32"/>
          <w:szCs w:val="32"/>
          <w:lang w:eastAsia="zh-CN"/>
        </w:rPr>
        <w:t xml:space="preserve">） </w:t>
      </w: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宋体" w:hAnsi="宋体" w:eastAsia="方正楷体_GBK" w:cs="方正楷体_GBK"/>
          <w:b w:val="0"/>
          <w:bCs w:val="0"/>
          <w:sz w:val="32"/>
          <w:szCs w:val="32"/>
        </w:rPr>
      </w:pPr>
      <w:r>
        <w:rPr>
          <w:rFonts w:hint="eastAsia" w:ascii="宋体" w:hAnsi="宋体" w:eastAsia="方正仿宋_GBK" w:cs="方正仿宋_GBK"/>
          <w:sz w:val="32"/>
          <w:szCs w:val="32"/>
        </w:rPr>
        <w:t xml:space="preserve">   </w:t>
      </w:r>
      <w:r>
        <w:rPr>
          <w:rFonts w:hint="eastAsia" w:ascii="宋体" w:hAnsi="宋体" w:eastAsia="方正仿宋简体" w:cs="Times New Roman"/>
          <w:kern w:val="0"/>
          <w:sz w:val="32"/>
          <w:szCs w:val="32"/>
          <w:lang w:val="en-US" w:eastAsia="zh-CN" w:bidi="ar-SA"/>
        </w:rPr>
        <w:t xml:space="preserve"> 4.探索建立健康影响评估制度，推动将健康融入所有政策，把全生命周期健康管理理念贯穿城市规划、建设和管理全过程各环节。将应对突发公共卫生事件纳入国土空间规划和城市建设规划，并逐步建设完善相关设施。</w:t>
      </w:r>
      <w:r>
        <w:rPr>
          <w:rFonts w:hint="eastAsia" w:ascii="宋体" w:hAnsi="宋体" w:eastAsia="方正楷体_GBK" w:cs="方正楷体_GBK"/>
          <w:b w:val="0"/>
          <w:bCs w:val="0"/>
          <w:sz w:val="32"/>
          <w:szCs w:val="32"/>
          <w:lang w:eastAsia="zh-CN"/>
        </w:rPr>
        <w:t>（</w:t>
      </w:r>
      <w:r>
        <w:rPr>
          <w:rFonts w:hint="eastAsia" w:ascii="宋体" w:hAnsi="宋体" w:eastAsia="方正楷体_GBK" w:cs="方正楷体_GBK"/>
          <w:b w:val="0"/>
          <w:bCs w:val="0"/>
          <w:sz w:val="32"/>
          <w:szCs w:val="32"/>
          <w:lang w:val="en-US" w:eastAsia="zh-CN"/>
        </w:rPr>
        <w:t>责任领导：黄湘鹏、艾力·巴拉提；牵头单位：发改委、自然资源局、住建局；责任单位：各乡镇（街办）、各村（社区）</w:t>
      </w:r>
      <w:r>
        <w:rPr>
          <w:rFonts w:hint="eastAsia" w:ascii="宋体" w:hAnsi="宋体" w:eastAsia="方正楷体_GBK" w:cs="方正楷体_GBK"/>
          <w:b w:val="0"/>
          <w:bCs w:val="0"/>
          <w:sz w:val="32"/>
          <w:szCs w:val="32"/>
          <w:lang w:eastAsia="zh-CN"/>
        </w:rPr>
        <w:t xml:space="preserve">） </w:t>
      </w:r>
      <w:r>
        <w:rPr>
          <w:rFonts w:hint="eastAsia" w:ascii="宋体" w:hAnsi="宋体" w:eastAsia="方正楷体_GBK" w:cs="方正楷体_GBK"/>
          <w:b w:val="0"/>
          <w:bCs w:val="0"/>
          <w:sz w:val="32"/>
          <w:szCs w:val="32"/>
        </w:rPr>
        <w:t xml:space="preserve"> </w:t>
      </w:r>
    </w:p>
    <w:p>
      <w:pPr>
        <w:keepNext w:val="0"/>
        <w:keepLines w:val="0"/>
        <w:pageBreakBefore w:val="0"/>
        <w:widowControl w:val="0"/>
        <w:kinsoku/>
        <w:wordWrap/>
        <w:overflowPunct/>
        <w:topLinePunct w:val="0"/>
        <w:autoSpaceDE/>
        <w:autoSpaceDN/>
        <w:bidi w:val="0"/>
        <w:adjustRightInd/>
        <w:spacing w:line="560" w:lineRule="exact"/>
        <w:ind w:firstLine="640"/>
        <w:textAlignment w:val="auto"/>
        <w:rPr>
          <w:rFonts w:hint="eastAsia" w:ascii="宋体" w:hAnsi="宋体" w:eastAsia="方正楷体_GBK" w:cs="方正楷体_GBK"/>
          <w:b w:val="0"/>
          <w:bCs w:val="0"/>
          <w:sz w:val="32"/>
          <w:szCs w:val="32"/>
          <w:lang w:eastAsia="zh-CN"/>
        </w:rPr>
      </w:pPr>
      <w:r>
        <w:rPr>
          <w:rFonts w:hint="eastAsia" w:ascii="宋体" w:hAnsi="宋体" w:eastAsia="方正仿宋简体" w:cs="Times New Roman"/>
          <w:kern w:val="0"/>
          <w:sz w:val="32"/>
          <w:szCs w:val="32"/>
          <w:lang w:val="en-US" w:eastAsia="zh-CN" w:bidi="ar-SA"/>
        </w:rPr>
        <w:t>5.畅通爱国卫生建议与投诉平台，认真核实和解决群众困难诉求。群众对县域卫生状况满意率≥90％。</w:t>
      </w:r>
      <w:r>
        <w:rPr>
          <w:rFonts w:hint="eastAsia" w:ascii="宋体" w:hAnsi="宋体" w:eastAsia="方正楷体_GBK" w:cs="方正楷体_GBK"/>
          <w:b w:val="0"/>
          <w:bCs w:val="0"/>
          <w:sz w:val="32"/>
          <w:szCs w:val="32"/>
          <w:lang w:eastAsia="zh-CN"/>
        </w:rPr>
        <w:t>（</w:t>
      </w:r>
      <w:r>
        <w:rPr>
          <w:rFonts w:hint="eastAsia" w:ascii="宋体" w:hAnsi="宋体" w:eastAsia="方正楷体_GBK" w:cs="方正楷体_GBK"/>
          <w:b w:val="0"/>
          <w:bCs w:val="0"/>
          <w:sz w:val="32"/>
          <w:szCs w:val="32"/>
          <w:lang w:val="en-US" w:eastAsia="zh-CN"/>
        </w:rPr>
        <w:t>责任领导：吴长海；牵头单位：群众工作办公室；责任单位：各乡镇（街办）、各村（社区）、县直各单位</w:t>
      </w:r>
      <w:r>
        <w:rPr>
          <w:rFonts w:hint="eastAsia" w:ascii="宋体" w:hAnsi="宋体" w:eastAsia="方正楷体_GBK" w:cs="方正楷体_GBK"/>
          <w:b w:val="0"/>
          <w:bCs w:val="0"/>
          <w:sz w:val="32"/>
          <w:szCs w:val="32"/>
          <w:lang w:eastAsia="zh-CN"/>
        </w:rPr>
        <w:t>）</w:t>
      </w:r>
    </w:p>
    <w:p>
      <w:pPr>
        <w:keepNext w:val="0"/>
        <w:keepLines w:val="0"/>
        <w:pageBreakBefore w:val="0"/>
        <w:widowControl w:val="0"/>
        <w:kinsoku/>
        <w:wordWrap/>
        <w:overflowPunct/>
        <w:topLinePunct w:val="0"/>
        <w:autoSpaceDE/>
        <w:autoSpaceDN/>
        <w:bidi w:val="0"/>
        <w:adjustRightInd/>
        <w:spacing w:line="560" w:lineRule="exact"/>
        <w:ind w:firstLine="640"/>
        <w:textAlignment w:val="auto"/>
        <w:rPr>
          <w:rFonts w:hint="eastAsia" w:ascii="宋体" w:hAnsi="宋体" w:eastAsia="方正楷体_GBK" w:cs="方正楷体_GBK"/>
          <w:sz w:val="32"/>
          <w:szCs w:val="32"/>
        </w:rPr>
      </w:pPr>
      <w:r>
        <w:rPr>
          <w:rFonts w:hint="eastAsia" w:ascii="宋体" w:hAnsi="宋体" w:eastAsia="方正楷体_GBK" w:cs="方正楷体_GBK"/>
          <w:sz w:val="32"/>
          <w:szCs w:val="32"/>
        </w:rPr>
        <w:t xml:space="preserve">（二）健康教育和健康促进 </w:t>
      </w: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宋体" w:hAnsi="宋体" w:eastAsia="方正楷体_GBK" w:cs="方正楷体_GBK"/>
          <w:b w:val="0"/>
          <w:bCs w:val="0"/>
          <w:sz w:val="32"/>
          <w:szCs w:val="32"/>
          <w:lang w:eastAsia="zh-CN"/>
        </w:rPr>
      </w:pPr>
      <w:r>
        <w:rPr>
          <w:rFonts w:hint="eastAsia" w:ascii="宋体" w:hAnsi="宋体" w:eastAsia="方正仿宋_GBK" w:cs="方正仿宋_GBK"/>
          <w:sz w:val="32"/>
          <w:szCs w:val="32"/>
        </w:rPr>
        <w:t xml:space="preserve">   </w:t>
      </w:r>
      <w:r>
        <w:rPr>
          <w:rFonts w:hint="eastAsia" w:ascii="宋体" w:hAnsi="宋体" w:eastAsia="方正仿宋简体" w:cs="Times New Roman"/>
          <w:kern w:val="0"/>
          <w:sz w:val="32"/>
          <w:szCs w:val="32"/>
          <w:lang w:val="en-US" w:eastAsia="zh-CN" w:bidi="ar-SA"/>
        </w:rPr>
        <w:t xml:space="preserve"> 6.以《中国公民健康素养—基本知识与技能》为主要内容，广泛开展健康教育和健康促进活动。居民健康素养水平达到卫生事业发展规划要求。建立健全健康教育网络，各主要媒体设有健康教育栏目。广泛开展健康教育和健康促进活动，提升居民健康素养水平≥23％，倡导文明健康、绿色环保生活方式。大力普及中医养生保健知识和方法。车站、广场、公园等公共场所设立的电子屏幕和公益广告等应当具有健康教育内容，社区、医院、学校等场所积极开展健康教育活动。积极开展健康乡（镇）和健康村、健康社区、健康企业、健康机关、健康学校、健康促进医院、健康家庭等健康细胞建设。建设健康步道、健康主题公园等，推广“三减三健”等慢性病防控措施。</w:t>
      </w:r>
      <w:r>
        <w:rPr>
          <w:rFonts w:hint="eastAsia" w:ascii="宋体" w:hAnsi="宋体" w:eastAsia="方正楷体_GBK" w:cs="方正楷体_GBK"/>
          <w:b w:val="0"/>
          <w:bCs w:val="0"/>
          <w:sz w:val="32"/>
          <w:szCs w:val="32"/>
          <w:lang w:eastAsia="zh-CN"/>
        </w:rPr>
        <w:t>（</w:t>
      </w:r>
      <w:r>
        <w:rPr>
          <w:rFonts w:hint="eastAsia" w:ascii="宋体" w:hAnsi="宋体" w:eastAsia="方正楷体_GBK" w:cs="方正楷体_GBK"/>
          <w:b w:val="0"/>
          <w:bCs w:val="0"/>
          <w:sz w:val="32"/>
          <w:szCs w:val="32"/>
          <w:lang w:val="en-US" w:eastAsia="zh-CN"/>
        </w:rPr>
        <w:t>责任领导：白秀茜；牵头单位：宣传部；责任单位：各乡镇（街办）、各村（社区）、县直各单位</w:t>
      </w:r>
      <w:r>
        <w:rPr>
          <w:rFonts w:hint="eastAsia" w:ascii="宋体" w:hAnsi="宋体" w:eastAsia="方正楷体_GBK" w:cs="方正楷体_GBK"/>
          <w:b w:val="0"/>
          <w:bCs w:val="0"/>
          <w:sz w:val="32"/>
          <w:szCs w:val="32"/>
          <w:lang w:eastAsia="zh-CN"/>
        </w:rPr>
        <w:t>）</w:t>
      </w: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宋体" w:hAnsi="宋体" w:eastAsia="方正楷体_GBK" w:cs="方正楷体_GBK"/>
          <w:b w:val="0"/>
          <w:bCs w:val="0"/>
          <w:sz w:val="32"/>
          <w:szCs w:val="32"/>
          <w:lang w:eastAsia="zh-CN"/>
        </w:rPr>
      </w:pPr>
      <w:r>
        <w:rPr>
          <w:rFonts w:hint="eastAsia" w:ascii="宋体" w:hAnsi="宋体" w:eastAsia="方正仿宋_GBK" w:cs="方正仿宋_GBK"/>
          <w:sz w:val="32"/>
          <w:szCs w:val="32"/>
        </w:rPr>
        <w:t xml:space="preserve">   </w:t>
      </w:r>
      <w:r>
        <w:rPr>
          <w:rFonts w:hint="eastAsia" w:ascii="宋体" w:hAnsi="宋体" w:eastAsia="方正仿宋简体" w:cs="Times New Roman"/>
          <w:kern w:val="0"/>
          <w:sz w:val="32"/>
          <w:szCs w:val="32"/>
          <w:lang w:val="en-US" w:eastAsia="zh-CN" w:bidi="ar-SA"/>
        </w:rPr>
        <w:t xml:space="preserve"> 7.广泛开展全民健身活动，增进广大群众积极参加体育锻炼的意识，倡导居民维持健康体重。机关、企事业单位落实工作场所工间操制度。建有全民健身场地设施的社区比例100％。人均体育场地面积达2.2平方米。经常参加体育锻炼的人数比率达到38.5％以上。每千人口至少有2.16名社会体育指导员。深入开展控烟宣传活动，全面推进无烟党政机关、无烟医疗卫生机构、无烟学校、无烟家庭等无烟环境建设并取得显著成效，积极推进控烟立法执法，逐步实现室内公共场所、工作场所和公共交通工具全面禁烟。开展无烟机关、无烟医疗卫生机构、无烟学校、无烟家庭等无烟场所建设。室内公共场所、工作场所和公共交通工具设置禁止吸烟警语和标识。</w:t>
      </w:r>
      <w:r>
        <w:rPr>
          <w:rFonts w:hint="eastAsia" w:ascii="宋体" w:hAnsi="宋体" w:eastAsia="方正楷体_GBK" w:cs="方正楷体_GBK"/>
          <w:b w:val="0"/>
          <w:bCs w:val="0"/>
          <w:sz w:val="32"/>
          <w:szCs w:val="32"/>
          <w:lang w:eastAsia="zh-CN"/>
        </w:rPr>
        <w:t>（</w:t>
      </w:r>
      <w:r>
        <w:rPr>
          <w:rFonts w:hint="eastAsia" w:ascii="宋体" w:hAnsi="宋体" w:eastAsia="方正楷体_GBK" w:cs="方正楷体_GBK"/>
          <w:b w:val="0"/>
          <w:bCs w:val="0"/>
          <w:sz w:val="32"/>
          <w:szCs w:val="32"/>
          <w:lang w:val="en-US" w:eastAsia="zh-CN"/>
        </w:rPr>
        <w:t>责任领导：白秀茜；牵头单位：宣传部；责任单位：文旅局、融媒体中心、各乡镇（街办）、各村（社区）、县直各单位</w:t>
      </w:r>
      <w:r>
        <w:rPr>
          <w:rFonts w:hint="eastAsia" w:ascii="宋体" w:hAnsi="宋体" w:eastAsia="方正楷体_GBK" w:cs="方正楷体_GBK"/>
          <w:b w:val="0"/>
          <w:bCs w:val="0"/>
          <w:sz w:val="32"/>
          <w:szCs w:val="32"/>
          <w:lang w:eastAsia="zh-CN"/>
        </w:rPr>
        <w:t>）</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宋体" w:hAnsi="宋体" w:eastAsia="方正楷体_GBK" w:cs="方正楷体_GBK"/>
          <w:sz w:val="32"/>
          <w:szCs w:val="32"/>
        </w:rPr>
      </w:pPr>
      <w:r>
        <w:rPr>
          <w:rFonts w:hint="eastAsia" w:ascii="宋体" w:hAnsi="宋体" w:eastAsia="方正楷体_GBK" w:cs="方正楷体_GBK"/>
          <w:sz w:val="32"/>
          <w:szCs w:val="32"/>
        </w:rPr>
        <w:t xml:space="preserve">（三）市容环境卫生 </w:t>
      </w: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宋体" w:hAnsi="宋体" w:eastAsia="方正楷体_GBK" w:cs="方正楷体_GBK"/>
          <w:b w:val="0"/>
          <w:bCs w:val="0"/>
          <w:sz w:val="32"/>
          <w:szCs w:val="32"/>
          <w:lang w:eastAsia="zh-CN"/>
        </w:rPr>
      </w:pPr>
      <w:r>
        <w:rPr>
          <w:rFonts w:hint="eastAsia" w:ascii="宋体" w:hAnsi="宋体" w:eastAsia="方正仿宋_GBK" w:cs="方正仿宋_GBK"/>
          <w:sz w:val="32"/>
          <w:szCs w:val="32"/>
        </w:rPr>
        <w:t xml:space="preserve">  </w:t>
      </w:r>
      <w:r>
        <w:rPr>
          <w:rFonts w:hint="eastAsia" w:ascii="宋体" w:hAnsi="宋体" w:eastAsia="方正仿宋_GBK" w:cs="方正仿宋_GBK"/>
          <w:sz w:val="32"/>
          <w:szCs w:val="32"/>
          <w:highlight w:val="none"/>
        </w:rPr>
        <w:t xml:space="preserve"> </w:t>
      </w:r>
      <w:r>
        <w:rPr>
          <w:rFonts w:hint="eastAsia" w:ascii="宋体" w:hAnsi="宋体" w:eastAsia="方正仿宋简体" w:cs="Times New Roman"/>
          <w:kern w:val="0"/>
          <w:sz w:val="32"/>
          <w:szCs w:val="32"/>
          <w:lang w:val="en-US" w:eastAsia="zh-CN" w:bidi="ar-SA"/>
        </w:rPr>
        <w:t xml:space="preserve"> 8.市容环境卫生达到《城市容貌标准》要求。城市管理信息化覆盖率≥90％，建成数字化城管系统并正常运行。城市主次干道和街巷路面平整，主要街道无乱搭乱建、乱堆乱摆、乱停乱放、乱贴乱画、乱扔乱倒等现象。垃圾桶（箱）等垃圾分类收集容器配置齐全，分类标志统一规范，城区无卫生死角，基本消除易涝积水点。城市河道、湖泊等水面清洁，岸坡整洁，无垃圾杂物。城市道路照明及景观照明设施整洁、完好，运行正常，功能照明完善，城市道路装灯率达到100％，窨井盖完好率≥98％。</w:t>
      </w:r>
      <w:r>
        <w:rPr>
          <w:rFonts w:hint="eastAsia" w:ascii="宋体" w:hAnsi="宋体" w:eastAsia="方正楷体_GBK" w:cs="方正楷体_GBK"/>
          <w:b w:val="0"/>
          <w:bCs w:val="0"/>
          <w:sz w:val="32"/>
          <w:szCs w:val="32"/>
          <w:lang w:eastAsia="zh-CN"/>
        </w:rPr>
        <w:t>（</w:t>
      </w:r>
      <w:r>
        <w:rPr>
          <w:rFonts w:hint="eastAsia" w:ascii="宋体" w:hAnsi="宋体" w:eastAsia="方正楷体_GBK" w:cs="方正楷体_GBK"/>
          <w:b w:val="0"/>
          <w:bCs w:val="0"/>
          <w:sz w:val="32"/>
          <w:szCs w:val="32"/>
          <w:lang w:val="en-US" w:eastAsia="zh-CN"/>
        </w:rPr>
        <w:t>责任领导：黄湘鹏；牵头单位：住建局；责任单位：各乡镇（街办）、各村（社区）、县直各单位</w:t>
      </w:r>
      <w:r>
        <w:rPr>
          <w:rFonts w:hint="eastAsia" w:ascii="宋体" w:hAnsi="宋体" w:eastAsia="方正楷体_GBK" w:cs="方正楷体_GBK"/>
          <w:b w:val="0"/>
          <w:bCs w:val="0"/>
          <w:sz w:val="32"/>
          <w:szCs w:val="32"/>
          <w:lang w:eastAsia="zh-CN"/>
        </w:rPr>
        <w:t xml:space="preserve">） </w:t>
      </w: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宋体" w:hAnsi="宋体" w:eastAsia="方正仿宋_GBK" w:cs="方正仿宋_GBK"/>
          <w:b/>
          <w:bCs/>
          <w:sz w:val="32"/>
          <w:szCs w:val="32"/>
          <w:lang w:eastAsia="zh-CN"/>
        </w:rPr>
      </w:pPr>
      <w:r>
        <w:rPr>
          <w:rFonts w:hint="eastAsia" w:ascii="宋体" w:hAnsi="宋体" w:eastAsia="方正仿宋_GBK" w:cs="方正仿宋_GBK"/>
          <w:sz w:val="32"/>
          <w:szCs w:val="32"/>
        </w:rPr>
        <w:t xml:space="preserve">   </w:t>
      </w:r>
      <w:r>
        <w:rPr>
          <w:rFonts w:hint="eastAsia" w:ascii="宋体" w:hAnsi="宋体" w:eastAsia="方正仿宋简体" w:cs="Times New Roman"/>
          <w:kern w:val="0"/>
          <w:sz w:val="32"/>
          <w:szCs w:val="32"/>
          <w:lang w:val="en-US" w:eastAsia="zh-CN" w:bidi="ar-SA"/>
        </w:rPr>
        <w:t xml:space="preserve"> 9.生活垃圾收集运输体系完善，垃圾、粪便收集运输容器、车辆等设备设施全面实现密闭化，垃圾日产日清。道路机械化清扫率≥80％，主次干道保洁时间≥16小时，街巷路面每日保洁时间≥12小时。建筑工地管理符合《建筑施工现场环境与卫生标准》要求。待建、在建、拆迁工地管理到位，卫生整洁，规范围挡，无扬尘、噪声污染，建筑垃圾规范运输处理，无乱倒垃圾和乱搭乱建现象。</w:t>
      </w:r>
      <w:r>
        <w:rPr>
          <w:rFonts w:hint="eastAsia" w:ascii="宋体" w:hAnsi="宋体" w:eastAsia="方正楷体_GBK" w:cs="方正楷体_GBK"/>
          <w:b w:val="0"/>
          <w:bCs w:val="0"/>
          <w:sz w:val="32"/>
          <w:szCs w:val="32"/>
          <w:lang w:eastAsia="zh-CN"/>
        </w:rPr>
        <w:t>（</w:t>
      </w:r>
      <w:r>
        <w:rPr>
          <w:rFonts w:hint="eastAsia" w:ascii="宋体" w:hAnsi="宋体" w:eastAsia="方正楷体_GBK" w:cs="方正楷体_GBK"/>
          <w:b w:val="0"/>
          <w:bCs w:val="0"/>
          <w:sz w:val="32"/>
          <w:szCs w:val="32"/>
          <w:lang w:val="en-US" w:eastAsia="zh-CN"/>
        </w:rPr>
        <w:t>责任领导：黄湘鹏；牵头单位：住建局；责任单位：各乡镇（街办）、各村（社区）、县直各单位</w:t>
      </w:r>
      <w:r>
        <w:rPr>
          <w:rFonts w:hint="eastAsia" w:ascii="宋体" w:hAnsi="宋体" w:eastAsia="方正楷体_GBK" w:cs="方正楷体_GBK"/>
          <w:b w:val="0"/>
          <w:bCs w:val="0"/>
          <w:sz w:val="32"/>
          <w:szCs w:val="32"/>
          <w:lang w:eastAsia="zh-CN"/>
        </w:rPr>
        <w:t xml:space="preserve">）  </w:t>
      </w: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宋体" w:hAnsi="宋体" w:eastAsia="方正楷体_GBK" w:cs="方正楷体_GBK"/>
          <w:b w:val="0"/>
          <w:bCs w:val="0"/>
          <w:sz w:val="32"/>
          <w:szCs w:val="32"/>
          <w:lang w:eastAsia="zh-CN"/>
        </w:rPr>
      </w:pPr>
      <w:r>
        <w:rPr>
          <w:rFonts w:hint="eastAsia" w:ascii="宋体" w:hAnsi="宋体" w:eastAsia="方正仿宋_GBK" w:cs="方正仿宋_GBK"/>
          <w:sz w:val="32"/>
          <w:szCs w:val="32"/>
        </w:rPr>
        <w:t xml:space="preserve">   </w:t>
      </w:r>
      <w:r>
        <w:rPr>
          <w:rFonts w:hint="eastAsia" w:ascii="宋体" w:hAnsi="宋体" w:eastAsia="方正仿宋简体" w:cs="Times New Roman"/>
          <w:kern w:val="0"/>
          <w:sz w:val="32"/>
          <w:szCs w:val="32"/>
          <w:lang w:val="en-US" w:eastAsia="zh-CN" w:bidi="ar-SA"/>
        </w:rPr>
        <w:t xml:space="preserve"> 10.生活垃圾转运站等环卫设施、再生资源回收基础设施符合相关标准要求，数量充足，布局合理，管理规范。生活垃圾分类收集运输体系和废旧物资循环利用体系完善，生活垃圾、粪便分类收集运输容器、车辆等设备设施实现密闭化、规范化，生活垃圾、粪便及时清运。按照城区每2000户居民设置1个回收站点（条件不具备的地区可设立流动回收车），具体参考《再生资源回收站点建设管理规范》（SB／T10719）计算，主城区回收网点覆盖率达100％。推行生活垃圾分类和减量化、资源化。因地制宜加快建立生活垃圾分类投放、分类收集、分类运输、分类处理系统，实现生活垃圾分类有效覆盖。加强城市生活垃圾回收利用和无害化处理，城市生活垃圾回收利用率＞35％，城市生活垃圾无害化处理率≥100％。</w:t>
      </w:r>
      <w:r>
        <w:rPr>
          <w:rFonts w:hint="eastAsia" w:ascii="宋体" w:hAnsi="宋体" w:eastAsia="方正楷体_GBK" w:cs="方正楷体_GBK"/>
          <w:b w:val="0"/>
          <w:bCs w:val="0"/>
          <w:sz w:val="32"/>
          <w:szCs w:val="32"/>
          <w:lang w:eastAsia="zh-CN"/>
        </w:rPr>
        <w:t>（</w:t>
      </w:r>
      <w:r>
        <w:rPr>
          <w:rFonts w:hint="eastAsia" w:ascii="宋体" w:hAnsi="宋体" w:eastAsia="方正楷体_GBK" w:cs="方正楷体_GBK"/>
          <w:b w:val="0"/>
          <w:bCs w:val="0"/>
          <w:sz w:val="32"/>
          <w:szCs w:val="32"/>
          <w:lang w:val="en-US" w:eastAsia="zh-CN"/>
        </w:rPr>
        <w:t>责任领导：黄湘鹏；牵头单位：住建局；责任单位：各乡镇（街办）、各村（社区）、县直各单位</w:t>
      </w:r>
      <w:r>
        <w:rPr>
          <w:rFonts w:hint="eastAsia" w:ascii="宋体" w:hAnsi="宋体" w:eastAsia="方正楷体_GBK" w:cs="方正楷体_GBK"/>
          <w:b w:val="0"/>
          <w:bCs w:val="0"/>
          <w:sz w:val="32"/>
          <w:szCs w:val="32"/>
          <w:lang w:eastAsia="zh-CN"/>
        </w:rPr>
        <w:t xml:space="preserve">）  </w:t>
      </w: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宋体" w:hAnsi="宋体" w:eastAsia="方正仿宋_GBK" w:cs="方正仿宋_GBK"/>
          <w:b/>
          <w:bCs/>
          <w:sz w:val="32"/>
          <w:szCs w:val="32"/>
          <w:lang w:eastAsia="zh-CN"/>
        </w:rPr>
      </w:pPr>
      <w:r>
        <w:rPr>
          <w:rFonts w:hint="eastAsia" w:ascii="宋体" w:hAnsi="宋体" w:eastAsia="方正仿宋_GBK" w:cs="方正仿宋_GBK"/>
          <w:sz w:val="32"/>
          <w:szCs w:val="32"/>
        </w:rPr>
        <w:t xml:space="preserve">   </w:t>
      </w:r>
      <w:r>
        <w:rPr>
          <w:rFonts w:hint="eastAsia" w:ascii="宋体" w:hAnsi="宋体" w:eastAsia="方正仿宋简体" w:cs="Times New Roman"/>
          <w:kern w:val="0"/>
          <w:sz w:val="32"/>
          <w:szCs w:val="32"/>
          <w:lang w:val="en-US" w:eastAsia="zh-CN" w:bidi="ar-SA"/>
        </w:rPr>
        <w:t xml:space="preserve"> 11.建筑物外立面上的广告设施和招牌的高度、大小符合规定标准，不遮盖建筑物外观轮廓，不影响建筑物本身和相邻建筑物采光、通风，不造成光污染。建筑玻璃幕墙的可见光反射比及其对周边建筑和交通的影响符合现行国家标准有关规定。</w:t>
      </w:r>
      <w:r>
        <w:rPr>
          <w:rFonts w:hint="eastAsia" w:ascii="宋体" w:hAnsi="宋体" w:eastAsia="方正楷体_GBK" w:cs="方正楷体_GBK"/>
          <w:b w:val="0"/>
          <w:bCs w:val="0"/>
          <w:sz w:val="32"/>
          <w:szCs w:val="32"/>
          <w:lang w:eastAsia="zh-CN"/>
        </w:rPr>
        <w:t>（</w:t>
      </w:r>
      <w:r>
        <w:rPr>
          <w:rFonts w:hint="eastAsia" w:ascii="宋体" w:hAnsi="宋体" w:eastAsia="方正楷体_GBK" w:cs="方正楷体_GBK"/>
          <w:b w:val="0"/>
          <w:bCs w:val="0"/>
          <w:sz w:val="32"/>
          <w:szCs w:val="32"/>
          <w:lang w:val="en-US" w:eastAsia="zh-CN"/>
        </w:rPr>
        <w:t>责任领导：黄湘鹏；牵头单位：住建局；责任单位：各乡镇（街办）、各村（社区）、县直各单位</w:t>
      </w:r>
      <w:r>
        <w:rPr>
          <w:rFonts w:hint="eastAsia" w:ascii="宋体" w:hAnsi="宋体" w:eastAsia="方正楷体_GBK" w:cs="方正楷体_GBK"/>
          <w:b w:val="0"/>
          <w:bCs w:val="0"/>
          <w:sz w:val="32"/>
          <w:szCs w:val="32"/>
          <w:lang w:eastAsia="zh-CN"/>
        </w:rPr>
        <w:t xml:space="preserve">） </w:t>
      </w: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宋体" w:hAnsi="宋体" w:eastAsia="方正仿宋_GBK" w:cs="方正仿宋_GBK"/>
          <w:b/>
          <w:bCs/>
          <w:sz w:val="32"/>
          <w:szCs w:val="32"/>
          <w:lang w:eastAsia="zh-CN"/>
        </w:rPr>
      </w:pPr>
      <w:r>
        <w:rPr>
          <w:rFonts w:hint="eastAsia" w:ascii="宋体" w:hAnsi="宋体" w:eastAsia="方正仿宋_GBK" w:cs="方正仿宋_GBK"/>
          <w:sz w:val="32"/>
          <w:szCs w:val="32"/>
        </w:rPr>
        <w:t xml:space="preserve">   </w:t>
      </w:r>
      <w:r>
        <w:rPr>
          <w:rFonts w:hint="eastAsia" w:ascii="宋体" w:hAnsi="宋体" w:eastAsia="方正仿宋简体" w:cs="Times New Roman"/>
          <w:kern w:val="0"/>
          <w:sz w:val="32"/>
          <w:szCs w:val="32"/>
          <w:lang w:val="en-US" w:eastAsia="zh-CN" w:bidi="ar-SA"/>
        </w:rPr>
        <w:t xml:space="preserve"> 12.加强绿化工作，提高建成区绿化覆盖率和公园绿地面积，强化绿地管理。建成区绿化覆盖率≥38％，人均公园绿地面积≥9平方米。</w:t>
      </w:r>
      <w:r>
        <w:rPr>
          <w:rFonts w:hint="eastAsia" w:ascii="宋体" w:hAnsi="宋体" w:eastAsia="方正楷体_GBK" w:cs="方正楷体_GBK"/>
          <w:b w:val="0"/>
          <w:bCs w:val="0"/>
          <w:sz w:val="32"/>
          <w:szCs w:val="32"/>
          <w:lang w:eastAsia="zh-CN"/>
        </w:rPr>
        <w:t>（</w:t>
      </w:r>
      <w:r>
        <w:rPr>
          <w:rFonts w:hint="eastAsia" w:ascii="宋体" w:hAnsi="宋体" w:eastAsia="方正楷体_GBK" w:cs="方正楷体_GBK"/>
          <w:b w:val="0"/>
          <w:bCs w:val="0"/>
          <w:sz w:val="32"/>
          <w:szCs w:val="32"/>
          <w:lang w:val="en-US" w:eastAsia="zh-CN"/>
        </w:rPr>
        <w:t>责任领导：黄湘鹏；牵头单位：住建局；责任单位：各乡镇（街办）、各村（社区）、各党政机关、各企事业单位</w:t>
      </w:r>
      <w:r>
        <w:rPr>
          <w:rFonts w:hint="eastAsia" w:ascii="宋体" w:hAnsi="宋体" w:eastAsia="方正楷体_GBK" w:cs="方正楷体_GBK"/>
          <w:b w:val="0"/>
          <w:bCs w:val="0"/>
          <w:sz w:val="32"/>
          <w:szCs w:val="32"/>
          <w:lang w:eastAsia="zh-CN"/>
        </w:rPr>
        <w:t>）</w:t>
      </w:r>
      <w:r>
        <w:rPr>
          <w:rFonts w:hint="eastAsia" w:ascii="宋体" w:hAnsi="宋体" w:eastAsia="方正仿宋_GBK" w:cs="方正仿宋_GBK"/>
          <w:b/>
          <w:bCs/>
          <w:sz w:val="32"/>
          <w:szCs w:val="32"/>
          <w:lang w:eastAsia="zh-CN"/>
        </w:rPr>
        <w:t xml:space="preserve"> </w:t>
      </w: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宋体" w:hAnsi="宋体" w:eastAsia="方正楷体_GBK" w:cs="方正楷体_GBK"/>
          <w:b w:val="0"/>
          <w:bCs w:val="0"/>
          <w:sz w:val="32"/>
          <w:szCs w:val="32"/>
          <w:lang w:eastAsia="zh-CN"/>
        </w:rPr>
      </w:pPr>
      <w:r>
        <w:rPr>
          <w:rFonts w:hint="eastAsia" w:ascii="宋体" w:hAnsi="宋体" w:eastAsia="方正仿宋_GBK" w:cs="方正仿宋_GBK"/>
          <w:sz w:val="32"/>
          <w:szCs w:val="32"/>
        </w:rPr>
        <w:t xml:space="preserve">   </w:t>
      </w:r>
      <w:r>
        <w:rPr>
          <w:rFonts w:hint="eastAsia" w:ascii="宋体" w:hAnsi="宋体" w:eastAsia="方正仿宋简体" w:cs="Times New Roman"/>
          <w:kern w:val="0"/>
          <w:sz w:val="32"/>
          <w:szCs w:val="32"/>
          <w:lang w:val="en-US" w:eastAsia="zh-CN" w:bidi="ar-SA"/>
        </w:rPr>
        <w:t xml:space="preserve"> 13.积极推进厕所革命，公共厕所设置符合相关标准要求，数量充足，干净整洁，实现卫生厕所全覆盖。主次干道、车站、医疗机构、旅游景点、集贸市场、商场等公共场所的公厕设施不低于二类标准。生活污水有效收集处理，城市生活污水集中收集率≥75％或持续提高。</w:t>
      </w:r>
      <w:r>
        <w:rPr>
          <w:rFonts w:hint="eastAsia" w:ascii="宋体" w:hAnsi="宋体" w:eastAsia="方正楷体_GBK" w:cs="方正楷体_GBK"/>
          <w:b w:val="0"/>
          <w:bCs w:val="0"/>
          <w:sz w:val="32"/>
          <w:szCs w:val="32"/>
          <w:lang w:eastAsia="zh-CN"/>
        </w:rPr>
        <w:t>（</w:t>
      </w:r>
      <w:r>
        <w:rPr>
          <w:rFonts w:hint="eastAsia" w:ascii="宋体" w:hAnsi="宋体" w:eastAsia="方正楷体_GBK" w:cs="方正楷体_GBK"/>
          <w:b w:val="0"/>
          <w:bCs w:val="0"/>
          <w:sz w:val="32"/>
          <w:szCs w:val="32"/>
          <w:lang w:val="en-US" w:eastAsia="zh-CN"/>
        </w:rPr>
        <w:t>责任领导：艾合买提江·司马义、艾力·巴拉提；牵头单位：农业农村局；责任单位：交通局、住建局、卫健委、文旅局、市监局、水利局，各乡镇（街办）、各村（社区）、县直各单位</w:t>
      </w:r>
      <w:r>
        <w:rPr>
          <w:rFonts w:hint="eastAsia" w:ascii="宋体" w:hAnsi="宋体" w:eastAsia="方正楷体_GBK" w:cs="方正楷体_GBK"/>
          <w:b w:val="0"/>
          <w:bCs w:val="0"/>
          <w:sz w:val="32"/>
          <w:szCs w:val="32"/>
          <w:lang w:eastAsia="zh-CN"/>
        </w:rPr>
        <w:t>）</w:t>
      </w: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宋体" w:hAnsi="宋体" w:eastAsia="方正楷体_GBK" w:cs="方正楷体_GBK"/>
          <w:b w:val="0"/>
          <w:bCs w:val="0"/>
          <w:sz w:val="32"/>
          <w:szCs w:val="32"/>
          <w:lang w:eastAsia="zh-CN"/>
        </w:rPr>
      </w:pPr>
      <w:r>
        <w:rPr>
          <w:rFonts w:hint="eastAsia" w:ascii="宋体" w:hAnsi="宋体" w:eastAsia="方正仿宋_GBK" w:cs="方正仿宋_GBK"/>
          <w:sz w:val="32"/>
          <w:szCs w:val="32"/>
        </w:rPr>
        <w:t xml:space="preserve">    </w:t>
      </w:r>
      <w:r>
        <w:rPr>
          <w:rFonts w:hint="eastAsia" w:ascii="宋体" w:hAnsi="宋体" w:eastAsia="方正仿宋简体" w:cs="Times New Roman"/>
          <w:kern w:val="0"/>
          <w:sz w:val="32"/>
          <w:szCs w:val="32"/>
          <w:lang w:val="en-US" w:eastAsia="zh-CN" w:bidi="ar-SA"/>
        </w:rPr>
        <w:t>14.建成区和城乡结合部农产品市场布局合理，建设管理符合规范要求，科学设置经营区域，实行生熟分开、干湿分离；兼营零售业务的农产品批发市场，应当做到批发与零售业务分区域或分时段经营。农产品批发市场、零售市场设施设备应符合卫生防疫和食品安全要求，应配备卫生管理和保洁人员，落实定期休市和清洗消毒制度，环卫设施齐全、干净整洁。市场活禽销售区域应相对独立设置，实行隔离宰杀，对废弃物实施规范处理，逐步实现市场无活禽交易。农产品冷链物流设施要结合实际预留消杀防疫空间。临时便民市场采取有效管理措施，保障周边市容环境卫生、交通秩序和群众正常生活秩序。流动商贩管理规范。无使用厚度小于0.025毫米的超薄塑料购物袋现象。</w:t>
      </w:r>
      <w:r>
        <w:rPr>
          <w:rFonts w:hint="eastAsia" w:ascii="宋体" w:hAnsi="宋体" w:eastAsia="方正楷体_GBK" w:cs="方正楷体_GBK"/>
          <w:b w:val="0"/>
          <w:bCs w:val="0"/>
          <w:sz w:val="32"/>
          <w:szCs w:val="32"/>
          <w:lang w:eastAsia="zh-CN"/>
        </w:rPr>
        <w:t>（</w:t>
      </w:r>
      <w:r>
        <w:rPr>
          <w:rFonts w:hint="eastAsia" w:ascii="宋体" w:hAnsi="宋体" w:eastAsia="方正楷体_GBK" w:cs="方正楷体_GBK"/>
          <w:b w:val="0"/>
          <w:bCs w:val="0"/>
          <w:sz w:val="32"/>
          <w:szCs w:val="32"/>
          <w:lang w:val="en-US" w:eastAsia="zh-CN"/>
        </w:rPr>
        <w:t>责任领导：黄湘鹏；牵头单位：市监局；责任单位：农业农村局、各乡镇（街办）、各村（社区）</w:t>
      </w:r>
      <w:r>
        <w:rPr>
          <w:rFonts w:hint="eastAsia" w:ascii="宋体" w:hAnsi="宋体" w:eastAsia="方正楷体_GBK" w:cs="方正楷体_GBK"/>
          <w:b w:val="0"/>
          <w:bCs w:val="0"/>
          <w:sz w:val="32"/>
          <w:szCs w:val="32"/>
          <w:lang w:eastAsia="zh-CN"/>
        </w:rPr>
        <w:t>）</w:t>
      </w: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 xml:space="preserve">    </w:t>
      </w:r>
      <w:r>
        <w:rPr>
          <w:rFonts w:hint="eastAsia" w:ascii="宋体" w:hAnsi="宋体" w:eastAsia="方正仿宋简体" w:cs="Times New Roman"/>
          <w:kern w:val="0"/>
          <w:sz w:val="32"/>
          <w:szCs w:val="32"/>
          <w:lang w:val="en-US" w:eastAsia="zh-CN" w:bidi="ar-SA"/>
        </w:rPr>
        <w:t>15.建成区和城乡结合部饲养畜禽和野生动物需符合有关法律法规要求，居民文明规范饲养宠物，畜禽粪污得到有效处置；各类集贸市场、花鸟宠物市场及动物交易市场无非法交易和宰杀野生动物现象。</w:t>
      </w:r>
      <w:r>
        <w:rPr>
          <w:rFonts w:hint="eastAsia" w:ascii="宋体" w:hAnsi="宋体" w:eastAsia="方正楷体_GBK" w:cs="方正楷体_GBK"/>
          <w:b w:val="0"/>
          <w:bCs w:val="0"/>
          <w:sz w:val="32"/>
          <w:szCs w:val="32"/>
          <w:lang w:eastAsia="zh-CN"/>
        </w:rPr>
        <w:t>（</w:t>
      </w:r>
      <w:r>
        <w:rPr>
          <w:rFonts w:hint="eastAsia" w:ascii="宋体" w:hAnsi="宋体" w:eastAsia="方正楷体_GBK" w:cs="方正楷体_GBK"/>
          <w:b w:val="0"/>
          <w:bCs w:val="0"/>
          <w:sz w:val="32"/>
          <w:szCs w:val="32"/>
          <w:lang w:val="en-US" w:eastAsia="zh-CN"/>
        </w:rPr>
        <w:t>责任领导：黄湘鹏；牵头单位：市监局；责任单位：各乡镇（街办）、各村（社区）</w:t>
      </w:r>
      <w:r>
        <w:rPr>
          <w:rFonts w:hint="eastAsia" w:ascii="宋体" w:hAnsi="宋体" w:eastAsia="方正楷体_GBK" w:cs="方正楷体_GBK"/>
          <w:b w:val="0"/>
          <w:bCs w:val="0"/>
          <w:sz w:val="32"/>
          <w:szCs w:val="32"/>
          <w:lang w:eastAsia="zh-CN"/>
        </w:rPr>
        <w:t xml:space="preserve">） </w:t>
      </w: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宋体" w:hAnsi="宋体" w:eastAsia="方正楷体_GBK" w:cs="方正楷体_GBK"/>
          <w:b w:val="0"/>
          <w:bCs w:val="0"/>
          <w:sz w:val="32"/>
          <w:szCs w:val="32"/>
          <w:lang w:eastAsia="zh-CN"/>
        </w:rPr>
      </w:pPr>
      <w:r>
        <w:rPr>
          <w:rFonts w:hint="eastAsia" w:ascii="宋体" w:hAnsi="宋体" w:eastAsia="方正仿宋_GBK" w:cs="方正仿宋_GBK"/>
          <w:sz w:val="32"/>
          <w:szCs w:val="32"/>
        </w:rPr>
        <w:t xml:space="preserve">   </w:t>
      </w:r>
      <w:r>
        <w:rPr>
          <w:rFonts w:hint="eastAsia" w:ascii="宋体" w:hAnsi="宋体" w:eastAsia="方正仿宋简体" w:cs="Times New Roman"/>
          <w:kern w:val="0"/>
          <w:sz w:val="32"/>
          <w:szCs w:val="32"/>
          <w:lang w:val="en-US" w:eastAsia="zh-CN" w:bidi="ar-SA"/>
        </w:rPr>
        <w:t xml:space="preserve"> 16.社区和单位建有卫生管理组织和相关制度，卫生状况良好，环卫设施完善，推行垃圾分类，垃圾及时清运，公共厕所符合卫生要求；道路平坦，绿化美化，无乱搭乱建、乱堆乱摆、乱停乱放、乱贴乱画、乱扔乱倒现象。</w:t>
      </w:r>
      <w:r>
        <w:rPr>
          <w:rFonts w:hint="eastAsia" w:ascii="宋体" w:hAnsi="宋体" w:eastAsia="方正楷体_GBK" w:cs="方正楷体_GBK"/>
          <w:b w:val="0"/>
          <w:bCs w:val="0"/>
          <w:sz w:val="32"/>
          <w:szCs w:val="32"/>
          <w:lang w:eastAsia="zh-CN"/>
        </w:rPr>
        <w:t>（</w:t>
      </w:r>
      <w:r>
        <w:rPr>
          <w:rFonts w:hint="eastAsia" w:ascii="宋体" w:hAnsi="宋体" w:eastAsia="方正楷体_GBK" w:cs="方正楷体_GBK"/>
          <w:b w:val="0"/>
          <w:bCs w:val="0"/>
          <w:sz w:val="32"/>
          <w:szCs w:val="32"/>
          <w:lang w:val="en-US" w:eastAsia="zh-CN"/>
        </w:rPr>
        <w:t>责任领导：黄湘鹏；牵头单位：住建局；责任单位：各乡镇（街办）、各村（社区）、县直各单位</w:t>
      </w:r>
      <w:r>
        <w:rPr>
          <w:rFonts w:hint="eastAsia" w:ascii="宋体" w:hAnsi="宋体" w:eastAsia="方正楷体_GBK" w:cs="方正楷体_GBK"/>
          <w:b w:val="0"/>
          <w:bCs w:val="0"/>
          <w:sz w:val="32"/>
          <w:szCs w:val="32"/>
          <w:lang w:eastAsia="zh-CN"/>
        </w:rPr>
        <w:t xml:space="preserve">）   </w:t>
      </w: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宋体" w:hAnsi="宋体" w:eastAsia="方正楷体_GBK" w:cs="方正楷体_GBK"/>
          <w:b w:val="0"/>
          <w:bCs w:val="0"/>
          <w:sz w:val="32"/>
          <w:szCs w:val="32"/>
          <w:lang w:val="en-US" w:eastAsia="zh-CN"/>
        </w:rPr>
      </w:pPr>
      <w:r>
        <w:rPr>
          <w:rFonts w:hint="eastAsia" w:ascii="宋体" w:hAnsi="宋体" w:eastAsia="方正仿宋_GBK" w:cs="方正仿宋_GBK"/>
          <w:b/>
          <w:bCs/>
          <w:sz w:val="32"/>
          <w:szCs w:val="32"/>
          <w:lang w:eastAsia="zh-CN"/>
        </w:rPr>
        <w:t xml:space="preserve"> </w:t>
      </w:r>
      <w:r>
        <w:rPr>
          <w:rFonts w:hint="eastAsia" w:ascii="宋体" w:hAnsi="宋体" w:eastAsia="方正仿宋_GBK" w:cs="方正仿宋_GBK"/>
          <w:sz w:val="32"/>
          <w:szCs w:val="32"/>
          <w:lang w:eastAsia="zh-CN"/>
        </w:rPr>
        <w:t xml:space="preserve">  </w:t>
      </w:r>
      <w:r>
        <w:rPr>
          <w:rFonts w:hint="eastAsia" w:ascii="宋体" w:hAnsi="宋体" w:eastAsia="方正仿宋简体" w:cs="Times New Roman"/>
          <w:kern w:val="0"/>
          <w:sz w:val="32"/>
          <w:szCs w:val="32"/>
          <w:lang w:val="en-US" w:eastAsia="zh-CN" w:bidi="ar-SA"/>
        </w:rPr>
        <w:t xml:space="preserve"> 17.城乡结合部建有配套生活污水处理、排放设施和充足的垃圾收集站（点）、再生资源回收站（点）、公共厕所等设施；卫生清扫保洁及时，日常管理规范，垃圾及时清运，普及卫生户厕；道路硬化平整，主要道路配备路灯；无乱搭乱建、乱堆乱摆、乱停乱放、乱贴乱画、乱扔乱倒现象。</w:t>
      </w:r>
      <w:r>
        <w:rPr>
          <w:rFonts w:hint="eastAsia" w:ascii="宋体" w:hAnsi="宋体" w:eastAsia="方正楷体_GBK" w:cs="方正楷体_GBK"/>
          <w:b w:val="0"/>
          <w:bCs w:val="0"/>
          <w:sz w:val="32"/>
          <w:szCs w:val="32"/>
          <w:lang w:val="en-US" w:eastAsia="zh-CN"/>
        </w:rPr>
        <w:t xml:space="preserve">（责任领导：黄湘鹏、王润景；牵头单位：住建局、生态环境局；责任单位：各乡镇（街办）、各村（社区）、县直各单位）   </w:t>
      </w: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宋体" w:hAnsi="宋体" w:eastAsia="方正仿宋_GBK" w:cs="方正仿宋_GBK"/>
          <w:b/>
          <w:bCs/>
          <w:sz w:val="32"/>
          <w:szCs w:val="32"/>
          <w:lang w:val="en-US" w:eastAsia="zh-CN"/>
        </w:rPr>
      </w:pPr>
      <w:r>
        <w:rPr>
          <w:rFonts w:hint="eastAsia" w:ascii="宋体" w:hAnsi="宋体" w:eastAsia="方正仿宋_GBK" w:cs="方正仿宋_GBK"/>
          <w:sz w:val="32"/>
          <w:szCs w:val="32"/>
        </w:rPr>
        <w:t xml:space="preserve">   </w:t>
      </w:r>
      <w:r>
        <w:rPr>
          <w:rFonts w:hint="eastAsia" w:ascii="宋体" w:hAnsi="宋体" w:eastAsia="方正仿宋简体" w:cs="Times New Roman"/>
          <w:kern w:val="0"/>
          <w:sz w:val="32"/>
          <w:szCs w:val="32"/>
          <w:lang w:val="en-US" w:eastAsia="zh-CN" w:bidi="ar-SA"/>
        </w:rPr>
        <w:t xml:space="preserve"> 18.加强铁路沿线两侧环境卫生整治，铁路两侧500米范围内无露天堆放的彩钢瓦、塑料薄膜、防尘网等轻飘物品，铁路沿线安全保护区内无倾倒垃圾、排污等现象。</w:t>
      </w:r>
      <w:r>
        <w:rPr>
          <w:rFonts w:hint="eastAsia" w:ascii="宋体" w:hAnsi="宋体" w:eastAsia="方正楷体_GBK" w:cs="方正楷体_GBK"/>
          <w:b w:val="0"/>
          <w:bCs w:val="0"/>
          <w:sz w:val="32"/>
          <w:szCs w:val="32"/>
          <w:lang w:val="en-US" w:eastAsia="zh-CN"/>
        </w:rPr>
        <w:t xml:space="preserve">（责任领导：黄湘鹏、王润景；牵头单位：住建局、生态环境局；责任单位：交通局、火车站、各乡镇（街办）、各村（社区））  </w:t>
      </w:r>
      <w:r>
        <w:rPr>
          <w:rFonts w:hint="eastAsia" w:ascii="宋体" w:hAnsi="宋体" w:eastAsia="方正仿宋_GBK" w:cs="方正仿宋_GBK"/>
          <w:b/>
          <w:bCs/>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 xml:space="preserve"> </w:t>
      </w:r>
      <w:r>
        <w:rPr>
          <w:rFonts w:hint="eastAsia" w:ascii="宋体" w:hAnsi="宋体" w:eastAsia="方正楷体_GBK" w:cs="方正楷体_GBK"/>
          <w:sz w:val="32"/>
          <w:szCs w:val="32"/>
        </w:rPr>
        <w:t xml:space="preserve">   （四）生态环境</w:t>
      </w:r>
      <w:r>
        <w:rPr>
          <w:rFonts w:hint="eastAsia" w:ascii="宋体" w:hAnsi="宋体" w:eastAsia="方正仿宋_GBK" w:cs="方正仿宋_GBK"/>
          <w:sz w:val="32"/>
          <w:szCs w:val="32"/>
        </w:rPr>
        <w:t xml:space="preserve"> </w:t>
      </w: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宋体" w:hAnsi="宋体" w:eastAsia="方正楷体_GBK" w:cs="方正楷体_GBK"/>
          <w:b w:val="0"/>
          <w:bCs w:val="0"/>
          <w:sz w:val="32"/>
          <w:szCs w:val="32"/>
          <w:lang w:val="en-US" w:eastAsia="zh-CN"/>
        </w:rPr>
      </w:pPr>
      <w:r>
        <w:rPr>
          <w:rFonts w:hint="eastAsia" w:ascii="宋体" w:hAnsi="宋体" w:eastAsia="方正仿宋_GBK" w:cs="方正仿宋_GBK"/>
          <w:sz w:val="32"/>
          <w:szCs w:val="32"/>
        </w:rPr>
        <w:t xml:space="preserve">    </w:t>
      </w:r>
      <w:r>
        <w:rPr>
          <w:rFonts w:hint="eastAsia" w:ascii="宋体" w:hAnsi="宋体" w:eastAsia="方正仿宋简体" w:cs="Times New Roman"/>
          <w:kern w:val="0"/>
          <w:sz w:val="32"/>
          <w:szCs w:val="32"/>
          <w:lang w:val="en-US" w:eastAsia="zh-CN" w:bidi="ar-SA"/>
        </w:rPr>
        <w:t>19.近3年内辖区未发生重大环境污染和生态破坏事故。</w:t>
      </w:r>
      <w:r>
        <w:rPr>
          <w:rFonts w:hint="eastAsia" w:ascii="宋体" w:hAnsi="宋体" w:eastAsia="方正楷体_GBK" w:cs="方正楷体_GBK"/>
          <w:b w:val="0"/>
          <w:bCs w:val="0"/>
          <w:sz w:val="32"/>
          <w:szCs w:val="32"/>
          <w:lang w:val="en-US" w:eastAsia="zh-CN"/>
        </w:rPr>
        <w:t xml:space="preserve">（责任领导：王润景；牵头单位：生态环境局；责任单位：各乡镇（街办）、各村（社区）、县直各单位） </w:t>
      </w: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宋体" w:hAnsi="宋体" w:eastAsia="方正楷体_GBK" w:cs="方正楷体_GBK"/>
          <w:b w:val="0"/>
          <w:bCs w:val="0"/>
          <w:sz w:val="32"/>
          <w:szCs w:val="32"/>
          <w:lang w:val="en-US" w:eastAsia="zh-CN"/>
        </w:rPr>
      </w:pPr>
      <w:r>
        <w:rPr>
          <w:rFonts w:hint="eastAsia" w:ascii="宋体" w:hAnsi="宋体" w:eastAsia="方正仿宋_GBK" w:cs="方正仿宋_GBK"/>
          <w:sz w:val="32"/>
          <w:szCs w:val="32"/>
        </w:rPr>
        <w:t xml:space="preserve">    </w:t>
      </w:r>
      <w:r>
        <w:rPr>
          <w:rFonts w:hint="eastAsia" w:ascii="宋体" w:hAnsi="宋体" w:eastAsia="方正仿宋简体" w:cs="Times New Roman"/>
          <w:kern w:val="0"/>
          <w:sz w:val="32"/>
          <w:szCs w:val="32"/>
          <w:lang w:val="en-US" w:eastAsia="zh-CN" w:bidi="ar-SA"/>
        </w:rPr>
        <w:t>20.贯彻落实《中华人民共和国大气污染防治法》，加强大气污染治理，环境空气质量良好或持续改善。无烟囱排黑烟现象，无秸秆、垃圾露天焚烧现象。排放油烟的餐饮单位安装油烟净化装置并保持正常使用。环境空气质量指数（AQI）或空气污染指数（API）不超过100的天数≥320天，环境空气主要污染物年均值达到国家《环境空气质量标准》二级标准。</w:t>
      </w:r>
      <w:r>
        <w:rPr>
          <w:rFonts w:hint="eastAsia" w:ascii="宋体" w:hAnsi="宋体" w:eastAsia="方正楷体_GBK" w:cs="方正楷体_GBK"/>
          <w:b w:val="0"/>
          <w:bCs w:val="0"/>
          <w:sz w:val="32"/>
          <w:szCs w:val="32"/>
          <w:lang w:val="en-US" w:eastAsia="zh-CN"/>
        </w:rPr>
        <w:t xml:space="preserve">（责任领导：王润景；牵头单位：生态环境局；责任单位：各乡镇（街办）、各村（社区）、各党政机关、各企事业单位）  </w:t>
      </w: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宋体" w:hAnsi="宋体" w:eastAsia="方正楷体_GBK" w:cs="方正楷体_GBK"/>
          <w:b w:val="0"/>
          <w:bCs w:val="0"/>
          <w:sz w:val="32"/>
          <w:szCs w:val="32"/>
          <w:lang w:val="en-US" w:eastAsia="zh-CN"/>
        </w:rPr>
      </w:pPr>
      <w:r>
        <w:rPr>
          <w:rFonts w:hint="eastAsia" w:ascii="宋体" w:hAnsi="宋体" w:eastAsia="方正仿宋_GBK" w:cs="方正仿宋_GBK"/>
          <w:sz w:val="32"/>
          <w:szCs w:val="32"/>
        </w:rPr>
        <w:t xml:space="preserve">    </w:t>
      </w:r>
      <w:r>
        <w:rPr>
          <w:rFonts w:hint="eastAsia" w:ascii="宋体" w:hAnsi="宋体" w:eastAsia="方正仿宋简体" w:cs="Times New Roman"/>
          <w:kern w:val="0"/>
          <w:sz w:val="32"/>
          <w:szCs w:val="32"/>
          <w:lang w:val="en-US" w:eastAsia="zh-CN" w:bidi="ar-SA"/>
        </w:rPr>
        <w:t>21.区域环境噪声控制良好，声功能区夜间环境质量达标。区域环境噪声平均值≤55分贝，声功能区环境质量夜间达标率≥75％。</w:t>
      </w:r>
      <w:r>
        <w:rPr>
          <w:rFonts w:hint="eastAsia" w:ascii="宋体" w:hAnsi="宋体" w:eastAsia="方正楷体_GBK" w:cs="方正楷体_GBK"/>
          <w:b w:val="0"/>
          <w:bCs w:val="0"/>
          <w:sz w:val="32"/>
          <w:szCs w:val="32"/>
          <w:lang w:val="en-US" w:eastAsia="zh-CN"/>
        </w:rPr>
        <w:t xml:space="preserve">（责任领导：王润景；牵头单位：生态环境局；责任单位：各党政机关、各企事业单位、各乡镇（街办）、各村（社区））  </w:t>
      </w: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宋体" w:hAnsi="宋体" w:eastAsia="方正仿宋_GBK" w:cs="方正仿宋_GBK"/>
          <w:b/>
          <w:bCs/>
          <w:sz w:val="32"/>
          <w:szCs w:val="32"/>
          <w:lang w:val="en-US" w:eastAsia="zh-CN"/>
        </w:rPr>
      </w:pPr>
      <w:r>
        <w:rPr>
          <w:rFonts w:hint="eastAsia" w:ascii="宋体" w:hAnsi="宋体" w:eastAsia="方正仿宋_GBK" w:cs="方正仿宋_GBK"/>
          <w:sz w:val="32"/>
          <w:szCs w:val="32"/>
        </w:rPr>
        <w:t xml:space="preserve">   </w:t>
      </w:r>
      <w:r>
        <w:rPr>
          <w:rFonts w:hint="eastAsia" w:ascii="宋体" w:hAnsi="宋体" w:eastAsia="方正仿宋简体" w:cs="Times New Roman"/>
          <w:kern w:val="0"/>
          <w:sz w:val="32"/>
          <w:szCs w:val="32"/>
          <w:lang w:val="en-US" w:eastAsia="zh-CN" w:bidi="ar-SA"/>
        </w:rPr>
        <w:t xml:space="preserve"> 22.各级水环境功能区全部达到要求，未划定功能区的水质不低于五类。无乱排污水现象，无黑臭水体。</w:t>
      </w:r>
      <w:r>
        <w:rPr>
          <w:rFonts w:hint="eastAsia" w:ascii="宋体" w:hAnsi="宋体" w:eastAsia="方正楷体_GBK" w:cs="方正楷体_GBK"/>
          <w:b w:val="0"/>
          <w:bCs w:val="0"/>
          <w:sz w:val="32"/>
          <w:szCs w:val="32"/>
          <w:lang w:val="en-US" w:eastAsia="zh-CN"/>
        </w:rPr>
        <w:t xml:space="preserve">（责任领导：王润景；牵头单位：生态环境局；责任单位：各乡镇（街办）、各村（社区）、各党政机关、各企事业单位）  </w:t>
      </w:r>
      <w:r>
        <w:rPr>
          <w:rFonts w:hint="eastAsia" w:ascii="宋体" w:hAnsi="宋体" w:eastAsia="方正仿宋_GBK" w:cs="方正仿宋_GBK"/>
          <w:b/>
          <w:bCs/>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宋体" w:hAnsi="宋体" w:eastAsia="方正楷体_GBK" w:cs="方正楷体_GBK"/>
          <w:b w:val="0"/>
          <w:bCs w:val="0"/>
          <w:sz w:val="32"/>
          <w:szCs w:val="32"/>
        </w:rPr>
      </w:pPr>
      <w:r>
        <w:rPr>
          <w:rFonts w:hint="eastAsia" w:ascii="宋体" w:hAnsi="宋体" w:eastAsia="方正仿宋_GBK" w:cs="方正仿宋_GBK"/>
          <w:sz w:val="32"/>
          <w:szCs w:val="32"/>
        </w:rPr>
        <w:t xml:space="preserve"> </w:t>
      </w:r>
      <w:r>
        <w:rPr>
          <w:rFonts w:hint="eastAsia" w:ascii="宋体" w:hAnsi="宋体" w:eastAsia="方正仿宋_GBK" w:cs="方正仿宋_GBK"/>
          <w:color w:val="auto"/>
          <w:sz w:val="32"/>
          <w:szCs w:val="32"/>
        </w:rPr>
        <w:t xml:space="preserve">   </w:t>
      </w:r>
      <w:r>
        <w:rPr>
          <w:rFonts w:hint="eastAsia" w:ascii="宋体" w:hAnsi="宋体" w:eastAsia="方正仿宋简体" w:cs="Times New Roman"/>
          <w:kern w:val="0"/>
          <w:sz w:val="32"/>
          <w:szCs w:val="32"/>
          <w:lang w:val="en-US" w:eastAsia="zh-CN" w:bidi="ar-SA"/>
        </w:rPr>
        <w:t>23.贯彻落实《中华人民共和国水法》《中华人民共和国水污染防治法》等法律法规，集中式饮用水水源地水质达标率100％，辖区内重点河湖主要控制断面生态流量达标。</w:t>
      </w:r>
      <w:r>
        <w:rPr>
          <w:rFonts w:hint="eastAsia" w:ascii="宋体" w:hAnsi="宋体" w:eastAsia="方正楷体_GBK" w:cs="方正楷体_GBK"/>
          <w:b w:val="0"/>
          <w:bCs w:val="0"/>
          <w:sz w:val="32"/>
          <w:szCs w:val="32"/>
          <w:lang w:val="en-US" w:eastAsia="zh-CN"/>
        </w:rPr>
        <w:t xml:space="preserve">（责任领导：艾力·巴拉提；牵头单位：水利局；责任单位：各乡镇（街办）、各村（社区）） </w:t>
      </w:r>
      <w:r>
        <w:rPr>
          <w:rFonts w:hint="eastAsia" w:ascii="宋体" w:hAnsi="宋体" w:eastAsia="方正楷体_GBK" w:cs="方正楷体_GBK"/>
          <w:b w:val="0"/>
          <w:bCs w:val="0"/>
          <w:color w:val="FF0000"/>
          <w:sz w:val="32"/>
          <w:szCs w:val="32"/>
        </w:rPr>
        <w:t xml:space="preserve"> </w:t>
      </w: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宋体" w:hAnsi="宋体" w:eastAsia="方正仿宋_GBK" w:cs="方正仿宋_GBK"/>
          <w:b/>
          <w:bCs/>
          <w:sz w:val="32"/>
          <w:szCs w:val="32"/>
          <w:lang w:val="en-US" w:eastAsia="zh-CN"/>
        </w:rPr>
      </w:pPr>
      <w:r>
        <w:rPr>
          <w:rFonts w:hint="eastAsia" w:ascii="宋体" w:hAnsi="宋体" w:eastAsia="方正仿宋_GBK" w:cs="方正仿宋_GBK"/>
          <w:sz w:val="32"/>
          <w:szCs w:val="32"/>
        </w:rPr>
        <w:t xml:space="preserve">   </w:t>
      </w:r>
      <w:r>
        <w:rPr>
          <w:rFonts w:hint="eastAsia" w:ascii="宋体" w:hAnsi="宋体" w:eastAsia="方正仿宋简体" w:cs="Times New Roman"/>
          <w:kern w:val="0"/>
          <w:sz w:val="32"/>
          <w:szCs w:val="32"/>
          <w:lang w:val="en-US" w:eastAsia="zh-CN" w:bidi="ar-SA"/>
        </w:rPr>
        <w:t xml:space="preserve"> 24.辖区内应建有符合条件的医疗废物集中处理设施，各类医疗废物处置能力应满足辖区内医疗卫生机构的处置需求。辖区内医疗卫生机构依法分类收集医疗废物，医疗废物统一由有资质的医疗废物处置单位处置。对确不具备医疗废物集中处置条件的地区，医疗机构应当使用符合条件的设施自行处置。医疗废物无害化处置率达100％。医疗污水收集、处理、消毒和排放符合国家及地方有关要求。</w:t>
      </w:r>
      <w:r>
        <w:rPr>
          <w:rFonts w:hint="eastAsia" w:ascii="宋体" w:hAnsi="宋体" w:eastAsia="方正楷体_GBK" w:cs="方正楷体_GBK"/>
          <w:b w:val="0"/>
          <w:bCs w:val="0"/>
          <w:sz w:val="32"/>
          <w:szCs w:val="32"/>
          <w:lang w:val="en-US" w:eastAsia="zh-CN"/>
        </w:rPr>
        <w:t>(责任领导：王润景；牵头单位：卫生监督所；责任单位：各级各类医疗机构）</w:t>
      </w: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 xml:space="preserve">  </w:t>
      </w:r>
      <w:r>
        <w:rPr>
          <w:rFonts w:hint="eastAsia" w:ascii="宋体" w:hAnsi="宋体" w:eastAsia="方正楷体_GBK" w:cs="方正楷体_GBK"/>
          <w:sz w:val="32"/>
          <w:szCs w:val="32"/>
        </w:rPr>
        <w:t xml:space="preserve">  （五）重点场所卫生</w:t>
      </w:r>
      <w:r>
        <w:rPr>
          <w:rFonts w:hint="eastAsia" w:ascii="宋体" w:hAnsi="宋体" w:eastAsia="方正仿宋_GBK" w:cs="方正仿宋_GBK"/>
          <w:sz w:val="32"/>
          <w:szCs w:val="32"/>
        </w:rPr>
        <w:t xml:space="preserve"> </w:t>
      </w: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宋体" w:hAnsi="宋体" w:eastAsia="方正楷体_GBK" w:cs="方正楷体_GBK"/>
          <w:b w:val="0"/>
          <w:bCs w:val="0"/>
          <w:sz w:val="32"/>
          <w:szCs w:val="32"/>
          <w:lang w:val="en-US" w:eastAsia="zh-CN"/>
        </w:rPr>
      </w:pPr>
      <w:r>
        <w:rPr>
          <w:rFonts w:hint="eastAsia" w:ascii="宋体" w:hAnsi="宋体" w:eastAsia="方正仿宋_GBK" w:cs="方正仿宋_GBK"/>
          <w:sz w:val="32"/>
          <w:szCs w:val="32"/>
        </w:rPr>
        <w:t xml:space="preserve">   </w:t>
      </w:r>
      <w:r>
        <w:rPr>
          <w:rFonts w:hint="eastAsia" w:ascii="宋体" w:hAnsi="宋体" w:eastAsia="方正仿宋简体" w:cs="Times New Roman"/>
          <w:kern w:val="0"/>
          <w:sz w:val="32"/>
          <w:szCs w:val="32"/>
          <w:lang w:val="en-US" w:eastAsia="zh-CN" w:bidi="ar-SA"/>
        </w:rPr>
        <w:t xml:space="preserve"> 25.贯彻落实《公共场所卫生管理条例》，公共场所实行卫生监督量化分级管理，公共场所卫生信誉度等级应向社会公示，并使用统一标识。卫生许可证件齐全有效，卫生管理规范，直接为顾客服务的人员取得有效健康合格证明。商场、超市等公共场所卫生检测结果符合国家相关标准要求。</w:t>
      </w:r>
      <w:r>
        <w:rPr>
          <w:rFonts w:hint="eastAsia" w:ascii="宋体" w:hAnsi="宋体" w:eastAsia="方正楷体_GBK" w:cs="方正楷体_GBK"/>
          <w:b w:val="0"/>
          <w:bCs w:val="0"/>
          <w:sz w:val="32"/>
          <w:szCs w:val="32"/>
          <w:lang w:val="en-US" w:eastAsia="zh-CN"/>
        </w:rPr>
        <w:t xml:space="preserve">(责任领导：王润景；牵头单位：卫生监督所、市监局；责任单位：各级各类商场、超市等公共场所） </w:t>
      </w: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宋体" w:hAnsi="宋体" w:eastAsia="方正仿宋_GBK" w:cs="方正仿宋_GBK"/>
          <w:b/>
          <w:bCs/>
          <w:sz w:val="32"/>
          <w:szCs w:val="32"/>
          <w:lang w:val="en-US" w:eastAsia="zh-CN"/>
        </w:rPr>
      </w:pPr>
      <w:r>
        <w:rPr>
          <w:rFonts w:hint="eastAsia" w:ascii="宋体" w:hAnsi="宋体" w:eastAsia="方正仿宋_GBK" w:cs="方正仿宋_GBK"/>
          <w:sz w:val="32"/>
          <w:szCs w:val="32"/>
        </w:rPr>
        <w:t xml:space="preserve">    </w:t>
      </w:r>
      <w:r>
        <w:rPr>
          <w:rFonts w:hint="eastAsia" w:ascii="宋体" w:hAnsi="宋体" w:eastAsia="方正仿宋简体" w:cs="Times New Roman"/>
          <w:kern w:val="0"/>
          <w:sz w:val="32"/>
          <w:szCs w:val="32"/>
          <w:lang w:val="en-US" w:eastAsia="zh-CN" w:bidi="ar-SA"/>
        </w:rPr>
        <w:t>26.小浴室、小美容美发店、小歌舞厅、小旅店等经营资格合法，室内外环境整洁，卫生管理、硬件设施符合相应国家标准要求。</w:t>
      </w:r>
      <w:r>
        <w:rPr>
          <w:rFonts w:hint="eastAsia" w:ascii="宋体" w:hAnsi="宋体" w:eastAsia="方正楷体_GBK" w:cs="方正楷体_GBK"/>
          <w:b w:val="0"/>
          <w:bCs w:val="0"/>
          <w:sz w:val="32"/>
          <w:szCs w:val="32"/>
          <w:lang w:val="en-US" w:eastAsia="zh-CN"/>
        </w:rPr>
        <w:t xml:space="preserve">(责任领导：黄湘鹏；牵头单位：市监局、卫生监督所；责任单位：各乡镇、街道） </w:t>
      </w: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 xml:space="preserve">    </w:t>
      </w:r>
      <w:r>
        <w:rPr>
          <w:rFonts w:hint="eastAsia" w:ascii="宋体" w:hAnsi="宋体" w:eastAsia="方正仿宋简体" w:cs="Times New Roman"/>
          <w:kern w:val="0"/>
          <w:sz w:val="32"/>
          <w:szCs w:val="32"/>
          <w:lang w:val="en-US" w:eastAsia="zh-CN" w:bidi="ar-SA"/>
        </w:rPr>
        <w:t>27.贯彻落实《学校卫生工作条例》，学校、幼儿园和托育机构的教室、食堂（含饮用水设施）、宿舍、厕所等教学和生活环境符合相关国家卫生标准或规定。学校按照规定设立校医院或卫生室，校医或专（兼）职保健教师配备比率＞70％，配备专兼职心理健康工作人员。学校传染病防控工作机制健全并严格执行。</w:t>
      </w:r>
      <w:r>
        <w:rPr>
          <w:rFonts w:hint="eastAsia" w:ascii="宋体" w:hAnsi="宋体" w:eastAsia="方正楷体_GBK" w:cs="方正楷体_GBK"/>
          <w:b w:val="0"/>
          <w:bCs w:val="0"/>
          <w:sz w:val="32"/>
          <w:szCs w:val="32"/>
          <w:lang w:val="en-US" w:eastAsia="zh-CN"/>
        </w:rPr>
        <w:t>(责任领导：白秀茜、王润景；牵头单位：教育局；责任单位：各级各类学校）</w:t>
      </w:r>
      <w:r>
        <w:rPr>
          <w:rFonts w:hint="eastAsia" w:ascii="宋体" w:hAnsi="宋体" w:eastAsia="方正仿宋_GBK" w:cs="方正仿宋_GBK"/>
          <w:b/>
          <w:bCs/>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宋体" w:hAnsi="宋体" w:eastAsia="方正楷体_GBK" w:cs="方正楷体_GBK"/>
          <w:b w:val="0"/>
          <w:bCs w:val="0"/>
          <w:sz w:val="32"/>
          <w:szCs w:val="32"/>
          <w:lang w:val="en-US" w:eastAsia="zh-CN"/>
        </w:rPr>
      </w:pPr>
      <w:r>
        <w:rPr>
          <w:rFonts w:hint="eastAsia" w:ascii="宋体" w:hAnsi="宋体" w:eastAsia="方正仿宋_GBK" w:cs="方正仿宋_GBK"/>
          <w:sz w:val="32"/>
          <w:szCs w:val="32"/>
        </w:rPr>
        <w:t xml:space="preserve">    </w:t>
      </w:r>
      <w:r>
        <w:rPr>
          <w:rFonts w:hint="eastAsia" w:ascii="宋体" w:hAnsi="宋体" w:eastAsia="方正仿宋简体" w:cs="Times New Roman"/>
          <w:kern w:val="0"/>
          <w:sz w:val="32"/>
          <w:szCs w:val="32"/>
          <w:lang w:val="en-US" w:eastAsia="zh-CN" w:bidi="ar-SA"/>
        </w:rPr>
        <w:t>28.中小学体育与健康课程开课率100％。中小学生每天校内体育活动时间≥1小时。学校眼保健操普及率100％。中小学生近视率、肥胖率逐年下降。近3年内辖区学校无重大食物中毒事件。</w:t>
      </w:r>
      <w:r>
        <w:rPr>
          <w:rFonts w:hint="eastAsia" w:ascii="宋体" w:hAnsi="宋体" w:eastAsia="方正楷体_GBK" w:cs="方正楷体_GBK"/>
          <w:b w:val="0"/>
          <w:bCs w:val="0"/>
          <w:sz w:val="32"/>
          <w:szCs w:val="32"/>
          <w:lang w:val="en-US" w:eastAsia="zh-CN"/>
        </w:rPr>
        <w:t xml:space="preserve">(责任领导：白秀茜、王润景；牵头单位：教育局；责任单位：各级各类学校） </w:t>
      </w: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宋体" w:hAnsi="宋体" w:eastAsia="方正仿宋_GBK" w:cs="方正仿宋_GBK"/>
          <w:b/>
          <w:bCs/>
          <w:sz w:val="32"/>
          <w:szCs w:val="32"/>
          <w:lang w:val="en-US" w:eastAsia="zh-CN"/>
        </w:rPr>
      </w:pPr>
      <w:r>
        <w:rPr>
          <w:rFonts w:hint="eastAsia" w:ascii="宋体" w:hAnsi="宋体" w:eastAsia="方正仿宋_GBK" w:cs="方正仿宋_GBK"/>
          <w:sz w:val="32"/>
          <w:szCs w:val="32"/>
        </w:rPr>
        <w:t xml:space="preserve">   </w:t>
      </w:r>
      <w:r>
        <w:rPr>
          <w:rFonts w:hint="eastAsia" w:ascii="宋体" w:hAnsi="宋体" w:eastAsia="方正仿宋简体" w:cs="Times New Roman"/>
          <w:kern w:val="0"/>
          <w:sz w:val="32"/>
          <w:szCs w:val="32"/>
          <w:lang w:val="en-US" w:eastAsia="zh-CN" w:bidi="ar-SA"/>
        </w:rPr>
        <w:t xml:space="preserve"> 29.贯彻落实《中华人民共和国职业病防治法》，对接触职业病危害的劳动者依法进行职业健康检查。对存在职业病目录所列职业病危害因素的企业职业病危害项目申报率＞90％。近3年内辖区未发生重大职业病危害事故。</w:t>
      </w:r>
      <w:r>
        <w:rPr>
          <w:rFonts w:hint="eastAsia" w:ascii="宋体" w:hAnsi="宋体" w:eastAsia="方正楷体_GBK" w:cs="方正楷体_GBK"/>
          <w:b w:val="0"/>
          <w:bCs w:val="0"/>
          <w:sz w:val="32"/>
          <w:szCs w:val="32"/>
          <w:lang w:val="en-US" w:eastAsia="zh-CN"/>
        </w:rPr>
        <w:t>(责任领导：邹世音、王润景；牵头单位：卫健委；责任单位：疾控中心）</w:t>
      </w:r>
      <w:r>
        <w:rPr>
          <w:rFonts w:hint="eastAsia" w:ascii="宋体" w:hAnsi="宋体" w:eastAsia="方正仿宋_GBK" w:cs="方正仿宋_GBK"/>
          <w:b/>
          <w:bCs/>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 xml:space="preserve">    </w:t>
      </w:r>
      <w:r>
        <w:rPr>
          <w:rFonts w:hint="eastAsia" w:ascii="宋体" w:hAnsi="宋体" w:eastAsia="方正楷体_GBK" w:cs="方正楷体_GBK"/>
          <w:sz w:val="32"/>
          <w:szCs w:val="32"/>
        </w:rPr>
        <w:t xml:space="preserve">（六）食品和生活饮用水安全 </w:t>
      </w: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宋体" w:hAnsi="宋体" w:eastAsia="方正仿宋_GBK" w:cs="方正仿宋_GBK"/>
          <w:b/>
          <w:bCs/>
          <w:sz w:val="32"/>
          <w:szCs w:val="32"/>
          <w:lang w:val="en-US" w:eastAsia="zh-CN"/>
        </w:rPr>
      </w:pPr>
      <w:r>
        <w:rPr>
          <w:rFonts w:hint="eastAsia" w:ascii="宋体" w:hAnsi="宋体" w:eastAsia="方正仿宋_GBK" w:cs="方正仿宋_GBK"/>
          <w:sz w:val="32"/>
          <w:szCs w:val="32"/>
        </w:rPr>
        <w:t xml:space="preserve">    </w:t>
      </w:r>
      <w:r>
        <w:rPr>
          <w:rFonts w:hint="eastAsia" w:ascii="宋体" w:hAnsi="宋体" w:eastAsia="方正仿宋简体" w:cs="Times New Roman"/>
          <w:kern w:val="0"/>
          <w:sz w:val="32"/>
          <w:szCs w:val="32"/>
          <w:lang w:val="en-US" w:eastAsia="zh-CN" w:bidi="ar-SA"/>
        </w:rPr>
        <w:t>30.贯彻落实《中华人民共和国食品安全法》，建立健全食品安全全程监管工作机制，近3年未发生重大食品安全和饮用水安全事故。</w:t>
      </w:r>
      <w:r>
        <w:rPr>
          <w:rFonts w:hint="eastAsia" w:ascii="宋体" w:hAnsi="宋体" w:eastAsia="方正楷体_GBK" w:cs="方正楷体_GBK"/>
          <w:b w:val="0"/>
          <w:bCs w:val="0"/>
          <w:sz w:val="32"/>
          <w:szCs w:val="32"/>
          <w:lang w:val="en-US" w:eastAsia="zh-CN"/>
        </w:rPr>
        <w:t xml:space="preserve">（责任领导：黄湘鹏;牵头单位：市监局；责任单位：各乡镇（街办）、各村（社区）、县直各单位） </w:t>
      </w: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宋体" w:hAnsi="宋体" w:eastAsia="方正楷体_GBK" w:cs="方正楷体_GBK"/>
          <w:b w:val="0"/>
          <w:bCs w:val="0"/>
          <w:sz w:val="32"/>
          <w:szCs w:val="32"/>
          <w:lang w:val="en-US" w:eastAsia="zh-CN"/>
        </w:rPr>
      </w:pPr>
      <w:r>
        <w:rPr>
          <w:rFonts w:hint="eastAsia" w:ascii="宋体" w:hAnsi="宋体" w:eastAsia="方正仿宋_GBK" w:cs="方正仿宋_GBK"/>
          <w:sz w:val="32"/>
          <w:szCs w:val="32"/>
        </w:rPr>
        <w:t xml:space="preserve">   </w:t>
      </w:r>
      <w:r>
        <w:rPr>
          <w:rFonts w:hint="eastAsia" w:ascii="宋体" w:hAnsi="宋体" w:eastAsia="方正仿宋简体" w:cs="Times New Roman"/>
          <w:kern w:val="0"/>
          <w:sz w:val="32"/>
          <w:szCs w:val="32"/>
          <w:lang w:val="en-US" w:eastAsia="zh-CN" w:bidi="ar-SA"/>
        </w:rPr>
        <w:t xml:space="preserve"> 31.加强小餐饮店、小食品店、小作坊管理，无固定经营场所的食品摊贩实行统一管理，规定区域、限定品种经营。无制售“三无”食品、假冒食品、劣质食品、过期食品等现象。</w:t>
      </w:r>
      <w:r>
        <w:rPr>
          <w:rFonts w:hint="eastAsia" w:ascii="宋体" w:hAnsi="宋体" w:eastAsia="方正楷体_GBK" w:cs="方正楷体_GBK"/>
          <w:b w:val="0"/>
          <w:bCs w:val="0"/>
          <w:sz w:val="32"/>
          <w:szCs w:val="32"/>
          <w:lang w:val="en-US" w:eastAsia="zh-CN"/>
        </w:rPr>
        <w:t xml:space="preserve">（责任领导：黄湘鹏;牵头单位：市监局；责任单位：小餐饮店、小食品店、小作坊等食品摊贩） </w:t>
      </w: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宋体" w:hAnsi="宋体" w:eastAsia="方正楷体_GBK" w:cs="方正楷体_GBK"/>
          <w:b w:val="0"/>
          <w:bCs w:val="0"/>
          <w:sz w:val="32"/>
          <w:szCs w:val="32"/>
        </w:rPr>
      </w:pPr>
      <w:r>
        <w:rPr>
          <w:rFonts w:hint="eastAsia" w:ascii="宋体" w:hAnsi="宋体" w:eastAsia="方正仿宋_GBK" w:cs="方正仿宋_GBK"/>
          <w:sz w:val="32"/>
          <w:szCs w:val="32"/>
        </w:rPr>
        <w:t xml:space="preserve">   </w:t>
      </w:r>
      <w:r>
        <w:rPr>
          <w:rFonts w:hint="eastAsia" w:ascii="宋体" w:hAnsi="宋体" w:eastAsia="方正仿宋简体" w:cs="Times New Roman"/>
          <w:kern w:val="0"/>
          <w:sz w:val="32"/>
          <w:szCs w:val="32"/>
          <w:lang w:val="en-US" w:eastAsia="zh-CN" w:bidi="ar-SA"/>
        </w:rPr>
        <w:t xml:space="preserve"> 32.积极推行明厨亮灶和食品生产经营风险分级管理。从事接触直接入口食品工作的食品生产经营人员取得有效的健康合格证明。落实清洗消毒制度，防蝇防鼠等设施健全。食品生产经营单位严格执行国家相关标准。食品生产经营风险分级管理率≥90％。</w:t>
      </w:r>
      <w:r>
        <w:rPr>
          <w:rFonts w:hint="eastAsia" w:ascii="宋体" w:hAnsi="宋体" w:eastAsia="方正楷体_GBK" w:cs="方正楷体_GBK"/>
          <w:b w:val="0"/>
          <w:bCs w:val="0"/>
          <w:sz w:val="32"/>
          <w:szCs w:val="32"/>
          <w:lang w:val="en-US" w:eastAsia="zh-CN"/>
        </w:rPr>
        <w:t xml:space="preserve">（责任领导：黄湘鹏;牵头单位：市监局；责任单位：各乡镇（街道）、各类食品加工经营单位） </w:t>
      </w: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 xml:space="preserve">   </w:t>
      </w:r>
      <w:r>
        <w:rPr>
          <w:rFonts w:hint="eastAsia" w:ascii="宋体" w:hAnsi="宋体" w:eastAsia="方正仿宋简体" w:cs="Times New Roman"/>
          <w:kern w:val="0"/>
          <w:sz w:val="32"/>
          <w:szCs w:val="32"/>
          <w:lang w:val="en-US" w:eastAsia="zh-CN" w:bidi="ar-SA"/>
        </w:rPr>
        <w:t xml:space="preserve"> 33.辖区内积极推广分餐制和公筷制，大力倡导“光盘行动”。辖区内无贩卖、制售、食用野生动物现象。</w:t>
      </w:r>
      <w:r>
        <w:rPr>
          <w:rFonts w:hint="eastAsia" w:ascii="宋体" w:hAnsi="宋体" w:eastAsia="方正楷体_GBK" w:cs="方正楷体_GBK"/>
          <w:b w:val="0"/>
          <w:bCs w:val="0"/>
          <w:sz w:val="32"/>
          <w:szCs w:val="32"/>
          <w:lang w:val="en-US" w:eastAsia="zh-CN"/>
        </w:rPr>
        <w:t xml:space="preserve">（责任领导：黄湘鹏;牵头单位：市监局；责任单位：各类餐饮店、酒店、宾馆等场所） </w:t>
      </w: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宋体" w:hAnsi="宋体" w:eastAsia="方正楷体_GBK" w:cs="方正楷体_GBK"/>
          <w:b w:val="0"/>
          <w:bCs w:val="0"/>
          <w:sz w:val="32"/>
          <w:szCs w:val="32"/>
          <w:lang w:val="en-US" w:eastAsia="zh-CN"/>
        </w:rPr>
      </w:pPr>
      <w:r>
        <w:rPr>
          <w:rFonts w:hint="eastAsia" w:ascii="宋体" w:hAnsi="宋体" w:eastAsia="方正仿宋_GBK" w:cs="方正仿宋_GBK"/>
          <w:sz w:val="32"/>
          <w:szCs w:val="32"/>
        </w:rPr>
        <w:t xml:space="preserve">   </w:t>
      </w:r>
      <w:r>
        <w:rPr>
          <w:rFonts w:hint="eastAsia" w:ascii="宋体" w:hAnsi="宋体" w:eastAsia="方正仿宋简体" w:cs="Times New Roman"/>
          <w:kern w:val="0"/>
          <w:sz w:val="32"/>
          <w:szCs w:val="32"/>
          <w:lang w:val="en-US" w:eastAsia="zh-CN" w:bidi="ar-SA"/>
        </w:rPr>
        <w:t xml:space="preserve"> 34.按照《生活饮用水卫生监督管理办法》要求，市政供水、自备供水、居民小区供水管理规范，供水单位有卫生许可证。二次供水符合国家相关标准要求。开展水质监测工作，采样点选择、检验项目和频率符合相关要求。</w:t>
      </w:r>
      <w:r>
        <w:rPr>
          <w:rFonts w:hint="eastAsia" w:ascii="宋体" w:hAnsi="宋体" w:eastAsia="方正楷体_GBK" w:cs="方正楷体_GBK"/>
          <w:b w:val="0"/>
          <w:bCs w:val="0"/>
          <w:sz w:val="32"/>
          <w:szCs w:val="32"/>
          <w:lang w:val="en-US" w:eastAsia="zh-CN"/>
        </w:rPr>
        <w:t xml:space="preserve">（责任领导：艾力·巴拉提；牵头单位：水利局；责任单位：住建局、玉都水务有限责任公司、各乡镇（街道）、各村（社区）、各党政机关、各企事业单位） </w:t>
      </w: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 xml:space="preserve">   </w:t>
      </w:r>
      <w:r>
        <w:rPr>
          <w:rFonts w:hint="eastAsia" w:ascii="宋体" w:hAnsi="宋体" w:eastAsia="方正楷体_GBK" w:cs="方正楷体_GBK"/>
          <w:sz w:val="32"/>
          <w:szCs w:val="32"/>
        </w:rPr>
        <w:t xml:space="preserve">（七）疾病防控与医疗卫生服务 </w:t>
      </w: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宋体" w:hAnsi="宋体" w:eastAsia="方正楷体_GBK" w:cs="方正楷体_GBK"/>
          <w:b w:val="0"/>
          <w:bCs w:val="0"/>
          <w:sz w:val="32"/>
          <w:szCs w:val="32"/>
        </w:rPr>
      </w:pPr>
      <w:r>
        <w:rPr>
          <w:rFonts w:hint="eastAsia" w:ascii="宋体" w:hAnsi="宋体" w:eastAsia="方正仿宋_GBK" w:cs="方正仿宋_GBK"/>
          <w:sz w:val="32"/>
          <w:szCs w:val="32"/>
        </w:rPr>
        <w:t xml:space="preserve">   </w:t>
      </w:r>
      <w:r>
        <w:rPr>
          <w:rFonts w:hint="eastAsia" w:ascii="宋体" w:hAnsi="宋体" w:eastAsia="方正仿宋简体" w:cs="Times New Roman"/>
          <w:kern w:val="0"/>
          <w:sz w:val="32"/>
          <w:szCs w:val="32"/>
          <w:lang w:val="en-US" w:eastAsia="zh-CN" w:bidi="ar-SA"/>
        </w:rPr>
        <w:t xml:space="preserve"> 35.建立与经济社会发展、财政状况和实现健康目标相适应的卫生健康事业投入机制。个人卫生支出占卫生总费用的比重≤25％或持续降低。（</w:t>
      </w:r>
      <w:r>
        <w:rPr>
          <w:rFonts w:hint="eastAsia" w:ascii="宋体" w:hAnsi="宋体" w:eastAsia="方正楷体_GBK" w:cs="方正楷体_GBK"/>
          <w:b w:val="0"/>
          <w:bCs w:val="0"/>
          <w:sz w:val="32"/>
          <w:szCs w:val="32"/>
          <w:lang w:val="en-US" w:eastAsia="zh-CN"/>
        </w:rPr>
        <w:t xml:space="preserve">责任领导：黄湘鹏；牵头单位：财政局；责任单位:各乡镇（街办）、各村（社区）、县直各单位） </w:t>
      </w:r>
      <w:r>
        <w:rPr>
          <w:rFonts w:hint="eastAsia" w:ascii="宋体" w:hAnsi="宋体" w:eastAsia="方正楷体_GBK" w:cs="方正楷体_GBK"/>
          <w:b w:val="0"/>
          <w:bCs w:val="0"/>
          <w:sz w:val="32"/>
          <w:szCs w:val="32"/>
        </w:rPr>
        <w:t xml:space="preserve"> </w:t>
      </w: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宋体" w:hAnsi="宋体" w:eastAsia="方正楷体_GBK" w:cs="方正楷体_GBK"/>
          <w:b w:val="0"/>
          <w:bCs w:val="0"/>
          <w:sz w:val="32"/>
          <w:szCs w:val="32"/>
          <w:lang w:val="en-US" w:eastAsia="zh-CN"/>
        </w:rPr>
      </w:pPr>
      <w:r>
        <w:rPr>
          <w:rFonts w:hint="eastAsia" w:ascii="宋体" w:hAnsi="宋体" w:eastAsia="方正仿宋_GBK" w:cs="方正仿宋_GBK"/>
          <w:sz w:val="32"/>
          <w:szCs w:val="32"/>
        </w:rPr>
        <w:t xml:space="preserve">   </w:t>
      </w:r>
      <w:r>
        <w:rPr>
          <w:rFonts w:hint="eastAsia" w:ascii="宋体" w:hAnsi="宋体" w:eastAsia="方正仿宋简体" w:cs="Times New Roman"/>
          <w:kern w:val="0"/>
          <w:sz w:val="32"/>
          <w:szCs w:val="32"/>
          <w:lang w:val="en-US" w:eastAsia="zh-CN" w:bidi="ar-SA"/>
        </w:rPr>
        <w:t xml:space="preserve"> 36.强化重大传染病防控措施，建立重大新发突发传染病疫情联防联控机制，按照相关要求制定传染病预防控制预案，落实“四早”要求，压实“四方责任”，甲、乙类法定传染病发病情况稳定。二级以上综合性医院设置公共卫生科和感染性疾病科，发热门诊、肠道门诊、预检分诊符合有关规定。近3年辖区内未发生重大实验室生物安全事故。</w:t>
      </w:r>
      <w:r>
        <w:rPr>
          <w:rFonts w:hint="eastAsia" w:ascii="宋体" w:hAnsi="宋体" w:eastAsia="方正楷体_GBK" w:cs="方正楷体_GBK"/>
          <w:b w:val="0"/>
          <w:bCs w:val="0"/>
          <w:sz w:val="32"/>
          <w:szCs w:val="32"/>
          <w:lang w:val="en-US" w:eastAsia="zh-CN"/>
        </w:rPr>
        <w:t xml:space="preserve">（责任领导：邹世音、王润景；牵头单位：疫情防控指挥部；责任单位:卫健委、疾控中心、各级各类医疗机构）  </w:t>
      </w: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宋体" w:hAnsi="宋体" w:eastAsia="方正楷体_GBK" w:cs="方正楷体_GBK"/>
          <w:b w:val="0"/>
          <w:bCs w:val="0"/>
          <w:sz w:val="32"/>
          <w:szCs w:val="32"/>
          <w:lang w:val="en-US" w:eastAsia="zh-CN"/>
        </w:rPr>
      </w:pPr>
      <w:r>
        <w:rPr>
          <w:rFonts w:hint="eastAsia" w:ascii="宋体" w:hAnsi="宋体" w:eastAsia="方正仿宋_GBK" w:cs="方正仿宋_GBK"/>
          <w:sz w:val="32"/>
          <w:szCs w:val="32"/>
        </w:rPr>
        <w:t xml:space="preserve">   </w:t>
      </w:r>
      <w:r>
        <w:rPr>
          <w:rFonts w:hint="eastAsia" w:ascii="宋体" w:hAnsi="宋体" w:eastAsia="方正仿宋简体" w:cs="Times New Roman"/>
          <w:kern w:val="0"/>
          <w:sz w:val="32"/>
          <w:szCs w:val="32"/>
          <w:lang w:val="en-US" w:eastAsia="zh-CN" w:bidi="ar-SA"/>
        </w:rPr>
        <w:t xml:space="preserve"> 37.多措并举降低孕产妇死亡率≤18／10万或持续降低，婴儿死亡率≤5.6‰或持续降低，5岁以下儿童死亡率≤7.8‰或持续降低，持续提升人均预期寿命≥78.3岁或逐年提高。按照国家免疫规划和当地预防接种工作计划，定期为适龄人群提供预防接种服务，以乡镇（街办）为单位适龄儿童免疫规划疫苗接种率≥90％，居住满3个月以上的适龄儿童建卡、建证率≥95％，辖区内3岁以下儿童系统管理率≥90％。提升妇幼健康服务能力，促进妇女儿童全面健康发展，0—6岁儿童眼保健和视力检查率≥90％。推进医养结合服务。</w:t>
      </w:r>
      <w:r>
        <w:rPr>
          <w:rFonts w:hint="eastAsia" w:ascii="宋体" w:hAnsi="宋体" w:eastAsia="方正楷体_GBK" w:cs="方正楷体_GBK"/>
          <w:b w:val="0"/>
          <w:bCs w:val="0"/>
          <w:sz w:val="32"/>
          <w:szCs w:val="32"/>
          <w:lang w:val="en-US" w:eastAsia="zh-CN"/>
        </w:rPr>
        <w:t xml:space="preserve">（责任领导：邹世音、王润景；牵头单位：卫健委；责任单位:妇幼保健院、各乡镇（街办）、各村（社区）、县直各单位）   </w:t>
      </w: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宋体" w:hAnsi="宋体" w:eastAsia="方正楷体_GBK" w:cs="方正楷体_GBK"/>
          <w:b w:val="0"/>
          <w:bCs w:val="0"/>
          <w:sz w:val="32"/>
          <w:szCs w:val="32"/>
          <w:lang w:val="en-US" w:eastAsia="zh-CN"/>
        </w:rPr>
      </w:pPr>
      <w:r>
        <w:rPr>
          <w:rFonts w:hint="eastAsia" w:ascii="宋体" w:hAnsi="宋体" w:eastAsia="方正仿宋_GBK" w:cs="方正仿宋_GBK"/>
          <w:sz w:val="32"/>
          <w:szCs w:val="32"/>
        </w:rPr>
        <w:t xml:space="preserve">    </w:t>
      </w:r>
      <w:r>
        <w:rPr>
          <w:rFonts w:hint="eastAsia" w:ascii="宋体" w:hAnsi="宋体" w:eastAsia="方正仿宋简体" w:cs="Times New Roman"/>
          <w:kern w:val="0"/>
          <w:sz w:val="32"/>
          <w:szCs w:val="32"/>
          <w:lang w:val="en-US" w:eastAsia="zh-CN" w:bidi="ar-SA"/>
        </w:rPr>
        <w:t>38.重大慢性病过早死亡率呈下降趋势。健全重大事件处置中的社会心理健康监测预警机制，强化心理健康促进和心理疏导、危机干预。严重精神障碍患者规范管理率≥85%。</w:t>
      </w:r>
      <w:r>
        <w:rPr>
          <w:rFonts w:hint="eastAsia" w:ascii="宋体" w:hAnsi="宋体" w:eastAsia="方正楷体_GBK" w:cs="方正楷体_GBK"/>
          <w:b w:val="0"/>
          <w:bCs w:val="0"/>
          <w:sz w:val="32"/>
          <w:szCs w:val="32"/>
          <w:lang w:val="en-US" w:eastAsia="zh-CN"/>
        </w:rPr>
        <w:t xml:space="preserve">（责任领导：邹世音、王润景；牵头单位：卫健委；责任单位:各乡镇（街办）、各村（社区）、各级各类医疗机构） </w:t>
      </w: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宋体" w:hAnsi="宋体" w:eastAsia="方正仿宋_GBK" w:cs="方正仿宋_GBK"/>
          <w:b/>
          <w:bCs/>
          <w:sz w:val="32"/>
          <w:szCs w:val="32"/>
          <w:lang w:val="en-US" w:eastAsia="zh-CN"/>
        </w:rPr>
      </w:pPr>
      <w:r>
        <w:rPr>
          <w:rFonts w:hint="eastAsia" w:ascii="宋体" w:hAnsi="宋体" w:eastAsia="方正仿宋_GBK" w:cs="方正仿宋_GBK"/>
          <w:sz w:val="32"/>
          <w:szCs w:val="32"/>
        </w:rPr>
        <w:t xml:space="preserve">   </w:t>
      </w:r>
      <w:r>
        <w:rPr>
          <w:rFonts w:hint="eastAsia" w:ascii="宋体" w:hAnsi="宋体" w:eastAsia="方正仿宋简体" w:cs="Times New Roman"/>
          <w:kern w:val="0"/>
          <w:sz w:val="32"/>
          <w:szCs w:val="32"/>
          <w:lang w:val="en-US" w:eastAsia="zh-CN" w:bidi="ar-SA"/>
        </w:rPr>
        <w:t xml:space="preserve"> 39.医疗卫生服务体系健全，机构建设符合国家标准要求，千人口的床位数、执业（助理）医师数、注册护士数、公共卫生人员数、药师（药士）数和万人口全科医生数等指标符合所在地区域卫生规划要求。</w:t>
      </w:r>
      <w:r>
        <w:rPr>
          <w:rFonts w:hint="eastAsia" w:ascii="宋体" w:hAnsi="宋体" w:eastAsia="方正楷体_GBK" w:cs="方正楷体_GBK"/>
          <w:b w:val="0"/>
          <w:bCs w:val="0"/>
          <w:sz w:val="32"/>
          <w:szCs w:val="32"/>
          <w:lang w:val="en-US" w:eastAsia="zh-CN"/>
        </w:rPr>
        <w:t>（责任领导：邹世音、王润景；牵头单位：卫健委；责任单位：各级各类医疗机构）</w:t>
      </w:r>
      <w:r>
        <w:rPr>
          <w:rFonts w:hint="eastAsia" w:ascii="宋体" w:hAnsi="宋体" w:eastAsia="方正仿宋_GBK" w:cs="方正仿宋_GBK"/>
          <w:b/>
          <w:bCs/>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宋体" w:hAnsi="宋体" w:eastAsia="方正楷体_GBK" w:cs="方正楷体_GBK"/>
          <w:b w:val="0"/>
          <w:bCs w:val="0"/>
          <w:sz w:val="32"/>
          <w:szCs w:val="32"/>
          <w:lang w:val="en-US" w:eastAsia="zh-CN"/>
        </w:rPr>
      </w:pPr>
      <w:r>
        <w:rPr>
          <w:rFonts w:hint="eastAsia" w:ascii="宋体" w:hAnsi="宋体" w:eastAsia="方正仿宋_GBK" w:cs="方正仿宋_GBK"/>
          <w:sz w:val="32"/>
          <w:szCs w:val="32"/>
        </w:rPr>
        <w:t xml:space="preserve">   </w:t>
      </w:r>
      <w:r>
        <w:rPr>
          <w:rFonts w:hint="eastAsia" w:ascii="宋体" w:hAnsi="宋体" w:eastAsia="方正仿宋简体" w:cs="Times New Roman"/>
          <w:kern w:val="0"/>
          <w:sz w:val="32"/>
          <w:szCs w:val="32"/>
          <w:lang w:val="en-US" w:eastAsia="zh-CN" w:bidi="ar-SA"/>
        </w:rPr>
        <w:t xml:space="preserve"> 40.推动火车站、公路（水路）客运站等交通枢纽以及学校、景区、机关单位、商场超市等重点行业、重点场所配置和使用自动体外心脏除颤仪（AED）等医疗急救设备和药品。对公安、消防、安保、交通和教育等重点行业人群开展急救知识与技能培训，引导全社会逐步提高全民急救能力。</w:t>
      </w:r>
      <w:r>
        <w:rPr>
          <w:rFonts w:hint="eastAsia" w:ascii="宋体" w:hAnsi="宋体" w:eastAsia="方正楷体_GBK" w:cs="方正楷体_GBK"/>
          <w:b w:val="0"/>
          <w:bCs w:val="0"/>
          <w:sz w:val="32"/>
          <w:szCs w:val="32"/>
          <w:lang w:val="en-US" w:eastAsia="zh-CN"/>
        </w:rPr>
        <w:t xml:space="preserve">（责任领导：邹世音、王润景；牵头单位：卫健委；责任单位：各乡镇（街办）、各村（社区）、各党政机关、各企事业单位） </w:t>
      </w: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宋体" w:hAnsi="宋体" w:eastAsia="方正楷体_GBK" w:cs="方正楷体_GBK"/>
          <w:b w:val="0"/>
          <w:bCs w:val="0"/>
          <w:sz w:val="32"/>
          <w:szCs w:val="32"/>
          <w:lang w:val="en-US" w:eastAsia="zh-CN"/>
        </w:rPr>
      </w:pPr>
      <w:r>
        <w:rPr>
          <w:rFonts w:hint="eastAsia" w:ascii="宋体" w:hAnsi="宋体" w:eastAsia="方正仿宋_GBK" w:cs="方正仿宋_GBK"/>
          <w:sz w:val="32"/>
          <w:szCs w:val="32"/>
        </w:rPr>
        <w:t xml:space="preserve">   </w:t>
      </w:r>
      <w:r>
        <w:rPr>
          <w:rFonts w:hint="eastAsia" w:ascii="宋体" w:hAnsi="宋体" w:eastAsia="方正仿宋简体" w:cs="Times New Roman"/>
          <w:kern w:val="0"/>
          <w:sz w:val="32"/>
          <w:szCs w:val="32"/>
          <w:lang w:val="en-US" w:eastAsia="zh-CN" w:bidi="ar-SA"/>
        </w:rPr>
        <w:t xml:space="preserve"> 41.构建和谐医患关系，医疗卫生人员具备安全的工作条件，执业环境逐步改善。辖区内无重特大刑事伤医案件。临床用血来自自愿无偿献血。无无证行医、非法采供血和非法医疗广告。</w:t>
      </w:r>
      <w:r>
        <w:rPr>
          <w:rFonts w:hint="eastAsia" w:ascii="宋体" w:hAnsi="宋体" w:eastAsia="方正楷体_GBK" w:cs="方正楷体_GBK"/>
          <w:b w:val="0"/>
          <w:bCs w:val="0"/>
          <w:sz w:val="32"/>
          <w:szCs w:val="32"/>
          <w:lang w:eastAsia="zh-CN"/>
        </w:rPr>
        <w:t>（</w:t>
      </w:r>
      <w:r>
        <w:rPr>
          <w:rFonts w:hint="eastAsia" w:ascii="宋体" w:hAnsi="宋体" w:eastAsia="方正楷体_GBK" w:cs="方正楷体_GBK"/>
          <w:b w:val="0"/>
          <w:bCs w:val="0"/>
          <w:sz w:val="32"/>
          <w:szCs w:val="32"/>
          <w:lang w:val="en-US" w:eastAsia="zh-CN"/>
        </w:rPr>
        <w:t xml:space="preserve">责任领导：邹世音、王润景；牵头单位：卫健委；责任单位：各级各类医疗机构） </w:t>
      </w: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宋体" w:hAnsi="宋体" w:eastAsia="方正楷体_GBK" w:cs="方正楷体_GBK"/>
          <w:b w:val="0"/>
          <w:bCs w:val="0"/>
          <w:sz w:val="32"/>
          <w:szCs w:val="32"/>
        </w:rPr>
      </w:pPr>
      <w:r>
        <w:rPr>
          <w:rFonts w:hint="eastAsia" w:ascii="宋体" w:hAnsi="宋体" w:eastAsia="方正仿宋_GBK" w:cs="方正仿宋_GBK"/>
          <w:sz w:val="32"/>
          <w:szCs w:val="32"/>
        </w:rPr>
        <w:t xml:space="preserve">    </w:t>
      </w:r>
      <w:r>
        <w:rPr>
          <w:rFonts w:hint="eastAsia" w:ascii="宋体" w:hAnsi="宋体" w:eastAsia="方正仿宋简体" w:cs="Times New Roman"/>
          <w:kern w:val="0"/>
          <w:sz w:val="32"/>
          <w:szCs w:val="32"/>
          <w:lang w:val="en-US" w:eastAsia="zh-CN" w:bidi="ar-SA"/>
        </w:rPr>
        <w:t>42.贯彻落实《病媒生物预防控制管理规定》，建立政府组织和全社会参与的病媒生物预防控制机制。掌握辖区病媒生物孳生地情况、密度变化和侵害状况。湖泊、河流、沟渠、景观水体、小型积水、垃圾、厕所等各类孳生环境得到有效治理，鼠、蚊、蝇、蟑螂的密度达标。建成区鼠、蚊、蝇、蟑螂的密度达到国家病媒生物密度控制水平标准C级要求。重点行业和单位防蝇和防鼠设施合格率≥95％。</w:t>
      </w:r>
      <w:r>
        <w:rPr>
          <w:rFonts w:hint="eastAsia" w:ascii="宋体" w:hAnsi="宋体" w:eastAsia="方正楷体_GBK" w:cs="方正楷体_GBK"/>
          <w:b w:val="0"/>
          <w:bCs w:val="0"/>
          <w:sz w:val="32"/>
          <w:szCs w:val="32"/>
          <w:lang w:val="en-US" w:eastAsia="zh-CN"/>
        </w:rPr>
        <w:t xml:space="preserve">（责任领导：邹世音、王润景；牵头单位：卫健委；责任单位：疾控中心、住建局、水利局，各乡镇（街办）、各村（社区）、各党政机关、各企事业单位） </w:t>
      </w: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 xml:space="preserve">   </w:t>
      </w:r>
      <w:r>
        <w:rPr>
          <w:rFonts w:hint="eastAsia" w:ascii="宋体" w:hAnsi="宋体" w:eastAsia="方正黑体_GBK" w:cs="方正黑体_GBK"/>
          <w:sz w:val="32"/>
          <w:szCs w:val="32"/>
        </w:rPr>
        <w:t xml:space="preserve"> </w:t>
      </w:r>
      <w:r>
        <w:rPr>
          <w:rFonts w:hint="eastAsia" w:ascii="宋体" w:hAnsi="宋体" w:eastAsia="方正黑体_GBK" w:cs="方正黑体_GBK"/>
          <w:sz w:val="32"/>
          <w:szCs w:val="32"/>
          <w:lang w:eastAsia="zh-CN"/>
        </w:rPr>
        <w:t>五</w:t>
      </w:r>
      <w:r>
        <w:rPr>
          <w:rFonts w:hint="eastAsia" w:ascii="宋体" w:hAnsi="宋体" w:eastAsia="方正黑体_GBK" w:cs="方正黑体_GBK"/>
          <w:sz w:val="32"/>
          <w:szCs w:val="32"/>
        </w:rPr>
        <w:t xml:space="preserve">、工作步骤 </w:t>
      </w: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宋体" w:hAnsi="宋体" w:eastAsia="方正仿宋简体" w:cs="Times New Roman"/>
          <w:kern w:val="0"/>
          <w:sz w:val="32"/>
          <w:szCs w:val="32"/>
          <w:lang w:val="en-US" w:eastAsia="zh-CN" w:bidi="ar-SA"/>
        </w:rPr>
      </w:pPr>
      <w:r>
        <w:rPr>
          <w:rFonts w:hint="eastAsia" w:ascii="宋体" w:hAnsi="宋体" w:eastAsia="方正仿宋_GBK" w:cs="方正仿宋_GBK"/>
          <w:sz w:val="32"/>
          <w:szCs w:val="32"/>
        </w:rPr>
        <w:t xml:space="preserve">    </w:t>
      </w:r>
      <w:r>
        <w:rPr>
          <w:rFonts w:hint="eastAsia" w:ascii="宋体" w:hAnsi="宋体" w:eastAsia="方正仿宋简体" w:cs="Times New Roman"/>
          <w:kern w:val="0"/>
          <w:sz w:val="32"/>
          <w:szCs w:val="32"/>
          <w:lang w:val="en-US" w:eastAsia="zh-CN" w:bidi="ar-SA"/>
        </w:rPr>
        <w:t xml:space="preserve">为确保我县卫生县城创建工作顺利通过国家爱卫会组织的卫生县城考核验收，全面落实创建各项目标任务，创建工作共分五个阶段。 </w:t>
      </w: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 xml:space="preserve">   </w:t>
      </w:r>
      <w:r>
        <w:rPr>
          <w:rFonts w:hint="eastAsia" w:ascii="宋体" w:hAnsi="宋体" w:eastAsia="方正楷体_GBK" w:cs="方正楷体_GBK"/>
          <w:sz w:val="32"/>
          <w:szCs w:val="32"/>
        </w:rPr>
        <w:t xml:space="preserve"> 第一阶段：申报前准备阶段（2023年</w:t>
      </w:r>
      <w:r>
        <w:rPr>
          <w:rFonts w:hint="eastAsia" w:ascii="宋体" w:hAnsi="宋体" w:eastAsia="方正楷体_GBK" w:cs="方正楷体_GBK"/>
          <w:sz w:val="32"/>
          <w:szCs w:val="32"/>
          <w:lang w:val="en-US" w:eastAsia="zh-CN"/>
        </w:rPr>
        <w:t>3</w:t>
      </w:r>
      <w:r>
        <w:rPr>
          <w:rFonts w:hint="eastAsia" w:ascii="宋体" w:hAnsi="宋体" w:eastAsia="方正楷体_GBK" w:cs="方正楷体_GBK"/>
          <w:sz w:val="32"/>
          <w:szCs w:val="32"/>
        </w:rPr>
        <w:t>月—2023年</w:t>
      </w:r>
      <w:r>
        <w:rPr>
          <w:rFonts w:hint="eastAsia" w:ascii="宋体" w:hAnsi="宋体" w:eastAsia="方正楷体_GBK" w:cs="方正楷体_GBK"/>
          <w:sz w:val="32"/>
          <w:szCs w:val="32"/>
          <w:lang w:val="en-US" w:eastAsia="zh-CN"/>
        </w:rPr>
        <w:t>4</w:t>
      </w:r>
      <w:r>
        <w:rPr>
          <w:rFonts w:hint="eastAsia" w:ascii="宋体" w:hAnsi="宋体" w:eastAsia="方正楷体_GBK" w:cs="方正楷体_GBK"/>
          <w:sz w:val="32"/>
          <w:szCs w:val="32"/>
        </w:rPr>
        <w:t>月）：</w:t>
      </w:r>
      <w:r>
        <w:rPr>
          <w:rFonts w:hint="eastAsia" w:ascii="宋体" w:hAnsi="宋体" w:eastAsia="方正仿宋简体" w:cs="Times New Roman"/>
          <w:kern w:val="0"/>
          <w:sz w:val="32"/>
          <w:szCs w:val="32"/>
          <w:lang w:val="en-US" w:eastAsia="zh-CN" w:bidi="ar-SA"/>
        </w:rPr>
        <w:t xml:space="preserve">县爱卫办负责收集编撰创建国家卫生县城申报资料汇编。经和田地区审核后向自治区爱卫会报送申报材料。 </w:t>
      </w: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宋体" w:hAnsi="宋体" w:eastAsia="方正仿宋简体" w:cs="Times New Roman"/>
          <w:kern w:val="0"/>
          <w:sz w:val="32"/>
          <w:szCs w:val="32"/>
          <w:lang w:val="en-US" w:eastAsia="zh-CN" w:bidi="ar-SA"/>
        </w:rPr>
      </w:pPr>
      <w:r>
        <w:rPr>
          <w:rFonts w:hint="eastAsia" w:ascii="宋体" w:hAnsi="宋体" w:eastAsia="方正仿宋_GBK" w:cs="方正仿宋_GBK"/>
          <w:sz w:val="32"/>
          <w:szCs w:val="32"/>
        </w:rPr>
        <w:t xml:space="preserve">   </w:t>
      </w:r>
      <w:r>
        <w:rPr>
          <w:rFonts w:hint="eastAsia" w:ascii="宋体" w:hAnsi="宋体" w:eastAsia="方正楷体_GBK" w:cs="方正楷体_GBK"/>
          <w:sz w:val="32"/>
          <w:szCs w:val="32"/>
        </w:rPr>
        <w:t xml:space="preserve"> 第二阶段：动员整治和自查阶段（2023年</w:t>
      </w:r>
      <w:r>
        <w:rPr>
          <w:rFonts w:hint="eastAsia" w:ascii="宋体" w:hAnsi="宋体" w:eastAsia="方正楷体_GBK" w:cs="方正楷体_GBK"/>
          <w:sz w:val="32"/>
          <w:szCs w:val="32"/>
          <w:lang w:val="en-US" w:eastAsia="zh-CN"/>
        </w:rPr>
        <w:t>5</w:t>
      </w:r>
      <w:r>
        <w:rPr>
          <w:rFonts w:hint="eastAsia" w:ascii="宋体" w:hAnsi="宋体" w:eastAsia="方正楷体_GBK" w:cs="方正楷体_GBK"/>
          <w:sz w:val="32"/>
          <w:szCs w:val="32"/>
        </w:rPr>
        <w:t>月—2023年</w:t>
      </w:r>
      <w:r>
        <w:rPr>
          <w:rFonts w:hint="eastAsia" w:ascii="宋体" w:hAnsi="宋体" w:eastAsia="方正楷体_GBK" w:cs="方正楷体_GBK"/>
          <w:sz w:val="32"/>
          <w:szCs w:val="32"/>
          <w:lang w:val="en-US" w:eastAsia="zh-CN"/>
        </w:rPr>
        <w:t>8</w:t>
      </w:r>
      <w:r>
        <w:rPr>
          <w:rFonts w:hint="eastAsia" w:ascii="宋体" w:hAnsi="宋体" w:eastAsia="方正楷体_GBK" w:cs="方正楷体_GBK"/>
          <w:sz w:val="32"/>
          <w:szCs w:val="32"/>
        </w:rPr>
        <w:t>月）</w:t>
      </w:r>
      <w:r>
        <w:rPr>
          <w:rFonts w:hint="eastAsia" w:ascii="宋体" w:hAnsi="宋体" w:eastAsia="方正仿宋_GBK" w:cs="方正仿宋_GBK"/>
          <w:sz w:val="32"/>
          <w:szCs w:val="32"/>
        </w:rPr>
        <w:t>：</w:t>
      </w:r>
      <w:r>
        <w:rPr>
          <w:rFonts w:hint="eastAsia" w:ascii="宋体" w:hAnsi="宋体" w:eastAsia="方正仿宋简体" w:cs="Times New Roman"/>
          <w:kern w:val="0"/>
          <w:sz w:val="32"/>
          <w:szCs w:val="32"/>
          <w:lang w:val="en-US" w:eastAsia="zh-CN" w:bidi="ar-SA"/>
        </w:rPr>
        <w:t xml:space="preserve">召开全县创建国家卫生县城推进大会，制定印发《洛浦县创建国家卫生县城实施方案》，分解目标任务，夯实工作责任。对照国家卫生县城标准，全面开展专项整治提升行动，组织督导检查，针对发现的问题，建立整改台账，倒排工期，有重点地整改提高，集中解决突出问题，确保暗访和考核评估工作质量。各成员单位要制定具体工作方案，做好创建资料的收集整理、汇总上报等工作。 </w:t>
      </w: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宋体" w:hAnsi="宋体" w:eastAsia="方正仿宋简体" w:cs="Times New Roman"/>
          <w:kern w:val="0"/>
          <w:sz w:val="32"/>
          <w:szCs w:val="32"/>
          <w:lang w:val="en-US" w:eastAsia="zh-CN" w:bidi="ar-SA"/>
        </w:rPr>
      </w:pPr>
      <w:r>
        <w:rPr>
          <w:rFonts w:hint="eastAsia" w:ascii="宋体" w:hAnsi="宋体" w:eastAsia="方正仿宋_GBK" w:cs="方正仿宋_GBK"/>
          <w:sz w:val="32"/>
          <w:szCs w:val="32"/>
        </w:rPr>
        <w:t xml:space="preserve">    </w:t>
      </w:r>
      <w:r>
        <w:rPr>
          <w:rFonts w:hint="eastAsia" w:ascii="宋体" w:hAnsi="宋体" w:eastAsia="方正楷体_GBK" w:cs="方正楷体_GBK"/>
          <w:sz w:val="32"/>
          <w:szCs w:val="32"/>
        </w:rPr>
        <w:t>第三阶段</w:t>
      </w:r>
      <w:r>
        <w:rPr>
          <w:rFonts w:hint="eastAsia" w:ascii="宋体" w:hAnsi="宋体" w:eastAsia="方正楷体_GBK" w:cs="方正楷体_GBK"/>
          <w:sz w:val="32"/>
          <w:szCs w:val="32"/>
          <w:lang w:eastAsia="zh-CN"/>
        </w:rPr>
        <w:t>：</w:t>
      </w:r>
      <w:r>
        <w:rPr>
          <w:rFonts w:hint="eastAsia" w:ascii="宋体" w:hAnsi="宋体" w:eastAsia="方正楷体_GBK" w:cs="方正楷体_GBK"/>
          <w:sz w:val="32"/>
          <w:szCs w:val="32"/>
        </w:rPr>
        <w:t>迎接</w:t>
      </w:r>
      <w:r>
        <w:rPr>
          <w:rFonts w:hint="eastAsia" w:ascii="宋体" w:hAnsi="宋体" w:eastAsia="方正楷体_GBK" w:cs="方正楷体_GBK"/>
          <w:sz w:val="32"/>
          <w:szCs w:val="32"/>
          <w:lang w:eastAsia="zh-CN"/>
        </w:rPr>
        <w:t>自治区</w:t>
      </w:r>
      <w:r>
        <w:rPr>
          <w:rFonts w:hint="eastAsia" w:ascii="宋体" w:hAnsi="宋体" w:eastAsia="方正楷体_GBK" w:cs="方正楷体_GBK"/>
          <w:sz w:val="32"/>
          <w:szCs w:val="32"/>
        </w:rPr>
        <w:t>评审阶段（2023年</w:t>
      </w:r>
      <w:r>
        <w:rPr>
          <w:rFonts w:hint="eastAsia" w:ascii="宋体" w:hAnsi="宋体" w:eastAsia="方正楷体_GBK" w:cs="方正楷体_GBK"/>
          <w:sz w:val="32"/>
          <w:szCs w:val="32"/>
          <w:lang w:val="en-US" w:eastAsia="zh-CN"/>
        </w:rPr>
        <w:t>9</w:t>
      </w:r>
      <w:r>
        <w:rPr>
          <w:rFonts w:hint="eastAsia" w:ascii="宋体" w:hAnsi="宋体" w:eastAsia="方正楷体_GBK" w:cs="方正楷体_GBK"/>
          <w:sz w:val="32"/>
          <w:szCs w:val="32"/>
        </w:rPr>
        <w:t>月—2023年</w:t>
      </w:r>
      <w:r>
        <w:rPr>
          <w:rFonts w:hint="eastAsia" w:ascii="宋体" w:hAnsi="宋体" w:eastAsia="方正楷体_GBK" w:cs="方正楷体_GBK"/>
          <w:sz w:val="32"/>
          <w:szCs w:val="32"/>
          <w:lang w:val="en-US" w:eastAsia="zh-CN"/>
        </w:rPr>
        <w:t>12</w:t>
      </w:r>
      <w:r>
        <w:rPr>
          <w:rFonts w:hint="eastAsia" w:ascii="宋体" w:hAnsi="宋体" w:eastAsia="方正楷体_GBK" w:cs="方正楷体_GBK"/>
          <w:sz w:val="32"/>
          <w:szCs w:val="32"/>
        </w:rPr>
        <w:t>月）</w:t>
      </w:r>
      <w:r>
        <w:rPr>
          <w:rFonts w:hint="eastAsia" w:ascii="宋体" w:hAnsi="宋体" w:eastAsia="方正仿宋_GBK" w:cs="方正仿宋_GBK"/>
          <w:sz w:val="32"/>
          <w:szCs w:val="32"/>
        </w:rPr>
        <w:t>：</w:t>
      </w:r>
      <w:r>
        <w:rPr>
          <w:rFonts w:hint="eastAsia" w:ascii="宋体" w:hAnsi="宋体" w:eastAsia="方正仿宋简体" w:cs="Times New Roman"/>
          <w:kern w:val="0"/>
          <w:sz w:val="32"/>
          <w:szCs w:val="32"/>
          <w:lang w:val="en-US" w:eastAsia="zh-CN" w:bidi="ar-SA"/>
        </w:rPr>
        <w:t>接受自治区级评审工作组的材料审核、暗访、现场考核工作。通过后自治区爱卫会向全国爱卫会递交申报材料（评审中的任何一个环节不通过要求限期整改，整改后仍不达标的重新申报）。</w:t>
      </w: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宋体" w:hAnsi="宋体" w:eastAsia="方正仿宋简体" w:cs="Times New Roman"/>
          <w:kern w:val="0"/>
          <w:sz w:val="32"/>
          <w:szCs w:val="32"/>
          <w:lang w:val="en-US" w:eastAsia="zh-CN" w:bidi="ar-SA"/>
        </w:rPr>
      </w:pPr>
      <w:r>
        <w:rPr>
          <w:rFonts w:hint="eastAsia" w:ascii="宋体" w:hAnsi="宋体" w:eastAsia="方正仿宋_GBK" w:cs="方正仿宋_GBK"/>
          <w:sz w:val="32"/>
          <w:szCs w:val="32"/>
        </w:rPr>
        <w:t xml:space="preserve">    </w:t>
      </w:r>
      <w:r>
        <w:rPr>
          <w:rFonts w:hint="eastAsia" w:ascii="宋体" w:hAnsi="宋体" w:eastAsia="方正楷体_GBK" w:cs="方正楷体_GBK"/>
          <w:sz w:val="32"/>
          <w:szCs w:val="32"/>
        </w:rPr>
        <w:t>第四阶段</w:t>
      </w:r>
      <w:r>
        <w:rPr>
          <w:rFonts w:hint="eastAsia" w:ascii="宋体" w:hAnsi="宋体" w:eastAsia="方正楷体_GBK" w:cs="方正楷体_GBK"/>
          <w:sz w:val="32"/>
          <w:szCs w:val="32"/>
          <w:lang w:eastAsia="zh-CN"/>
        </w:rPr>
        <w:t>：</w:t>
      </w:r>
      <w:r>
        <w:rPr>
          <w:rFonts w:hint="eastAsia" w:ascii="宋体" w:hAnsi="宋体" w:eastAsia="方正楷体_GBK" w:cs="方正楷体_GBK"/>
          <w:sz w:val="32"/>
          <w:szCs w:val="32"/>
        </w:rPr>
        <w:t>迎接国家技术评估阶段（2023年</w:t>
      </w:r>
      <w:r>
        <w:rPr>
          <w:rFonts w:hint="eastAsia" w:ascii="宋体" w:hAnsi="宋体" w:eastAsia="方正楷体_GBK" w:cs="方正楷体_GBK"/>
          <w:sz w:val="32"/>
          <w:szCs w:val="32"/>
          <w:lang w:val="en-US" w:eastAsia="zh-CN"/>
        </w:rPr>
        <w:t>4</w:t>
      </w:r>
      <w:r>
        <w:rPr>
          <w:rFonts w:hint="eastAsia" w:ascii="宋体" w:hAnsi="宋体" w:eastAsia="方正楷体_GBK" w:cs="方正楷体_GBK"/>
          <w:sz w:val="32"/>
          <w:szCs w:val="32"/>
        </w:rPr>
        <w:t>月—2024年</w:t>
      </w:r>
      <w:r>
        <w:rPr>
          <w:rFonts w:hint="eastAsia" w:ascii="宋体" w:hAnsi="宋体" w:eastAsia="方正楷体_GBK" w:cs="方正楷体_GBK"/>
          <w:sz w:val="32"/>
          <w:szCs w:val="32"/>
          <w:lang w:val="en-US" w:eastAsia="zh-CN"/>
        </w:rPr>
        <w:t>12</w:t>
      </w:r>
      <w:r>
        <w:rPr>
          <w:rFonts w:hint="eastAsia" w:ascii="宋体" w:hAnsi="宋体" w:eastAsia="方正楷体_GBK" w:cs="方正楷体_GBK"/>
          <w:sz w:val="32"/>
          <w:szCs w:val="32"/>
        </w:rPr>
        <w:t>月底）</w:t>
      </w:r>
      <w:r>
        <w:rPr>
          <w:rFonts w:hint="eastAsia" w:ascii="宋体" w:hAnsi="宋体" w:eastAsia="方正仿宋_GBK" w:cs="方正仿宋_GBK"/>
          <w:sz w:val="32"/>
          <w:szCs w:val="32"/>
        </w:rPr>
        <w:t>：</w:t>
      </w:r>
      <w:r>
        <w:rPr>
          <w:rFonts w:hint="eastAsia" w:ascii="宋体" w:hAnsi="宋体" w:eastAsia="方正仿宋简体" w:cs="Times New Roman"/>
          <w:kern w:val="0"/>
          <w:sz w:val="32"/>
          <w:szCs w:val="32"/>
          <w:lang w:val="en-US" w:eastAsia="zh-CN" w:bidi="ar-SA"/>
        </w:rPr>
        <w:t xml:space="preserve">接受国家评审工作中的材料审核、暗访、技术评估。各单位需要根据国家评审所提出的整改意见，进一步整改完善，抓好重点问题、难点问题和突出问题的整改，确保顺利通过考核验收（三个环节中任一环节不通过限期整改，仍不达标取消本期申报资格）。 </w:t>
      </w: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宋体" w:hAnsi="宋体" w:eastAsia="方正仿宋简体" w:cs="Times New Roman"/>
          <w:kern w:val="0"/>
          <w:sz w:val="32"/>
          <w:szCs w:val="32"/>
          <w:lang w:val="en-US" w:eastAsia="zh-CN" w:bidi="ar-SA"/>
        </w:rPr>
      </w:pPr>
      <w:r>
        <w:rPr>
          <w:rFonts w:hint="eastAsia" w:ascii="宋体" w:hAnsi="宋体" w:eastAsia="方正仿宋_GBK" w:cs="方正仿宋_GBK"/>
          <w:sz w:val="32"/>
          <w:szCs w:val="32"/>
        </w:rPr>
        <w:t xml:space="preserve">    </w:t>
      </w:r>
      <w:r>
        <w:rPr>
          <w:rFonts w:hint="eastAsia" w:ascii="宋体" w:hAnsi="宋体" w:eastAsia="方正楷体_GBK" w:cs="方正楷体_GBK"/>
          <w:sz w:val="32"/>
          <w:szCs w:val="32"/>
        </w:rPr>
        <w:t>第五阶段</w:t>
      </w:r>
      <w:r>
        <w:rPr>
          <w:rFonts w:hint="eastAsia" w:ascii="宋体" w:hAnsi="宋体" w:eastAsia="方正楷体_GBK" w:cs="方正楷体_GBK"/>
          <w:sz w:val="32"/>
          <w:szCs w:val="32"/>
          <w:lang w:eastAsia="zh-CN"/>
        </w:rPr>
        <w:t>：</w:t>
      </w:r>
      <w:r>
        <w:rPr>
          <w:rFonts w:hint="eastAsia" w:ascii="宋体" w:hAnsi="宋体" w:eastAsia="方正楷体_GBK" w:cs="方正楷体_GBK"/>
          <w:sz w:val="32"/>
          <w:szCs w:val="32"/>
        </w:rPr>
        <w:t>迎接国家综合评审阶段</w:t>
      </w:r>
      <w:r>
        <w:rPr>
          <w:rFonts w:hint="eastAsia" w:ascii="宋体" w:hAnsi="宋体" w:eastAsia="方正楷体_GBK" w:cs="方正楷体_GBK"/>
          <w:sz w:val="32"/>
          <w:szCs w:val="32"/>
          <w:lang w:eastAsia="zh-CN"/>
        </w:rPr>
        <w:t>（</w:t>
      </w:r>
      <w:r>
        <w:rPr>
          <w:rFonts w:hint="eastAsia" w:ascii="宋体" w:hAnsi="宋体" w:eastAsia="方正楷体_GBK" w:cs="方正楷体_GBK"/>
          <w:sz w:val="32"/>
          <w:szCs w:val="32"/>
        </w:rPr>
        <w:t>2024年10月—2024年12月）</w:t>
      </w:r>
      <w:r>
        <w:rPr>
          <w:rFonts w:hint="eastAsia" w:ascii="宋体" w:hAnsi="宋体" w:eastAsia="方正仿宋_GBK" w:cs="方正仿宋_GBK"/>
          <w:sz w:val="32"/>
          <w:szCs w:val="32"/>
        </w:rPr>
        <w:t>：</w:t>
      </w:r>
      <w:r>
        <w:rPr>
          <w:rFonts w:hint="eastAsia" w:ascii="宋体" w:hAnsi="宋体" w:eastAsia="方正仿宋简体" w:cs="Times New Roman"/>
          <w:kern w:val="0"/>
          <w:sz w:val="32"/>
          <w:szCs w:val="32"/>
          <w:lang w:val="en-US" w:eastAsia="zh-CN" w:bidi="ar-SA"/>
        </w:rPr>
        <w:t xml:space="preserve">通过自治区、国家级前期各项评审后，接受国家级的综合评审，通过后进行社会公示，公示无异议的报请全国爱卫会批准进行集中命名。各单位应加强自身日常管理，建立健全长效管理机制，接受社会公众监督和常态化管理。 </w:t>
      </w: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 xml:space="preserve">    </w:t>
      </w:r>
      <w:r>
        <w:rPr>
          <w:rFonts w:hint="eastAsia" w:ascii="宋体" w:hAnsi="宋体" w:eastAsia="方正黑体_GBK" w:cs="方正黑体_GBK"/>
          <w:sz w:val="32"/>
          <w:szCs w:val="32"/>
          <w:lang w:eastAsia="zh-CN"/>
        </w:rPr>
        <w:t>六</w:t>
      </w:r>
      <w:r>
        <w:rPr>
          <w:rFonts w:hint="eastAsia" w:ascii="宋体" w:hAnsi="宋体" w:eastAsia="方正黑体_GBK" w:cs="方正黑体_GBK"/>
          <w:sz w:val="32"/>
          <w:szCs w:val="32"/>
        </w:rPr>
        <w:t xml:space="preserve">、保障措施 </w:t>
      </w: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宋体" w:hAnsi="宋体" w:eastAsia="方正仿宋简体" w:cs="Times New Roman"/>
          <w:kern w:val="0"/>
          <w:sz w:val="32"/>
          <w:szCs w:val="32"/>
          <w:lang w:val="en-US" w:eastAsia="zh-CN" w:bidi="ar-SA"/>
        </w:rPr>
      </w:pPr>
      <w:r>
        <w:rPr>
          <w:rFonts w:hint="eastAsia" w:ascii="宋体" w:hAnsi="宋体" w:eastAsia="方正仿宋_GBK" w:cs="方正仿宋_GBK"/>
          <w:sz w:val="32"/>
          <w:szCs w:val="32"/>
        </w:rPr>
        <w:t xml:space="preserve">    </w:t>
      </w:r>
      <w:r>
        <w:rPr>
          <w:rFonts w:hint="eastAsia" w:ascii="宋体" w:hAnsi="宋体" w:eastAsia="方正楷体_GBK" w:cs="方正楷体_GBK"/>
          <w:sz w:val="32"/>
          <w:szCs w:val="32"/>
        </w:rPr>
        <w:t>（一）加强领导，完善组织</w:t>
      </w:r>
      <w:r>
        <w:rPr>
          <w:rFonts w:hint="eastAsia" w:ascii="宋体" w:hAnsi="宋体" w:eastAsia="方正楷体_GBK" w:cs="方正楷体_GBK"/>
          <w:sz w:val="32"/>
          <w:szCs w:val="32"/>
          <w:lang w:eastAsia="zh-CN"/>
        </w:rPr>
        <w:t>。</w:t>
      </w:r>
      <w:r>
        <w:rPr>
          <w:rFonts w:hint="eastAsia" w:ascii="宋体" w:hAnsi="宋体" w:eastAsia="方正仿宋简体" w:cs="Times New Roman"/>
          <w:kern w:val="0"/>
          <w:sz w:val="32"/>
          <w:szCs w:val="32"/>
          <w:lang w:val="en-US" w:eastAsia="zh-CN" w:bidi="ar-SA"/>
        </w:rPr>
        <w:t xml:space="preserve">为加强对创建国家卫生县城工作的领导，成立洛浦县创建国家卫生县城工作领导小组，由县长任组长，领导小组下设办公室，办公室设立综合协调、市容环境、环境保护、公共卫生、食品安全、资料材料、宣传报道、督查考核等8个工作组。创建工作在领导小组的统一领导下进行。各工作组要按照全县统一部署，对照《标准》，制定各组具体方案。各乡镇（街办）、各单位要把创建工作作为一项关系全局的重要任务，纳入重要议事日程，在全县形成主要领导重视，党员干部带头，人人参与创建活动的良好局面。各乡镇（街办）及各部门实行党政领导负总责制度，对一些薄弱环节和重点问题要精心组织，周密部署，集中人力、物力、财力，确保创建工作任务全面完成。 </w:t>
      </w: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宋体" w:hAnsi="宋体" w:eastAsia="方正仿宋简体" w:cs="Times New Roman"/>
          <w:kern w:val="0"/>
          <w:sz w:val="32"/>
          <w:szCs w:val="32"/>
          <w:lang w:val="en-US" w:eastAsia="zh-CN" w:bidi="ar-SA"/>
        </w:rPr>
      </w:pPr>
      <w:r>
        <w:rPr>
          <w:rFonts w:hint="eastAsia" w:ascii="宋体" w:hAnsi="宋体" w:eastAsia="方正仿宋_GBK" w:cs="方正仿宋_GBK"/>
          <w:sz w:val="32"/>
          <w:szCs w:val="32"/>
        </w:rPr>
        <w:t xml:space="preserve">   </w:t>
      </w:r>
      <w:r>
        <w:rPr>
          <w:rFonts w:hint="eastAsia" w:ascii="宋体" w:hAnsi="宋体" w:eastAsia="方正楷体_GBK" w:cs="方正楷体_GBK"/>
          <w:sz w:val="32"/>
          <w:szCs w:val="32"/>
        </w:rPr>
        <w:t xml:space="preserve"> （二）扩大宣传，营造氛围</w:t>
      </w:r>
      <w:r>
        <w:rPr>
          <w:rFonts w:hint="eastAsia" w:ascii="宋体" w:hAnsi="宋体" w:eastAsia="方正楷体_GBK" w:cs="方正楷体_GBK"/>
          <w:sz w:val="32"/>
          <w:szCs w:val="32"/>
          <w:lang w:eastAsia="zh-CN"/>
        </w:rPr>
        <w:t>。</w:t>
      </w:r>
      <w:r>
        <w:rPr>
          <w:rFonts w:hint="eastAsia" w:ascii="宋体" w:hAnsi="宋体" w:eastAsia="方正仿宋简体" w:cs="Times New Roman"/>
          <w:kern w:val="0"/>
          <w:sz w:val="32"/>
          <w:szCs w:val="32"/>
          <w:lang w:val="en-US" w:eastAsia="zh-CN" w:bidi="ar-SA"/>
        </w:rPr>
        <w:t xml:space="preserve">创建国家卫生县城宣传工作要先行，并贯穿始终。宣传部门要制定创建国家卫生县城宣传计划，多形式、多渠道进行宣传，大造舆论，不断加强广大市民的卫生意识、健康意识。对创建工作中的重点、群众关心的热点难点进行跟踪报道，开展新闻记者爱国卫生巡访活动，表彰先进，督促后进。各机关、团体、学校、企事业等单位要设置固定的创建宣传标语和橱窗，形成创建国家卫生县城的良好氛围。 </w:t>
      </w: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宋体" w:hAnsi="宋体" w:eastAsia="方正仿宋简体" w:cs="Times New Roman"/>
          <w:kern w:val="0"/>
          <w:sz w:val="32"/>
          <w:szCs w:val="32"/>
          <w:lang w:val="en-US" w:eastAsia="zh-CN" w:bidi="ar-SA"/>
        </w:rPr>
      </w:pPr>
      <w:r>
        <w:rPr>
          <w:rFonts w:hint="eastAsia" w:ascii="宋体" w:hAnsi="宋体" w:eastAsia="方正仿宋_GBK" w:cs="方正仿宋_GBK"/>
          <w:sz w:val="32"/>
          <w:szCs w:val="32"/>
        </w:rPr>
        <w:t xml:space="preserve">  </w:t>
      </w:r>
      <w:r>
        <w:rPr>
          <w:rFonts w:hint="eastAsia" w:ascii="宋体" w:hAnsi="宋体" w:eastAsia="方正楷体_GBK" w:cs="方正楷体_GBK"/>
          <w:sz w:val="32"/>
          <w:szCs w:val="32"/>
        </w:rPr>
        <w:t xml:space="preserve">  （三）明确责任，实行目标管理责任制</w:t>
      </w:r>
      <w:r>
        <w:rPr>
          <w:rFonts w:hint="eastAsia" w:ascii="宋体" w:hAnsi="宋体" w:eastAsia="方正楷体_GBK" w:cs="方正楷体_GBK"/>
          <w:sz w:val="32"/>
          <w:szCs w:val="32"/>
          <w:lang w:eastAsia="zh-CN"/>
        </w:rPr>
        <w:t>。</w:t>
      </w:r>
      <w:r>
        <w:rPr>
          <w:rFonts w:hint="eastAsia" w:ascii="宋体" w:hAnsi="宋体" w:eastAsia="方正仿宋简体" w:cs="Times New Roman"/>
          <w:kern w:val="0"/>
          <w:sz w:val="32"/>
          <w:szCs w:val="32"/>
          <w:lang w:val="en-US" w:eastAsia="zh-CN" w:bidi="ar-SA"/>
        </w:rPr>
        <w:t xml:space="preserve">按照《标准》要求，创建任务分解到各乡镇（街办）及各部门，实行目标管理责任制，做到定领导、定任务、定进度、定奖惩。各单位要根据创建目标层层分解任务，签订责任书并按要求进行落实，在全县形成层层有责任、层层有任务、一级抓一级的工作局面。 </w:t>
      </w: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宋体" w:hAnsi="宋体" w:eastAsia="方正仿宋简体" w:cs="Times New Roman"/>
          <w:kern w:val="0"/>
          <w:sz w:val="32"/>
          <w:szCs w:val="32"/>
          <w:lang w:val="en-US" w:eastAsia="zh-CN" w:bidi="ar-SA"/>
        </w:rPr>
      </w:pPr>
      <w:r>
        <w:rPr>
          <w:rFonts w:hint="eastAsia" w:ascii="宋体" w:hAnsi="宋体" w:eastAsia="方正仿宋_GBK" w:cs="方正仿宋_GBK"/>
          <w:sz w:val="32"/>
          <w:szCs w:val="32"/>
        </w:rPr>
        <w:t xml:space="preserve">    </w:t>
      </w:r>
      <w:r>
        <w:rPr>
          <w:rFonts w:hint="eastAsia" w:ascii="宋体" w:hAnsi="宋体" w:eastAsia="方正楷体_GBK" w:cs="方正楷体_GBK"/>
          <w:sz w:val="32"/>
          <w:szCs w:val="32"/>
        </w:rPr>
        <w:t>（四）强化监督检查，实行综合治理</w:t>
      </w:r>
      <w:r>
        <w:rPr>
          <w:rFonts w:hint="eastAsia" w:ascii="宋体" w:hAnsi="宋体" w:eastAsia="方正楷体_GBK" w:cs="方正楷体_GBK"/>
          <w:sz w:val="32"/>
          <w:szCs w:val="32"/>
          <w:lang w:eastAsia="zh-CN"/>
        </w:rPr>
        <w:t>。</w:t>
      </w:r>
      <w:r>
        <w:rPr>
          <w:rFonts w:hint="eastAsia" w:ascii="宋体" w:hAnsi="宋体" w:eastAsia="方正仿宋简体" w:cs="Times New Roman"/>
          <w:kern w:val="0"/>
          <w:sz w:val="32"/>
          <w:szCs w:val="32"/>
          <w:lang w:val="en-US" w:eastAsia="zh-CN" w:bidi="ar-SA"/>
        </w:rPr>
        <w:t xml:space="preserve">各单位要协同作战，密切配合，坚持“条保块管，以块为主，条作保证，条块结合”的原则，认真贯彻国家、自治区卫生法规，建立健全我县城市管理、卫生管理办法和规定，加强联合执法、齐抓共管、综合治理，通过日巡查、周抽查、月检查、单项和综合检查，抓住管理源头，确保有效管理，保证各项目标任务如期完成。凡是不达标的单位，不能评为年度卫生先进单位，建议取消文明单位称号，主要领导不能在年度工作中被评为优秀等次。 </w:t>
      </w: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宋体" w:hAnsi="宋体" w:eastAsia="方正仿宋简体" w:cs="Times New Roman"/>
          <w:kern w:val="0"/>
          <w:sz w:val="32"/>
          <w:szCs w:val="32"/>
          <w:lang w:val="en-US" w:eastAsia="zh-CN" w:bidi="ar-SA"/>
        </w:rPr>
      </w:pPr>
      <w:r>
        <w:rPr>
          <w:rFonts w:hint="eastAsia" w:ascii="宋体" w:hAnsi="宋体" w:eastAsia="方正楷体_GBK" w:cs="方正楷体_GBK"/>
          <w:sz w:val="32"/>
          <w:szCs w:val="32"/>
        </w:rPr>
        <w:t xml:space="preserve">    （五）严格奖罚制度，确保创建绩效</w:t>
      </w:r>
      <w:r>
        <w:rPr>
          <w:rFonts w:hint="eastAsia" w:ascii="宋体" w:hAnsi="宋体" w:eastAsia="方正楷体_GBK" w:cs="方正楷体_GBK"/>
          <w:sz w:val="32"/>
          <w:szCs w:val="32"/>
          <w:lang w:eastAsia="zh-CN"/>
        </w:rPr>
        <w:t>。</w:t>
      </w:r>
      <w:r>
        <w:rPr>
          <w:rFonts w:hint="eastAsia" w:ascii="宋体" w:hAnsi="宋体" w:eastAsia="方正仿宋简体" w:cs="Times New Roman"/>
          <w:kern w:val="0"/>
          <w:sz w:val="32"/>
          <w:szCs w:val="32"/>
          <w:lang w:val="en-US" w:eastAsia="zh-CN" w:bidi="ar-SA"/>
        </w:rPr>
        <w:t xml:space="preserve">县创卫工作领导小组及相关职能部门要对照《标准》，定期组织创建国家卫生县城目标完成情况检查评比活动，并纳入年度考核内容。在评比活动中要严格执法，严明奖惩。对完成创建目标任务好的单位和个人将通报表彰，对组织领导不力、推诿扯皮、作风拖拉、完不成创建任务影响全县创建工作大局的单位和个人，将视情节轻重给予通报批评、新闻媒体曝光、取消文明单位、卫生先进单位称号等处理，并追究主要领导和相关责任人责任。 </w:t>
      </w: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方正楷体_GBK" w:hAnsi="方正楷体_GBK" w:eastAsia="方正楷体_GBK" w:cs="方正楷体_GBK"/>
          <w:kern w:val="0"/>
          <w:sz w:val="32"/>
          <w:szCs w:val="32"/>
          <w:lang w:val="en-US" w:eastAsia="zh-CN" w:bidi="ar-SA"/>
        </w:rPr>
      </w:pPr>
      <w:r>
        <w:rPr>
          <w:rFonts w:hint="eastAsia" w:ascii="宋体" w:hAnsi="宋体" w:eastAsia="方正仿宋_GBK" w:cs="方正仿宋_GBK"/>
          <w:sz w:val="32"/>
          <w:szCs w:val="32"/>
        </w:rPr>
        <w:t xml:space="preserve">    </w:t>
      </w:r>
      <w:r>
        <w:rPr>
          <w:rFonts w:hint="eastAsia" w:ascii="方正楷体_GBK" w:hAnsi="方正楷体_GBK" w:eastAsia="方正楷体_GBK" w:cs="方正楷体_GBK"/>
          <w:sz w:val="32"/>
          <w:szCs w:val="32"/>
        </w:rPr>
        <w:t xml:space="preserve"> </w:t>
      </w:r>
      <w:r>
        <w:rPr>
          <w:rFonts w:hint="eastAsia" w:ascii="方正楷体_GBK" w:hAnsi="方正楷体_GBK" w:eastAsia="方正楷体_GBK" w:cs="方正楷体_GBK"/>
          <w:kern w:val="0"/>
          <w:sz w:val="32"/>
          <w:szCs w:val="32"/>
          <w:lang w:val="en-US" w:eastAsia="zh-CN" w:bidi="ar-SA"/>
        </w:rPr>
        <w:t>附件：洛浦县创建国家卫生县城责任目标分工清单</w:t>
      </w: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宋体" w:hAnsi="宋体" w:eastAsia="方正仿宋_GBK" w:cs="方正仿宋_GBK"/>
          <w:sz w:val="32"/>
          <w:szCs w:val="32"/>
          <w:lang w:eastAsia="zh-CN"/>
        </w:rPr>
      </w:pPr>
    </w:p>
    <w:p>
      <w:pPr>
        <w:keepNext w:val="0"/>
        <w:keepLines w:val="0"/>
        <w:pageBreakBefore w:val="0"/>
        <w:widowControl w:val="0"/>
        <w:kinsoku/>
        <w:wordWrap/>
        <w:overflowPunct/>
        <w:topLinePunct w:val="0"/>
        <w:autoSpaceDE/>
        <w:autoSpaceDN/>
        <w:bidi w:val="0"/>
        <w:adjustRightInd/>
        <w:spacing w:line="560" w:lineRule="exact"/>
        <w:ind w:firstLine="4160" w:firstLineChars="1300"/>
        <w:textAlignment w:val="auto"/>
        <w:rPr>
          <w:rFonts w:hint="eastAsia" w:ascii="宋体" w:hAnsi="宋体" w:eastAsia="方正仿宋_GBK" w:cs="方正仿宋_GBK"/>
          <w:sz w:val="32"/>
          <w:szCs w:val="32"/>
          <w:lang w:eastAsia="zh-CN"/>
        </w:rPr>
      </w:pPr>
      <w:r>
        <w:rPr>
          <w:rFonts w:hint="eastAsia" w:ascii="宋体" w:hAnsi="宋体" w:eastAsia="方正仿宋_GBK" w:cs="方正仿宋_GBK"/>
          <w:sz w:val="32"/>
          <w:szCs w:val="32"/>
          <w:lang w:eastAsia="zh-CN"/>
        </w:rPr>
        <w:t>洛浦县人民政府办公室</w:t>
      </w:r>
    </w:p>
    <w:p>
      <w:pPr>
        <w:keepNext w:val="0"/>
        <w:keepLines w:val="0"/>
        <w:pageBreakBefore w:val="0"/>
        <w:widowControl w:val="0"/>
        <w:kinsoku/>
        <w:wordWrap/>
        <w:overflowPunct/>
        <w:topLinePunct w:val="0"/>
        <w:autoSpaceDE/>
        <w:autoSpaceDN/>
        <w:bidi w:val="0"/>
        <w:adjustRightInd/>
        <w:spacing w:line="560" w:lineRule="exact"/>
        <w:ind w:firstLine="4480" w:firstLineChars="1400"/>
        <w:textAlignment w:val="auto"/>
        <w:rPr>
          <w:rFonts w:hint="eastAsia" w:ascii="宋体" w:hAnsi="宋体" w:eastAsia="方正仿宋_GBK" w:cs="方正仿宋_GBK"/>
          <w:sz w:val="32"/>
          <w:szCs w:val="32"/>
          <w:lang w:val="en-US" w:eastAsia="zh-CN"/>
        </w:rPr>
      </w:pPr>
      <w:r>
        <w:rPr>
          <w:rFonts w:hint="eastAsia" w:ascii="宋体" w:hAnsi="宋体" w:eastAsia="方正仿宋_GBK" w:cs="方正仿宋_GBK"/>
          <w:sz w:val="32"/>
          <w:szCs w:val="32"/>
          <w:lang w:val="en-US" w:eastAsia="zh-CN"/>
        </w:rPr>
        <w:t>2023年6月30日</w:t>
      </w:r>
    </w:p>
    <w:p>
      <w:pPr>
        <w:keepNext w:val="0"/>
        <w:keepLines w:val="0"/>
        <w:pageBreakBefore w:val="0"/>
        <w:kinsoku/>
        <w:overflowPunct/>
        <w:topLinePunct w:val="0"/>
        <w:bidi w:val="0"/>
        <w:spacing w:line="560"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w:t>
      </w:r>
    </w:p>
    <w:p>
      <w:pPr>
        <w:keepNext w:val="0"/>
        <w:keepLines w:val="0"/>
        <w:pageBreakBefore w:val="0"/>
        <w:kinsoku/>
        <w:overflowPunct/>
        <w:topLinePunct w:val="0"/>
        <w:bidi w:val="0"/>
        <w:spacing w:line="560"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w:t>
      </w:r>
    </w:p>
    <w:p>
      <w:pPr>
        <w:keepNext w:val="0"/>
        <w:keepLines w:val="0"/>
        <w:pageBreakBefore w:val="0"/>
        <w:kinsoku/>
        <w:overflowPunct/>
        <w:topLinePunct w:val="0"/>
        <w:bidi w:val="0"/>
        <w:spacing w:line="560" w:lineRule="exact"/>
        <w:rPr>
          <w:rFonts w:hint="eastAsia" w:ascii="宋体" w:hAnsi="宋体" w:eastAsia="仿宋_GB2312" w:cs="仿宋_GB2312"/>
          <w:sz w:val="32"/>
          <w:szCs w:val="32"/>
        </w:rPr>
      </w:pPr>
    </w:p>
    <w:p>
      <w:pPr>
        <w:keepNext w:val="0"/>
        <w:keepLines w:val="0"/>
        <w:pageBreakBefore w:val="0"/>
        <w:kinsoku/>
        <w:overflowPunct/>
        <w:topLinePunct w:val="0"/>
        <w:bidi w:val="0"/>
        <w:spacing w:line="560" w:lineRule="exact"/>
        <w:rPr>
          <w:rFonts w:hint="eastAsia" w:ascii="宋体" w:hAnsi="宋体" w:eastAsia="仿宋_GB2312" w:cs="仿宋_GB2312"/>
          <w:sz w:val="32"/>
          <w:szCs w:val="32"/>
        </w:rPr>
      </w:pPr>
    </w:p>
    <w:p>
      <w:pPr>
        <w:keepNext w:val="0"/>
        <w:keepLines w:val="0"/>
        <w:pageBreakBefore w:val="0"/>
        <w:kinsoku/>
        <w:overflowPunct/>
        <w:topLinePunct w:val="0"/>
        <w:bidi w:val="0"/>
        <w:spacing w:line="560" w:lineRule="exact"/>
        <w:rPr>
          <w:rFonts w:hint="eastAsia" w:ascii="宋体" w:hAnsi="宋体" w:eastAsia="仿宋_GB2312" w:cs="仿宋_GB2312"/>
          <w:sz w:val="32"/>
          <w:szCs w:val="32"/>
        </w:rPr>
      </w:pPr>
    </w:p>
    <w:p>
      <w:pPr>
        <w:keepNext w:val="0"/>
        <w:keepLines w:val="0"/>
        <w:pageBreakBefore w:val="0"/>
        <w:kinsoku/>
        <w:overflowPunct/>
        <w:topLinePunct w:val="0"/>
        <w:bidi w:val="0"/>
        <w:spacing w:line="560" w:lineRule="exact"/>
        <w:rPr>
          <w:rFonts w:hint="eastAsia" w:ascii="宋体" w:hAnsi="宋体" w:eastAsia="仿宋_GB2312" w:cs="仿宋_GB2312"/>
          <w:sz w:val="32"/>
          <w:szCs w:val="32"/>
        </w:rPr>
      </w:pPr>
    </w:p>
    <w:p>
      <w:pPr>
        <w:keepNext w:val="0"/>
        <w:keepLines w:val="0"/>
        <w:pageBreakBefore w:val="0"/>
        <w:kinsoku/>
        <w:overflowPunct/>
        <w:topLinePunct w:val="0"/>
        <w:bidi w:val="0"/>
        <w:spacing w:line="560" w:lineRule="exact"/>
        <w:rPr>
          <w:rFonts w:hint="eastAsia" w:ascii="宋体" w:hAnsi="宋体" w:eastAsia="仿宋_GB2312" w:cs="仿宋_GB2312"/>
          <w:sz w:val="32"/>
          <w:szCs w:val="32"/>
        </w:rPr>
      </w:pPr>
    </w:p>
    <w:p>
      <w:pPr>
        <w:keepNext w:val="0"/>
        <w:keepLines w:val="0"/>
        <w:pageBreakBefore w:val="0"/>
        <w:kinsoku/>
        <w:wordWrap/>
        <w:overflowPunct/>
        <w:topLinePunct w:val="0"/>
        <w:autoSpaceDE/>
        <w:autoSpaceDN/>
        <w:bidi w:val="0"/>
        <w:adjustRightInd/>
        <w:snapToGrid/>
        <w:spacing w:line="560" w:lineRule="exact"/>
        <w:rPr>
          <w:rFonts w:hint="eastAsia" w:ascii="宋体" w:hAnsi="宋体" w:eastAsia="仿宋_GB2312" w:cs="仿宋_GB2312"/>
          <w:sz w:val="32"/>
          <w:szCs w:val="32"/>
          <w:lang w:val="en-US" w:eastAsia="zh-CN"/>
        </w:rPr>
        <w:sectPr>
          <w:footerReference r:id="rId3" w:type="default"/>
          <w:pgSz w:w="11906" w:h="16838"/>
          <w:pgMar w:top="2098" w:right="1474" w:bottom="1984" w:left="1587" w:header="851" w:footer="992" w:gutter="0"/>
          <w:pgNumType w:fmt="numberInDash" w:start="2"/>
          <w:cols w:space="425" w:num="1"/>
          <w:docGrid w:type="lines" w:linePitch="312" w:charSpace="0"/>
        </w:sectPr>
      </w:pPr>
      <w:r>
        <w:rPr>
          <w:rFonts w:hint="eastAsia" w:ascii="宋体" w:hAnsi="宋体"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方正仿宋_GBK" w:cs="方正仿宋_GBK"/>
          <w:sz w:val="32"/>
          <w:szCs w:val="32"/>
          <w:lang w:val="en-US" w:eastAsia="zh-CN"/>
        </w:rPr>
      </w:pPr>
      <w:r>
        <w:rPr>
          <w:rFonts w:hint="eastAsia" w:ascii="宋体" w:hAnsi="宋体" w:eastAsia="方正仿宋_GBK" w:cs="方正仿宋_GBK"/>
          <w:sz w:val="32"/>
          <w:szCs w:val="32"/>
          <w:lang w:val="en-US" w:eastAsia="zh-CN"/>
        </w:rPr>
        <w:t>附件</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方正小标宋简体" w:cs="方正小标宋简体"/>
          <w:sz w:val="44"/>
          <w:szCs w:val="44"/>
          <w:lang w:val="en-US" w:eastAsia="zh-CN"/>
        </w:rPr>
      </w:pPr>
      <w:r>
        <w:rPr>
          <w:rFonts w:hint="eastAsia" w:ascii="宋体" w:hAnsi="宋体" w:eastAsia="方正小标宋简体" w:cs="方正小标宋简体"/>
          <w:sz w:val="44"/>
          <w:szCs w:val="44"/>
          <w:lang w:val="en-US" w:eastAsia="zh-CN"/>
        </w:rPr>
        <w:t>洛浦县创建国家卫生县城责任目标分工清单</w:t>
      </w:r>
    </w:p>
    <w:tbl>
      <w:tblPr>
        <w:tblStyle w:val="6"/>
        <w:tblW w:w="1582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714"/>
        <w:gridCol w:w="600"/>
        <w:gridCol w:w="5062"/>
        <w:gridCol w:w="6421"/>
        <w:gridCol w:w="1453"/>
        <w:gridCol w:w="983"/>
        <w:gridCol w:w="59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jc w:val="center"/>
        </w:trPr>
        <w:tc>
          <w:tcPr>
            <w:tcW w:w="7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方正黑体_GBK" w:cs="方正黑体_GBK"/>
                <w:i w:val="0"/>
                <w:color w:val="000000"/>
                <w:sz w:val="22"/>
                <w:szCs w:val="22"/>
                <w:u w:val="none"/>
              </w:rPr>
            </w:pPr>
            <w:r>
              <w:rPr>
                <w:rFonts w:hint="eastAsia" w:ascii="宋体" w:hAnsi="宋体" w:eastAsia="方正黑体_GBK" w:cs="方正黑体_GBK"/>
                <w:i w:val="0"/>
                <w:color w:val="000000"/>
                <w:kern w:val="0"/>
                <w:sz w:val="22"/>
                <w:szCs w:val="22"/>
                <w:u w:val="none"/>
                <w:lang w:val="en-US" w:eastAsia="zh-CN" w:bidi="ar"/>
              </w:rPr>
              <w:t>序号</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方正黑体_GBK" w:cs="方正黑体_GBK"/>
                <w:i w:val="0"/>
                <w:color w:val="000000"/>
                <w:sz w:val="22"/>
                <w:szCs w:val="22"/>
                <w:u w:val="none"/>
              </w:rPr>
            </w:pPr>
            <w:r>
              <w:rPr>
                <w:rFonts w:hint="eastAsia" w:ascii="宋体" w:hAnsi="宋体" w:eastAsia="方正黑体_GBK" w:cs="方正黑体_GBK"/>
                <w:i w:val="0"/>
                <w:color w:val="000000"/>
                <w:kern w:val="0"/>
                <w:sz w:val="22"/>
                <w:szCs w:val="22"/>
                <w:u w:val="none"/>
                <w:lang w:val="en-US" w:eastAsia="zh-CN" w:bidi="ar"/>
              </w:rPr>
              <w:t>项目名称</w:t>
            </w:r>
          </w:p>
        </w:tc>
        <w:tc>
          <w:tcPr>
            <w:tcW w:w="50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方正黑体_GBK" w:cs="方正黑体_GBK"/>
                <w:i w:val="0"/>
                <w:color w:val="000000"/>
                <w:sz w:val="22"/>
                <w:szCs w:val="22"/>
                <w:u w:val="none"/>
              </w:rPr>
            </w:pPr>
            <w:r>
              <w:rPr>
                <w:rFonts w:hint="eastAsia" w:ascii="宋体" w:hAnsi="宋体" w:eastAsia="方正黑体_GBK" w:cs="方正黑体_GBK"/>
                <w:i w:val="0"/>
                <w:color w:val="000000"/>
                <w:kern w:val="0"/>
                <w:sz w:val="22"/>
                <w:szCs w:val="22"/>
                <w:u w:val="none"/>
                <w:lang w:val="en-US" w:eastAsia="zh-CN" w:bidi="ar"/>
              </w:rPr>
              <w:t>工作内容</w:t>
            </w:r>
          </w:p>
        </w:tc>
        <w:tc>
          <w:tcPr>
            <w:tcW w:w="64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方正黑体_GBK" w:cs="方正黑体_GBK"/>
                <w:i w:val="0"/>
                <w:color w:val="000000"/>
                <w:sz w:val="22"/>
                <w:szCs w:val="22"/>
                <w:u w:val="none"/>
              </w:rPr>
            </w:pPr>
            <w:r>
              <w:rPr>
                <w:rFonts w:hint="eastAsia" w:ascii="宋体" w:hAnsi="宋体" w:eastAsia="方正黑体_GBK" w:cs="方正黑体_GBK"/>
                <w:i w:val="0"/>
                <w:color w:val="000000"/>
                <w:kern w:val="0"/>
                <w:sz w:val="22"/>
                <w:szCs w:val="22"/>
                <w:u w:val="none"/>
                <w:lang w:val="en-US" w:eastAsia="zh-CN" w:bidi="ar"/>
              </w:rPr>
              <w:t>工作指标</w:t>
            </w:r>
          </w:p>
        </w:tc>
        <w:tc>
          <w:tcPr>
            <w:tcW w:w="14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方正黑体_GBK" w:cs="方正黑体_GBK"/>
                <w:i w:val="0"/>
                <w:color w:val="000000"/>
                <w:sz w:val="22"/>
                <w:szCs w:val="22"/>
                <w:u w:val="none"/>
              </w:rPr>
            </w:pPr>
            <w:r>
              <w:rPr>
                <w:rFonts w:hint="eastAsia" w:ascii="宋体" w:hAnsi="宋体" w:eastAsia="方正黑体_GBK" w:cs="方正黑体_GBK"/>
                <w:i w:val="0"/>
                <w:color w:val="000000"/>
                <w:kern w:val="0"/>
                <w:sz w:val="22"/>
                <w:szCs w:val="22"/>
                <w:u w:val="none"/>
                <w:lang w:val="en-US" w:eastAsia="zh-CN" w:bidi="ar"/>
              </w:rPr>
              <w:t>责任单位</w:t>
            </w:r>
          </w:p>
        </w:tc>
        <w:tc>
          <w:tcPr>
            <w:tcW w:w="9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方正黑体_GBK" w:cs="方正黑体_GBK"/>
                <w:i w:val="0"/>
                <w:color w:val="000000"/>
                <w:sz w:val="22"/>
                <w:szCs w:val="22"/>
                <w:u w:val="none"/>
              </w:rPr>
            </w:pPr>
            <w:r>
              <w:rPr>
                <w:rFonts w:hint="eastAsia" w:ascii="宋体" w:hAnsi="宋体" w:eastAsia="方正黑体_GBK" w:cs="方正黑体_GBK"/>
                <w:i w:val="0"/>
                <w:color w:val="000000"/>
                <w:kern w:val="0"/>
                <w:sz w:val="22"/>
                <w:szCs w:val="22"/>
                <w:u w:val="none"/>
                <w:lang w:val="en-US" w:eastAsia="zh-CN" w:bidi="ar"/>
              </w:rPr>
              <w:t>完成时限</w:t>
            </w:r>
          </w:p>
        </w:tc>
        <w:tc>
          <w:tcPr>
            <w:tcW w:w="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方正黑体_GBK" w:cs="方正黑体_GBK"/>
                <w:i w:val="0"/>
                <w:color w:val="000000"/>
                <w:sz w:val="22"/>
                <w:szCs w:val="22"/>
                <w:u w:val="none"/>
              </w:rPr>
            </w:pPr>
            <w:r>
              <w:rPr>
                <w:rFonts w:hint="eastAsia" w:ascii="宋体" w:hAnsi="宋体" w:eastAsia="方正黑体_GBK" w:cs="方正黑体_GBK"/>
                <w:i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7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方正仿宋_GBK" w:cs="方正仿宋_GBK"/>
                <w:i w:val="0"/>
                <w:color w:val="000000"/>
                <w:sz w:val="20"/>
                <w:szCs w:val="20"/>
                <w:u w:val="none"/>
              </w:rPr>
            </w:pPr>
            <w:r>
              <w:rPr>
                <w:rFonts w:hint="eastAsia" w:ascii="宋体" w:hAnsi="宋体" w:eastAsia="方正仿宋_GBK" w:cs="方正仿宋_GBK"/>
                <w:i w:val="0"/>
                <w:color w:val="000000"/>
                <w:kern w:val="0"/>
                <w:sz w:val="20"/>
                <w:szCs w:val="20"/>
                <w:u w:val="none"/>
                <w:lang w:val="en-US" w:eastAsia="zh-CN" w:bidi="ar"/>
              </w:rPr>
              <w:t>1</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方正仿宋_GBK" w:cs="方正仿宋_GBK"/>
                <w:i w:val="0"/>
                <w:color w:val="000000"/>
                <w:sz w:val="20"/>
                <w:szCs w:val="20"/>
                <w:u w:val="none"/>
              </w:rPr>
            </w:pPr>
            <w:r>
              <w:rPr>
                <w:rFonts w:hint="eastAsia" w:ascii="宋体" w:hAnsi="宋体" w:eastAsia="方正仿宋_GBK" w:cs="方正仿宋_GBK"/>
                <w:i w:val="0"/>
                <w:color w:val="000000"/>
                <w:kern w:val="0"/>
                <w:sz w:val="20"/>
                <w:szCs w:val="20"/>
                <w:u w:val="none"/>
                <w:lang w:val="en-US" w:eastAsia="zh-CN" w:bidi="ar"/>
              </w:rPr>
              <w:t>爱国卫生组织管理</w:t>
            </w:r>
          </w:p>
        </w:tc>
        <w:tc>
          <w:tcPr>
            <w:tcW w:w="50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方正仿宋_GBK" w:cs="方正仿宋_GBK"/>
                <w:i w:val="0"/>
                <w:color w:val="000000"/>
                <w:sz w:val="20"/>
                <w:szCs w:val="20"/>
                <w:u w:val="none"/>
              </w:rPr>
            </w:pPr>
            <w:r>
              <w:rPr>
                <w:rFonts w:hint="eastAsia" w:ascii="宋体" w:hAnsi="宋体" w:eastAsia="方正仿宋_GBK" w:cs="方正仿宋_GBK"/>
                <w:i w:val="0"/>
                <w:color w:val="000000"/>
                <w:kern w:val="0"/>
                <w:sz w:val="20"/>
                <w:szCs w:val="20"/>
                <w:u w:val="none"/>
                <w:lang w:val="en-US" w:eastAsia="zh-CN" w:bidi="ar"/>
              </w:rPr>
              <w:t>将爱国卫生工作纳入辖区各级党委和政府重要议事日程，列入经济社会发展规划，纳入政府绩效考核指标。具有立法权的地方需有本地爱国卫生法规，其他地方需有爱国卫生规范性文件。</w:t>
            </w:r>
          </w:p>
        </w:tc>
        <w:tc>
          <w:tcPr>
            <w:tcW w:w="64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方正仿宋_GBK" w:cs="方正仿宋_GBK"/>
                <w:i w:val="0"/>
                <w:color w:val="000000"/>
                <w:sz w:val="20"/>
                <w:szCs w:val="20"/>
                <w:u w:val="none"/>
              </w:rPr>
            </w:pPr>
            <w:r>
              <w:rPr>
                <w:rFonts w:hint="eastAsia" w:ascii="宋体" w:hAnsi="宋体" w:eastAsia="方正仿宋_GBK" w:cs="方正仿宋_GBK"/>
                <w:i w:val="0"/>
                <w:color w:val="000000"/>
                <w:kern w:val="0"/>
                <w:sz w:val="20"/>
                <w:szCs w:val="20"/>
                <w:u w:val="none"/>
                <w:lang w:val="en-US" w:eastAsia="zh-CN" w:bidi="ar"/>
              </w:rPr>
              <w:t>1.专题会议及安排部署。2.涵盖爱国卫生的政府报告及中长期经济社会发展规划。3.相关规范性文件</w:t>
            </w:r>
          </w:p>
        </w:tc>
        <w:tc>
          <w:tcPr>
            <w:tcW w:w="14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方正仿宋_GBK" w:cs="方正仿宋_GBK"/>
                <w:i w:val="0"/>
                <w:color w:val="000000"/>
                <w:sz w:val="20"/>
                <w:szCs w:val="20"/>
                <w:u w:val="none"/>
                <w:lang w:val="en-US" w:eastAsia="zh-CN"/>
              </w:rPr>
            </w:pPr>
            <w:r>
              <w:rPr>
                <w:rFonts w:hint="eastAsia" w:ascii="宋体" w:hAnsi="宋体" w:eastAsia="方正仿宋_GBK" w:cs="方正仿宋_GBK"/>
                <w:i w:val="0"/>
                <w:color w:val="000000"/>
                <w:kern w:val="0"/>
                <w:sz w:val="20"/>
                <w:szCs w:val="20"/>
                <w:u w:val="none"/>
                <w:lang w:val="en-US" w:eastAsia="zh-CN" w:bidi="ar"/>
              </w:rPr>
              <w:t xml:space="preserve">发改委        爱卫会办公室   </w:t>
            </w:r>
          </w:p>
        </w:tc>
        <w:tc>
          <w:tcPr>
            <w:tcW w:w="9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方正仿宋_GBK" w:cs="方正仿宋_GBK"/>
                <w:i w:val="0"/>
                <w:color w:val="000000"/>
                <w:sz w:val="20"/>
                <w:szCs w:val="20"/>
                <w:u w:val="none"/>
              </w:rPr>
            </w:pPr>
            <w:r>
              <w:rPr>
                <w:rFonts w:hint="eastAsia" w:ascii="宋体" w:hAnsi="宋体" w:eastAsia="方正仿宋_GBK" w:cs="方正仿宋_GBK"/>
                <w:i w:val="0"/>
                <w:color w:val="000000"/>
                <w:kern w:val="0"/>
                <w:sz w:val="20"/>
                <w:szCs w:val="20"/>
                <w:u w:val="none"/>
                <w:lang w:val="en-US" w:eastAsia="zh-CN" w:bidi="ar"/>
              </w:rPr>
              <w:t>2023年2月24日前</w:t>
            </w:r>
          </w:p>
        </w:tc>
        <w:tc>
          <w:tcPr>
            <w:tcW w:w="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rPr>
                <w:rFonts w:hint="eastAsia" w:ascii="宋体" w:hAnsi="宋体" w:eastAsia="方正仿宋_GBK" w:cs="方正仿宋_GBK"/>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40" w:hRule="atLeast"/>
          <w:jc w:val="center"/>
        </w:trPr>
        <w:tc>
          <w:tcPr>
            <w:tcW w:w="7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方正仿宋_GBK" w:cs="方正仿宋_GBK"/>
                <w:i w:val="0"/>
                <w:color w:val="000000"/>
                <w:sz w:val="20"/>
                <w:szCs w:val="20"/>
                <w:u w:val="none"/>
              </w:rPr>
            </w:pPr>
            <w:r>
              <w:rPr>
                <w:rFonts w:hint="eastAsia" w:ascii="宋体" w:hAnsi="宋体" w:eastAsia="方正仿宋_GBK" w:cs="方正仿宋_GBK"/>
                <w:i w:val="0"/>
                <w:color w:val="000000"/>
                <w:kern w:val="0"/>
                <w:sz w:val="20"/>
                <w:szCs w:val="20"/>
                <w:u w:val="none"/>
                <w:lang w:val="en-US" w:eastAsia="zh-CN" w:bidi="ar"/>
              </w:rPr>
              <w:t>2</w:t>
            </w: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方正仿宋_GBK" w:cs="方正仿宋_GBK"/>
                <w:i w:val="0"/>
                <w:color w:val="000000"/>
                <w:sz w:val="20"/>
                <w:szCs w:val="20"/>
                <w:u w:val="none"/>
              </w:rPr>
            </w:pPr>
          </w:p>
        </w:tc>
        <w:tc>
          <w:tcPr>
            <w:tcW w:w="50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方正仿宋_GBK" w:cs="方正仿宋_GBK"/>
                <w:i w:val="0"/>
                <w:color w:val="000000"/>
                <w:sz w:val="20"/>
                <w:szCs w:val="20"/>
                <w:u w:val="none"/>
              </w:rPr>
            </w:pPr>
            <w:r>
              <w:rPr>
                <w:rFonts w:hint="eastAsia" w:ascii="宋体" w:hAnsi="宋体" w:eastAsia="方正仿宋_GBK" w:cs="方正仿宋_GBK"/>
                <w:i w:val="0"/>
                <w:color w:val="000000"/>
                <w:kern w:val="0"/>
                <w:sz w:val="20"/>
                <w:szCs w:val="20"/>
                <w:u w:val="none"/>
                <w:lang w:val="en-US" w:eastAsia="zh-CN" w:bidi="ar"/>
              </w:rPr>
              <w:t>辖区内各级爱卫会组织健全，成员单位分工明确、职责落实。爱卫会办公室机构、职能、人员、经费等有保障。街道（乡镇）、社区（村）、机关、 企事业单位要明确专兼职爱国卫生工作人员，村（居）民委员会要健全下属公共卫生委员会，推动落实好爱国卫生工作。</w:t>
            </w:r>
          </w:p>
        </w:tc>
        <w:tc>
          <w:tcPr>
            <w:tcW w:w="64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方正仿宋_GBK" w:cs="方正仿宋_GBK"/>
                <w:i w:val="0"/>
                <w:color w:val="000000"/>
                <w:sz w:val="20"/>
                <w:szCs w:val="20"/>
                <w:u w:val="none"/>
              </w:rPr>
            </w:pPr>
            <w:r>
              <w:rPr>
                <w:rFonts w:hint="eastAsia" w:ascii="宋体" w:hAnsi="宋体" w:eastAsia="方正仿宋_GBK" w:cs="方正仿宋_GBK"/>
                <w:i w:val="0"/>
                <w:color w:val="000000"/>
                <w:kern w:val="0"/>
                <w:sz w:val="20"/>
                <w:szCs w:val="20"/>
                <w:u w:val="none"/>
                <w:lang w:val="en-US" w:eastAsia="zh-CN" w:bidi="ar"/>
              </w:rPr>
              <w:t>1.爱卫会组织架构、人员结构、经费保障等。2.专兼职人员队伍建设。3.村（社区）公共卫生委员会</w:t>
            </w:r>
          </w:p>
        </w:tc>
        <w:tc>
          <w:tcPr>
            <w:tcW w:w="14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方正仿宋_GBK" w:cs="方正仿宋_GBK"/>
                <w:i w:val="0"/>
                <w:color w:val="000000"/>
                <w:sz w:val="20"/>
                <w:szCs w:val="20"/>
                <w:u w:val="none"/>
              </w:rPr>
            </w:pPr>
            <w:r>
              <w:rPr>
                <w:rFonts w:hint="eastAsia" w:ascii="宋体" w:hAnsi="宋体" w:eastAsia="方正仿宋_GBK" w:cs="方正仿宋_GBK"/>
                <w:i w:val="0"/>
                <w:color w:val="000000"/>
                <w:kern w:val="0"/>
                <w:sz w:val="20"/>
                <w:szCs w:val="20"/>
                <w:u w:val="none"/>
                <w:lang w:val="en-US" w:eastAsia="zh-CN" w:bidi="ar"/>
              </w:rPr>
              <w:t xml:space="preserve">人社局、财政局、各乡镇（街办）、各村（社区）                                                    </w:t>
            </w:r>
          </w:p>
        </w:tc>
        <w:tc>
          <w:tcPr>
            <w:tcW w:w="9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方正仿宋_GBK" w:cs="方正仿宋_GBK"/>
                <w:i w:val="0"/>
                <w:color w:val="000000"/>
                <w:sz w:val="20"/>
                <w:szCs w:val="20"/>
                <w:u w:val="none"/>
              </w:rPr>
            </w:pPr>
            <w:r>
              <w:rPr>
                <w:rFonts w:hint="eastAsia" w:ascii="宋体" w:hAnsi="宋体" w:eastAsia="方正仿宋_GBK" w:cs="方正仿宋_GBK"/>
                <w:i w:val="0"/>
                <w:color w:val="000000"/>
                <w:kern w:val="0"/>
                <w:sz w:val="20"/>
                <w:szCs w:val="20"/>
                <w:u w:val="none"/>
                <w:lang w:val="en-US" w:eastAsia="zh-CN" w:bidi="ar"/>
              </w:rPr>
              <w:t>2023年2月24日前</w:t>
            </w:r>
          </w:p>
        </w:tc>
        <w:tc>
          <w:tcPr>
            <w:tcW w:w="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rPr>
                <w:rFonts w:hint="eastAsia" w:ascii="宋体" w:hAnsi="宋体" w:eastAsia="方正仿宋_GBK" w:cs="方正仿宋_GBK"/>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40" w:hRule="atLeast"/>
          <w:jc w:val="center"/>
        </w:trPr>
        <w:tc>
          <w:tcPr>
            <w:tcW w:w="7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方正仿宋_GBK" w:cs="方正仿宋_GBK"/>
                <w:i w:val="0"/>
                <w:color w:val="000000"/>
                <w:sz w:val="20"/>
                <w:szCs w:val="20"/>
                <w:u w:val="none"/>
              </w:rPr>
            </w:pPr>
            <w:r>
              <w:rPr>
                <w:rFonts w:hint="eastAsia" w:ascii="宋体" w:hAnsi="宋体" w:eastAsia="方正仿宋_GBK" w:cs="方正仿宋_GBK"/>
                <w:i w:val="0"/>
                <w:color w:val="000000"/>
                <w:kern w:val="0"/>
                <w:sz w:val="20"/>
                <w:szCs w:val="20"/>
                <w:u w:val="none"/>
                <w:lang w:val="en-US" w:eastAsia="zh-CN" w:bidi="ar"/>
              </w:rPr>
              <w:t>3</w:t>
            </w: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方正仿宋_GBK" w:cs="方正仿宋_GBK"/>
                <w:i w:val="0"/>
                <w:color w:val="000000"/>
                <w:sz w:val="20"/>
                <w:szCs w:val="20"/>
                <w:u w:val="none"/>
              </w:rPr>
            </w:pPr>
          </w:p>
        </w:tc>
        <w:tc>
          <w:tcPr>
            <w:tcW w:w="50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方正仿宋_GBK" w:cs="方正仿宋_GBK"/>
                <w:i w:val="0"/>
                <w:color w:val="000000"/>
                <w:sz w:val="20"/>
                <w:szCs w:val="20"/>
                <w:u w:val="none"/>
              </w:rPr>
            </w:pPr>
            <w:r>
              <w:rPr>
                <w:rFonts w:hint="eastAsia" w:ascii="宋体" w:hAnsi="宋体" w:eastAsia="方正仿宋_GBK" w:cs="方正仿宋_GBK"/>
                <w:i w:val="0"/>
                <w:color w:val="000000"/>
                <w:kern w:val="0"/>
                <w:sz w:val="20"/>
                <w:szCs w:val="20"/>
                <w:u w:val="none"/>
                <w:lang w:val="en-US" w:eastAsia="zh-CN" w:bidi="ar"/>
              </w:rPr>
              <w:t>爱国卫生工作年度有计划、有部署、有检查、有总结。开展基层卫生创建活动，鼓励辖区范围内的县和乡镇积极开展国家卫生县和国家卫生乡镇创建，逐步推进全域创建。广泛开展城乡群众性爱国卫生活动，各部门、各单位和广大群众积极参与。</w:t>
            </w:r>
          </w:p>
        </w:tc>
        <w:tc>
          <w:tcPr>
            <w:tcW w:w="64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方正仿宋_GBK" w:cs="方正仿宋_GBK"/>
                <w:i w:val="0"/>
                <w:color w:val="000000"/>
                <w:sz w:val="20"/>
                <w:szCs w:val="20"/>
                <w:u w:val="none"/>
              </w:rPr>
            </w:pPr>
            <w:r>
              <w:rPr>
                <w:rFonts w:hint="eastAsia" w:ascii="宋体" w:hAnsi="宋体" w:eastAsia="方正仿宋_GBK" w:cs="方正仿宋_GBK"/>
                <w:i w:val="0"/>
                <w:color w:val="000000"/>
                <w:kern w:val="0"/>
                <w:sz w:val="20"/>
                <w:szCs w:val="20"/>
                <w:u w:val="none"/>
                <w:lang w:val="en-US" w:eastAsia="zh-CN" w:bidi="ar"/>
              </w:rPr>
              <w:t>1.年度计划、工作总结（预期目标、工作内容、具体措施、成效评估）。2.基层卫生创建活动开展情况。3.爱国卫生月、周末大扫除等活动开展情况。4.居民公约、村规民约制定及实施情况。5.卫生城市宣传工作开展情况。</w:t>
            </w:r>
          </w:p>
        </w:tc>
        <w:tc>
          <w:tcPr>
            <w:tcW w:w="14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方正仿宋_GBK" w:cs="方正仿宋_GBK"/>
                <w:i w:val="0"/>
                <w:color w:val="000000"/>
                <w:sz w:val="20"/>
                <w:szCs w:val="20"/>
                <w:u w:val="none"/>
              </w:rPr>
            </w:pPr>
            <w:r>
              <w:rPr>
                <w:rFonts w:hint="eastAsia" w:ascii="宋体" w:hAnsi="宋体" w:eastAsia="方正仿宋_GBK" w:cs="方正仿宋_GBK"/>
                <w:i w:val="0"/>
                <w:color w:val="000000"/>
                <w:kern w:val="0"/>
                <w:sz w:val="20"/>
                <w:szCs w:val="20"/>
                <w:u w:val="none"/>
                <w:lang w:val="en-US" w:eastAsia="zh-CN" w:bidi="ar"/>
              </w:rPr>
              <w:t xml:space="preserve">各乡镇（街办）、                            各级各类爱卫办                                各企事业单位                        </w:t>
            </w:r>
          </w:p>
        </w:tc>
        <w:tc>
          <w:tcPr>
            <w:tcW w:w="9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方正仿宋_GBK" w:cs="方正仿宋_GBK"/>
                <w:i w:val="0"/>
                <w:color w:val="000000"/>
                <w:sz w:val="20"/>
                <w:szCs w:val="20"/>
                <w:u w:val="none"/>
              </w:rPr>
            </w:pPr>
            <w:r>
              <w:rPr>
                <w:rFonts w:hint="eastAsia" w:ascii="宋体" w:hAnsi="宋体" w:eastAsia="方正仿宋_GBK" w:cs="方正仿宋_GBK"/>
                <w:i w:val="0"/>
                <w:color w:val="000000"/>
                <w:kern w:val="0"/>
                <w:sz w:val="20"/>
                <w:szCs w:val="20"/>
                <w:u w:val="none"/>
                <w:lang w:val="en-US" w:eastAsia="zh-CN" w:bidi="ar"/>
              </w:rPr>
              <w:t>2023年1月20日前</w:t>
            </w:r>
          </w:p>
        </w:tc>
        <w:tc>
          <w:tcPr>
            <w:tcW w:w="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rPr>
                <w:rFonts w:hint="eastAsia" w:ascii="宋体" w:hAnsi="宋体" w:eastAsia="方正仿宋_GBK" w:cs="方正仿宋_GBK"/>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40" w:hRule="atLeast"/>
          <w:jc w:val="center"/>
        </w:trPr>
        <w:tc>
          <w:tcPr>
            <w:tcW w:w="7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方正仿宋_GBK" w:cs="方正仿宋_GBK"/>
                <w:i w:val="0"/>
                <w:color w:val="000000"/>
                <w:sz w:val="20"/>
                <w:szCs w:val="20"/>
                <w:u w:val="none"/>
              </w:rPr>
            </w:pPr>
            <w:r>
              <w:rPr>
                <w:rFonts w:hint="eastAsia" w:ascii="宋体" w:hAnsi="宋体" w:eastAsia="方正仿宋_GBK" w:cs="方正仿宋_GBK"/>
                <w:i w:val="0"/>
                <w:color w:val="000000"/>
                <w:kern w:val="0"/>
                <w:sz w:val="20"/>
                <w:szCs w:val="20"/>
                <w:u w:val="none"/>
                <w:lang w:val="en-US" w:eastAsia="zh-CN" w:bidi="ar"/>
              </w:rPr>
              <w:t>4</w:t>
            </w: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方正仿宋_GBK" w:cs="方正仿宋_GBK"/>
                <w:i w:val="0"/>
                <w:color w:val="000000"/>
                <w:sz w:val="20"/>
                <w:szCs w:val="20"/>
                <w:u w:val="none"/>
              </w:rPr>
            </w:pPr>
          </w:p>
        </w:tc>
        <w:tc>
          <w:tcPr>
            <w:tcW w:w="50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方正仿宋_GBK" w:cs="方正仿宋_GBK"/>
                <w:i w:val="0"/>
                <w:color w:val="000000"/>
                <w:sz w:val="20"/>
                <w:szCs w:val="20"/>
                <w:u w:val="none"/>
              </w:rPr>
            </w:pPr>
            <w:r>
              <w:rPr>
                <w:rFonts w:hint="eastAsia" w:ascii="宋体" w:hAnsi="宋体" w:eastAsia="方正仿宋_GBK" w:cs="方正仿宋_GBK"/>
                <w:i w:val="0"/>
                <w:color w:val="000000"/>
                <w:kern w:val="0"/>
                <w:sz w:val="20"/>
                <w:szCs w:val="20"/>
                <w:u w:val="none"/>
                <w:lang w:val="en-US" w:eastAsia="zh-CN" w:bidi="ar"/>
              </w:rPr>
              <w:t>探索建立健康影响评估制度，推动将健康融入所有政策，把全生命周期健康管理理念贯穿城市规划、建设和管理全过程各环节。将应对突发公共卫生事件纳入国土空间规划和城市建设规划，并逐步建设完善相关设施。</w:t>
            </w:r>
          </w:p>
        </w:tc>
        <w:tc>
          <w:tcPr>
            <w:tcW w:w="64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方正仿宋_GBK" w:cs="方正仿宋_GBK"/>
                <w:i w:val="0"/>
                <w:color w:val="000000"/>
                <w:sz w:val="20"/>
                <w:szCs w:val="20"/>
                <w:u w:val="none"/>
              </w:rPr>
            </w:pPr>
            <w:r>
              <w:rPr>
                <w:rFonts w:hint="eastAsia" w:ascii="宋体" w:hAnsi="宋体" w:eastAsia="方正仿宋_GBK" w:cs="方正仿宋_GBK"/>
                <w:i w:val="0"/>
                <w:color w:val="000000"/>
                <w:kern w:val="0"/>
                <w:sz w:val="20"/>
                <w:szCs w:val="20"/>
                <w:u w:val="none"/>
                <w:lang w:val="en-US" w:eastAsia="zh-CN" w:bidi="ar"/>
              </w:rPr>
              <w:t>1.重大公共政策健康影响评估制度。2.政府下发的重大公共政策、规划或规范性文件。3.应急服务服务设施设备的配备。4.突发公共卫生事件应急预案和大型公共建筑应急设施转换预案。</w:t>
            </w:r>
          </w:p>
        </w:tc>
        <w:tc>
          <w:tcPr>
            <w:tcW w:w="14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方正仿宋_GBK" w:cs="方正仿宋_GBK"/>
                <w:i w:val="0"/>
                <w:color w:val="000000"/>
                <w:sz w:val="20"/>
                <w:szCs w:val="20"/>
                <w:u w:val="none"/>
                <w:lang w:val="en-US"/>
              </w:rPr>
            </w:pPr>
            <w:r>
              <w:rPr>
                <w:rFonts w:hint="eastAsia" w:ascii="宋体" w:hAnsi="宋体" w:eastAsia="方正仿宋_GBK" w:cs="方正仿宋_GBK"/>
                <w:i w:val="0"/>
                <w:color w:val="000000"/>
                <w:kern w:val="0"/>
                <w:sz w:val="20"/>
                <w:szCs w:val="20"/>
                <w:u w:val="none"/>
                <w:lang w:val="en-US" w:eastAsia="zh-CN" w:bidi="ar"/>
              </w:rPr>
              <w:t>爱卫会办公室、自治区级健康促进县创建工作领导小组办公室、自然资源局</w:t>
            </w:r>
          </w:p>
        </w:tc>
        <w:tc>
          <w:tcPr>
            <w:tcW w:w="9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方正仿宋_GBK" w:cs="方正仿宋_GBK"/>
                <w:i w:val="0"/>
                <w:color w:val="000000"/>
                <w:sz w:val="20"/>
                <w:szCs w:val="20"/>
                <w:u w:val="none"/>
              </w:rPr>
            </w:pPr>
            <w:r>
              <w:rPr>
                <w:rFonts w:hint="eastAsia" w:ascii="宋体" w:hAnsi="宋体" w:eastAsia="方正仿宋_GBK" w:cs="方正仿宋_GBK"/>
                <w:i w:val="0"/>
                <w:color w:val="000000"/>
                <w:kern w:val="0"/>
                <w:sz w:val="20"/>
                <w:szCs w:val="20"/>
                <w:u w:val="none"/>
                <w:lang w:val="en-US" w:eastAsia="zh-CN" w:bidi="ar"/>
              </w:rPr>
              <w:t>2023年1月20日前并长期坚持</w:t>
            </w:r>
          </w:p>
        </w:tc>
        <w:tc>
          <w:tcPr>
            <w:tcW w:w="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rPr>
                <w:rFonts w:hint="eastAsia" w:ascii="宋体" w:hAnsi="宋体" w:eastAsia="方正仿宋_GBK" w:cs="方正仿宋_GBK"/>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40" w:hRule="atLeast"/>
          <w:jc w:val="center"/>
        </w:trPr>
        <w:tc>
          <w:tcPr>
            <w:tcW w:w="7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方正仿宋_GBK" w:cs="方正仿宋_GBK"/>
                <w:i w:val="0"/>
                <w:color w:val="000000"/>
                <w:sz w:val="20"/>
                <w:szCs w:val="20"/>
                <w:u w:val="none"/>
              </w:rPr>
            </w:pPr>
            <w:r>
              <w:rPr>
                <w:rFonts w:hint="eastAsia" w:ascii="宋体" w:hAnsi="宋体" w:eastAsia="方正仿宋_GBK" w:cs="方正仿宋_GBK"/>
                <w:i w:val="0"/>
                <w:color w:val="000000"/>
                <w:kern w:val="0"/>
                <w:sz w:val="20"/>
                <w:szCs w:val="20"/>
                <w:u w:val="none"/>
                <w:lang w:val="en-US" w:eastAsia="zh-CN" w:bidi="ar"/>
              </w:rPr>
              <w:t>5</w:t>
            </w: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方正仿宋_GBK" w:cs="方正仿宋_GBK"/>
                <w:i w:val="0"/>
                <w:color w:val="000000"/>
                <w:sz w:val="20"/>
                <w:szCs w:val="20"/>
                <w:u w:val="none"/>
              </w:rPr>
            </w:pPr>
          </w:p>
        </w:tc>
        <w:tc>
          <w:tcPr>
            <w:tcW w:w="50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方正仿宋_GBK" w:cs="方正仿宋_GBK"/>
                <w:i w:val="0"/>
                <w:color w:val="000000"/>
                <w:sz w:val="20"/>
                <w:szCs w:val="20"/>
                <w:u w:val="none"/>
              </w:rPr>
            </w:pPr>
            <w:r>
              <w:rPr>
                <w:rFonts w:hint="eastAsia" w:ascii="宋体" w:hAnsi="宋体" w:eastAsia="方正仿宋_GBK" w:cs="方正仿宋_GBK"/>
                <w:i w:val="0"/>
                <w:color w:val="000000"/>
                <w:kern w:val="0"/>
                <w:sz w:val="20"/>
                <w:szCs w:val="20"/>
                <w:u w:val="none"/>
                <w:lang w:val="en-US" w:eastAsia="zh-CN" w:bidi="ar"/>
              </w:rPr>
              <w:t>畅通爱国卫生建议和投诉渠道，认真核实和解决群众反映的问题。群众对卫生状况满意。</w:t>
            </w:r>
          </w:p>
        </w:tc>
        <w:tc>
          <w:tcPr>
            <w:tcW w:w="64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方正仿宋_GBK" w:cs="方正仿宋_GBK"/>
                <w:i w:val="0"/>
                <w:color w:val="000000"/>
                <w:sz w:val="20"/>
                <w:szCs w:val="20"/>
                <w:u w:val="none"/>
              </w:rPr>
            </w:pPr>
            <w:r>
              <w:rPr>
                <w:rFonts w:hint="eastAsia" w:ascii="宋体" w:hAnsi="宋体" w:eastAsia="方正仿宋_GBK" w:cs="方正仿宋_GBK"/>
                <w:i w:val="0"/>
                <w:color w:val="000000"/>
                <w:kern w:val="0"/>
                <w:sz w:val="20"/>
                <w:szCs w:val="20"/>
                <w:u w:val="none"/>
                <w:lang w:val="en-US" w:eastAsia="zh-CN" w:bidi="ar"/>
              </w:rPr>
              <w:t>1.爱卫会建立和畅通投诉渠道，及时受理建议和投诉，确保事事有落实，件件有回音。2.开展群众满意度调查活动，群众对本地区卫生状况满意度≥90%。</w:t>
            </w:r>
          </w:p>
        </w:tc>
        <w:tc>
          <w:tcPr>
            <w:tcW w:w="14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方正仿宋_GBK" w:cs="方正仿宋_GBK"/>
                <w:i w:val="0"/>
                <w:color w:val="000000"/>
                <w:sz w:val="20"/>
                <w:szCs w:val="20"/>
                <w:u w:val="none"/>
              </w:rPr>
            </w:pPr>
            <w:r>
              <w:rPr>
                <w:rFonts w:hint="eastAsia" w:ascii="宋体" w:hAnsi="宋体" w:eastAsia="方正仿宋_GBK" w:cs="方正仿宋_GBK"/>
                <w:i w:val="0"/>
                <w:color w:val="000000"/>
                <w:kern w:val="0"/>
                <w:sz w:val="20"/>
                <w:szCs w:val="20"/>
                <w:u w:val="none"/>
                <w:lang w:val="en-US" w:eastAsia="zh-CN" w:bidi="ar"/>
              </w:rPr>
              <w:t xml:space="preserve">群众工作办公室、各乡镇（街办）、县直各单位                                                   </w:t>
            </w:r>
          </w:p>
        </w:tc>
        <w:tc>
          <w:tcPr>
            <w:tcW w:w="9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方正仿宋_GBK" w:cs="方正仿宋_GBK"/>
                <w:i w:val="0"/>
                <w:color w:val="000000"/>
                <w:sz w:val="20"/>
                <w:szCs w:val="20"/>
                <w:u w:val="none"/>
              </w:rPr>
            </w:pPr>
            <w:r>
              <w:rPr>
                <w:rFonts w:hint="eastAsia" w:ascii="宋体" w:hAnsi="宋体" w:eastAsia="方正仿宋_GBK" w:cs="方正仿宋_GBK"/>
                <w:i w:val="0"/>
                <w:color w:val="000000"/>
                <w:kern w:val="0"/>
                <w:sz w:val="20"/>
                <w:szCs w:val="20"/>
                <w:u w:val="none"/>
                <w:lang w:val="en-US" w:eastAsia="zh-CN" w:bidi="ar"/>
              </w:rPr>
              <w:t>2023年1月20日并长期坚持</w:t>
            </w:r>
          </w:p>
        </w:tc>
        <w:tc>
          <w:tcPr>
            <w:tcW w:w="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rPr>
                <w:rFonts w:hint="eastAsia" w:ascii="宋体" w:hAnsi="宋体" w:eastAsia="方正仿宋_GBK" w:cs="方正仿宋_GBK"/>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20" w:hRule="atLeast"/>
          <w:jc w:val="center"/>
        </w:trPr>
        <w:tc>
          <w:tcPr>
            <w:tcW w:w="7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方正仿宋_GBK" w:cs="方正仿宋_GBK"/>
                <w:i w:val="0"/>
                <w:color w:val="000000"/>
                <w:sz w:val="20"/>
                <w:szCs w:val="20"/>
                <w:u w:val="none"/>
              </w:rPr>
            </w:pPr>
            <w:r>
              <w:rPr>
                <w:rFonts w:hint="eastAsia" w:ascii="宋体" w:hAnsi="宋体" w:eastAsia="方正仿宋_GBK" w:cs="方正仿宋_GBK"/>
                <w:i w:val="0"/>
                <w:color w:val="000000"/>
                <w:kern w:val="0"/>
                <w:sz w:val="20"/>
                <w:szCs w:val="20"/>
                <w:u w:val="none"/>
                <w:lang w:val="en-US" w:eastAsia="zh-CN" w:bidi="ar"/>
              </w:rPr>
              <w:t>6</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方正仿宋_GBK" w:cs="方正仿宋_GBK"/>
                <w:i w:val="0"/>
                <w:color w:val="000000"/>
                <w:sz w:val="20"/>
                <w:szCs w:val="20"/>
                <w:u w:val="none"/>
              </w:rPr>
            </w:pPr>
            <w:r>
              <w:rPr>
                <w:rFonts w:hint="eastAsia" w:ascii="宋体" w:hAnsi="宋体" w:eastAsia="方正仿宋_GBK" w:cs="方正仿宋_GBK"/>
                <w:i w:val="0"/>
                <w:color w:val="000000"/>
                <w:kern w:val="0"/>
                <w:sz w:val="20"/>
                <w:szCs w:val="20"/>
                <w:u w:val="none"/>
                <w:lang w:val="en-US" w:eastAsia="zh-CN" w:bidi="ar"/>
              </w:rPr>
              <w:t>健康教育和健康促进</w:t>
            </w:r>
          </w:p>
        </w:tc>
        <w:tc>
          <w:tcPr>
            <w:tcW w:w="50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方正仿宋_GBK" w:cs="方正仿宋_GBK"/>
                <w:i w:val="0"/>
                <w:color w:val="000000"/>
                <w:sz w:val="20"/>
                <w:szCs w:val="20"/>
                <w:u w:val="none"/>
              </w:rPr>
            </w:pPr>
            <w:r>
              <w:rPr>
                <w:rFonts w:hint="eastAsia" w:ascii="宋体" w:hAnsi="宋体" w:eastAsia="方正仿宋_GBK" w:cs="方正仿宋_GBK"/>
                <w:i w:val="0"/>
                <w:color w:val="000000"/>
                <w:kern w:val="0"/>
                <w:sz w:val="20"/>
                <w:szCs w:val="20"/>
                <w:u w:val="none"/>
                <w:lang w:val="en-US" w:eastAsia="zh-CN" w:bidi="ar"/>
              </w:rPr>
              <w:t>辖区内健康教育网络健全，利用健康科普专家库、资源库和报纸、电视、网络等主要媒体，广泛开展健康教育和健康促进活动，提升居民健康素养水平，倡导文明健康、绿色环保生活方式。大力普及中医养生保健知识和方法。各主要媒体设有健康教育栏目。车站、机场、港口、广场和公园等公共场所设立的电子屏幕和公益广告等应当具有健康教育内容。</w:t>
            </w:r>
          </w:p>
        </w:tc>
        <w:tc>
          <w:tcPr>
            <w:tcW w:w="64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方正仿宋_GBK" w:cs="方正仿宋_GBK"/>
                <w:i w:val="0"/>
                <w:color w:val="000000"/>
                <w:sz w:val="20"/>
                <w:szCs w:val="20"/>
                <w:u w:val="none"/>
              </w:rPr>
            </w:pPr>
            <w:r>
              <w:rPr>
                <w:rFonts w:hint="eastAsia" w:ascii="宋体" w:hAnsi="宋体" w:eastAsia="方正仿宋_GBK" w:cs="方正仿宋_GBK"/>
                <w:i w:val="0"/>
                <w:color w:val="000000"/>
                <w:kern w:val="0"/>
                <w:sz w:val="20"/>
                <w:szCs w:val="20"/>
                <w:u w:val="none"/>
                <w:lang w:val="en-US" w:eastAsia="zh-CN" w:bidi="ar"/>
              </w:rPr>
              <w:t>1.建立辖区健康教育工作网络，健全人才队伍建设，建立健康知识和技能核心信息发布制度。2.开展文明健康绿色环保生活方式的宣传活动，制定和发布健康教育核心信息。3.定期组织开展居民健康素养监测，并及时总结推广典型经验。4.基层医疗机构开展个体化健康教育服务，开发特色健康科普材料，定期面向群众开展健康知识讲座。5.学校开展多种形式的健康教育，培养学生良好卫生习惯和健康的行为习惯。6.加强学校健康师资队伍建设。7.机关、企事业单位和社会组织要积极开展健康促进和健康教育，定期举办健康知识讲座，定期组织职工体检。8.社区以家庭为对象开展健康教育和健康科普活动，倡导家庭健康生活方式。9.积极调动各类社会组织和个人积极性，发挥志愿者作用。10.医疗机构推广普及中医养生保健知识和易于掌握的中医养生保健技术和方法。11.健全媒体健康科普知识发布和传播机制，在辖区主要媒体设置固定的健康教育栏目，定期制作、播放健康公益节目。12.居民健康素养水平≥23%。</w:t>
            </w:r>
          </w:p>
        </w:tc>
        <w:tc>
          <w:tcPr>
            <w:tcW w:w="14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方正仿宋_GBK" w:cs="方正仿宋_GBK"/>
                <w:i w:val="0"/>
                <w:color w:val="000000"/>
                <w:sz w:val="20"/>
                <w:szCs w:val="20"/>
                <w:u w:val="none"/>
              </w:rPr>
            </w:pPr>
            <w:r>
              <w:rPr>
                <w:rFonts w:hint="eastAsia" w:ascii="宋体" w:hAnsi="宋体" w:eastAsia="方正仿宋_GBK" w:cs="方正仿宋_GBK"/>
                <w:i w:val="0"/>
                <w:color w:val="000000"/>
                <w:kern w:val="0"/>
                <w:sz w:val="20"/>
                <w:szCs w:val="20"/>
                <w:u w:val="none"/>
                <w:lang w:val="en-US" w:eastAsia="zh-CN" w:bidi="ar"/>
              </w:rPr>
              <w:t>宣传部、融媒体中心、卫健委、妇联、教育局、住建局、生态环境局、交通局及各成员单位</w:t>
            </w:r>
          </w:p>
        </w:tc>
        <w:tc>
          <w:tcPr>
            <w:tcW w:w="9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方正仿宋_GBK" w:cs="方正仿宋_GBK"/>
                <w:i w:val="0"/>
                <w:color w:val="000000"/>
                <w:sz w:val="20"/>
                <w:szCs w:val="20"/>
                <w:u w:val="none"/>
              </w:rPr>
            </w:pPr>
            <w:r>
              <w:rPr>
                <w:rFonts w:hint="eastAsia" w:ascii="宋体" w:hAnsi="宋体" w:eastAsia="方正仿宋_GBK" w:cs="方正仿宋_GBK"/>
                <w:i w:val="0"/>
                <w:color w:val="000000"/>
                <w:kern w:val="0"/>
                <w:sz w:val="20"/>
                <w:szCs w:val="20"/>
                <w:u w:val="none"/>
                <w:lang w:val="en-US" w:eastAsia="zh-CN" w:bidi="ar"/>
              </w:rPr>
              <w:t>2023年全年</w:t>
            </w:r>
          </w:p>
        </w:tc>
        <w:tc>
          <w:tcPr>
            <w:tcW w:w="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rPr>
                <w:rFonts w:hint="eastAsia" w:ascii="宋体" w:hAnsi="宋体" w:eastAsia="方正仿宋_GBK" w:cs="方正仿宋_GBK"/>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0" w:hRule="atLeast"/>
          <w:jc w:val="center"/>
        </w:trPr>
        <w:tc>
          <w:tcPr>
            <w:tcW w:w="7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方正仿宋_GBK" w:cs="方正仿宋_GBK"/>
                <w:i w:val="0"/>
                <w:color w:val="000000"/>
                <w:sz w:val="20"/>
                <w:szCs w:val="20"/>
                <w:u w:val="none"/>
              </w:rPr>
            </w:pPr>
            <w:r>
              <w:rPr>
                <w:rFonts w:hint="eastAsia" w:ascii="宋体" w:hAnsi="宋体" w:eastAsia="方正仿宋_GBK" w:cs="方正仿宋_GBK"/>
                <w:i w:val="0"/>
                <w:color w:val="000000"/>
                <w:kern w:val="0"/>
                <w:sz w:val="20"/>
                <w:szCs w:val="20"/>
                <w:u w:val="none"/>
                <w:lang w:val="en-US" w:eastAsia="zh-CN" w:bidi="ar"/>
              </w:rPr>
              <w:t>7</w:t>
            </w: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方正仿宋_GBK" w:cs="方正仿宋_GBK"/>
                <w:i w:val="0"/>
                <w:color w:val="000000"/>
                <w:sz w:val="20"/>
                <w:szCs w:val="20"/>
                <w:u w:val="none"/>
              </w:rPr>
            </w:pPr>
          </w:p>
        </w:tc>
        <w:tc>
          <w:tcPr>
            <w:tcW w:w="50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方正仿宋_GBK" w:cs="方正仿宋_GBK"/>
                <w:i w:val="0"/>
                <w:color w:val="000000"/>
                <w:sz w:val="20"/>
                <w:szCs w:val="20"/>
                <w:u w:val="none"/>
              </w:rPr>
            </w:pPr>
            <w:r>
              <w:rPr>
                <w:rFonts w:hint="eastAsia" w:ascii="宋体" w:hAnsi="宋体" w:eastAsia="方正仿宋_GBK" w:cs="方正仿宋_GBK"/>
                <w:i w:val="0"/>
                <w:color w:val="000000"/>
                <w:kern w:val="0"/>
                <w:sz w:val="20"/>
                <w:szCs w:val="20"/>
                <w:u w:val="none"/>
                <w:lang w:val="en-US" w:eastAsia="zh-CN" w:bidi="ar"/>
              </w:rPr>
              <w:t>辖区内积极开展健康县区、健康乡镇和健康村、健康社区、健康企业、健康机关、健康学校、健康促进医院、健康家庭等健康细胞建设。建设健康步道、健康主题公园等，推广“三减三健”等慢性病防控措施。</w:t>
            </w:r>
          </w:p>
        </w:tc>
        <w:tc>
          <w:tcPr>
            <w:tcW w:w="64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方正仿宋_GBK" w:cs="方正仿宋_GBK"/>
                <w:i w:val="0"/>
                <w:color w:val="000000"/>
                <w:sz w:val="20"/>
                <w:szCs w:val="20"/>
                <w:u w:val="none"/>
              </w:rPr>
            </w:pPr>
            <w:r>
              <w:rPr>
                <w:rFonts w:hint="eastAsia" w:ascii="宋体" w:hAnsi="宋体" w:eastAsia="方正仿宋_GBK" w:cs="方正仿宋_GBK"/>
                <w:i w:val="0"/>
                <w:color w:val="000000"/>
                <w:kern w:val="0"/>
                <w:sz w:val="20"/>
                <w:szCs w:val="20"/>
                <w:u w:val="none"/>
                <w:lang w:val="en-US" w:eastAsia="zh-CN" w:bidi="ar"/>
              </w:rPr>
              <w:t>1.积极完善健康政策、建设健康环境、构建健康社会、优化健康服务、倡导健康文化等措施，有效降低控制健康危险因素、减少健康危害，提升群众健康素养和健康水平。2.加强健康步道、健康主体公园等建设，为公众提供方便可及的活动场所。3.关于”三减三健"等慢性病防控措施的开展情况。</w:t>
            </w:r>
          </w:p>
        </w:tc>
        <w:tc>
          <w:tcPr>
            <w:tcW w:w="14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方正仿宋_GBK" w:cs="方正仿宋_GBK"/>
                <w:i w:val="0"/>
                <w:color w:val="000000"/>
                <w:sz w:val="20"/>
                <w:szCs w:val="20"/>
                <w:u w:val="none"/>
              </w:rPr>
            </w:pPr>
            <w:r>
              <w:rPr>
                <w:rFonts w:hint="eastAsia" w:ascii="宋体" w:hAnsi="宋体" w:eastAsia="方正仿宋_GBK" w:cs="方正仿宋_GBK"/>
                <w:i w:val="0"/>
                <w:color w:val="000000"/>
                <w:kern w:val="0"/>
                <w:sz w:val="20"/>
                <w:szCs w:val="20"/>
                <w:u w:val="none"/>
                <w:lang w:val="en-US" w:eastAsia="zh-CN" w:bidi="ar"/>
              </w:rPr>
              <w:t xml:space="preserve">健康洛浦成员 单位                          </w:t>
            </w:r>
          </w:p>
        </w:tc>
        <w:tc>
          <w:tcPr>
            <w:tcW w:w="9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方正仿宋_GBK" w:cs="方正仿宋_GBK"/>
                <w:i w:val="0"/>
                <w:color w:val="000000"/>
                <w:sz w:val="20"/>
                <w:szCs w:val="20"/>
                <w:u w:val="none"/>
              </w:rPr>
            </w:pPr>
            <w:r>
              <w:rPr>
                <w:rFonts w:hint="eastAsia" w:ascii="宋体" w:hAnsi="宋体" w:eastAsia="方正仿宋_GBK" w:cs="方正仿宋_GBK"/>
                <w:i w:val="0"/>
                <w:color w:val="000000"/>
                <w:kern w:val="0"/>
                <w:sz w:val="20"/>
                <w:szCs w:val="20"/>
                <w:u w:val="none"/>
                <w:lang w:val="en-US" w:eastAsia="zh-CN" w:bidi="ar"/>
              </w:rPr>
              <w:t>贯穿2023年全年</w:t>
            </w:r>
          </w:p>
        </w:tc>
        <w:tc>
          <w:tcPr>
            <w:tcW w:w="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rPr>
                <w:rFonts w:hint="eastAsia" w:ascii="宋体" w:hAnsi="宋体" w:eastAsia="方正仿宋_GBK" w:cs="方正仿宋_GBK"/>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50" w:hRule="atLeast"/>
          <w:jc w:val="center"/>
        </w:trPr>
        <w:tc>
          <w:tcPr>
            <w:tcW w:w="7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方正仿宋_GBK" w:cs="方正仿宋_GBK"/>
                <w:i w:val="0"/>
                <w:color w:val="000000"/>
                <w:sz w:val="20"/>
                <w:szCs w:val="20"/>
                <w:u w:val="none"/>
              </w:rPr>
            </w:pPr>
            <w:r>
              <w:rPr>
                <w:rFonts w:hint="eastAsia" w:ascii="宋体" w:hAnsi="宋体" w:eastAsia="方正仿宋_GBK" w:cs="方正仿宋_GBK"/>
                <w:i w:val="0"/>
                <w:color w:val="000000"/>
                <w:kern w:val="0"/>
                <w:sz w:val="20"/>
                <w:szCs w:val="20"/>
                <w:u w:val="none"/>
                <w:lang w:val="en-US" w:eastAsia="zh-CN" w:bidi="ar"/>
              </w:rPr>
              <w:t>8</w:t>
            </w: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方正仿宋_GBK" w:cs="方正仿宋_GBK"/>
                <w:i w:val="0"/>
                <w:color w:val="000000"/>
                <w:sz w:val="20"/>
                <w:szCs w:val="20"/>
                <w:u w:val="none"/>
              </w:rPr>
            </w:pPr>
          </w:p>
        </w:tc>
        <w:tc>
          <w:tcPr>
            <w:tcW w:w="50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方正仿宋_GBK" w:cs="方正仿宋_GBK"/>
                <w:i w:val="0"/>
                <w:color w:val="000000"/>
                <w:sz w:val="20"/>
                <w:szCs w:val="20"/>
                <w:u w:val="none"/>
              </w:rPr>
            </w:pPr>
            <w:r>
              <w:rPr>
                <w:rFonts w:hint="eastAsia" w:ascii="宋体" w:hAnsi="宋体" w:eastAsia="方正仿宋_GBK" w:cs="方正仿宋_GBK"/>
                <w:i w:val="0"/>
                <w:color w:val="000000"/>
                <w:kern w:val="0"/>
                <w:sz w:val="20"/>
                <w:szCs w:val="20"/>
                <w:u w:val="none"/>
                <w:lang w:val="en-US" w:eastAsia="zh-CN" w:bidi="ar"/>
              </w:rPr>
              <w:t>统筹建设全民健身场地设施，构建更高水平的全民健身公共服务体系，满足人民群众经常性的体育锻炼需求。广泛开展全民健身活动，增进广大群众积极参加体育锻炼的意识，倡导居民维持健康体重。机关、企事业单位等落实工作场所工间操制度。</w:t>
            </w:r>
          </w:p>
        </w:tc>
        <w:tc>
          <w:tcPr>
            <w:tcW w:w="64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方正仿宋_GBK" w:cs="方正仿宋_GBK"/>
                <w:i w:val="0"/>
                <w:color w:val="000000"/>
                <w:sz w:val="20"/>
                <w:szCs w:val="20"/>
                <w:u w:val="none"/>
              </w:rPr>
            </w:pPr>
            <w:r>
              <w:rPr>
                <w:rFonts w:hint="eastAsia" w:ascii="宋体" w:hAnsi="宋体" w:eastAsia="方正仿宋_GBK" w:cs="方正仿宋_GBK"/>
                <w:i w:val="0"/>
                <w:color w:val="000000"/>
                <w:kern w:val="0"/>
                <w:sz w:val="20"/>
                <w:szCs w:val="20"/>
                <w:u w:val="none"/>
                <w:lang w:val="en-US" w:eastAsia="zh-CN" w:bidi="ar"/>
              </w:rPr>
              <w:t>1.构建多层级健身设施网络和城镇社区15分钟健身圈，人均体育场地面积不低于2.2平方米。新建居住区按室内人均建筑面积不低于0.1平方米或室外人均用地面积不低于0.3平方米的标准配建公共健身设施。2.社区、行政村建有全民健身场地设施的社区比例达到100%。3.结合当地实际情况，开展社区运动会、全民健身日等主题活动，引导居民提高身体活动意识，培养运动习惯。4.城市居民经常参加体育锻炼（每周参加体育锻炼频度3次及以上）人数比例达到 38.5%以上。5.机关、企事业单位等落实工作场所工间操制度。</w:t>
            </w:r>
          </w:p>
        </w:tc>
        <w:tc>
          <w:tcPr>
            <w:tcW w:w="14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方正仿宋_GBK" w:cs="方正仿宋_GBK"/>
                <w:i w:val="0"/>
                <w:color w:val="000000"/>
                <w:sz w:val="20"/>
                <w:szCs w:val="20"/>
                <w:u w:val="none"/>
              </w:rPr>
            </w:pPr>
            <w:r>
              <w:rPr>
                <w:rFonts w:hint="eastAsia" w:ascii="宋体" w:hAnsi="宋体" w:eastAsia="方正仿宋_GBK" w:cs="方正仿宋_GBK"/>
                <w:i w:val="0"/>
                <w:color w:val="000000"/>
                <w:kern w:val="0"/>
                <w:sz w:val="20"/>
                <w:szCs w:val="20"/>
                <w:u w:val="none"/>
                <w:lang w:val="en-US" w:eastAsia="zh-CN" w:bidi="ar"/>
              </w:rPr>
              <w:t>宣传部、文旅局、住建局、各级各类党政机关及企事业单位</w:t>
            </w:r>
          </w:p>
        </w:tc>
        <w:tc>
          <w:tcPr>
            <w:tcW w:w="9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方正仿宋_GBK" w:cs="方正仿宋_GBK"/>
                <w:i w:val="0"/>
                <w:color w:val="000000"/>
                <w:sz w:val="20"/>
                <w:szCs w:val="20"/>
                <w:u w:val="none"/>
              </w:rPr>
            </w:pPr>
            <w:r>
              <w:rPr>
                <w:rFonts w:hint="eastAsia" w:ascii="宋体" w:hAnsi="宋体" w:eastAsia="方正仿宋_GBK" w:cs="方正仿宋_GBK"/>
                <w:i w:val="0"/>
                <w:color w:val="000000"/>
                <w:kern w:val="0"/>
                <w:sz w:val="20"/>
                <w:szCs w:val="20"/>
                <w:u w:val="none"/>
                <w:lang w:val="en-US" w:eastAsia="zh-CN" w:bidi="ar"/>
              </w:rPr>
              <w:t>贯穿2023年全年</w:t>
            </w:r>
          </w:p>
        </w:tc>
        <w:tc>
          <w:tcPr>
            <w:tcW w:w="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rPr>
                <w:rFonts w:hint="eastAsia" w:ascii="宋体" w:hAnsi="宋体" w:eastAsia="方正仿宋_GBK" w:cs="方正仿宋_GBK"/>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42" w:hRule="atLeast"/>
          <w:jc w:val="center"/>
        </w:trPr>
        <w:tc>
          <w:tcPr>
            <w:tcW w:w="7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方正仿宋_GBK" w:cs="方正仿宋_GBK"/>
                <w:i w:val="0"/>
                <w:color w:val="000000"/>
                <w:sz w:val="20"/>
                <w:szCs w:val="20"/>
                <w:u w:val="none"/>
              </w:rPr>
            </w:pPr>
            <w:r>
              <w:rPr>
                <w:rFonts w:hint="eastAsia" w:ascii="宋体" w:hAnsi="宋体" w:eastAsia="方正仿宋_GBK" w:cs="方正仿宋_GBK"/>
                <w:i w:val="0"/>
                <w:color w:val="000000"/>
                <w:kern w:val="0"/>
                <w:sz w:val="20"/>
                <w:szCs w:val="20"/>
                <w:u w:val="none"/>
                <w:lang w:val="en-US" w:eastAsia="zh-CN" w:bidi="ar"/>
              </w:rPr>
              <w:t>9</w:t>
            </w: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方正仿宋_GBK" w:cs="方正仿宋_GBK"/>
                <w:i w:val="0"/>
                <w:color w:val="000000"/>
                <w:sz w:val="20"/>
                <w:szCs w:val="20"/>
                <w:u w:val="none"/>
              </w:rPr>
            </w:pPr>
          </w:p>
        </w:tc>
        <w:tc>
          <w:tcPr>
            <w:tcW w:w="50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方正仿宋_GBK" w:cs="方正仿宋_GBK"/>
                <w:i w:val="0"/>
                <w:color w:val="000000"/>
                <w:sz w:val="20"/>
                <w:szCs w:val="20"/>
                <w:u w:val="none"/>
              </w:rPr>
            </w:pPr>
            <w:r>
              <w:rPr>
                <w:rFonts w:hint="eastAsia" w:ascii="宋体" w:hAnsi="宋体" w:eastAsia="方正仿宋_GBK" w:cs="方正仿宋_GBK"/>
                <w:i w:val="0"/>
                <w:color w:val="000000"/>
                <w:kern w:val="0"/>
                <w:sz w:val="20"/>
                <w:szCs w:val="20"/>
                <w:u w:val="none"/>
                <w:lang w:val="en-US" w:eastAsia="zh-CN" w:bidi="ar"/>
              </w:rPr>
              <w:t>深入开展控烟宣传活动，辖区内禁止在大众传播媒介或者公共场所、公共交通工具、户外发布烟草广告，依法规范烟草促销、赞助等行为。全面推进无烟党政机关、无烟医疗卫生机构、无烟学校、无烟家庭等无烟环境建设并 取得显著成效，积极推进控烟立法执法，逐步实现室内公共场所、工作场所和公共交通工具全面禁烟。</w:t>
            </w:r>
          </w:p>
        </w:tc>
        <w:tc>
          <w:tcPr>
            <w:tcW w:w="64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方正仿宋_GBK" w:cs="方正仿宋_GBK"/>
                <w:i w:val="0"/>
                <w:color w:val="000000"/>
                <w:sz w:val="20"/>
                <w:szCs w:val="20"/>
                <w:u w:val="none"/>
              </w:rPr>
            </w:pPr>
            <w:r>
              <w:rPr>
                <w:rFonts w:hint="eastAsia" w:ascii="宋体" w:hAnsi="宋体" w:eastAsia="方正仿宋_GBK" w:cs="方正仿宋_GBK"/>
                <w:i w:val="0"/>
                <w:color w:val="000000"/>
                <w:kern w:val="0"/>
                <w:sz w:val="20"/>
                <w:szCs w:val="20"/>
                <w:u w:val="none"/>
                <w:lang w:val="en-US" w:eastAsia="zh-CN" w:bidi="ar"/>
              </w:rPr>
              <w:t>1.各级政府要高度重视控烟宣传工作，结合国家和当地控烟立法进展情况，充分利用传统媒体和新媒体，开展烟草（含传统卷烟和电子烟等新型烟草制品，下同）危害和控烟技能宣传。2.辖区内禁止任何形式的烟草广告。3.积极推动无烟党政机关、无烟医疗卫生机构、无烟学校及无烟家庭的创建。4.制定规范性控烟文件。5.辖区所有室内公共场所、工作场所及主要入口处，公共交通工具内粘贴醒目的禁止吸烟标识和提示语。</w:t>
            </w:r>
          </w:p>
        </w:tc>
        <w:tc>
          <w:tcPr>
            <w:tcW w:w="14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方正仿宋_GBK" w:cs="方正仿宋_GBK"/>
                <w:i w:val="0"/>
                <w:color w:val="000000"/>
                <w:sz w:val="20"/>
                <w:szCs w:val="20"/>
                <w:u w:val="none"/>
              </w:rPr>
            </w:pPr>
            <w:r>
              <w:rPr>
                <w:rFonts w:hint="eastAsia" w:ascii="宋体" w:hAnsi="宋体" w:eastAsia="方正仿宋_GBK" w:cs="方正仿宋_GBK"/>
                <w:i w:val="0"/>
                <w:color w:val="000000"/>
                <w:kern w:val="0"/>
                <w:sz w:val="20"/>
                <w:szCs w:val="20"/>
                <w:u w:val="none"/>
                <w:lang w:val="en-US" w:eastAsia="zh-CN" w:bidi="ar"/>
              </w:rPr>
              <w:t>宣传部、融媒体中心、烟草公司、各级各类党政机关及企事业单位</w:t>
            </w:r>
          </w:p>
        </w:tc>
        <w:tc>
          <w:tcPr>
            <w:tcW w:w="9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方正仿宋_GBK" w:cs="方正仿宋_GBK"/>
                <w:i w:val="0"/>
                <w:color w:val="000000"/>
                <w:sz w:val="20"/>
                <w:szCs w:val="20"/>
                <w:u w:val="none"/>
              </w:rPr>
            </w:pPr>
            <w:r>
              <w:rPr>
                <w:rFonts w:hint="eastAsia" w:ascii="宋体" w:hAnsi="宋体" w:eastAsia="方正仿宋_GBK" w:cs="方正仿宋_GBK"/>
                <w:i w:val="0"/>
                <w:color w:val="000000"/>
                <w:kern w:val="0"/>
                <w:sz w:val="20"/>
                <w:szCs w:val="20"/>
                <w:u w:val="none"/>
                <w:lang w:val="en-US" w:eastAsia="zh-CN" w:bidi="ar"/>
              </w:rPr>
              <w:t>贯穿2023年全年</w:t>
            </w:r>
          </w:p>
        </w:tc>
        <w:tc>
          <w:tcPr>
            <w:tcW w:w="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rPr>
                <w:rFonts w:hint="eastAsia" w:ascii="宋体" w:hAnsi="宋体" w:eastAsia="方正仿宋_GBK" w:cs="方正仿宋_GBK"/>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80" w:hRule="atLeast"/>
          <w:jc w:val="center"/>
        </w:trPr>
        <w:tc>
          <w:tcPr>
            <w:tcW w:w="7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方正仿宋_GBK" w:cs="方正仿宋_GBK"/>
                <w:i w:val="0"/>
                <w:color w:val="000000"/>
                <w:sz w:val="20"/>
                <w:szCs w:val="20"/>
                <w:u w:val="none"/>
              </w:rPr>
            </w:pPr>
            <w:r>
              <w:rPr>
                <w:rFonts w:hint="eastAsia" w:ascii="宋体" w:hAnsi="宋体" w:eastAsia="方正仿宋_GBK" w:cs="方正仿宋_GBK"/>
                <w:i w:val="0"/>
                <w:color w:val="000000"/>
                <w:kern w:val="0"/>
                <w:sz w:val="20"/>
                <w:szCs w:val="20"/>
                <w:u w:val="none"/>
                <w:lang w:val="en-US" w:eastAsia="zh-CN" w:bidi="ar"/>
              </w:rPr>
              <w:t>10</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方正仿宋_GBK" w:cs="方正仿宋_GBK"/>
                <w:i w:val="0"/>
                <w:color w:val="000000"/>
                <w:sz w:val="20"/>
                <w:szCs w:val="20"/>
                <w:u w:val="none"/>
              </w:rPr>
            </w:pPr>
            <w:r>
              <w:rPr>
                <w:rFonts w:hint="eastAsia" w:ascii="宋体" w:hAnsi="宋体" w:eastAsia="方正仿宋_GBK" w:cs="方正仿宋_GBK"/>
                <w:i w:val="0"/>
                <w:color w:val="000000"/>
                <w:kern w:val="0"/>
                <w:sz w:val="20"/>
                <w:szCs w:val="20"/>
                <w:u w:val="none"/>
                <w:lang w:val="en-US" w:eastAsia="zh-CN" w:bidi="ar"/>
              </w:rPr>
              <w:t>市容环境卫生</w:t>
            </w:r>
          </w:p>
        </w:tc>
        <w:tc>
          <w:tcPr>
            <w:tcW w:w="50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方正仿宋_GBK" w:cs="方正仿宋_GBK"/>
                <w:i w:val="0"/>
                <w:color w:val="000000"/>
                <w:sz w:val="20"/>
                <w:szCs w:val="20"/>
                <w:u w:val="none"/>
              </w:rPr>
            </w:pPr>
            <w:r>
              <w:rPr>
                <w:rFonts w:hint="eastAsia" w:ascii="宋体" w:hAnsi="宋体" w:eastAsia="方正仿宋_GBK" w:cs="方正仿宋_GBK"/>
                <w:i w:val="0"/>
                <w:color w:val="000000"/>
                <w:kern w:val="0"/>
                <w:sz w:val="20"/>
                <w:szCs w:val="20"/>
                <w:u w:val="none"/>
                <w:lang w:val="en-US" w:eastAsia="zh-CN" w:bidi="ar"/>
              </w:rPr>
              <w:t>主次干道和街巷路面平整，道路照明及景观照明设施整洁、完好，运行正常。垃圾桶（箱）等垃圾分类收集容器配置齐全，分类标志统一规范， 满足当地垃圾分类要求。无乱搭乱建、乱堆乱摆、乱停乱放、乱贴乱画、乱扔乱倒等现象，无卫生死角，基本消除易涝积水点。主次干道和街巷路面及时进 行保洁，保洁质量符合相关标准要求。河道、湖泊等水面清洁、岸坡整洁，无垃圾杂物。建筑工地（含待建、拆迁、在建等工地）管理到位，卫生整洁，规 范围挡，无扬尘、噪声污染，建筑垃圾规范运输处理，无乱倒垃圾和乱搭乱建现象。</w:t>
            </w:r>
          </w:p>
        </w:tc>
        <w:tc>
          <w:tcPr>
            <w:tcW w:w="64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方正仿宋_GBK" w:cs="方正仿宋_GBK"/>
                <w:i w:val="0"/>
                <w:color w:val="000000"/>
                <w:sz w:val="20"/>
                <w:szCs w:val="20"/>
                <w:u w:val="none"/>
              </w:rPr>
            </w:pPr>
            <w:r>
              <w:rPr>
                <w:rFonts w:hint="eastAsia" w:ascii="宋体" w:hAnsi="宋体" w:eastAsia="方正仿宋_GBK" w:cs="方正仿宋_GBK"/>
                <w:i w:val="0"/>
                <w:color w:val="000000"/>
                <w:kern w:val="0"/>
                <w:sz w:val="20"/>
                <w:szCs w:val="20"/>
                <w:u w:val="none"/>
                <w:lang w:val="en-US" w:eastAsia="zh-CN" w:bidi="ar"/>
              </w:rPr>
              <w:t>严格落实道路及附属设施、照明管理要求、生活垃圾收集容器管理要求、市容环境有序管理要求、道路清扫和保洁要求、水域保洁作业要求、建筑工地管理要求、城市运行管理服务平台建设符合相关要求</w:t>
            </w:r>
          </w:p>
        </w:tc>
        <w:tc>
          <w:tcPr>
            <w:tcW w:w="14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方正仿宋_GBK" w:cs="方正仿宋_GBK"/>
                <w:i w:val="0"/>
                <w:color w:val="000000"/>
                <w:sz w:val="20"/>
                <w:szCs w:val="20"/>
                <w:u w:val="none"/>
              </w:rPr>
            </w:pPr>
            <w:r>
              <w:rPr>
                <w:rFonts w:hint="eastAsia" w:ascii="宋体" w:hAnsi="宋体" w:eastAsia="方正仿宋_GBK" w:cs="方正仿宋_GBK"/>
                <w:i w:val="0"/>
                <w:color w:val="000000"/>
                <w:kern w:val="0"/>
                <w:sz w:val="20"/>
                <w:szCs w:val="20"/>
                <w:u w:val="none"/>
                <w:lang w:val="en-US" w:eastAsia="zh-CN" w:bidi="ar"/>
              </w:rPr>
              <w:t>住建局、各乡镇（街办）、县直各单位、各企事业单位</w:t>
            </w:r>
          </w:p>
        </w:tc>
        <w:tc>
          <w:tcPr>
            <w:tcW w:w="9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方正仿宋_GBK" w:cs="方正仿宋_GBK"/>
                <w:i w:val="0"/>
                <w:color w:val="000000"/>
                <w:sz w:val="20"/>
                <w:szCs w:val="20"/>
                <w:u w:val="none"/>
              </w:rPr>
            </w:pPr>
            <w:r>
              <w:rPr>
                <w:rFonts w:hint="eastAsia" w:ascii="宋体" w:hAnsi="宋体" w:eastAsia="方正仿宋_GBK" w:cs="方正仿宋_GBK"/>
                <w:i w:val="0"/>
                <w:color w:val="000000"/>
                <w:kern w:val="0"/>
                <w:sz w:val="20"/>
                <w:szCs w:val="20"/>
                <w:u w:val="none"/>
                <w:lang w:val="en-US" w:eastAsia="zh-CN" w:bidi="ar"/>
              </w:rPr>
              <w:t>贯穿2023年全年</w:t>
            </w:r>
          </w:p>
        </w:tc>
        <w:tc>
          <w:tcPr>
            <w:tcW w:w="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rPr>
                <w:rFonts w:hint="eastAsia" w:ascii="宋体" w:hAnsi="宋体" w:eastAsia="方正仿宋_GBK" w:cs="方正仿宋_GBK"/>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955" w:hRule="atLeast"/>
          <w:jc w:val="center"/>
        </w:trPr>
        <w:tc>
          <w:tcPr>
            <w:tcW w:w="7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方正仿宋_GBK" w:cs="方正仿宋_GBK"/>
                <w:i w:val="0"/>
                <w:color w:val="000000"/>
                <w:sz w:val="20"/>
                <w:szCs w:val="20"/>
                <w:u w:val="none"/>
              </w:rPr>
            </w:pPr>
            <w:r>
              <w:rPr>
                <w:rFonts w:hint="eastAsia" w:ascii="宋体" w:hAnsi="宋体" w:eastAsia="方正仿宋_GBK" w:cs="方正仿宋_GBK"/>
                <w:i w:val="0"/>
                <w:color w:val="000000"/>
                <w:kern w:val="0"/>
                <w:sz w:val="20"/>
                <w:szCs w:val="20"/>
                <w:u w:val="none"/>
                <w:lang w:val="en-US" w:eastAsia="zh-CN" w:bidi="ar"/>
              </w:rPr>
              <w:t>11</w:t>
            </w: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方正仿宋_GBK" w:cs="方正仿宋_GBK"/>
                <w:i w:val="0"/>
                <w:color w:val="000000"/>
                <w:sz w:val="20"/>
                <w:szCs w:val="20"/>
                <w:u w:val="none"/>
              </w:rPr>
            </w:pPr>
          </w:p>
        </w:tc>
        <w:tc>
          <w:tcPr>
            <w:tcW w:w="50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方正仿宋_GBK" w:cs="方正仿宋_GBK"/>
                <w:i w:val="0"/>
                <w:color w:val="000000"/>
                <w:sz w:val="20"/>
                <w:szCs w:val="20"/>
                <w:u w:val="none"/>
              </w:rPr>
            </w:pPr>
            <w:r>
              <w:rPr>
                <w:rFonts w:hint="eastAsia" w:ascii="宋体" w:hAnsi="宋体" w:eastAsia="方正仿宋_GBK" w:cs="方正仿宋_GBK"/>
                <w:i w:val="0"/>
                <w:color w:val="000000"/>
                <w:kern w:val="0"/>
                <w:sz w:val="20"/>
                <w:szCs w:val="20"/>
                <w:u w:val="none"/>
                <w:lang w:val="en-US" w:eastAsia="zh-CN" w:bidi="ar"/>
              </w:rPr>
              <w:t>建筑物外立面上的广告设施和招牌的高度、大小符合规定标准，不遮盖建筑物外观轮廓，不影响建筑物本身和相邻建筑物采光、通风，不造成光污染。建筑玻璃幕墙的可见光反射比及其对周边建筑和交通的影响符合现行国家标准有关规定。</w:t>
            </w:r>
          </w:p>
        </w:tc>
        <w:tc>
          <w:tcPr>
            <w:tcW w:w="64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方正仿宋_GBK" w:cs="方正仿宋_GBK"/>
                <w:i w:val="0"/>
                <w:color w:val="000000"/>
                <w:sz w:val="20"/>
                <w:szCs w:val="20"/>
                <w:u w:val="none"/>
              </w:rPr>
            </w:pPr>
            <w:r>
              <w:rPr>
                <w:rFonts w:hint="eastAsia" w:ascii="宋体" w:hAnsi="宋体" w:eastAsia="方正仿宋_GBK" w:cs="方正仿宋_GBK"/>
                <w:i w:val="0"/>
                <w:color w:val="000000"/>
                <w:kern w:val="0"/>
                <w:sz w:val="20"/>
                <w:szCs w:val="20"/>
                <w:u w:val="none"/>
                <w:lang w:val="en-US" w:eastAsia="zh-CN" w:bidi="ar"/>
              </w:rPr>
              <w:t>玻璃幕墙采用可见光反射比不大于0.30的玻璃。在城市快速路、主干道、立交桥、高架桥两侧的建筑物20m以下及一般路段10m以下的玻璃幕墙采用可见光反射比不大于0.16的玻璃。在T形路口正对直线路段处设置玻璃幕墙时，采用可见光反射比不大于0.16的玻璃。</w:t>
            </w:r>
          </w:p>
        </w:tc>
        <w:tc>
          <w:tcPr>
            <w:tcW w:w="14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方正仿宋_GBK" w:cs="方正仿宋_GBK"/>
                <w:i w:val="0"/>
                <w:color w:val="000000"/>
                <w:sz w:val="20"/>
                <w:szCs w:val="20"/>
                <w:u w:val="none"/>
              </w:rPr>
            </w:pPr>
            <w:r>
              <w:rPr>
                <w:rFonts w:hint="eastAsia" w:ascii="宋体" w:hAnsi="宋体" w:eastAsia="方正仿宋_GBK" w:cs="方正仿宋_GBK"/>
                <w:i w:val="0"/>
                <w:color w:val="000000"/>
                <w:kern w:val="0"/>
                <w:sz w:val="20"/>
                <w:szCs w:val="20"/>
                <w:u w:val="none"/>
                <w:lang w:val="en-US" w:eastAsia="zh-CN" w:bidi="ar"/>
              </w:rPr>
              <w:t>住建局、各乡镇（街办）、县直各单位、各企事业单位</w:t>
            </w:r>
          </w:p>
        </w:tc>
        <w:tc>
          <w:tcPr>
            <w:tcW w:w="9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方正仿宋_GBK" w:cs="方正仿宋_GBK"/>
                <w:i w:val="0"/>
                <w:color w:val="000000"/>
                <w:sz w:val="20"/>
                <w:szCs w:val="20"/>
                <w:u w:val="none"/>
              </w:rPr>
            </w:pPr>
            <w:r>
              <w:rPr>
                <w:rFonts w:hint="eastAsia" w:ascii="宋体" w:hAnsi="宋体" w:eastAsia="方正仿宋_GBK" w:cs="方正仿宋_GBK"/>
                <w:i w:val="0"/>
                <w:color w:val="000000"/>
                <w:kern w:val="0"/>
                <w:sz w:val="20"/>
                <w:szCs w:val="20"/>
                <w:u w:val="none"/>
                <w:lang w:val="en-US" w:eastAsia="zh-CN" w:bidi="ar"/>
              </w:rPr>
              <w:t>贯穿2023年全年</w:t>
            </w:r>
          </w:p>
        </w:tc>
        <w:tc>
          <w:tcPr>
            <w:tcW w:w="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rPr>
                <w:rFonts w:hint="eastAsia" w:ascii="宋体" w:hAnsi="宋体" w:eastAsia="方正仿宋_GBK" w:cs="方正仿宋_GBK"/>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40" w:hRule="atLeast"/>
          <w:jc w:val="center"/>
        </w:trPr>
        <w:tc>
          <w:tcPr>
            <w:tcW w:w="7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方正仿宋_GBK" w:cs="方正仿宋_GBK"/>
                <w:i w:val="0"/>
                <w:color w:val="000000"/>
                <w:sz w:val="20"/>
                <w:szCs w:val="20"/>
                <w:u w:val="none"/>
              </w:rPr>
            </w:pPr>
            <w:r>
              <w:rPr>
                <w:rFonts w:hint="eastAsia" w:ascii="宋体" w:hAnsi="宋体" w:eastAsia="方正仿宋_GBK" w:cs="方正仿宋_GBK"/>
                <w:i w:val="0"/>
                <w:color w:val="000000"/>
                <w:kern w:val="0"/>
                <w:sz w:val="20"/>
                <w:szCs w:val="20"/>
                <w:u w:val="none"/>
                <w:lang w:val="en-US" w:eastAsia="zh-CN" w:bidi="ar"/>
              </w:rPr>
              <w:t>12</w:t>
            </w: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方正仿宋_GBK" w:cs="方正仿宋_GBK"/>
                <w:i w:val="0"/>
                <w:color w:val="000000"/>
                <w:sz w:val="20"/>
                <w:szCs w:val="20"/>
                <w:u w:val="none"/>
              </w:rPr>
            </w:pPr>
          </w:p>
        </w:tc>
        <w:tc>
          <w:tcPr>
            <w:tcW w:w="50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方正仿宋_GBK" w:cs="方正仿宋_GBK"/>
                <w:i w:val="0"/>
                <w:color w:val="000000"/>
                <w:sz w:val="20"/>
                <w:szCs w:val="20"/>
                <w:u w:val="none"/>
              </w:rPr>
            </w:pPr>
            <w:r>
              <w:rPr>
                <w:rFonts w:hint="eastAsia" w:ascii="宋体" w:hAnsi="宋体" w:eastAsia="方正仿宋_GBK" w:cs="方正仿宋_GBK"/>
                <w:i w:val="0"/>
                <w:color w:val="000000"/>
                <w:kern w:val="0"/>
                <w:sz w:val="20"/>
                <w:szCs w:val="20"/>
                <w:u w:val="none"/>
                <w:lang w:val="en-US" w:eastAsia="zh-CN" w:bidi="ar"/>
              </w:rPr>
              <w:t>加强绿化工作，提高建成区绿化覆盖率和公园绿地面积，强化绿地管理。</w:t>
            </w:r>
          </w:p>
        </w:tc>
        <w:tc>
          <w:tcPr>
            <w:tcW w:w="64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方正仿宋_GBK" w:cs="方正仿宋_GBK"/>
                <w:i w:val="0"/>
                <w:color w:val="000000"/>
                <w:sz w:val="20"/>
                <w:szCs w:val="20"/>
                <w:u w:val="none"/>
              </w:rPr>
            </w:pPr>
            <w:r>
              <w:rPr>
                <w:rFonts w:hint="eastAsia" w:ascii="宋体" w:hAnsi="宋体" w:eastAsia="方正仿宋_GBK" w:cs="方正仿宋_GBK"/>
                <w:i w:val="0"/>
                <w:color w:val="000000"/>
                <w:kern w:val="0"/>
                <w:sz w:val="20"/>
                <w:szCs w:val="20"/>
                <w:u w:val="none"/>
                <w:lang w:val="en-US" w:eastAsia="zh-CN" w:bidi="ar"/>
              </w:rPr>
              <w:t>1.制定城市绿地系统规划，建成区绿化覆盖率≥38％，人均公园绿地面积≥9平方米。2.绿带、花坛（池）内的泥土土面低于边缘石10cm以上，边缘石外侧面保持完好、整洁。树池周围的土面低于边缘石，宜采用草坪、碎石等覆盖，无泥土裸露。3.行道树整齐美观，不妨碍车、人通行，不碰架空线。无违章侵占绿地现象，无在城市树木花草和绿化设施上悬挂或摆放与绿化无关的物品等现象。</w:t>
            </w:r>
          </w:p>
        </w:tc>
        <w:tc>
          <w:tcPr>
            <w:tcW w:w="14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方正仿宋_GBK" w:cs="方正仿宋_GBK"/>
                <w:i w:val="0"/>
                <w:color w:val="000000"/>
                <w:sz w:val="20"/>
                <w:szCs w:val="20"/>
                <w:u w:val="none"/>
              </w:rPr>
            </w:pPr>
            <w:r>
              <w:rPr>
                <w:rFonts w:hint="eastAsia" w:ascii="宋体" w:hAnsi="宋体" w:eastAsia="方正仿宋_GBK" w:cs="方正仿宋_GBK"/>
                <w:i w:val="0"/>
                <w:color w:val="000000"/>
                <w:kern w:val="0"/>
                <w:sz w:val="20"/>
                <w:szCs w:val="20"/>
                <w:u w:val="none"/>
                <w:lang w:val="en-US" w:eastAsia="zh-CN" w:bidi="ar"/>
              </w:rPr>
              <w:t>住建局、各乡镇（街办）、县直各单位、各企事业单位</w:t>
            </w:r>
          </w:p>
        </w:tc>
        <w:tc>
          <w:tcPr>
            <w:tcW w:w="9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方正仿宋_GBK" w:cs="方正仿宋_GBK"/>
                <w:i w:val="0"/>
                <w:color w:val="000000"/>
                <w:sz w:val="20"/>
                <w:szCs w:val="20"/>
                <w:u w:val="none"/>
              </w:rPr>
            </w:pPr>
            <w:r>
              <w:rPr>
                <w:rFonts w:hint="eastAsia" w:ascii="宋体" w:hAnsi="宋体" w:eastAsia="方正仿宋_GBK" w:cs="方正仿宋_GBK"/>
                <w:i w:val="0"/>
                <w:color w:val="000000"/>
                <w:kern w:val="0"/>
                <w:sz w:val="20"/>
                <w:szCs w:val="20"/>
                <w:u w:val="none"/>
                <w:lang w:val="en-US" w:eastAsia="zh-CN" w:bidi="ar"/>
              </w:rPr>
              <w:t>贯穿2023年全年</w:t>
            </w:r>
          </w:p>
        </w:tc>
        <w:tc>
          <w:tcPr>
            <w:tcW w:w="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rPr>
                <w:rFonts w:hint="eastAsia" w:ascii="宋体" w:hAnsi="宋体" w:eastAsia="方正仿宋_GBK" w:cs="方正仿宋_GBK"/>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40" w:hRule="atLeast"/>
          <w:jc w:val="center"/>
        </w:trPr>
        <w:tc>
          <w:tcPr>
            <w:tcW w:w="7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方正仿宋_GBK" w:cs="方正仿宋_GBK"/>
                <w:i w:val="0"/>
                <w:color w:val="000000"/>
                <w:sz w:val="20"/>
                <w:szCs w:val="20"/>
                <w:u w:val="none"/>
              </w:rPr>
            </w:pPr>
            <w:r>
              <w:rPr>
                <w:rFonts w:hint="eastAsia" w:ascii="宋体" w:hAnsi="宋体" w:eastAsia="方正仿宋_GBK" w:cs="方正仿宋_GBK"/>
                <w:i w:val="0"/>
                <w:color w:val="000000"/>
                <w:kern w:val="0"/>
                <w:sz w:val="20"/>
                <w:szCs w:val="20"/>
                <w:u w:val="none"/>
                <w:lang w:val="en-US" w:eastAsia="zh-CN" w:bidi="ar"/>
              </w:rPr>
              <w:t>13</w:t>
            </w: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方正仿宋_GBK" w:cs="方正仿宋_GBK"/>
                <w:i w:val="0"/>
                <w:color w:val="000000"/>
                <w:sz w:val="20"/>
                <w:szCs w:val="20"/>
                <w:u w:val="none"/>
              </w:rPr>
            </w:pPr>
          </w:p>
        </w:tc>
        <w:tc>
          <w:tcPr>
            <w:tcW w:w="50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方正仿宋_GBK" w:cs="方正仿宋_GBK"/>
                <w:i w:val="0"/>
                <w:color w:val="000000"/>
                <w:sz w:val="20"/>
                <w:szCs w:val="20"/>
                <w:u w:val="none"/>
              </w:rPr>
            </w:pPr>
            <w:r>
              <w:rPr>
                <w:rFonts w:hint="eastAsia" w:ascii="宋体" w:hAnsi="宋体" w:eastAsia="方正仿宋_GBK" w:cs="方正仿宋_GBK"/>
                <w:i w:val="0"/>
                <w:color w:val="000000"/>
                <w:kern w:val="0"/>
                <w:sz w:val="20"/>
                <w:szCs w:val="20"/>
                <w:u w:val="none"/>
                <w:lang w:val="en-US" w:eastAsia="zh-CN" w:bidi="ar"/>
              </w:rPr>
              <w:t>生活垃圾转运站等环卫设施、再生资源回收基础设施符合相关标准要求，数量充足，布局合理，管理规范。生活垃圾分类收集运输体系和废旧物资循环利用体系完善，生活垃圾、粪便分类收集运输容器、车辆等设备设施实现密闭化、规范化，生活垃圾、粪便及时清运。</w:t>
            </w:r>
          </w:p>
        </w:tc>
        <w:tc>
          <w:tcPr>
            <w:tcW w:w="64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方正仿宋_GBK" w:cs="方正仿宋_GBK"/>
                <w:i w:val="0"/>
                <w:color w:val="000000"/>
                <w:sz w:val="20"/>
                <w:szCs w:val="20"/>
                <w:u w:val="none"/>
              </w:rPr>
            </w:pPr>
            <w:r>
              <w:rPr>
                <w:rFonts w:hint="eastAsia" w:ascii="宋体" w:hAnsi="宋体" w:eastAsia="方正仿宋_GBK" w:cs="方正仿宋_GBK"/>
                <w:i w:val="0"/>
                <w:color w:val="000000"/>
                <w:kern w:val="0"/>
                <w:sz w:val="20"/>
                <w:szCs w:val="20"/>
                <w:u w:val="none"/>
                <w:lang w:val="en-US" w:eastAsia="zh-CN" w:bidi="ar"/>
              </w:rPr>
              <w:t>1.制定再生资源回收网点规划并实施，合理布局，规范建设，城区回收网点覆盖率达到100%。回收站面积在30㎡以上，有稳固的场房，不露天堆放，并做到统一管理、统一标准、统一品牌、统一标识。</w:t>
            </w:r>
          </w:p>
        </w:tc>
        <w:tc>
          <w:tcPr>
            <w:tcW w:w="14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方正仿宋_GBK" w:cs="方正仿宋_GBK"/>
                <w:i w:val="0"/>
                <w:color w:val="000000"/>
                <w:sz w:val="20"/>
                <w:szCs w:val="20"/>
                <w:u w:val="none"/>
              </w:rPr>
            </w:pPr>
            <w:r>
              <w:rPr>
                <w:rFonts w:hint="eastAsia" w:ascii="宋体" w:hAnsi="宋体" w:eastAsia="方正仿宋_GBK" w:cs="方正仿宋_GBK"/>
                <w:i w:val="0"/>
                <w:color w:val="000000"/>
                <w:kern w:val="0"/>
                <w:sz w:val="20"/>
                <w:szCs w:val="20"/>
                <w:u w:val="none"/>
                <w:lang w:val="en-US" w:eastAsia="zh-CN" w:bidi="ar"/>
              </w:rPr>
              <w:t>住建局、各乡镇（街办）、县直各单位、各企事业单位</w:t>
            </w:r>
          </w:p>
        </w:tc>
        <w:tc>
          <w:tcPr>
            <w:tcW w:w="9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方正仿宋_GBK" w:cs="方正仿宋_GBK"/>
                <w:i w:val="0"/>
                <w:color w:val="000000"/>
                <w:sz w:val="20"/>
                <w:szCs w:val="20"/>
                <w:u w:val="none"/>
              </w:rPr>
            </w:pPr>
            <w:r>
              <w:rPr>
                <w:rFonts w:hint="eastAsia" w:ascii="宋体" w:hAnsi="宋体" w:eastAsia="方正仿宋_GBK" w:cs="方正仿宋_GBK"/>
                <w:i w:val="0"/>
                <w:color w:val="000000"/>
                <w:kern w:val="0"/>
                <w:sz w:val="20"/>
                <w:szCs w:val="20"/>
                <w:u w:val="none"/>
                <w:lang w:val="en-US" w:eastAsia="zh-CN" w:bidi="ar"/>
              </w:rPr>
              <w:t>贯穿2023年全年</w:t>
            </w:r>
          </w:p>
        </w:tc>
        <w:tc>
          <w:tcPr>
            <w:tcW w:w="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rPr>
                <w:rFonts w:hint="eastAsia" w:ascii="宋体" w:hAnsi="宋体" w:eastAsia="方正仿宋_GBK" w:cs="方正仿宋_GBK"/>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60" w:hRule="atLeast"/>
          <w:jc w:val="center"/>
        </w:trPr>
        <w:tc>
          <w:tcPr>
            <w:tcW w:w="7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方正仿宋_GBK" w:cs="方正仿宋_GBK"/>
                <w:i w:val="0"/>
                <w:color w:val="000000"/>
                <w:sz w:val="20"/>
                <w:szCs w:val="20"/>
                <w:u w:val="none"/>
              </w:rPr>
            </w:pPr>
            <w:r>
              <w:rPr>
                <w:rFonts w:hint="eastAsia" w:ascii="宋体" w:hAnsi="宋体" w:eastAsia="方正仿宋_GBK" w:cs="方正仿宋_GBK"/>
                <w:i w:val="0"/>
                <w:color w:val="000000"/>
                <w:kern w:val="0"/>
                <w:sz w:val="20"/>
                <w:szCs w:val="20"/>
                <w:u w:val="none"/>
                <w:lang w:val="en-US" w:eastAsia="zh-CN" w:bidi="ar"/>
              </w:rPr>
              <w:t>14</w:t>
            </w: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方正仿宋_GBK" w:cs="方正仿宋_GBK"/>
                <w:i w:val="0"/>
                <w:color w:val="000000"/>
                <w:sz w:val="20"/>
                <w:szCs w:val="20"/>
                <w:u w:val="none"/>
              </w:rPr>
            </w:pPr>
          </w:p>
        </w:tc>
        <w:tc>
          <w:tcPr>
            <w:tcW w:w="50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方正仿宋_GBK" w:cs="方正仿宋_GBK"/>
                <w:i w:val="0"/>
                <w:color w:val="000000"/>
                <w:sz w:val="20"/>
                <w:szCs w:val="20"/>
                <w:u w:val="none"/>
              </w:rPr>
            </w:pPr>
            <w:r>
              <w:rPr>
                <w:rFonts w:hint="eastAsia" w:ascii="宋体" w:hAnsi="宋体" w:eastAsia="方正仿宋_GBK" w:cs="方正仿宋_GBK"/>
                <w:i w:val="0"/>
                <w:color w:val="000000"/>
                <w:kern w:val="0"/>
                <w:sz w:val="20"/>
                <w:szCs w:val="20"/>
                <w:u w:val="none"/>
                <w:lang w:val="en-US" w:eastAsia="zh-CN" w:bidi="ar"/>
              </w:rPr>
              <w:t>推行生活垃圾分类和减量化、资源化。因地制宜加快建立生活垃圾分类投放、分类收集、分类运输、分类处理系统，实现生活垃圾分类有效覆盖。加强城市生活垃圾回收利用和无害化处理。建有港口的城市，应建立完善船舶污染物“船—港—城”“收集—接收—转运—处置”衔接和协作制度。</w:t>
            </w:r>
          </w:p>
        </w:tc>
        <w:tc>
          <w:tcPr>
            <w:tcW w:w="64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方正仿宋_GBK" w:cs="方正仿宋_GBK"/>
                <w:i w:val="0"/>
                <w:color w:val="000000"/>
                <w:sz w:val="20"/>
                <w:szCs w:val="20"/>
                <w:u w:val="none"/>
              </w:rPr>
            </w:pPr>
            <w:r>
              <w:rPr>
                <w:rFonts w:hint="eastAsia" w:ascii="宋体" w:hAnsi="宋体" w:eastAsia="方正仿宋_GBK" w:cs="方正仿宋_GBK"/>
                <w:i w:val="0"/>
                <w:color w:val="000000"/>
                <w:kern w:val="0"/>
                <w:sz w:val="20"/>
                <w:szCs w:val="20"/>
                <w:u w:val="none"/>
                <w:lang w:val="en-US" w:eastAsia="zh-CN" w:bidi="ar"/>
              </w:rPr>
              <w:t>1.建立生活垃圾分类投放、分类收集、分类运输、分类处理系统，实现生活垃圾分类有效覆盖。2.建立健全与生活垃圾分类收集相衔接的运输网络，合理确定分类运输站点、频次、时间和线路，配足、配齐分类运输车辆（船舶）。3.有计划地改进燃料结构，加强产品生产和流通过程管理，统筹规划，合理安排回收、分拣、打包网点，落实塑料废弃物回收利用和处置相关要求，加强塑料废弃物规范回收利用和清运，开展塑料污染治理和塑料垃圾专项整治，减少塑料垃圾填埋量和环境泄漏量。4.提高生活垃圾的综合利用和无害化处置水平，城市生活垃圾回收利用率&gt;35%，城市生活垃圾无害化处理率达到 100%。</w:t>
            </w:r>
          </w:p>
        </w:tc>
        <w:tc>
          <w:tcPr>
            <w:tcW w:w="14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方正仿宋_GBK" w:cs="方正仿宋_GBK"/>
                <w:i w:val="0"/>
                <w:color w:val="000000"/>
                <w:sz w:val="20"/>
                <w:szCs w:val="20"/>
                <w:u w:val="none"/>
              </w:rPr>
            </w:pPr>
            <w:r>
              <w:rPr>
                <w:rFonts w:hint="eastAsia" w:ascii="宋体" w:hAnsi="宋体" w:eastAsia="方正仿宋_GBK" w:cs="方正仿宋_GBK"/>
                <w:i w:val="0"/>
                <w:color w:val="000000"/>
                <w:kern w:val="0"/>
                <w:sz w:val="20"/>
                <w:szCs w:val="20"/>
                <w:u w:val="none"/>
                <w:lang w:val="en-US" w:eastAsia="zh-CN" w:bidi="ar"/>
              </w:rPr>
              <w:t>住建局、各乡镇（街办）、县直各单位、各企事业单位</w:t>
            </w:r>
          </w:p>
        </w:tc>
        <w:tc>
          <w:tcPr>
            <w:tcW w:w="9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方正仿宋_GBK" w:cs="方正仿宋_GBK"/>
                <w:i w:val="0"/>
                <w:color w:val="000000"/>
                <w:sz w:val="20"/>
                <w:szCs w:val="20"/>
                <w:u w:val="none"/>
              </w:rPr>
            </w:pPr>
            <w:r>
              <w:rPr>
                <w:rFonts w:hint="eastAsia" w:ascii="宋体" w:hAnsi="宋体" w:eastAsia="方正仿宋_GBK" w:cs="方正仿宋_GBK"/>
                <w:i w:val="0"/>
                <w:color w:val="000000"/>
                <w:kern w:val="0"/>
                <w:sz w:val="20"/>
                <w:szCs w:val="20"/>
                <w:u w:val="none"/>
                <w:lang w:val="en-US" w:eastAsia="zh-CN" w:bidi="ar"/>
              </w:rPr>
              <w:t>贯穿2023年全年</w:t>
            </w:r>
          </w:p>
        </w:tc>
        <w:tc>
          <w:tcPr>
            <w:tcW w:w="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rPr>
                <w:rFonts w:hint="eastAsia" w:ascii="宋体" w:hAnsi="宋体" w:eastAsia="方正仿宋_GBK" w:cs="方正仿宋_GBK"/>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20" w:hRule="atLeast"/>
          <w:jc w:val="center"/>
        </w:trPr>
        <w:tc>
          <w:tcPr>
            <w:tcW w:w="7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方正仿宋_GBK" w:cs="方正仿宋_GBK"/>
                <w:i w:val="0"/>
                <w:color w:val="000000"/>
                <w:sz w:val="20"/>
                <w:szCs w:val="20"/>
                <w:u w:val="none"/>
              </w:rPr>
            </w:pPr>
            <w:r>
              <w:rPr>
                <w:rFonts w:hint="eastAsia" w:ascii="宋体" w:hAnsi="宋体" w:eastAsia="方正仿宋_GBK" w:cs="方正仿宋_GBK"/>
                <w:i w:val="0"/>
                <w:color w:val="000000"/>
                <w:kern w:val="0"/>
                <w:sz w:val="20"/>
                <w:szCs w:val="20"/>
                <w:u w:val="none"/>
                <w:lang w:val="en-US" w:eastAsia="zh-CN" w:bidi="ar"/>
              </w:rPr>
              <w:t>15</w:t>
            </w: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方正仿宋_GBK" w:cs="方正仿宋_GBK"/>
                <w:i w:val="0"/>
                <w:color w:val="000000"/>
                <w:sz w:val="20"/>
                <w:szCs w:val="20"/>
                <w:u w:val="none"/>
              </w:rPr>
            </w:pPr>
          </w:p>
        </w:tc>
        <w:tc>
          <w:tcPr>
            <w:tcW w:w="50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方正仿宋_GBK" w:cs="方正仿宋_GBK"/>
                <w:i w:val="0"/>
                <w:color w:val="000000"/>
                <w:sz w:val="20"/>
                <w:szCs w:val="20"/>
                <w:u w:val="none"/>
              </w:rPr>
            </w:pPr>
            <w:r>
              <w:rPr>
                <w:rFonts w:hint="eastAsia" w:ascii="宋体" w:hAnsi="宋体" w:eastAsia="方正仿宋_GBK" w:cs="方正仿宋_GBK"/>
                <w:i w:val="0"/>
                <w:color w:val="000000"/>
                <w:kern w:val="0"/>
                <w:sz w:val="20"/>
                <w:szCs w:val="20"/>
                <w:u w:val="none"/>
                <w:lang w:val="en-US" w:eastAsia="zh-CN" w:bidi="ar"/>
              </w:rPr>
              <w:t>积极推进厕所革命，公共厕所设置符合相关标准要求，数量充足，干净整洁，实现卫生厕所全覆盖。主次干道、车站、医疗机构、机场、港口、 旅游景点、集贸市场、商场等公共场所的公厕设施不低于二类标准。生活污水有效收集处理。</w:t>
            </w:r>
          </w:p>
        </w:tc>
        <w:tc>
          <w:tcPr>
            <w:tcW w:w="64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方正仿宋_GBK" w:cs="方正仿宋_GBK"/>
                <w:i w:val="0"/>
                <w:color w:val="000000"/>
                <w:sz w:val="20"/>
                <w:szCs w:val="20"/>
                <w:u w:val="none"/>
              </w:rPr>
            </w:pPr>
            <w:r>
              <w:rPr>
                <w:rFonts w:hint="eastAsia" w:ascii="宋体" w:hAnsi="宋体" w:eastAsia="方正仿宋_GBK" w:cs="方正仿宋_GBK"/>
                <w:i w:val="0"/>
                <w:color w:val="000000"/>
                <w:kern w:val="0"/>
                <w:sz w:val="20"/>
                <w:szCs w:val="20"/>
                <w:u w:val="none"/>
                <w:lang w:val="en-US" w:eastAsia="zh-CN" w:bidi="ar"/>
              </w:rPr>
              <w:t>1.公厕规划设计做到规划合理、设计科学，公厕数量、间距、类别、功能、管理等符合相关要求。2.落实管理责任，健全公厕日常保洁责任制度。公厕的采光、通风、供排水、标志符合要求，日常管理达到“四净三无两通一明”设置标有公厕标志、方向和距离的指示牌，公厕标志符合规定。2.生活污水处理厂建设、运行、维护、安全、污染物排放及污泥处理符合相关标准。城市生活污水处理率≥95%（适用于县），全面实现污泥无害化处置。</w:t>
            </w:r>
          </w:p>
        </w:tc>
        <w:tc>
          <w:tcPr>
            <w:tcW w:w="14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方正仿宋_GBK" w:cs="方正仿宋_GBK"/>
                <w:i w:val="0"/>
                <w:color w:val="000000"/>
                <w:sz w:val="20"/>
                <w:szCs w:val="20"/>
                <w:u w:val="none"/>
              </w:rPr>
            </w:pPr>
            <w:r>
              <w:rPr>
                <w:rFonts w:hint="eastAsia" w:ascii="宋体" w:hAnsi="宋体" w:eastAsia="方正仿宋_GBK" w:cs="方正仿宋_GBK"/>
                <w:i w:val="0"/>
                <w:color w:val="000000"/>
                <w:kern w:val="0"/>
                <w:sz w:val="20"/>
                <w:szCs w:val="20"/>
                <w:u w:val="none"/>
                <w:lang w:val="en-US" w:eastAsia="zh-CN" w:bidi="ar"/>
              </w:rPr>
              <w:t>农业农村局、改厕专班、住建局</w:t>
            </w:r>
          </w:p>
        </w:tc>
        <w:tc>
          <w:tcPr>
            <w:tcW w:w="9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方正仿宋_GBK" w:cs="方正仿宋_GBK"/>
                <w:i w:val="0"/>
                <w:color w:val="000000"/>
                <w:sz w:val="20"/>
                <w:szCs w:val="20"/>
                <w:u w:val="none"/>
              </w:rPr>
            </w:pPr>
            <w:r>
              <w:rPr>
                <w:rFonts w:hint="eastAsia" w:ascii="宋体" w:hAnsi="宋体" w:eastAsia="方正仿宋_GBK" w:cs="方正仿宋_GBK"/>
                <w:i w:val="0"/>
                <w:color w:val="000000"/>
                <w:kern w:val="0"/>
                <w:sz w:val="20"/>
                <w:szCs w:val="20"/>
                <w:u w:val="none"/>
                <w:lang w:val="en-US" w:eastAsia="zh-CN" w:bidi="ar"/>
              </w:rPr>
              <w:t>贯穿2023年全年</w:t>
            </w:r>
          </w:p>
        </w:tc>
        <w:tc>
          <w:tcPr>
            <w:tcW w:w="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rPr>
                <w:rFonts w:hint="eastAsia" w:ascii="宋体" w:hAnsi="宋体" w:eastAsia="方正仿宋_GBK" w:cs="方正仿宋_GBK"/>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87" w:hRule="atLeast"/>
          <w:jc w:val="center"/>
        </w:trPr>
        <w:tc>
          <w:tcPr>
            <w:tcW w:w="7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方正仿宋_GBK" w:cs="方正仿宋_GBK"/>
                <w:i w:val="0"/>
                <w:color w:val="000000"/>
                <w:sz w:val="20"/>
                <w:szCs w:val="20"/>
                <w:u w:val="none"/>
              </w:rPr>
            </w:pPr>
            <w:r>
              <w:rPr>
                <w:rFonts w:hint="eastAsia" w:ascii="宋体" w:hAnsi="宋体" w:eastAsia="方正仿宋_GBK" w:cs="方正仿宋_GBK"/>
                <w:i w:val="0"/>
                <w:color w:val="000000"/>
                <w:kern w:val="0"/>
                <w:sz w:val="20"/>
                <w:szCs w:val="20"/>
                <w:u w:val="none"/>
                <w:lang w:val="en-US" w:eastAsia="zh-CN" w:bidi="ar"/>
              </w:rPr>
              <w:t>16</w:t>
            </w: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方正仿宋_GBK" w:cs="方正仿宋_GBK"/>
                <w:i w:val="0"/>
                <w:color w:val="000000"/>
                <w:sz w:val="20"/>
                <w:szCs w:val="20"/>
                <w:u w:val="none"/>
              </w:rPr>
            </w:pPr>
          </w:p>
        </w:tc>
        <w:tc>
          <w:tcPr>
            <w:tcW w:w="50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方正仿宋_GBK" w:cs="方正仿宋_GBK"/>
                <w:i w:val="0"/>
                <w:color w:val="000000"/>
                <w:sz w:val="20"/>
                <w:szCs w:val="20"/>
                <w:u w:val="none"/>
              </w:rPr>
            </w:pPr>
            <w:r>
              <w:rPr>
                <w:rFonts w:hint="eastAsia" w:ascii="宋体" w:hAnsi="宋体" w:eastAsia="方正仿宋_GBK" w:cs="方正仿宋_GBK"/>
                <w:i w:val="0"/>
                <w:color w:val="000000"/>
                <w:kern w:val="0"/>
                <w:sz w:val="20"/>
                <w:szCs w:val="20"/>
                <w:u w:val="none"/>
                <w:lang w:val="en-US" w:eastAsia="zh-CN" w:bidi="ar"/>
              </w:rPr>
              <w:t>建成区和城乡结合部农产品市场布局合理，建设管理符合规范要 求，科学设置经营区域，实行生熟分开、干湿分离；兼营零售业务的农产品批发市场，应当做到批发与零售业务分区域或分时段经营。农产品批发市场、零 售市场设施设备应符合卫生防疫和食品安全要求，应配备卫生管理和保洁人员， 落实定期休市和清洗消毒制度，环卫设施齐全、干净整洁。市场活禽销售区域 应相对独立设置，实行隔离宰杀，对废弃物实施规范处理，逐步实现市场无活禽交易。农产品冷链物流设施要结合实际预留消杀防疫空间。临时便民市场采 取有效管理措施，保障周边市容环境卫生、交通秩序和群众正常生活秩序。流 动商贩管理规范。无使用厚度小于 0.025 毫米的超薄塑料购物袋现象。</w:t>
            </w:r>
          </w:p>
        </w:tc>
        <w:tc>
          <w:tcPr>
            <w:tcW w:w="64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方正仿宋_GBK" w:cs="方正仿宋_GBK"/>
                <w:i w:val="0"/>
                <w:color w:val="000000"/>
                <w:sz w:val="20"/>
                <w:szCs w:val="20"/>
                <w:u w:val="none"/>
              </w:rPr>
            </w:pPr>
            <w:r>
              <w:rPr>
                <w:rFonts w:hint="eastAsia" w:ascii="宋体" w:hAnsi="宋体" w:eastAsia="方正仿宋_GBK" w:cs="方正仿宋_GBK"/>
                <w:i w:val="0"/>
                <w:color w:val="000000"/>
                <w:kern w:val="0"/>
                <w:sz w:val="20"/>
                <w:szCs w:val="20"/>
                <w:u w:val="none"/>
                <w:lang w:val="en-US" w:eastAsia="zh-CN" w:bidi="ar"/>
              </w:rPr>
              <w:t>1.生活污水处理厂建设、运行、维护、安全、污染物排放及污泥处理符合相关标准。城市生活污水处理率≥95%（适用于县），全面实现污泥无害化处置。2. 农产品市场功能分区要求、硬件设施要求、环境卫生要求、市场消杀要求符合标准。2.加强活禽销售市场的监管，督促市场经营者落实主体责任；临时便民市场设置规范合理，制度齐全，配备专门的管理人员，落实清扫保洁制度，划定临时停车区域；3.农产品市场开办者和市场内销售者，禁止委托生产、购买和在市场内使用厚度小于 0.025 毫米的超薄塑料购物袋，推广使用环保布袋、纸袋等非塑制品和可降解购物袋。</w:t>
            </w:r>
          </w:p>
        </w:tc>
        <w:tc>
          <w:tcPr>
            <w:tcW w:w="14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方正仿宋_GBK" w:cs="方正仿宋_GBK"/>
                <w:i w:val="0"/>
                <w:color w:val="000000"/>
                <w:sz w:val="20"/>
                <w:szCs w:val="20"/>
                <w:u w:val="none"/>
              </w:rPr>
            </w:pPr>
            <w:r>
              <w:rPr>
                <w:rFonts w:hint="eastAsia" w:ascii="宋体" w:hAnsi="宋体" w:eastAsia="方正仿宋_GBK" w:cs="方正仿宋_GBK"/>
                <w:i w:val="0"/>
                <w:color w:val="000000"/>
                <w:kern w:val="0"/>
                <w:sz w:val="20"/>
                <w:szCs w:val="20"/>
                <w:u w:val="none"/>
                <w:lang w:val="en-US" w:eastAsia="zh-CN" w:bidi="ar"/>
              </w:rPr>
              <w:t>市场监督管理局、水利局</w:t>
            </w:r>
          </w:p>
        </w:tc>
        <w:tc>
          <w:tcPr>
            <w:tcW w:w="9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方正仿宋_GBK" w:cs="方正仿宋_GBK"/>
                <w:i w:val="0"/>
                <w:color w:val="000000"/>
                <w:sz w:val="20"/>
                <w:szCs w:val="20"/>
                <w:u w:val="none"/>
              </w:rPr>
            </w:pPr>
            <w:r>
              <w:rPr>
                <w:rFonts w:hint="eastAsia" w:ascii="宋体" w:hAnsi="宋体" w:eastAsia="方正仿宋_GBK" w:cs="方正仿宋_GBK"/>
                <w:i w:val="0"/>
                <w:color w:val="000000"/>
                <w:kern w:val="0"/>
                <w:sz w:val="20"/>
                <w:szCs w:val="20"/>
                <w:u w:val="none"/>
                <w:lang w:val="en-US" w:eastAsia="zh-CN" w:bidi="ar"/>
              </w:rPr>
              <w:t>贯穿2023年全年</w:t>
            </w:r>
          </w:p>
        </w:tc>
        <w:tc>
          <w:tcPr>
            <w:tcW w:w="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rPr>
                <w:rFonts w:hint="eastAsia" w:ascii="宋体" w:hAnsi="宋体" w:eastAsia="方正仿宋_GBK" w:cs="方正仿宋_GBK"/>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80" w:hRule="atLeast"/>
          <w:jc w:val="center"/>
        </w:trPr>
        <w:tc>
          <w:tcPr>
            <w:tcW w:w="7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方正仿宋_GBK" w:cs="方正仿宋_GBK"/>
                <w:i w:val="0"/>
                <w:color w:val="000000"/>
                <w:sz w:val="20"/>
                <w:szCs w:val="20"/>
                <w:u w:val="none"/>
              </w:rPr>
            </w:pPr>
            <w:r>
              <w:rPr>
                <w:rFonts w:hint="eastAsia" w:ascii="宋体" w:hAnsi="宋体" w:eastAsia="方正仿宋_GBK" w:cs="方正仿宋_GBK"/>
                <w:i w:val="0"/>
                <w:color w:val="000000"/>
                <w:kern w:val="0"/>
                <w:sz w:val="20"/>
                <w:szCs w:val="20"/>
                <w:u w:val="none"/>
                <w:lang w:val="en-US" w:eastAsia="zh-CN" w:bidi="ar"/>
              </w:rPr>
              <w:t>17</w:t>
            </w: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方正仿宋_GBK" w:cs="方正仿宋_GBK"/>
                <w:i w:val="0"/>
                <w:color w:val="000000"/>
                <w:sz w:val="20"/>
                <w:szCs w:val="20"/>
                <w:u w:val="none"/>
              </w:rPr>
            </w:pPr>
          </w:p>
        </w:tc>
        <w:tc>
          <w:tcPr>
            <w:tcW w:w="50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方正仿宋_GBK" w:cs="方正仿宋_GBK"/>
                <w:i w:val="0"/>
                <w:color w:val="000000"/>
                <w:sz w:val="20"/>
                <w:szCs w:val="20"/>
                <w:u w:val="none"/>
              </w:rPr>
            </w:pPr>
            <w:r>
              <w:rPr>
                <w:rFonts w:hint="eastAsia" w:ascii="宋体" w:hAnsi="宋体" w:eastAsia="方正仿宋_GBK" w:cs="方正仿宋_GBK"/>
                <w:i w:val="0"/>
                <w:color w:val="000000"/>
                <w:kern w:val="0"/>
                <w:sz w:val="20"/>
                <w:szCs w:val="20"/>
                <w:u w:val="none"/>
                <w:lang w:val="en-US" w:eastAsia="zh-CN" w:bidi="ar"/>
              </w:rPr>
              <w:t>建成区和城乡结合部饲养畜禽和野生动物需符合有关法律法规要求，居民文明规范饲养宠物，畜禽粪污得到有效处置；各类集贸市场、花鸟宠 物市场及动物交易市场无非法交易和宰杀野生动物现象。</w:t>
            </w:r>
          </w:p>
        </w:tc>
        <w:tc>
          <w:tcPr>
            <w:tcW w:w="64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方正仿宋_GBK" w:cs="方正仿宋_GBK"/>
                <w:i w:val="0"/>
                <w:color w:val="000000"/>
                <w:sz w:val="20"/>
                <w:szCs w:val="20"/>
                <w:u w:val="none"/>
              </w:rPr>
            </w:pPr>
            <w:r>
              <w:rPr>
                <w:rFonts w:hint="eastAsia" w:ascii="宋体" w:hAnsi="宋体" w:eastAsia="方正仿宋_GBK" w:cs="方正仿宋_GBK"/>
                <w:i w:val="0"/>
                <w:color w:val="000000"/>
                <w:kern w:val="0"/>
                <w:sz w:val="20"/>
                <w:szCs w:val="20"/>
                <w:u w:val="none"/>
                <w:lang w:val="en-US" w:eastAsia="zh-CN" w:bidi="ar"/>
              </w:rPr>
              <w:t>1.加强野生动物保护的宣传教育和科学知识普及，无养殖国家明确规定禁止养殖的禁食野生动物现象，规范管理允许养殖禁食的野生动物。2.饲养动物的单位和个人应履行动物疫病强制免疫义务，对动物规范实施免疫接种，按规定建立免疫档案、加施畜禽标识，取得《动物防疫条件合格证》。3.城区内无出售、购买、利用野生动物及其制品广告，无禁止使用的猎捕工具广告或者为禁止使用的猎捕工具提供交易服务，无非法交易、宰杀野生动物及其制品现象。</w:t>
            </w:r>
          </w:p>
        </w:tc>
        <w:tc>
          <w:tcPr>
            <w:tcW w:w="14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方正仿宋_GBK" w:cs="方正仿宋_GBK"/>
                <w:i w:val="0"/>
                <w:color w:val="000000"/>
                <w:sz w:val="20"/>
                <w:szCs w:val="20"/>
                <w:u w:val="none"/>
              </w:rPr>
            </w:pPr>
            <w:r>
              <w:rPr>
                <w:rFonts w:hint="eastAsia" w:ascii="宋体" w:hAnsi="宋体" w:eastAsia="方正仿宋_GBK" w:cs="方正仿宋_GBK"/>
                <w:i w:val="0"/>
                <w:color w:val="000000"/>
                <w:kern w:val="0"/>
                <w:sz w:val="20"/>
                <w:szCs w:val="20"/>
                <w:u w:val="none"/>
                <w:lang w:val="en-US" w:eastAsia="zh-CN" w:bidi="ar"/>
              </w:rPr>
              <w:t>市场监督管理局</w:t>
            </w:r>
          </w:p>
        </w:tc>
        <w:tc>
          <w:tcPr>
            <w:tcW w:w="9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方正仿宋_GBK" w:cs="方正仿宋_GBK"/>
                <w:i w:val="0"/>
                <w:color w:val="000000"/>
                <w:sz w:val="20"/>
                <w:szCs w:val="20"/>
                <w:u w:val="none"/>
              </w:rPr>
            </w:pPr>
            <w:r>
              <w:rPr>
                <w:rFonts w:hint="eastAsia" w:ascii="宋体" w:hAnsi="宋体" w:eastAsia="方正仿宋_GBK" w:cs="方正仿宋_GBK"/>
                <w:i w:val="0"/>
                <w:color w:val="000000"/>
                <w:kern w:val="0"/>
                <w:sz w:val="20"/>
                <w:szCs w:val="20"/>
                <w:u w:val="none"/>
                <w:lang w:val="en-US" w:eastAsia="zh-CN" w:bidi="ar"/>
              </w:rPr>
              <w:t>贯穿2023年全年</w:t>
            </w:r>
          </w:p>
        </w:tc>
        <w:tc>
          <w:tcPr>
            <w:tcW w:w="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rPr>
                <w:rFonts w:hint="eastAsia" w:ascii="宋体" w:hAnsi="宋体" w:eastAsia="方正仿宋_GBK" w:cs="方正仿宋_GBK"/>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22" w:hRule="atLeast"/>
          <w:jc w:val="center"/>
        </w:trPr>
        <w:tc>
          <w:tcPr>
            <w:tcW w:w="7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方正仿宋_GBK" w:cs="方正仿宋_GBK"/>
                <w:i w:val="0"/>
                <w:color w:val="000000"/>
                <w:sz w:val="20"/>
                <w:szCs w:val="20"/>
                <w:u w:val="none"/>
              </w:rPr>
            </w:pPr>
            <w:r>
              <w:rPr>
                <w:rFonts w:hint="eastAsia" w:ascii="宋体" w:hAnsi="宋体" w:eastAsia="方正仿宋_GBK" w:cs="方正仿宋_GBK"/>
                <w:i w:val="0"/>
                <w:color w:val="000000"/>
                <w:kern w:val="0"/>
                <w:sz w:val="20"/>
                <w:szCs w:val="20"/>
                <w:u w:val="none"/>
                <w:lang w:val="en-US" w:eastAsia="zh-CN" w:bidi="ar"/>
              </w:rPr>
              <w:t>18</w:t>
            </w: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方正仿宋_GBK" w:cs="方正仿宋_GBK"/>
                <w:i w:val="0"/>
                <w:color w:val="000000"/>
                <w:sz w:val="20"/>
                <w:szCs w:val="20"/>
                <w:u w:val="none"/>
              </w:rPr>
            </w:pPr>
          </w:p>
        </w:tc>
        <w:tc>
          <w:tcPr>
            <w:tcW w:w="50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方正仿宋_GBK" w:cs="方正仿宋_GBK"/>
                <w:i w:val="0"/>
                <w:color w:val="000000"/>
                <w:sz w:val="20"/>
                <w:szCs w:val="20"/>
                <w:u w:val="none"/>
              </w:rPr>
            </w:pPr>
            <w:r>
              <w:rPr>
                <w:rFonts w:hint="eastAsia" w:ascii="宋体" w:hAnsi="宋体" w:eastAsia="方正仿宋_GBK" w:cs="方正仿宋_GBK"/>
                <w:i w:val="0"/>
                <w:color w:val="000000"/>
                <w:kern w:val="0"/>
                <w:sz w:val="20"/>
                <w:szCs w:val="20"/>
                <w:u w:val="none"/>
                <w:lang w:val="en-US" w:eastAsia="zh-CN" w:bidi="ar"/>
              </w:rPr>
              <w:t>社区和单位建有卫生管理组织和相关制度，卫生状况良好，环卫 设施完善，推行垃圾分类，垃圾及时清运，公共厕所符合卫生要求；道路平坦，绿化美化，无乱搭乱建、乱堆乱摆、乱停乱放、乱贴乱画、乱扔乱倒现象。</w:t>
            </w:r>
          </w:p>
        </w:tc>
        <w:tc>
          <w:tcPr>
            <w:tcW w:w="64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方正仿宋_GBK" w:cs="方正仿宋_GBK"/>
                <w:i w:val="0"/>
                <w:color w:val="000000"/>
                <w:sz w:val="20"/>
                <w:szCs w:val="20"/>
                <w:u w:val="none"/>
              </w:rPr>
            </w:pPr>
            <w:r>
              <w:rPr>
                <w:rFonts w:hint="eastAsia" w:ascii="宋体" w:hAnsi="宋体" w:eastAsia="方正仿宋_GBK" w:cs="方正仿宋_GBK"/>
                <w:i w:val="0"/>
                <w:color w:val="000000"/>
                <w:kern w:val="0"/>
                <w:sz w:val="20"/>
                <w:szCs w:val="20"/>
                <w:u w:val="none"/>
                <w:lang w:val="en-US" w:eastAsia="zh-CN" w:bidi="ar"/>
              </w:rPr>
              <w:t>1. 结合地方特点制订切合实际的各项卫生规章制度，积极开展各项爱国卫生活动.2.垃圾收集容器（房）、垃圾压缩收集站、公共厕所等环卫设施规范设置，定期保洁和维护。公共厕所达到三类或三类以上标准，厕所内清洁卫生，无蝇无蛆，基本无异臭味。3. 通过设立宣传栏、垃圾分类督导员、宣传员、指导员等方式，引导居民分类收集、分类投放生活垃圾。</w:t>
            </w:r>
          </w:p>
        </w:tc>
        <w:tc>
          <w:tcPr>
            <w:tcW w:w="14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方正仿宋_GBK" w:cs="方正仿宋_GBK"/>
                <w:i w:val="0"/>
                <w:color w:val="000000"/>
                <w:sz w:val="20"/>
                <w:szCs w:val="20"/>
                <w:u w:val="none"/>
              </w:rPr>
            </w:pPr>
            <w:r>
              <w:rPr>
                <w:rFonts w:hint="eastAsia" w:ascii="宋体" w:hAnsi="宋体" w:eastAsia="方正仿宋_GBK" w:cs="方正仿宋_GBK"/>
                <w:i w:val="0"/>
                <w:color w:val="000000"/>
                <w:kern w:val="0"/>
                <w:sz w:val="20"/>
                <w:szCs w:val="20"/>
                <w:u w:val="none"/>
                <w:lang w:val="en-US" w:eastAsia="zh-CN" w:bidi="ar"/>
              </w:rPr>
              <w:t>各乡镇（街办）、住建局</w:t>
            </w:r>
          </w:p>
        </w:tc>
        <w:tc>
          <w:tcPr>
            <w:tcW w:w="9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方正仿宋_GBK" w:cs="方正仿宋_GBK"/>
                <w:i w:val="0"/>
                <w:color w:val="000000"/>
                <w:sz w:val="20"/>
                <w:szCs w:val="20"/>
                <w:u w:val="none"/>
              </w:rPr>
            </w:pPr>
            <w:r>
              <w:rPr>
                <w:rFonts w:hint="eastAsia" w:ascii="宋体" w:hAnsi="宋体" w:eastAsia="方正仿宋_GBK" w:cs="方正仿宋_GBK"/>
                <w:i w:val="0"/>
                <w:color w:val="000000"/>
                <w:kern w:val="0"/>
                <w:sz w:val="20"/>
                <w:szCs w:val="20"/>
                <w:u w:val="none"/>
                <w:lang w:val="en-US" w:eastAsia="zh-CN" w:bidi="ar"/>
              </w:rPr>
              <w:t>贯穿2023年全年</w:t>
            </w:r>
          </w:p>
        </w:tc>
        <w:tc>
          <w:tcPr>
            <w:tcW w:w="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rPr>
                <w:rFonts w:hint="eastAsia" w:ascii="宋体" w:hAnsi="宋体" w:eastAsia="方正仿宋_GBK" w:cs="方正仿宋_GBK"/>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60" w:hRule="atLeast"/>
          <w:jc w:val="center"/>
        </w:trPr>
        <w:tc>
          <w:tcPr>
            <w:tcW w:w="7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方正仿宋_GBK" w:cs="方正仿宋_GBK"/>
                <w:i w:val="0"/>
                <w:color w:val="000000"/>
                <w:sz w:val="20"/>
                <w:szCs w:val="20"/>
                <w:u w:val="none"/>
              </w:rPr>
            </w:pPr>
            <w:r>
              <w:rPr>
                <w:rFonts w:hint="eastAsia" w:ascii="宋体" w:hAnsi="宋体" w:eastAsia="方正仿宋_GBK" w:cs="方正仿宋_GBK"/>
                <w:i w:val="0"/>
                <w:color w:val="000000"/>
                <w:kern w:val="0"/>
                <w:sz w:val="20"/>
                <w:szCs w:val="20"/>
                <w:u w:val="none"/>
                <w:lang w:val="en-US" w:eastAsia="zh-CN" w:bidi="ar"/>
              </w:rPr>
              <w:t>19</w:t>
            </w: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方正仿宋_GBK" w:cs="方正仿宋_GBK"/>
                <w:i w:val="0"/>
                <w:color w:val="000000"/>
                <w:sz w:val="20"/>
                <w:szCs w:val="20"/>
                <w:u w:val="none"/>
              </w:rPr>
            </w:pPr>
          </w:p>
        </w:tc>
        <w:tc>
          <w:tcPr>
            <w:tcW w:w="50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方正仿宋_GBK" w:cs="方正仿宋_GBK"/>
                <w:i w:val="0"/>
                <w:color w:val="000000"/>
                <w:sz w:val="20"/>
                <w:szCs w:val="20"/>
                <w:u w:val="none"/>
              </w:rPr>
            </w:pPr>
            <w:r>
              <w:rPr>
                <w:rFonts w:hint="eastAsia" w:ascii="宋体" w:hAnsi="宋体" w:eastAsia="方正仿宋_GBK" w:cs="方正仿宋_GBK"/>
                <w:i w:val="0"/>
                <w:color w:val="000000"/>
                <w:kern w:val="0"/>
                <w:sz w:val="20"/>
                <w:szCs w:val="20"/>
                <w:u w:val="none"/>
                <w:lang w:val="en-US" w:eastAsia="zh-CN" w:bidi="ar"/>
              </w:rPr>
              <w:t>城乡结合部建有配套生活污水处理、排放设施和充足的垃圾收集站（点）、再生资源回收站（点）、公共厕所等设施；卫生清扫保洁及时，日常管理规范，垃圾及时清运，普及卫生户厕；道路硬化平整，主要道路配备路灯；无乱搭乱建、乱堆乱摆、乱停乱放、乱贴乱画、乱扔乱倒现象。</w:t>
            </w:r>
          </w:p>
        </w:tc>
        <w:tc>
          <w:tcPr>
            <w:tcW w:w="64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方正仿宋_GBK" w:cs="方正仿宋_GBK"/>
                <w:i w:val="0"/>
                <w:color w:val="000000"/>
                <w:sz w:val="20"/>
                <w:szCs w:val="20"/>
                <w:u w:val="none"/>
              </w:rPr>
            </w:pPr>
            <w:r>
              <w:rPr>
                <w:rFonts w:hint="eastAsia" w:ascii="宋体" w:hAnsi="宋体" w:eastAsia="方正仿宋_GBK" w:cs="方正仿宋_GBK"/>
                <w:i w:val="0"/>
                <w:color w:val="000000"/>
                <w:kern w:val="0"/>
                <w:sz w:val="20"/>
                <w:szCs w:val="20"/>
                <w:u w:val="none"/>
                <w:lang w:val="en-US" w:eastAsia="zh-CN" w:bidi="ar"/>
              </w:rPr>
              <w:t>1.积极组织开展城乡结合部基础设施建设和环境卫生综合整治活动，规范设置和管理环境卫生设施，提升城乡结合部环境，促进城乡和谐发展。2.垃圾收集设施位置相对固定，满足生活垃圾分类收集要求，并与分类</w:t>
            </w:r>
            <w:r>
              <w:rPr>
                <w:rFonts w:hint="eastAsia" w:ascii="宋体" w:hAnsi="宋体" w:eastAsia="方正仿宋_GBK" w:cs="方正仿宋_GBK"/>
                <w:i w:val="0"/>
                <w:color w:val="000000"/>
                <w:kern w:val="0"/>
                <w:sz w:val="20"/>
                <w:szCs w:val="20"/>
                <w:u w:val="none"/>
                <w:lang w:val="en-US" w:eastAsia="zh-CN" w:bidi="ar"/>
              </w:rPr>
              <w:br w:type="textWrapping"/>
            </w:r>
            <w:r>
              <w:rPr>
                <w:rFonts w:hint="eastAsia" w:ascii="宋体" w:hAnsi="宋体" w:eastAsia="方正仿宋_GBK" w:cs="方正仿宋_GBK"/>
                <w:i w:val="0"/>
                <w:color w:val="000000"/>
                <w:kern w:val="0"/>
                <w:sz w:val="20"/>
                <w:szCs w:val="20"/>
                <w:u w:val="none"/>
                <w:lang w:val="en-US" w:eastAsia="zh-CN" w:bidi="ar"/>
              </w:rPr>
              <w:t>处理方式相适应。3.公厕设置符合规划，数量满足要求，有专人管理，厕所内外环境清洁卫生。积极开展改水改厕和环境整治，做到安全供水，全面使用卫生厕所。4.配齐城乡结合部清扫保洁队伍，制定卫生保洁制度。5.道路硬化平整，无坑洼、积水及泥土裸露。6.加强铁路沿线两侧环境卫生整治，铁路两侧 500 米范围内无露天堆放的彩钢瓦、塑料薄膜、防尘网等轻飘物品，铁路沿线安全保护区内无倾倒垃圾、排污等现象。</w:t>
            </w:r>
          </w:p>
        </w:tc>
        <w:tc>
          <w:tcPr>
            <w:tcW w:w="14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方正仿宋_GBK" w:cs="方正仿宋_GBK"/>
                <w:i w:val="0"/>
                <w:color w:val="000000"/>
                <w:sz w:val="20"/>
                <w:szCs w:val="20"/>
                <w:u w:val="none"/>
              </w:rPr>
            </w:pPr>
            <w:r>
              <w:rPr>
                <w:rFonts w:hint="eastAsia" w:ascii="宋体" w:hAnsi="宋体" w:eastAsia="方正仿宋_GBK" w:cs="方正仿宋_GBK"/>
                <w:i w:val="0"/>
                <w:color w:val="000000"/>
                <w:kern w:val="0"/>
                <w:sz w:val="20"/>
                <w:szCs w:val="20"/>
                <w:u w:val="none"/>
                <w:lang w:val="en-US" w:eastAsia="zh-CN" w:bidi="ar"/>
              </w:rPr>
              <w:t>各乡镇（街办）、住建局</w:t>
            </w:r>
          </w:p>
        </w:tc>
        <w:tc>
          <w:tcPr>
            <w:tcW w:w="9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方正仿宋_GBK" w:cs="方正仿宋_GBK"/>
                <w:i w:val="0"/>
                <w:color w:val="000000"/>
                <w:sz w:val="20"/>
                <w:szCs w:val="20"/>
                <w:u w:val="none"/>
              </w:rPr>
            </w:pPr>
            <w:r>
              <w:rPr>
                <w:rFonts w:hint="eastAsia" w:ascii="宋体" w:hAnsi="宋体" w:eastAsia="方正仿宋_GBK" w:cs="方正仿宋_GBK"/>
                <w:i w:val="0"/>
                <w:color w:val="000000"/>
                <w:kern w:val="0"/>
                <w:sz w:val="20"/>
                <w:szCs w:val="20"/>
                <w:u w:val="none"/>
                <w:lang w:val="en-US" w:eastAsia="zh-CN" w:bidi="ar"/>
              </w:rPr>
              <w:t>贯穿2023年全年</w:t>
            </w:r>
          </w:p>
        </w:tc>
        <w:tc>
          <w:tcPr>
            <w:tcW w:w="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rPr>
                <w:rFonts w:hint="eastAsia" w:ascii="宋体" w:hAnsi="宋体" w:eastAsia="方正仿宋_GBK" w:cs="方正仿宋_GBK"/>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jc w:val="center"/>
        </w:trPr>
        <w:tc>
          <w:tcPr>
            <w:tcW w:w="7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方正仿宋_GBK" w:cs="方正仿宋_GBK"/>
                <w:i w:val="0"/>
                <w:color w:val="000000"/>
                <w:sz w:val="20"/>
                <w:szCs w:val="20"/>
                <w:u w:val="none"/>
              </w:rPr>
            </w:pPr>
            <w:r>
              <w:rPr>
                <w:rFonts w:hint="eastAsia" w:ascii="宋体" w:hAnsi="宋体" w:eastAsia="方正仿宋_GBK" w:cs="方正仿宋_GBK"/>
                <w:i w:val="0"/>
                <w:color w:val="000000"/>
                <w:kern w:val="0"/>
                <w:sz w:val="20"/>
                <w:szCs w:val="20"/>
                <w:u w:val="none"/>
                <w:lang w:val="en-US" w:eastAsia="zh-CN" w:bidi="ar"/>
              </w:rPr>
              <w:t>20</w:t>
            </w: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方正仿宋_GBK" w:cs="方正仿宋_GBK"/>
                <w:i w:val="0"/>
                <w:color w:val="000000"/>
                <w:sz w:val="20"/>
                <w:szCs w:val="20"/>
                <w:u w:val="none"/>
              </w:rPr>
            </w:pPr>
          </w:p>
        </w:tc>
        <w:tc>
          <w:tcPr>
            <w:tcW w:w="50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方正仿宋_GBK" w:cs="方正仿宋_GBK"/>
                <w:i w:val="0"/>
                <w:color w:val="000000"/>
                <w:sz w:val="20"/>
                <w:szCs w:val="20"/>
                <w:u w:val="none"/>
              </w:rPr>
            </w:pPr>
            <w:r>
              <w:rPr>
                <w:rFonts w:hint="eastAsia" w:ascii="宋体" w:hAnsi="宋体" w:eastAsia="方正仿宋_GBK" w:cs="方正仿宋_GBK"/>
                <w:i w:val="0"/>
                <w:color w:val="000000"/>
                <w:kern w:val="0"/>
                <w:sz w:val="20"/>
                <w:szCs w:val="20"/>
                <w:u w:val="none"/>
                <w:lang w:val="en-US" w:eastAsia="zh-CN" w:bidi="ar"/>
              </w:rPr>
              <w:t>加强铁路沿线两侧环境卫生整治，铁路两侧 500 米范围内无露天堆放的彩钢瓦、塑料薄膜、防尘网等轻飘物品，铁路沿线安全保护区内无倾倒垃圾、排污等现象。</w:t>
            </w:r>
          </w:p>
        </w:tc>
        <w:tc>
          <w:tcPr>
            <w:tcW w:w="64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方正仿宋_GBK" w:cs="方正仿宋_GBK"/>
                <w:i w:val="0"/>
                <w:color w:val="000000"/>
                <w:sz w:val="20"/>
                <w:szCs w:val="20"/>
                <w:u w:val="none"/>
              </w:rPr>
            </w:pPr>
            <w:r>
              <w:rPr>
                <w:rFonts w:hint="eastAsia" w:ascii="宋体" w:hAnsi="宋体" w:eastAsia="方正仿宋_GBK" w:cs="方正仿宋_GBK"/>
                <w:i w:val="0"/>
                <w:color w:val="000000"/>
                <w:kern w:val="0"/>
                <w:sz w:val="20"/>
                <w:szCs w:val="20"/>
                <w:u w:val="none"/>
                <w:lang w:val="en-US" w:eastAsia="zh-CN" w:bidi="ar"/>
              </w:rPr>
              <w:t>加强铁路沿线安全管控，防尘网、塑料薄膜、彩钢瓦、简易房等轻硬质建（构）筑物安装牢固，无违法、废弃、破损严重的经营、办公、居住等轻硬质建（构）筑物。</w:t>
            </w:r>
          </w:p>
        </w:tc>
        <w:tc>
          <w:tcPr>
            <w:tcW w:w="14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方正仿宋_GBK" w:cs="方正仿宋_GBK"/>
                <w:i w:val="0"/>
                <w:color w:val="000000"/>
                <w:sz w:val="20"/>
                <w:szCs w:val="20"/>
                <w:u w:val="none"/>
              </w:rPr>
            </w:pPr>
            <w:r>
              <w:rPr>
                <w:rFonts w:hint="eastAsia" w:ascii="宋体" w:hAnsi="宋体" w:eastAsia="方正仿宋_GBK" w:cs="方正仿宋_GBK"/>
                <w:i w:val="0"/>
                <w:color w:val="000000"/>
                <w:kern w:val="0"/>
                <w:sz w:val="20"/>
                <w:szCs w:val="20"/>
                <w:u w:val="none"/>
                <w:lang w:val="en-US" w:eastAsia="zh-CN" w:bidi="ar"/>
              </w:rPr>
              <w:t>各乡镇（街办）、交通局</w:t>
            </w:r>
          </w:p>
        </w:tc>
        <w:tc>
          <w:tcPr>
            <w:tcW w:w="9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方正仿宋_GBK" w:cs="方正仿宋_GBK"/>
                <w:i w:val="0"/>
                <w:color w:val="000000"/>
                <w:sz w:val="20"/>
                <w:szCs w:val="20"/>
                <w:u w:val="none"/>
              </w:rPr>
            </w:pPr>
            <w:r>
              <w:rPr>
                <w:rFonts w:hint="eastAsia" w:ascii="宋体" w:hAnsi="宋体" w:eastAsia="方正仿宋_GBK" w:cs="方正仿宋_GBK"/>
                <w:i w:val="0"/>
                <w:color w:val="000000"/>
                <w:kern w:val="0"/>
                <w:sz w:val="20"/>
                <w:szCs w:val="20"/>
                <w:u w:val="none"/>
                <w:lang w:val="en-US" w:eastAsia="zh-CN" w:bidi="ar"/>
              </w:rPr>
              <w:t>贯穿2023年全年</w:t>
            </w:r>
          </w:p>
        </w:tc>
        <w:tc>
          <w:tcPr>
            <w:tcW w:w="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rPr>
                <w:rFonts w:hint="eastAsia" w:ascii="宋体" w:hAnsi="宋体" w:eastAsia="方正仿宋_GBK" w:cs="方正仿宋_GBK"/>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0" w:hRule="atLeast"/>
          <w:jc w:val="center"/>
        </w:trPr>
        <w:tc>
          <w:tcPr>
            <w:tcW w:w="7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方正仿宋_GBK" w:cs="方正仿宋_GBK"/>
                <w:i w:val="0"/>
                <w:color w:val="000000"/>
                <w:sz w:val="20"/>
                <w:szCs w:val="20"/>
                <w:u w:val="none"/>
              </w:rPr>
            </w:pPr>
            <w:r>
              <w:rPr>
                <w:rFonts w:hint="eastAsia" w:ascii="宋体" w:hAnsi="宋体" w:eastAsia="方正仿宋_GBK" w:cs="方正仿宋_GBK"/>
                <w:i w:val="0"/>
                <w:color w:val="000000"/>
                <w:kern w:val="0"/>
                <w:sz w:val="20"/>
                <w:szCs w:val="20"/>
                <w:u w:val="none"/>
                <w:lang w:val="en-US" w:eastAsia="zh-CN" w:bidi="ar"/>
              </w:rPr>
              <w:t>21</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方正仿宋_GBK" w:cs="方正仿宋_GBK"/>
                <w:i w:val="0"/>
                <w:color w:val="000000"/>
                <w:sz w:val="20"/>
                <w:szCs w:val="20"/>
                <w:u w:val="none"/>
              </w:rPr>
            </w:pPr>
            <w:r>
              <w:rPr>
                <w:rFonts w:hint="eastAsia" w:ascii="宋体" w:hAnsi="宋体" w:eastAsia="方正仿宋_GBK" w:cs="方正仿宋_GBK"/>
                <w:i w:val="0"/>
                <w:color w:val="000000"/>
                <w:kern w:val="0"/>
                <w:sz w:val="20"/>
                <w:szCs w:val="20"/>
                <w:u w:val="none"/>
                <w:lang w:val="en-US" w:eastAsia="zh-CN" w:bidi="ar"/>
              </w:rPr>
              <w:t>生态环境</w:t>
            </w:r>
          </w:p>
        </w:tc>
        <w:tc>
          <w:tcPr>
            <w:tcW w:w="50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方正仿宋_GBK" w:cs="方正仿宋_GBK"/>
                <w:i w:val="0"/>
                <w:color w:val="000000"/>
                <w:sz w:val="20"/>
                <w:szCs w:val="20"/>
                <w:u w:val="none"/>
              </w:rPr>
            </w:pPr>
            <w:r>
              <w:rPr>
                <w:rFonts w:hint="eastAsia" w:ascii="宋体" w:hAnsi="宋体" w:eastAsia="方正仿宋_GBK" w:cs="方正仿宋_GBK"/>
                <w:i w:val="0"/>
                <w:color w:val="000000"/>
                <w:kern w:val="0"/>
                <w:sz w:val="20"/>
                <w:szCs w:val="20"/>
                <w:u w:val="none"/>
                <w:lang w:val="en-US" w:eastAsia="zh-CN" w:bidi="ar"/>
              </w:rPr>
              <w:t>近3年辖区内未发生重大环境污染和生态破坏事故。</w:t>
            </w:r>
          </w:p>
        </w:tc>
        <w:tc>
          <w:tcPr>
            <w:tcW w:w="64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方正仿宋_GBK" w:cs="方正仿宋_GBK"/>
                <w:i w:val="0"/>
                <w:color w:val="000000"/>
                <w:sz w:val="20"/>
                <w:szCs w:val="20"/>
                <w:u w:val="none"/>
              </w:rPr>
            </w:pPr>
            <w:r>
              <w:rPr>
                <w:rFonts w:hint="eastAsia" w:ascii="宋体" w:hAnsi="宋体" w:eastAsia="方正仿宋_GBK" w:cs="方正仿宋_GBK"/>
                <w:i w:val="0"/>
                <w:color w:val="000000"/>
                <w:kern w:val="0"/>
                <w:sz w:val="20"/>
                <w:szCs w:val="20"/>
                <w:u w:val="none"/>
                <w:lang w:val="en-US" w:eastAsia="zh-CN" w:bidi="ar"/>
              </w:rPr>
              <w:t>严格按照重大环境和生态破坏事故标准执行。</w:t>
            </w:r>
          </w:p>
        </w:tc>
        <w:tc>
          <w:tcPr>
            <w:tcW w:w="14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方正仿宋_GBK" w:cs="方正仿宋_GBK"/>
                <w:i w:val="0"/>
                <w:color w:val="000000"/>
                <w:sz w:val="20"/>
                <w:szCs w:val="20"/>
                <w:u w:val="none"/>
              </w:rPr>
            </w:pPr>
            <w:r>
              <w:rPr>
                <w:rFonts w:hint="eastAsia" w:ascii="宋体" w:hAnsi="宋体" w:eastAsia="方正仿宋_GBK" w:cs="方正仿宋_GBK"/>
                <w:i w:val="0"/>
                <w:color w:val="000000"/>
                <w:kern w:val="0"/>
                <w:sz w:val="20"/>
                <w:szCs w:val="20"/>
                <w:u w:val="none"/>
                <w:lang w:val="en-US" w:eastAsia="zh-CN" w:bidi="ar"/>
              </w:rPr>
              <w:t>各乡镇（街办）、生态环境局、住建局、卫健委</w:t>
            </w:r>
          </w:p>
        </w:tc>
        <w:tc>
          <w:tcPr>
            <w:tcW w:w="9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方正仿宋_GBK" w:cs="方正仿宋_GBK"/>
                <w:i w:val="0"/>
                <w:color w:val="000000"/>
                <w:sz w:val="20"/>
                <w:szCs w:val="20"/>
                <w:u w:val="none"/>
              </w:rPr>
            </w:pPr>
            <w:r>
              <w:rPr>
                <w:rFonts w:hint="eastAsia" w:ascii="宋体" w:hAnsi="宋体" w:eastAsia="方正仿宋_GBK" w:cs="方正仿宋_GBK"/>
                <w:i w:val="0"/>
                <w:color w:val="000000"/>
                <w:kern w:val="0"/>
                <w:sz w:val="20"/>
                <w:szCs w:val="20"/>
                <w:u w:val="none"/>
                <w:lang w:val="en-US" w:eastAsia="zh-CN" w:bidi="ar"/>
              </w:rPr>
              <w:t>贯穿2023年全年</w:t>
            </w:r>
          </w:p>
        </w:tc>
        <w:tc>
          <w:tcPr>
            <w:tcW w:w="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rPr>
                <w:rFonts w:hint="eastAsia" w:ascii="宋体" w:hAnsi="宋体" w:eastAsia="方正仿宋_GBK" w:cs="方正仿宋_GBK"/>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40" w:hRule="atLeast"/>
          <w:jc w:val="center"/>
        </w:trPr>
        <w:tc>
          <w:tcPr>
            <w:tcW w:w="7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方正仿宋_GBK" w:cs="方正仿宋_GBK"/>
                <w:i w:val="0"/>
                <w:color w:val="000000"/>
                <w:sz w:val="20"/>
                <w:szCs w:val="20"/>
                <w:u w:val="none"/>
              </w:rPr>
            </w:pPr>
            <w:r>
              <w:rPr>
                <w:rFonts w:hint="eastAsia" w:ascii="宋体" w:hAnsi="宋体" w:eastAsia="方正仿宋_GBK" w:cs="方正仿宋_GBK"/>
                <w:i w:val="0"/>
                <w:color w:val="000000"/>
                <w:kern w:val="0"/>
                <w:sz w:val="20"/>
                <w:szCs w:val="20"/>
                <w:u w:val="none"/>
                <w:lang w:val="en-US" w:eastAsia="zh-CN" w:bidi="ar"/>
              </w:rPr>
              <w:t>22</w:t>
            </w: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方正仿宋_GBK" w:cs="方正仿宋_GBK"/>
                <w:i w:val="0"/>
                <w:color w:val="000000"/>
                <w:sz w:val="20"/>
                <w:szCs w:val="20"/>
                <w:u w:val="none"/>
              </w:rPr>
            </w:pPr>
          </w:p>
        </w:tc>
        <w:tc>
          <w:tcPr>
            <w:tcW w:w="50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方正仿宋_GBK" w:cs="方正仿宋_GBK"/>
                <w:i w:val="0"/>
                <w:color w:val="000000"/>
                <w:sz w:val="20"/>
                <w:szCs w:val="20"/>
                <w:u w:val="none"/>
              </w:rPr>
            </w:pPr>
            <w:r>
              <w:rPr>
                <w:rFonts w:hint="eastAsia" w:ascii="宋体" w:hAnsi="宋体" w:eastAsia="方正仿宋_GBK" w:cs="方正仿宋_GBK"/>
                <w:i w:val="0"/>
                <w:color w:val="000000"/>
                <w:kern w:val="0"/>
                <w:sz w:val="20"/>
                <w:szCs w:val="20"/>
                <w:u w:val="none"/>
                <w:lang w:val="en-US" w:eastAsia="zh-CN" w:bidi="ar"/>
              </w:rPr>
              <w:t>加强大气污染治理，环境空气质量良好或持续改善。无烟囱排黑烟现象，无秸秆、垃圾露天焚烧现象。排放油烟的餐饮单位安装油烟净化装置并保持正常使用。</w:t>
            </w:r>
          </w:p>
        </w:tc>
        <w:tc>
          <w:tcPr>
            <w:tcW w:w="64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方正仿宋_GBK" w:cs="方正仿宋_GBK"/>
                <w:i w:val="0"/>
                <w:color w:val="000000"/>
                <w:sz w:val="20"/>
                <w:szCs w:val="20"/>
                <w:u w:val="none"/>
              </w:rPr>
            </w:pPr>
            <w:r>
              <w:rPr>
                <w:rFonts w:hint="eastAsia" w:ascii="宋体" w:hAnsi="宋体" w:eastAsia="方正仿宋_GBK" w:cs="方正仿宋_GBK"/>
                <w:i w:val="0"/>
                <w:color w:val="000000"/>
                <w:kern w:val="0"/>
                <w:sz w:val="20"/>
                <w:szCs w:val="20"/>
                <w:u w:val="none"/>
                <w:lang w:val="en-US" w:eastAsia="zh-CN" w:bidi="ar"/>
              </w:rPr>
              <w:t>1.环境空气质量指数（AQI）不超过 100 的天数≥320 天（国家卫生县≥300 天）；达不到该要求的地区，环境空气质量指数需逐年持续改善。2.各类污染源废气排放满足国家或地方大气污染物排放标准要求。烟囱烟气经烟气净化装置净化后达标排放，无排放黑烟现象。</w:t>
            </w:r>
          </w:p>
        </w:tc>
        <w:tc>
          <w:tcPr>
            <w:tcW w:w="14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方正仿宋_GBK" w:cs="方正仿宋_GBK"/>
                <w:i w:val="0"/>
                <w:color w:val="000000"/>
                <w:sz w:val="20"/>
                <w:szCs w:val="20"/>
                <w:u w:val="none"/>
              </w:rPr>
            </w:pPr>
            <w:r>
              <w:rPr>
                <w:rFonts w:hint="eastAsia" w:ascii="宋体" w:hAnsi="宋体" w:eastAsia="方正仿宋_GBK" w:cs="方正仿宋_GBK"/>
                <w:i w:val="0"/>
                <w:color w:val="000000"/>
                <w:kern w:val="0"/>
                <w:sz w:val="20"/>
                <w:szCs w:val="20"/>
                <w:u w:val="none"/>
                <w:lang w:val="en-US" w:eastAsia="zh-CN" w:bidi="ar"/>
              </w:rPr>
              <w:t>各乡镇（街办）、生态环境局、市监局</w:t>
            </w:r>
          </w:p>
        </w:tc>
        <w:tc>
          <w:tcPr>
            <w:tcW w:w="9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方正仿宋_GBK" w:cs="方正仿宋_GBK"/>
                <w:i w:val="0"/>
                <w:color w:val="000000"/>
                <w:sz w:val="20"/>
                <w:szCs w:val="20"/>
                <w:u w:val="none"/>
              </w:rPr>
            </w:pPr>
            <w:r>
              <w:rPr>
                <w:rFonts w:hint="eastAsia" w:ascii="宋体" w:hAnsi="宋体" w:eastAsia="方正仿宋_GBK" w:cs="方正仿宋_GBK"/>
                <w:i w:val="0"/>
                <w:color w:val="000000"/>
                <w:kern w:val="0"/>
                <w:sz w:val="20"/>
                <w:szCs w:val="20"/>
                <w:u w:val="none"/>
                <w:lang w:val="en-US" w:eastAsia="zh-CN" w:bidi="ar"/>
              </w:rPr>
              <w:t>贯穿2023年全年</w:t>
            </w:r>
          </w:p>
        </w:tc>
        <w:tc>
          <w:tcPr>
            <w:tcW w:w="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rPr>
                <w:rFonts w:hint="eastAsia" w:ascii="宋体" w:hAnsi="宋体" w:eastAsia="方正仿宋_GBK" w:cs="方正仿宋_GBK"/>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40" w:hRule="atLeast"/>
          <w:jc w:val="center"/>
        </w:trPr>
        <w:tc>
          <w:tcPr>
            <w:tcW w:w="7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方正仿宋_GBK" w:cs="方正仿宋_GBK"/>
                <w:i w:val="0"/>
                <w:color w:val="000000"/>
                <w:sz w:val="20"/>
                <w:szCs w:val="20"/>
                <w:u w:val="none"/>
              </w:rPr>
            </w:pPr>
            <w:r>
              <w:rPr>
                <w:rFonts w:hint="eastAsia" w:ascii="宋体" w:hAnsi="宋体" w:eastAsia="方正仿宋_GBK" w:cs="方正仿宋_GBK"/>
                <w:i w:val="0"/>
                <w:color w:val="000000"/>
                <w:kern w:val="0"/>
                <w:sz w:val="20"/>
                <w:szCs w:val="20"/>
                <w:u w:val="none"/>
                <w:lang w:val="en-US" w:eastAsia="zh-CN" w:bidi="ar"/>
              </w:rPr>
              <w:t>23</w:t>
            </w: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方正仿宋_GBK" w:cs="方正仿宋_GBK"/>
                <w:i w:val="0"/>
                <w:color w:val="000000"/>
                <w:sz w:val="20"/>
                <w:szCs w:val="20"/>
                <w:u w:val="none"/>
              </w:rPr>
            </w:pPr>
          </w:p>
        </w:tc>
        <w:tc>
          <w:tcPr>
            <w:tcW w:w="50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方正仿宋_GBK" w:cs="方正仿宋_GBK"/>
                <w:i w:val="0"/>
                <w:color w:val="000000"/>
                <w:sz w:val="20"/>
                <w:szCs w:val="20"/>
                <w:u w:val="none"/>
              </w:rPr>
            </w:pPr>
            <w:r>
              <w:rPr>
                <w:rFonts w:hint="eastAsia" w:ascii="宋体" w:hAnsi="宋体" w:eastAsia="方正仿宋_GBK" w:cs="方正仿宋_GBK"/>
                <w:i w:val="0"/>
                <w:color w:val="000000"/>
                <w:kern w:val="0"/>
                <w:sz w:val="20"/>
                <w:szCs w:val="20"/>
                <w:u w:val="none"/>
                <w:lang w:val="en-US" w:eastAsia="zh-CN" w:bidi="ar"/>
              </w:rPr>
              <w:t>区域环境噪声控制良好，声功能区夜间环境质量达标。</w:t>
            </w:r>
          </w:p>
        </w:tc>
        <w:tc>
          <w:tcPr>
            <w:tcW w:w="64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方正仿宋_GBK" w:cs="方正仿宋_GBK"/>
                <w:i w:val="0"/>
                <w:color w:val="000000"/>
                <w:sz w:val="20"/>
                <w:szCs w:val="20"/>
                <w:u w:val="none"/>
              </w:rPr>
            </w:pPr>
            <w:r>
              <w:rPr>
                <w:rFonts w:hint="eastAsia" w:ascii="宋体" w:hAnsi="宋体" w:eastAsia="方正仿宋_GBK" w:cs="方正仿宋_GBK"/>
                <w:i w:val="0"/>
                <w:color w:val="000000"/>
                <w:kern w:val="0"/>
                <w:sz w:val="20"/>
                <w:szCs w:val="20"/>
                <w:u w:val="none"/>
                <w:lang w:val="en-US" w:eastAsia="zh-CN" w:bidi="ar"/>
              </w:rPr>
              <w:t>1.噪声污染控制区域环境噪声平均值≤55 分贝，声功能区夜间环境质量达标率≥75%。2.严格执行五种类型声环境功能区环境噪声限值。</w:t>
            </w:r>
          </w:p>
        </w:tc>
        <w:tc>
          <w:tcPr>
            <w:tcW w:w="14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方正仿宋_GBK" w:cs="方正仿宋_GBK"/>
                <w:i w:val="0"/>
                <w:color w:val="000000"/>
                <w:sz w:val="20"/>
                <w:szCs w:val="20"/>
                <w:u w:val="none"/>
              </w:rPr>
            </w:pPr>
            <w:r>
              <w:rPr>
                <w:rFonts w:hint="eastAsia" w:ascii="宋体" w:hAnsi="宋体" w:eastAsia="方正仿宋_GBK" w:cs="方正仿宋_GBK"/>
                <w:i w:val="0"/>
                <w:color w:val="000000"/>
                <w:kern w:val="0"/>
                <w:sz w:val="20"/>
                <w:szCs w:val="20"/>
                <w:u w:val="none"/>
                <w:lang w:val="en-US" w:eastAsia="zh-CN" w:bidi="ar"/>
              </w:rPr>
              <w:t>各乡镇（街办）、生态环境局</w:t>
            </w:r>
          </w:p>
        </w:tc>
        <w:tc>
          <w:tcPr>
            <w:tcW w:w="9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方正仿宋_GBK" w:cs="方正仿宋_GBK"/>
                <w:i w:val="0"/>
                <w:color w:val="000000"/>
                <w:sz w:val="20"/>
                <w:szCs w:val="20"/>
                <w:u w:val="none"/>
              </w:rPr>
            </w:pPr>
            <w:r>
              <w:rPr>
                <w:rFonts w:hint="eastAsia" w:ascii="宋体" w:hAnsi="宋体" w:eastAsia="方正仿宋_GBK" w:cs="方正仿宋_GBK"/>
                <w:i w:val="0"/>
                <w:color w:val="000000"/>
                <w:kern w:val="0"/>
                <w:sz w:val="20"/>
                <w:szCs w:val="20"/>
                <w:u w:val="none"/>
                <w:lang w:val="en-US" w:eastAsia="zh-CN" w:bidi="ar"/>
              </w:rPr>
              <w:t>贯穿2023年全年</w:t>
            </w:r>
          </w:p>
        </w:tc>
        <w:tc>
          <w:tcPr>
            <w:tcW w:w="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rPr>
                <w:rFonts w:hint="eastAsia" w:ascii="宋体" w:hAnsi="宋体" w:eastAsia="方正仿宋_GBK" w:cs="方正仿宋_GBK"/>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29" w:hRule="atLeast"/>
          <w:jc w:val="center"/>
        </w:trPr>
        <w:tc>
          <w:tcPr>
            <w:tcW w:w="7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方正仿宋_GBK" w:cs="方正仿宋_GBK"/>
                <w:i w:val="0"/>
                <w:color w:val="000000"/>
                <w:sz w:val="20"/>
                <w:szCs w:val="20"/>
                <w:u w:val="none"/>
              </w:rPr>
            </w:pPr>
            <w:r>
              <w:rPr>
                <w:rFonts w:hint="eastAsia" w:ascii="宋体" w:hAnsi="宋体" w:eastAsia="方正仿宋_GBK" w:cs="方正仿宋_GBK"/>
                <w:i w:val="0"/>
                <w:color w:val="000000"/>
                <w:kern w:val="0"/>
                <w:sz w:val="20"/>
                <w:szCs w:val="20"/>
                <w:u w:val="none"/>
                <w:lang w:val="en-US" w:eastAsia="zh-CN" w:bidi="ar"/>
              </w:rPr>
              <w:t>24</w:t>
            </w: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方正仿宋_GBK" w:cs="方正仿宋_GBK"/>
                <w:i w:val="0"/>
                <w:color w:val="000000"/>
                <w:sz w:val="20"/>
                <w:szCs w:val="20"/>
                <w:u w:val="none"/>
              </w:rPr>
            </w:pPr>
          </w:p>
        </w:tc>
        <w:tc>
          <w:tcPr>
            <w:tcW w:w="50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方正仿宋_GBK" w:cs="方正仿宋_GBK"/>
                <w:i w:val="0"/>
                <w:color w:val="000000"/>
                <w:sz w:val="20"/>
                <w:szCs w:val="20"/>
                <w:u w:val="none"/>
              </w:rPr>
            </w:pPr>
            <w:r>
              <w:rPr>
                <w:rFonts w:hint="eastAsia" w:ascii="宋体" w:hAnsi="宋体" w:eastAsia="方正仿宋_GBK" w:cs="方正仿宋_GBK"/>
                <w:i w:val="0"/>
                <w:color w:val="000000"/>
                <w:kern w:val="0"/>
                <w:sz w:val="20"/>
                <w:szCs w:val="20"/>
                <w:u w:val="none"/>
                <w:lang w:val="en-US" w:eastAsia="zh-CN" w:bidi="ar"/>
              </w:rPr>
              <w:t>各级水环境功能区全部达到要求，未划定功能区的水质不低于五类。无乱排污水现象，无黑臭水体。</w:t>
            </w:r>
          </w:p>
        </w:tc>
        <w:tc>
          <w:tcPr>
            <w:tcW w:w="64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方正仿宋_GBK" w:cs="方正仿宋_GBK"/>
                <w:i w:val="0"/>
                <w:color w:val="000000"/>
                <w:sz w:val="20"/>
                <w:szCs w:val="20"/>
                <w:u w:val="none"/>
              </w:rPr>
            </w:pPr>
            <w:r>
              <w:rPr>
                <w:rFonts w:hint="eastAsia" w:ascii="宋体" w:hAnsi="宋体" w:eastAsia="方正仿宋_GBK" w:cs="方正仿宋_GBK"/>
                <w:i w:val="0"/>
                <w:color w:val="000000"/>
                <w:kern w:val="0"/>
                <w:sz w:val="20"/>
                <w:szCs w:val="20"/>
                <w:u w:val="none"/>
                <w:lang w:val="en-US" w:eastAsia="zh-CN" w:bidi="ar"/>
              </w:rPr>
              <w:t>1.水环境功能区（或水功能区）划分合理，监测符合要求，水质达到功能区类别对应的要求。2.污水按照要求进行收集处理，无乱排污水现象。</w:t>
            </w:r>
          </w:p>
        </w:tc>
        <w:tc>
          <w:tcPr>
            <w:tcW w:w="14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方正仿宋_GBK" w:cs="方正仿宋_GBK"/>
                <w:i w:val="0"/>
                <w:color w:val="000000"/>
                <w:sz w:val="20"/>
                <w:szCs w:val="20"/>
                <w:u w:val="none"/>
              </w:rPr>
            </w:pPr>
            <w:r>
              <w:rPr>
                <w:rFonts w:hint="eastAsia" w:ascii="宋体" w:hAnsi="宋体" w:eastAsia="方正仿宋_GBK" w:cs="方正仿宋_GBK"/>
                <w:i w:val="0"/>
                <w:color w:val="000000"/>
                <w:kern w:val="0"/>
                <w:sz w:val="20"/>
                <w:szCs w:val="20"/>
                <w:u w:val="none"/>
                <w:lang w:val="en-US" w:eastAsia="zh-CN" w:bidi="ar"/>
              </w:rPr>
              <w:t>水利局</w:t>
            </w:r>
          </w:p>
        </w:tc>
        <w:tc>
          <w:tcPr>
            <w:tcW w:w="9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方正仿宋_GBK" w:cs="方正仿宋_GBK"/>
                <w:i w:val="0"/>
                <w:color w:val="000000"/>
                <w:sz w:val="20"/>
                <w:szCs w:val="20"/>
                <w:u w:val="none"/>
              </w:rPr>
            </w:pPr>
            <w:r>
              <w:rPr>
                <w:rFonts w:hint="eastAsia" w:ascii="宋体" w:hAnsi="宋体" w:eastAsia="方正仿宋_GBK" w:cs="方正仿宋_GBK"/>
                <w:i w:val="0"/>
                <w:color w:val="000000"/>
                <w:kern w:val="0"/>
                <w:sz w:val="20"/>
                <w:szCs w:val="20"/>
                <w:u w:val="none"/>
                <w:lang w:val="en-US" w:eastAsia="zh-CN" w:bidi="ar"/>
              </w:rPr>
              <w:t>贯穿2023年全年</w:t>
            </w:r>
          </w:p>
        </w:tc>
        <w:tc>
          <w:tcPr>
            <w:tcW w:w="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rPr>
                <w:rFonts w:hint="eastAsia" w:ascii="宋体" w:hAnsi="宋体" w:eastAsia="方正仿宋_GBK" w:cs="方正仿宋_GBK"/>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35" w:hRule="atLeast"/>
          <w:jc w:val="center"/>
        </w:trPr>
        <w:tc>
          <w:tcPr>
            <w:tcW w:w="7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方正仿宋_GBK" w:cs="方正仿宋_GBK"/>
                <w:i w:val="0"/>
                <w:color w:val="000000"/>
                <w:sz w:val="20"/>
                <w:szCs w:val="20"/>
                <w:u w:val="none"/>
              </w:rPr>
            </w:pPr>
            <w:r>
              <w:rPr>
                <w:rFonts w:hint="eastAsia" w:ascii="宋体" w:hAnsi="宋体" w:eastAsia="方正仿宋_GBK" w:cs="方正仿宋_GBK"/>
                <w:i w:val="0"/>
                <w:color w:val="000000"/>
                <w:kern w:val="0"/>
                <w:sz w:val="20"/>
                <w:szCs w:val="20"/>
                <w:u w:val="none"/>
                <w:lang w:val="en-US" w:eastAsia="zh-CN" w:bidi="ar"/>
              </w:rPr>
              <w:t>25</w:t>
            </w: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方正仿宋_GBK" w:cs="方正仿宋_GBK"/>
                <w:i w:val="0"/>
                <w:color w:val="000000"/>
                <w:sz w:val="20"/>
                <w:szCs w:val="20"/>
                <w:u w:val="none"/>
              </w:rPr>
            </w:pPr>
          </w:p>
        </w:tc>
        <w:tc>
          <w:tcPr>
            <w:tcW w:w="50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方正仿宋_GBK" w:cs="方正仿宋_GBK"/>
                <w:i w:val="0"/>
                <w:color w:val="000000"/>
                <w:sz w:val="20"/>
                <w:szCs w:val="20"/>
                <w:u w:val="none"/>
              </w:rPr>
            </w:pPr>
            <w:r>
              <w:rPr>
                <w:rFonts w:hint="eastAsia" w:ascii="宋体" w:hAnsi="宋体" w:eastAsia="方正仿宋_GBK" w:cs="方正仿宋_GBK"/>
                <w:i w:val="0"/>
                <w:color w:val="000000"/>
                <w:kern w:val="0"/>
                <w:sz w:val="20"/>
                <w:szCs w:val="20"/>
                <w:u w:val="none"/>
                <w:lang w:val="en-US" w:eastAsia="zh-CN" w:bidi="ar"/>
              </w:rPr>
              <w:t>集中式饮用水水源地水质达标。辖区内重点河湖主要控制断面生态流量达标。</w:t>
            </w:r>
          </w:p>
        </w:tc>
        <w:tc>
          <w:tcPr>
            <w:tcW w:w="64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方正仿宋_GBK" w:cs="方正仿宋_GBK"/>
                <w:i w:val="0"/>
                <w:color w:val="000000"/>
                <w:sz w:val="20"/>
                <w:szCs w:val="20"/>
                <w:u w:val="none"/>
              </w:rPr>
            </w:pPr>
            <w:r>
              <w:rPr>
                <w:rFonts w:hint="eastAsia" w:ascii="宋体" w:hAnsi="宋体" w:eastAsia="方正仿宋_GBK" w:cs="方正仿宋_GBK"/>
                <w:i w:val="0"/>
                <w:color w:val="000000"/>
                <w:kern w:val="0"/>
                <w:sz w:val="20"/>
                <w:szCs w:val="20"/>
                <w:u w:val="none"/>
                <w:lang w:val="en-US" w:eastAsia="zh-CN" w:bidi="ar"/>
              </w:rPr>
              <w:t>1.饮用水水源地安全保障措施到位。2.集中式饮用水水源地监测工作符合国家要求，扣除环境本底影响后，水质达标率达到 100%。3.辖区内重点河湖生态流量主要控制断面（考核断面和管理断面）生态流量达到国家保障目标要求。</w:t>
            </w:r>
          </w:p>
        </w:tc>
        <w:tc>
          <w:tcPr>
            <w:tcW w:w="14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方正仿宋_GBK" w:cs="方正仿宋_GBK"/>
                <w:i w:val="0"/>
                <w:color w:val="000000"/>
                <w:sz w:val="20"/>
                <w:szCs w:val="20"/>
                <w:u w:val="none"/>
              </w:rPr>
            </w:pPr>
            <w:r>
              <w:rPr>
                <w:rFonts w:hint="eastAsia" w:ascii="宋体" w:hAnsi="宋体" w:eastAsia="方正仿宋_GBK" w:cs="方正仿宋_GBK"/>
                <w:i w:val="0"/>
                <w:color w:val="000000"/>
                <w:kern w:val="0"/>
                <w:sz w:val="20"/>
                <w:szCs w:val="20"/>
                <w:u w:val="none"/>
                <w:lang w:val="en-US" w:eastAsia="zh-CN" w:bidi="ar"/>
              </w:rPr>
              <w:t>水利局</w:t>
            </w:r>
          </w:p>
        </w:tc>
        <w:tc>
          <w:tcPr>
            <w:tcW w:w="9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方正仿宋_GBK" w:cs="方正仿宋_GBK"/>
                <w:i w:val="0"/>
                <w:color w:val="000000"/>
                <w:sz w:val="20"/>
                <w:szCs w:val="20"/>
                <w:u w:val="none"/>
              </w:rPr>
            </w:pPr>
            <w:r>
              <w:rPr>
                <w:rFonts w:hint="eastAsia" w:ascii="宋体" w:hAnsi="宋体" w:eastAsia="方正仿宋_GBK" w:cs="方正仿宋_GBK"/>
                <w:i w:val="0"/>
                <w:color w:val="000000"/>
                <w:kern w:val="0"/>
                <w:sz w:val="20"/>
                <w:szCs w:val="20"/>
                <w:u w:val="none"/>
                <w:lang w:val="en-US" w:eastAsia="zh-CN" w:bidi="ar"/>
              </w:rPr>
              <w:t>贯穿2023年全年</w:t>
            </w:r>
          </w:p>
        </w:tc>
        <w:tc>
          <w:tcPr>
            <w:tcW w:w="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rPr>
                <w:rFonts w:hint="eastAsia" w:ascii="宋体" w:hAnsi="宋体" w:eastAsia="方正仿宋_GBK" w:cs="方正仿宋_GBK"/>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80" w:hRule="atLeast"/>
          <w:jc w:val="center"/>
        </w:trPr>
        <w:tc>
          <w:tcPr>
            <w:tcW w:w="7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方正仿宋_GBK" w:cs="方正仿宋_GBK"/>
                <w:i w:val="0"/>
                <w:color w:val="000000"/>
                <w:sz w:val="20"/>
                <w:szCs w:val="20"/>
                <w:u w:val="none"/>
              </w:rPr>
            </w:pPr>
            <w:r>
              <w:rPr>
                <w:rFonts w:hint="eastAsia" w:ascii="宋体" w:hAnsi="宋体" w:eastAsia="方正仿宋_GBK" w:cs="方正仿宋_GBK"/>
                <w:i w:val="0"/>
                <w:color w:val="000000"/>
                <w:kern w:val="0"/>
                <w:sz w:val="20"/>
                <w:szCs w:val="20"/>
                <w:u w:val="none"/>
                <w:lang w:val="en-US" w:eastAsia="zh-CN" w:bidi="ar"/>
              </w:rPr>
              <w:t>26</w:t>
            </w: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方正仿宋_GBK" w:cs="方正仿宋_GBK"/>
                <w:i w:val="0"/>
                <w:color w:val="000000"/>
                <w:sz w:val="20"/>
                <w:szCs w:val="20"/>
                <w:u w:val="none"/>
              </w:rPr>
            </w:pPr>
          </w:p>
        </w:tc>
        <w:tc>
          <w:tcPr>
            <w:tcW w:w="50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方正仿宋_GBK" w:cs="方正仿宋_GBK"/>
                <w:i w:val="0"/>
                <w:color w:val="000000"/>
                <w:sz w:val="20"/>
                <w:szCs w:val="20"/>
                <w:u w:val="none"/>
              </w:rPr>
            </w:pPr>
            <w:r>
              <w:rPr>
                <w:rFonts w:hint="eastAsia" w:ascii="宋体" w:hAnsi="宋体" w:eastAsia="方正仿宋_GBK" w:cs="方正仿宋_GBK"/>
                <w:i w:val="0"/>
                <w:color w:val="000000"/>
                <w:kern w:val="0"/>
                <w:sz w:val="20"/>
                <w:szCs w:val="20"/>
                <w:u w:val="none"/>
                <w:lang w:val="en-US" w:eastAsia="zh-CN" w:bidi="ar"/>
              </w:rPr>
              <w:t>辖区内应建有符合条件的医疗废物集中处理设施，各类医疗废物处置能力应满足辖区内医疗卫生机构的处置需求。辖区内医疗卫生机构依法 分类收集医疗废物，医疗废物统一由有资质的医疗废物处置单位处置。对确不具备医疗废物集中处置条件的地区，医疗机构应当使用符合条件的设施自行处置。医疗污水收集、处理、消毒和排放符合国家及地方有关要求。</w:t>
            </w:r>
          </w:p>
        </w:tc>
        <w:tc>
          <w:tcPr>
            <w:tcW w:w="64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方正仿宋_GBK" w:cs="方正仿宋_GBK"/>
                <w:i w:val="0"/>
                <w:color w:val="000000"/>
                <w:sz w:val="20"/>
                <w:szCs w:val="20"/>
                <w:u w:val="none"/>
              </w:rPr>
            </w:pPr>
            <w:r>
              <w:rPr>
                <w:rFonts w:hint="eastAsia" w:ascii="宋体" w:hAnsi="宋体" w:eastAsia="方正仿宋_GBK" w:cs="方正仿宋_GBK"/>
                <w:i w:val="0"/>
                <w:color w:val="000000"/>
                <w:kern w:val="0"/>
                <w:sz w:val="20"/>
                <w:szCs w:val="20"/>
                <w:u w:val="none"/>
                <w:lang w:val="en-US" w:eastAsia="zh-CN" w:bidi="ar"/>
              </w:rPr>
              <w:t>1.推行医疗废物集中无害化处置，医疗废物无害化处理率达到 100%。2.每个县（市）建成医疗废物收集转运处置体系，实现县级以上医疗废物全收集、全处理，医疗废物处置能力满足辖区内医疗卫生机构的处置需求。3.自行处置医疗废物的，需要符合相关基本要求。4.从事医疗废物集中处置活动的单位，须具有危险废物处置经营许可证，制定突发环境事件的防范措施和应急预案，配置应急防护设施设备，定期开展应急演练。5.医疗废物处置单位相关管理人员和从事危险废物收集、运送、暂存、利用和处置等工作的技术人员要掌握国家相关法律法规、规章和有关规范性文件的规定。</w:t>
            </w:r>
          </w:p>
        </w:tc>
        <w:tc>
          <w:tcPr>
            <w:tcW w:w="14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方正仿宋_GBK" w:cs="方正仿宋_GBK"/>
                <w:i w:val="0"/>
                <w:color w:val="000000"/>
                <w:sz w:val="20"/>
                <w:szCs w:val="20"/>
                <w:u w:val="none"/>
              </w:rPr>
            </w:pPr>
            <w:r>
              <w:rPr>
                <w:rFonts w:hint="eastAsia" w:ascii="宋体" w:hAnsi="宋体" w:eastAsia="方正仿宋_GBK" w:cs="方正仿宋_GBK"/>
                <w:i w:val="0"/>
                <w:color w:val="000000"/>
                <w:kern w:val="0"/>
                <w:sz w:val="20"/>
                <w:szCs w:val="20"/>
                <w:u w:val="none"/>
                <w:lang w:val="en-US" w:eastAsia="zh-CN" w:bidi="ar"/>
              </w:rPr>
              <w:t>卫健委、卫生监督所</w:t>
            </w:r>
          </w:p>
        </w:tc>
        <w:tc>
          <w:tcPr>
            <w:tcW w:w="9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方正仿宋_GBK" w:cs="方正仿宋_GBK"/>
                <w:i w:val="0"/>
                <w:color w:val="000000"/>
                <w:sz w:val="20"/>
                <w:szCs w:val="20"/>
                <w:u w:val="none"/>
              </w:rPr>
            </w:pPr>
            <w:r>
              <w:rPr>
                <w:rFonts w:hint="eastAsia" w:ascii="宋体" w:hAnsi="宋体" w:eastAsia="方正仿宋_GBK" w:cs="方正仿宋_GBK"/>
                <w:i w:val="0"/>
                <w:color w:val="000000"/>
                <w:kern w:val="0"/>
                <w:sz w:val="20"/>
                <w:szCs w:val="20"/>
                <w:u w:val="none"/>
                <w:lang w:val="en-US" w:eastAsia="zh-CN" w:bidi="ar"/>
              </w:rPr>
              <w:t>贯穿2023年全年</w:t>
            </w:r>
          </w:p>
        </w:tc>
        <w:tc>
          <w:tcPr>
            <w:tcW w:w="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rPr>
                <w:rFonts w:hint="eastAsia" w:ascii="宋体" w:hAnsi="宋体" w:eastAsia="方正仿宋_GBK" w:cs="方正仿宋_GBK"/>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40" w:hRule="atLeast"/>
          <w:jc w:val="center"/>
        </w:trPr>
        <w:tc>
          <w:tcPr>
            <w:tcW w:w="7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方正仿宋_GBK" w:cs="方正仿宋_GBK"/>
                <w:i w:val="0"/>
                <w:color w:val="000000"/>
                <w:sz w:val="20"/>
                <w:szCs w:val="20"/>
                <w:u w:val="none"/>
              </w:rPr>
            </w:pPr>
            <w:r>
              <w:rPr>
                <w:rFonts w:hint="eastAsia" w:ascii="宋体" w:hAnsi="宋体" w:eastAsia="方正仿宋_GBK" w:cs="方正仿宋_GBK"/>
                <w:i w:val="0"/>
                <w:color w:val="000000"/>
                <w:kern w:val="0"/>
                <w:sz w:val="20"/>
                <w:szCs w:val="20"/>
                <w:u w:val="none"/>
                <w:lang w:val="en-US" w:eastAsia="zh-CN" w:bidi="ar"/>
              </w:rPr>
              <w:t>27</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方正仿宋_GBK" w:cs="方正仿宋_GBK"/>
                <w:i w:val="0"/>
                <w:color w:val="000000"/>
                <w:sz w:val="20"/>
                <w:szCs w:val="20"/>
                <w:u w:val="none"/>
              </w:rPr>
            </w:pPr>
            <w:r>
              <w:rPr>
                <w:rFonts w:hint="eastAsia" w:ascii="宋体" w:hAnsi="宋体" w:eastAsia="方正仿宋_GBK" w:cs="方正仿宋_GBK"/>
                <w:i w:val="0"/>
                <w:color w:val="000000"/>
                <w:kern w:val="0"/>
                <w:sz w:val="20"/>
                <w:szCs w:val="20"/>
                <w:u w:val="none"/>
                <w:lang w:val="en-US" w:eastAsia="zh-CN" w:bidi="ar"/>
              </w:rPr>
              <w:t>重点场所卫生</w:t>
            </w:r>
          </w:p>
        </w:tc>
        <w:tc>
          <w:tcPr>
            <w:tcW w:w="50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方正仿宋_GBK" w:cs="方正仿宋_GBK"/>
                <w:i w:val="0"/>
                <w:color w:val="000000"/>
                <w:sz w:val="20"/>
                <w:szCs w:val="20"/>
                <w:u w:val="none"/>
              </w:rPr>
            </w:pPr>
            <w:r>
              <w:rPr>
                <w:rFonts w:hint="eastAsia" w:ascii="宋体" w:hAnsi="宋体" w:eastAsia="方正仿宋_GBK" w:cs="方正仿宋_GBK"/>
                <w:i w:val="0"/>
                <w:color w:val="000000"/>
                <w:kern w:val="0"/>
                <w:sz w:val="20"/>
                <w:szCs w:val="20"/>
                <w:u w:val="none"/>
                <w:lang w:val="en-US" w:eastAsia="zh-CN" w:bidi="ar"/>
              </w:rPr>
              <w:t>公共场所实行卫生监督量化分级管理，公共场所卫生信誉度等级应向社会公示，并使用统一标识。卫生许可证件齐全有效，卫生管理规范， 直接为顾客服务的人员取得有效健康合格证明。</w:t>
            </w:r>
          </w:p>
        </w:tc>
        <w:tc>
          <w:tcPr>
            <w:tcW w:w="64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方正仿宋_GBK" w:cs="方正仿宋_GBK"/>
                <w:i w:val="0"/>
                <w:color w:val="000000"/>
                <w:sz w:val="20"/>
                <w:szCs w:val="20"/>
                <w:u w:val="none"/>
              </w:rPr>
            </w:pPr>
            <w:r>
              <w:rPr>
                <w:rFonts w:hint="eastAsia" w:ascii="宋体" w:hAnsi="宋体" w:eastAsia="方正仿宋_GBK" w:cs="方正仿宋_GBK"/>
                <w:i w:val="0"/>
                <w:color w:val="000000"/>
                <w:kern w:val="0"/>
                <w:sz w:val="20"/>
                <w:szCs w:val="20"/>
                <w:u w:val="none"/>
                <w:lang w:val="en-US" w:eastAsia="zh-CN" w:bidi="ar"/>
              </w:rPr>
              <w:t>1.掌握本地公共场所单位基本情况，制定卫生许可流程并对外公示，档案资料齐全。2.结合国家和省确定的专项行动和重点抽检计划，制订并实施本地年度公共场所卫生监督、监测计划和专项行动方案，工作有总结。3.开展公共场所卫生监督量化分级工作，制订量化分级方案、标准，实施公共场所卫生信誉度等级评定、社会公示工作。4.公共场所卫生管理及人员管理严格按照标准执行。5.组织从业人员参加公共场所卫生法律法规和卫生知识培训，经考核合格后方可上岗。</w:t>
            </w:r>
          </w:p>
        </w:tc>
        <w:tc>
          <w:tcPr>
            <w:tcW w:w="14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方正仿宋_GBK" w:cs="方正仿宋_GBK"/>
                <w:i w:val="0"/>
                <w:color w:val="000000"/>
                <w:sz w:val="20"/>
                <w:szCs w:val="20"/>
                <w:u w:val="none"/>
              </w:rPr>
            </w:pPr>
            <w:r>
              <w:rPr>
                <w:rFonts w:hint="eastAsia" w:ascii="宋体" w:hAnsi="宋体" w:eastAsia="方正仿宋_GBK" w:cs="方正仿宋_GBK"/>
                <w:i w:val="0"/>
                <w:color w:val="000000"/>
                <w:kern w:val="0"/>
                <w:sz w:val="20"/>
                <w:szCs w:val="20"/>
                <w:u w:val="none"/>
                <w:lang w:val="en-US" w:eastAsia="zh-CN" w:bidi="ar"/>
              </w:rPr>
              <w:t>卫健委、卫生监督所</w:t>
            </w:r>
          </w:p>
        </w:tc>
        <w:tc>
          <w:tcPr>
            <w:tcW w:w="9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方正仿宋_GBK" w:cs="方正仿宋_GBK"/>
                <w:i w:val="0"/>
                <w:color w:val="000000"/>
                <w:sz w:val="20"/>
                <w:szCs w:val="20"/>
                <w:u w:val="none"/>
              </w:rPr>
            </w:pPr>
            <w:r>
              <w:rPr>
                <w:rFonts w:hint="eastAsia" w:ascii="宋体" w:hAnsi="宋体" w:eastAsia="方正仿宋_GBK" w:cs="方正仿宋_GBK"/>
                <w:i w:val="0"/>
                <w:color w:val="000000"/>
                <w:kern w:val="0"/>
                <w:sz w:val="20"/>
                <w:szCs w:val="20"/>
                <w:u w:val="none"/>
                <w:lang w:val="en-US" w:eastAsia="zh-CN" w:bidi="ar"/>
              </w:rPr>
              <w:t>贯穿2023年全年</w:t>
            </w:r>
          </w:p>
        </w:tc>
        <w:tc>
          <w:tcPr>
            <w:tcW w:w="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rPr>
                <w:rFonts w:hint="eastAsia" w:ascii="宋体" w:hAnsi="宋体" w:eastAsia="方正仿宋_GBK" w:cs="方正仿宋_GBK"/>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00" w:hRule="atLeast"/>
          <w:jc w:val="center"/>
        </w:trPr>
        <w:tc>
          <w:tcPr>
            <w:tcW w:w="7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方正仿宋_GBK" w:cs="方正仿宋_GBK"/>
                <w:i w:val="0"/>
                <w:color w:val="000000"/>
                <w:sz w:val="20"/>
                <w:szCs w:val="20"/>
                <w:u w:val="none"/>
              </w:rPr>
            </w:pPr>
            <w:r>
              <w:rPr>
                <w:rFonts w:hint="eastAsia" w:ascii="宋体" w:hAnsi="宋体" w:eastAsia="方正仿宋_GBK" w:cs="方正仿宋_GBK"/>
                <w:i w:val="0"/>
                <w:color w:val="000000"/>
                <w:kern w:val="0"/>
                <w:sz w:val="20"/>
                <w:szCs w:val="20"/>
                <w:u w:val="none"/>
                <w:lang w:val="en-US" w:eastAsia="zh-CN" w:bidi="ar"/>
              </w:rPr>
              <w:t>28</w:t>
            </w: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方正仿宋_GBK" w:cs="方正仿宋_GBK"/>
                <w:i w:val="0"/>
                <w:color w:val="000000"/>
                <w:sz w:val="20"/>
                <w:szCs w:val="20"/>
                <w:u w:val="none"/>
              </w:rPr>
            </w:pPr>
          </w:p>
        </w:tc>
        <w:tc>
          <w:tcPr>
            <w:tcW w:w="50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方正仿宋_GBK" w:cs="方正仿宋_GBK"/>
                <w:i w:val="0"/>
                <w:color w:val="000000"/>
                <w:sz w:val="20"/>
                <w:szCs w:val="20"/>
                <w:u w:val="none"/>
              </w:rPr>
            </w:pPr>
            <w:r>
              <w:rPr>
                <w:rFonts w:hint="eastAsia" w:ascii="宋体" w:hAnsi="宋体" w:eastAsia="方正仿宋_GBK" w:cs="方正仿宋_GBK"/>
                <w:i w:val="0"/>
                <w:color w:val="000000"/>
                <w:kern w:val="0"/>
                <w:sz w:val="20"/>
                <w:szCs w:val="20"/>
                <w:u w:val="none"/>
                <w:lang w:val="en-US" w:eastAsia="zh-CN" w:bidi="ar"/>
              </w:rPr>
              <w:t>小浴室、小美容美发店、小歌舞厅、小旅店等经营资格合法，室内外环境整洁，卫生管理、硬件设施符合相应国家标准要求。</w:t>
            </w:r>
          </w:p>
        </w:tc>
        <w:tc>
          <w:tcPr>
            <w:tcW w:w="64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方正仿宋_GBK" w:cs="方正仿宋_GBK"/>
                <w:i w:val="0"/>
                <w:color w:val="000000"/>
                <w:sz w:val="20"/>
                <w:szCs w:val="20"/>
                <w:u w:val="none"/>
              </w:rPr>
            </w:pPr>
            <w:r>
              <w:rPr>
                <w:rFonts w:hint="eastAsia" w:ascii="宋体" w:hAnsi="宋体" w:eastAsia="方正仿宋_GBK" w:cs="方正仿宋_GBK"/>
                <w:i w:val="0"/>
                <w:color w:val="000000"/>
                <w:kern w:val="0"/>
                <w:sz w:val="20"/>
                <w:szCs w:val="20"/>
                <w:u w:val="none"/>
                <w:lang w:val="en-US" w:eastAsia="zh-CN" w:bidi="ar"/>
              </w:rPr>
              <w:t>1.洗浴场所符合公共场所设计卫生规范要求。2.有“禁止性病、传染性皮肤病患者沐浴”警示性标志。3.使用燃煤或液化气供应热水的，应使用强排式通风装置。4.小美容美发店设有头癣、皮肤病患者专用工具，独立存放，标示“头癣、皮肤病患者专用工具”字样。5.小歌舞厅、小旅店严格落实相关工作规范及要求。</w:t>
            </w:r>
          </w:p>
        </w:tc>
        <w:tc>
          <w:tcPr>
            <w:tcW w:w="14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方正仿宋_GBK" w:cs="方正仿宋_GBK"/>
                <w:i w:val="0"/>
                <w:color w:val="000000"/>
                <w:sz w:val="20"/>
                <w:szCs w:val="20"/>
                <w:u w:val="none"/>
              </w:rPr>
            </w:pPr>
            <w:r>
              <w:rPr>
                <w:rFonts w:hint="eastAsia" w:ascii="宋体" w:hAnsi="宋体" w:eastAsia="方正仿宋_GBK" w:cs="方正仿宋_GBK"/>
                <w:i w:val="0"/>
                <w:color w:val="000000"/>
                <w:kern w:val="0"/>
                <w:sz w:val="20"/>
                <w:szCs w:val="20"/>
                <w:u w:val="none"/>
                <w:lang w:val="en-US" w:eastAsia="zh-CN" w:bidi="ar"/>
              </w:rPr>
              <w:t>卫健委、卫生监督所</w:t>
            </w:r>
          </w:p>
        </w:tc>
        <w:tc>
          <w:tcPr>
            <w:tcW w:w="9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方正仿宋_GBK" w:cs="方正仿宋_GBK"/>
                <w:i w:val="0"/>
                <w:color w:val="000000"/>
                <w:sz w:val="20"/>
                <w:szCs w:val="20"/>
                <w:u w:val="none"/>
              </w:rPr>
            </w:pPr>
            <w:r>
              <w:rPr>
                <w:rFonts w:hint="eastAsia" w:ascii="宋体" w:hAnsi="宋体" w:eastAsia="方正仿宋_GBK" w:cs="方正仿宋_GBK"/>
                <w:i w:val="0"/>
                <w:color w:val="000000"/>
                <w:kern w:val="0"/>
                <w:sz w:val="20"/>
                <w:szCs w:val="20"/>
                <w:u w:val="none"/>
                <w:lang w:val="en-US" w:eastAsia="zh-CN" w:bidi="ar"/>
              </w:rPr>
              <w:t>贯穿2023年全年</w:t>
            </w:r>
          </w:p>
        </w:tc>
        <w:tc>
          <w:tcPr>
            <w:tcW w:w="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rPr>
                <w:rFonts w:hint="eastAsia" w:ascii="宋体" w:hAnsi="宋体" w:eastAsia="方正仿宋_GBK" w:cs="方正仿宋_GBK"/>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20" w:hRule="atLeast"/>
          <w:jc w:val="center"/>
        </w:trPr>
        <w:tc>
          <w:tcPr>
            <w:tcW w:w="7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方正仿宋_GBK" w:cs="方正仿宋_GBK"/>
                <w:i w:val="0"/>
                <w:color w:val="000000"/>
                <w:sz w:val="20"/>
                <w:szCs w:val="20"/>
                <w:u w:val="none"/>
              </w:rPr>
            </w:pPr>
            <w:r>
              <w:rPr>
                <w:rFonts w:hint="eastAsia" w:ascii="宋体" w:hAnsi="宋体" w:eastAsia="方正仿宋_GBK" w:cs="方正仿宋_GBK"/>
                <w:i w:val="0"/>
                <w:color w:val="000000"/>
                <w:kern w:val="0"/>
                <w:sz w:val="20"/>
                <w:szCs w:val="20"/>
                <w:u w:val="none"/>
                <w:lang w:val="en-US" w:eastAsia="zh-CN" w:bidi="ar"/>
              </w:rPr>
              <w:t>29</w:t>
            </w: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方正仿宋_GBK" w:cs="方正仿宋_GBK"/>
                <w:i w:val="0"/>
                <w:color w:val="000000"/>
                <w:sz w:val="20"/>
                <w:szCs w:val="20"/>
                <w:u w:val="none"/>
              </w:rPr>
            </w:pPr>
          </w:p>
        </w:tc>
        <w:tc>
          <w:tcPr>
            <w:tcW w:w="50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方正仿宋_GBK" w:cs="方正仿宋_GBK"/>
                <w:i w:val="0"/>
                <w:color w:val="000000"/>
                <w:sz w:val="20"/>
                <w:szCs w:val="20"/>
                <w:u w:val="none"/>
              </w:rPr>
            </w:pPr>
            <w:r>
              <w:rPr>
                <w:rFonts w:hint="eastAsia" w:ascii="宋体" w:hAnsi="宋体" w:eastAsia="方正仿宋_GBK" w:cs="方正仿宋_GBK"/>
                <w:i w:val="0"/>
                <w:color w:val="000000"/>
                <w:kern w:val="0"/>
                <w:sz w:val="20"/>
                <w:szCs w:val="20"/>
                <w:u w:val="none"/>
                <w:lang w:val="en-US" w:eastAsia="zh-CN" w:bidi="ar"/>
              </w:rPr>
              <w:t>学校、幼儿园和托育机构的教室、食堂（含饮用水设施）、宿舍、厕所等教学和生活环境符合相关国家卫生标准或规定。学校按照规定设立校医院或卫生室，校医或专（兼）职保健教师配备比率达标，配备专兼职心理健康工作人员。学校传染病防控工作机制健全并严格执行。</w:t>
            </w:r>
          </w:p>
        </w:tc>
        <w:tc>
          <w:tcPr>
            <w:tcW w:w="64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方正仿宋_GBK" w:cs="方正仿宋_GBK"/>
                <w:i w:val="0"/>
                <w:color w:val="000000"/>
                <w:sz w:val="20"/>
                <w:szCs w:val="20"/>
                <w:u w:val="none"/>
              </w:rPr>
            </w:pPr>
            <w:r>
              <w:rPr>
                <w:rFonts w:hint="eastAsia" w:ascii="宋体" w:hAnsi="宋体" w:eastAsia="方正仿宋_GBK" w:cs="方正仿宋_GBK"/>
                <w:i w:val="0"/>
                <w:color w:val="000000"/>
                <w:kern w:val="0"/>
                <w:sz w:val="20"/>
                <w:szCs w:val="20"/>
                <w:u w:val="none"/>
                <w:lang w:val="en-US" w:eastAsia="zh-CN" w:bidi="ar"/>
              </w:rPr>
              <w:t>1.中小学校、幼儿园和托育机构教室、食堂、宿舍、厕所等设计、布局、内部配置符合相关标准要求。2.学校按照要求配备专职或兼职卫生技术人员或保健教师。3. 建立区域性中小学生心理辅导中心，每所中小学校至少要配备1名专职心理健康教育教师或学校社会工作者，县级教研机构要配备心理教研员。4.学校在卫生健康行政部门的技术指导下，制定传染病预防控制的应急预案和相关制度。</w:t>
            </w:r>
          </w:p>
        </w:tc>
        <w:tc>
          <w:tcPr>
            <w:tcW w:w="14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方正仿宋_GBK" w:cs="方正仿宋_GBK"/>
                <w:i w:val="0"/>
                <w:color w:val="000000"/>
                <w:sz w:val="20"/>
                <w:szCs w:val="20"/>
                <w:u w:val="none"/>
              </w:rPr>
            </w:pPr>
            <w:r>
              <w:rPr>
                <w:rFonts w:hint="eastAsia" w:ascii="宋体" w:hAnsi="宋体" w:eastAsia="方正仿宋_GBK" w:cs="方正仿宋_GBK"/>
                <w:i w:val="0"/>
                <w:color w:val="000000"/>
                <w:kern w:val="0"/>
                <w:sz w:val="20"/>
                <w:szCs w:val="20"/>
                <w:u w:val="none"/>
                <w:lang w:val="en-US" w:eastAsia="zh-CN" w:bidi="ar"/>
              </w:rPr>
              <w:t>教育局</w:t>
            </w:r>
          </w:p>
        </w:tc>
        <w:tc>
          <w:tcPr>
            <w:tcW w:w="9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方正仿宋_GBK" w:cs="方正仿宋_GBK"/>
                <w:i w:val="0"/>
                <w:color w:val="000000"/>
                <w:sz w:val="20"/>
                <w:szCs w:val="20"/>
                <w:u w:val="none"/>
              </w:rPr>
            </w:pPr>
            <w:r>
              <w:rPr>
                <w:rFonts w:hint="eastAsia" w:ascii="宋体" w:hAnsi="宋体" w:eastAsia="方正仿宋_GBK" w:cs="方正仿宋_GBK"/>
                <w:i w:val="0"/>
                <w:color w:val="000000"/>
                <w:kern w:val="0"/>
                <w:sz w:val="20"/>
                <w:szCs w:val="20"/>
                <w:u w:val="none"/>
                <w:lang w:val="en-US" w:eastAsia="zh-CN" w:bidi="ar"/>
              </w:rPr>
              <w:t>贯穿2023年全年</w:t>
            </w:r>
          </w:p>
        </w:tc>
        <w:tc>
          <w:tcPr>
            <w:tcW w:w="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rPr>
                <w:rFonts w:hint="eastAsia" w:ascii="宋体" w:hAnsi="宋体" w:eastAsia="方正仿宋_GBK" w:cs="方正仿宋_GBK"/>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0" w:hRule="atLeast"/>
          <w:jc w:val="center"/>
        </w:trPr>
        <w:tc>
          <w:tcPr>
            <w:tcW w:w="7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方正仿宋_GBK" w:cs="方正仿宋_GBK"/>
                <w:i w:val="0"/>
                <w:color w:val="000000"/>
                <w:sz w:val="20"/>
                <w:szCs w:val="20"/>
                <w:u w:val="none"/>
              </w:rPr>
            </w:pPr>
            <w:r>
              <w:rPr>
                <w:rFonts w:hint="eastAsia" w:ascii="宋体" w:hAnsi="宋体" w:eastAsia="方正仿宋_GBK" w:cs="方正仿宋_GBK"/>
                <w:i w:val="0"/>
                <w:color w:val="000000"/>
                <w:kern w:val="0"/>
                <w:sz w:val="20"/>
                <w:szCs w:val="20"/>
                <w:u w:val="none"/>
                <w:lang w:val="en-US" w:eastAsia="zh-CN" w:bidi="ar"/>
              </w:rPr>
              <w:t>30</w:t>
            </w: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方正仿宋_GBK" w:cs="方正仿宋_GBK"/>
                <w:i w:val="0"/>
                <w:color w:val="000000"/>
                <w:sz w:val="20"/>
                <w:szCs w:val="20"/>
                <w:u w:val="none"/>
              </w:rPr>
            </w:pPr>
          </w:p>
        </w:tc>
        <w:tc>
          <w:tcPr>
            <w:tcW w:w="50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方正仿宋_GBK" w:cs="方正仿宋_GBK"/>
                <w:i w:val="0"/>
                <w:color w:val="000000"/>
                <w:sz w:val="20"/>
                <w:szCs w:val="20"/>
                <w:u w:val="none"/>
              </w:rPr>
            </w:pPr>
            <w:r>
              <w:rPr>
                <w:rFonts w:hint="eastAsia" w:ascii="宋体" w:hAnsi="宋体" w:eastAsia="方正仿宋_GBK" w:cs="方正仿宋_GBK"/>
                <w:i w:val="0"/>
                <w:color w:val="000000"/>
                <w:kern w:val="0"/>
                <w:sz w:val="20"/>
                <w:szCs w:val="20"/>
                <w:u w:val="none"/>
                <w:lang w:val="en-US" w:eastAsia="zh-CN" w:bidi="ar"/>
              </w:rPr>
              <w:t>中小学体育与健康课程开课率达标。中小学生每天校内体育活动时间充足。学校眼保健操普及率达标。中小学生近视率、肥胖率逐年下降。近3年辖区内无重大学校食物中毒事件。</w:t>
            </w:r>
          </w:p>
        </w:tc>
        <w:tc>
          <w:tcPr>
            <w:tcW w:w="64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方正仿宋_GBK" w:cs="方正仿宋_GBK"/>
                <w:i w:val="0"/>
                <w:color w:val="000000"/>
                <w:sz w:val="20"/>
                <w:szCs w:val="20"/>
                <w:u w:val="none"/>
              </w:rPr>
            </w:pPr>
            <w:r>
              <w:rPr>
                <w:rFonts w:hint="eastAsia" w:ascii="宋体" w:hAnsi="宋体" w:eastAsia="方正仿宋_GBK" w:cs="方正仿宋_GBK"/>
                <w:i w:val="0"/>
                <w:color w:val="000000"/>
                <w:kern w:val="0"/>
                <w:sz w:val="20"/>
                <w:szCs w:val="20"/>
                <w:u w:val="none"/>
                <w:lang w:val="en-US" w:eastAsia="zh-CN" w:bidi="ar"/>
              </w:rPr>
              <w:t>1.中小学体育与健康课程开课率达到 100%。2.中小学校组织全体学生每天上下午各做 1 次眼保健操，学校眼保健操普及率达到 100%。3.辖区内儿童青少年总体近视率和新发近视率明显下降，总体近视率力争在上一年基础上降低 0.5 个百分点以上。4.近3年辖区内未发生重大学校食物中毒事件。</w:t>
            </w:r>
          </w:p>
        </w:tc>
        <w:tc>
          <w:tcPr>
            <w:tcW w:w="14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方正仿宋_GBK" w:cs="方正仿宋_GBK"/>
                <w:i w:val="0"/>
                <w:color w:val="000000"/>
                <w:sz w:val="20"/>
                <w:szCs w:val="20"/>
                <w:u w:val="none"/>
              </w:rPr>
            </w:pPr>
            <w:r>
              <w:rPr>
                <w:rFonts w:hint="eastAsia" w:ascii="宋体" w:hAnsi="宋体" w:eastAsia="方正仿宋_GBK" w:cs="方正仿宋_GBK"/>
                <w:i w:val="0"/>
                <w:color w:val="000000"/>
                <w:kern w:val="0"/>
                <w:sz w:val="20"/>
                <w:szCs w:val="20"/>
                <w:u w:val="none"/>
                <w:lang w:val="en-US" w:eastAsia="zh-CN" w:bidi="ar"/>
              </w:rPr>
              <w:t>教育局</w:t>
            </w:r>
          </w:p>
        </w:tc>
        <w:tc>
          <w:tcPr>
            <w:tcW w:w="9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方正仿宋_GBK" w:cs="方正仿宋_GBK"/>
                <w:i w:val="0"/>
                <w:color w:val="000000"/>
                <w:sz w:val="20"/>
                <w:szCs w:val="20"/>
                <w:u w:val="none"/>
              </w:rPr>
            </w:pPr>
            <w:r>
              <w:rPr>
                <w:rFonts w:hint="eastAsia" w:ascii="宋体" w:hAnsi="宋体" w:eastAsia="方正仿宋_GBK" w:cs="方正仿宋_GBK"/>
                <w:i w:val="0"/>
                <w:color w:val="000000"/>
                <w:kern w:val="0"/>
                <w:sz w:val="20"/>
                <w:szCs w:val="20"/>
                <w:u w:val="none"/>
                <w:lang w:val="en-US" w:eastAsia="zh-CN" w:bidi="ar"/>
              </w:rPr>
              <w:t>贯穿2023年全年</w:t>
            </w:r>
          </w:p>
        </w:tc>
        <w:tc>
          <w:tcPr>
            <w:tcW w:w="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rPr>
                <w:rFonts w:hint="eastAsia" w:ascii="宋体" w:hAnsi="宋体" w:eastAsia="方正仿宋_GBK" w:cs="方正仿宋_GBK"/>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40" w:hRule="atLeast"/>
          <w:jc w:val="center"/>
        </w:trPr>
        <w:tc>
          <w:tcPr>
            <w:tcW w:w="7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方正仿宋_GBK" w:cs="方正仿宋_GBK"/>
                <w:i w:val="0"/>
                <w:color w:val="000000"/>
                <w:sz w:val="20"/>
                <w:szCs w:val="20"/>
                <w:u w:val="none"/>
              </w:rPr>
            </w:pPr>
            <w:r>
              <w:rPr>
                <w:rFonts w:hint="eastAsia" w:ascii="宋体" w:hAnsi="宋体" w:eastAsia="方正仿宋_GBK" w:cs="方正仿宋_GBK"/>
                <w:i w:val="0"/>
                <w:color w:val="000000"/>
                <w:kern w:val="0"/>
                <w:sz w:val="20"/>
                <w:szCs w:val="20"/>
                <w:u w:val="none"/>
                <w:lang w:val="en-US" w:eastAsia="zh-CN" w:bidi="ar"/>
              </w:rPr>
              <w:t>31</w:t>
            </w: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方正仿宋_GBK" w:cs="方正仿宋_GBK"/>
                <w:i w:val="0"/>
                <w:color w:val="000000"/>
                <w:sz w:val="20"/>
                <w:szCs w:val="20"/>
                <w:u w:val="none"/>
              </w:rPr>
            </w:pPr>
          </w:p>
        </w:tc>
        <w:tc>
          <w:tcPr>
            <w:tcW w:w="50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方正仿宋_GBK" w:cs="方正仿宋_GBK"/>
                <w:i w:val="0"/>
                <w:color w:val="000000"/>
                <w:sz w:val="20"/>
                <w:szCs w:val="20"/>
                <w:u w:val="none"/>
              </w:rPr>
            </w:pPr>
            <w:r>
              <w:rPr>
                <w:rFonts w:hint="eastAsia" w:ascii="宋体" w:hAnsi="宋体" w:eastAsia="方正仿宋_GBK" w:cs="方正仿宋_GBK"/>
                <w:i w:val="0"/>
                <w:color w:val="000000"/>
                <w:kern w:val="0"/>
                <w:sz w:val="20"/>
                <w:szCs w:val="20"/>
                <w:u w:val="none"/>
                <w:lang w:val="en-US" w:eastAsia="zh-CN" w:bidi="ar"/>
              </w:rPr>
              <w:t>辖区内存在职业病目录所列职业病危害因素的企业职业病危害项目及时申报。对接触职业病危害的劳动者依法进行职业健康检查。近3年辖区内未发生重大职业病危害事故。</w:t>
            </w:r>
          </w:p>
        </w:tc>
        <w:tc>
          <w:tcPr>
            <w:tcW w:w="64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方正仿宋_GBK" w:cs="方正仿宋_GBK"/>
                <w:i w:val="0"/>
                <w:color w:val="000000"/>
                <w:sz w:val="20"/>
                <w:szCs w:val="20"/>
                <w:u w:val="none"/>
              </w:rPr>
            </w:pPr>
            <w:r>
              <w:rPr>
                <w:rFonts w:hint="eastAsia" w:ascii="宋体" w:hAnsi="宋体" w:eastAsia="方正仿宋_GBK" w:cs="方正仿宋_GBK"/>
                <w:i w:val="0"/>
                <w:color w:val="000000"/>
                <w:kern w:val="0"/>
                <w:sz w:val="20"/>
                <w:szCs w:val="20"/>
                <w:u w:val="none"/>
                <w:lang w:val="en-US" w:eastAsia="zh-CN" w:bidi="ar"/>
              </w:rPr>
              <w:t>1.对职业病目录所列职业病危害项目，及时、如实地向卫生健康行政部门申报，并接受监督，申报率＞90%。2. 对接触职业病危害的劳动者依法进行职业健康检查。3.近 3 年辖区内未发生重大职业病危害事故。重大职业病危害事故是指一次发生急性职业病造成10人以上死亡，或者50人以上重伤，或者发生职业性炭疽5人以上的事件。</w:t>
            </w:r>
          </w:p>
        </w:tc>
        <w:tc>
          <w:tcPr>
            <w:tcW w:w="14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方正仿宋_GBK" w:cs="方正仿宋_GBK"/>
                <w:i w:val="0"/>
                <w:color w:val="000000"/>
                <w:sz w:val="20"/>
                <w:szCs w:val="20"/>
                <w:u w:val="none"/>
              </w:rPr>
            </w:pPr>
            <w:r>
              <w:rPr>
                <w:rFonts w:hint="eastAsia" w:ascii="宋体" w:hAnsi="宋体" w:eastAsia="方正仿宋_GBK" w:cs="方正仿宋_GBK"/>
                <w:i w:val="0"/>
                <w:color w:val="000000"/>
                <w:kern w:val="0"/>
                <w:sz w:val="20"/>
                <w:szCs w:val="20"/>
                <w:u w:val="none"/>
                <w:lang w:val="en-US" w:eastAsia="zh-CN" w:bidi="ar"/>
              </w:rPr>
              <w:t>卫健委、卫生监督所、疾控中心</w:t>
            </w:r>
          </w:p>
        </w:tc>
        <w:tc>
          <w:tcPr>
            <w:tcW w:w="9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方正仿宋_GBK" w:cs="方正仿宋_GBK"/>
                <w:i w:val="0"/>
                <w:color w:val="000000"/>
                <w:sz w:val="20"/>
                <w:szCs w:val="20"/>
                <w:u w:val="none"/>
              </w:rPr>
            </w:pPr>
            <w:r>
              <w:rPr>
                <w:rFonts w:hint="eastAsia" w:ascii="宋体" w:hAnsi="宋体" w:eastAsia="方正仿宋_GBK" w:cs="方正仿宋_GBK"/>
                <w:i w:val="0"/>
                <w:color w:val="000000"/>
                <w:kern w:val="0"/>
                <w:sz w:val="20"/>
                <w:szCs w:val="20"/>
                <w:u w:val="none"/>
                <w:lang w:val="en-US" w:eastAsia="zh-CN" w:bidi="ar"/>
              </w:rPr>
              <w:t>贯穿2023年全年</w:t>
            </w:r>
          </w:p>
        </w:tc>
        <w:tc>
          <w:tcPr>
            <w:tcW w:w="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rPr>
                <w:rFonts w:hint="eastAsia" w:ascii="宋体" w:hAnsi="宋体" w:eastAsia="方正仿宋_GBK" w:cs="方正仿宋_GBK"/>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20" w:hRule="atLeast"/>
          <w:jc w:val="center"/>
        </w:trPr>
        <w:tc>
          <w:tcPr>
            <w:tcW w:w="7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方正仿宋_GBK" w:cs="方正仿宋_GBK"/>
                <w:i w:val="0"/>
                <w:color w:val="000000"/>
                <w:sz w:val="20"/>
                <w:szCs w:val="20"/>
                <w:u w:val="none"/>
              </w:rPr>
            </w:pPr>
            <w:r>
              <w:rPr>
                <w:rFonts w:hint="eastAsia" w:ascii="宋体" w:hAnsi="宋体" w:eastAsia="方正仿宋_GBK" w:cs="方正仿宋_GBK"/>
                <w:i w:val="0"/>
                <w:color w:val="000000"/>
                <w:kern w:val="0"/>
                <w:sz w:val="20"/>
                <w:szCs w:val="20"/>
                <w:u w:val="none"/>
                <w:lang w:val="en-US" w:eastAsia="zh-CN" w:bidi="ar"/>
              </w:rPr>
              <w:t>32</w:t>
            </w: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方正仿宋_GBK" w:cs="方正仿宋_GBK"/>
                <w:i w:val="0"/>
                <w:color w:val="000000"/>
                <w:sz w:val="20"/>
                <w:szCs w:val="20"/>
                <w:u w:val="none"/>
              </w:rPr>
            </w:pPr>
          </w:p>
        </w:tc>
        <w:tc>
          <w:tcPr>
            <w:tcW w:w="50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方正仿宋_GBK" w:cs="方正仿宋_GBK"/>
                <w:i w:val="0"/>
                <w:color w:val="000000"/>
                <w:sz w:val="20"/>
                <w:szCs w:val="20"/>
                <w:u w:val="none"/>
              </w:rPr>
            </w:pPr>
            <w:r>
              <w:rPr>
                <w:rFonts w:hint="eastAsia" w:ascii="宋体" w:hAnsi="宋体" w:eastAsia="方正仿宋_GBK" w:cs="方正仿宋_GBK"/>
                <w:i w:val="0"/>
                <w:color w:val="000000"/>
                <w:kern w:val="0"/>
                <w:sz w:val="20"/>
                <w:szCs w:val="20"/>
                <w:u w:val="none"/>
                <w:lang w:val="en-US" w:eastAsia="zh-CN" w:bidi="ar"/>
              </w:rPr>
              <w:t>旅客列车车厢、轮船客舱、飞机客舱和商场、超市等公共场所卫生检测结果符合国家相关标准要求。</w:t>
            </w:r>
          </w:p>
        </w:tc>
        <w:tc>
          <w:tcPr>
            <w:tcW w:w="64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方正仿宋_GBK" w:cs="方正仿宋_GBK"/>
                <w:i w:val="0"/>
                <w:color w:val="000000"/>
                <w:sz w:val="20"/>
                <w:szCs w:val="20"/>
                <w:u w:val="none"/>
              </w:rPr>
            </w:pPr>
            <w:r>
              <w:rPr>
                <w:rFonts w:hint="eastAsia" w:ascii="宋体" w:hAnsi="宋体" w:eastAsia="方正仿宋_GBK" w:cs="方正仿宋_GBK"/>
                <w:i w:val="0"/>
                <w:color w:val="000000"/>
                <w:kern w:val="0"/>
                <w:sz w:val="20"/>
                <w:szCs w:val="20"/>
                <w:u w:val="none"/>
                <w:lang w:val="en-US" w:eastAsia="zh-CN" w:bidi="ar"/>
              </w:rPr>
              <w:t>1.卫生管理和从业人员卫生等符合要求，公共用品定期更换，保持整洁。2.公共场所每年开展不少于 1 次卫生学检测，物理因素、室内空气质量、生活饮用水、集中空调通风系统符合要求，在醒目位置如实公示检测结果并及时更新。</w:t>
            </w:r>
          </w:p>
        </w:tc>
        <w:tc>
          <w:tcPr>
            <w:tcW w:w="14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方正仿宋_GBK" w:cs="方正仿宋_GBK"/>
                <w:i w:val="0"/>
                <w:color w:val="000000"/>
                <w:sz w:val="20"/>
                <w:szCs w:val="20"/>
                <w:u w:val="none"/>
              </w:rPr>
            </w:pPr>
            <w:r>
              <w:rPr>
                <w:rFonts w:hint="eastAsia" w:ascii="宋体" w:hAnsi="宋体" w:eastAsia="方正仿宋_GBK" w:cs="方正仿宋_GBK"/>
                <w:i w:val="0"/>
                <w:color w:val="000000"/>
                <w:kern w:val="0"/>
                <w:sz w:val="20"/>
                <w:szCs w:val="20"/>
                <w:u w:val="none"/>
                <w:lang w:val="en-US" w:eastAsia="zh-CN" w:bidi="ar"/>
              </w:rPr>
              <w:t>交通局、市监局</w:t>
            </w:r>
          </w:p>
        </w:tc>
        <w:tc>
          <w:tcPr>
            <w:tcW w:w="9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方正仿宋_GBK" w:cs="方正仿宋_GBK"/>
                <w:i w:val="0"/>
                <w:color w:val="000000"/>
                <w:sz w:val="20"/>
                <w:szCs w:val="20"/>
                <w:u w:val="none"/>
              </w:rPr>
            </w:pPr>
            <w:r>
              <w:rPr>
                <w:rFonts w:hint="eastAsia" w:ascii="宋体" w:hAnsi="宋体" w:eastAsia="方正仿宋_GBK" w:cs="方正仿宋_GBK"/>
                <w:i w:val="0"/>
                <w:color w:val="000000"/>
                <w:kern w:val="0"/>
                <w:sz w:val="20"/>
                <w:szCs w:val="20"/>
                <w:u w:val="none"/>
                <w:lang w:val="en-US" w:eastAsia="zh-CN" w:bidi="ar"/>
              </w:rPr>
              <w:t>贯穿2023年全年</w:t>
            </w:r>
          </w:p>
        </w:tc>
        <w:tc>
          <w:tcPr>
            <w:tcW w:w="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rPr>
                <w:rFonts w:hint="eastAsia" w:ascii="宋体" w:hAnsi="宋体" w:eastAsia="方正仿宋_GBK" w:cs="方正仿宋_GBK"/>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40" w:hRule="atLeast"/>
          <w:jc w:val="center"/>
        </w:trPr>
        <w:tc>
          <w:tcPr>
            <w:tcW w:w="7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方正仿宋_GBK" w:cs="方正仿宋_GBK"/>
                <w:i w:val="0"/>
                <w:color w:val="000000"/>
                <w:sz w:val="20"/>
                <w:szCs w:val="20"/>
                <w:u w:val="none"/>
              </w:rPr>
            </w:pPr>
            <w:r>
              <w:rPr>
                <w:rFonts w:hint="eastAsia" w:ascii="宋体" w:hAnsi="宋体" w:eastAsia="方正仿宋_GBK" w:cs="方正仿宋_GBK"/>
                <w:i w:val="0"/>
                <w:color w:val="000000"/>
                <w:kern w:val="0"/>
                <w:sz w:val="20"/>
                <w:szCs w:val="20"/>
                <w:u w:val="none"/>
                <w:lang w:val="en-US" w:eastAsia="zh-CN" w:bidi="ar"/>
              </w:rPr>
              <w:t>33</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方正仿宋_GBK" w:cs="方正仿宋_GBK"/>
                <w:i w:val="0"/>
                <w:color w:val="000000"/>
                <w:sz w:val="20"/>
                <w:szCs w:val="20"/>
                <w:u w:val="none"/>
              </w:rPr>
            </w:pPr>
            <w:r>
              <w:rPr>
                <w:rFonts w:hint="eastAsia" w:ascii="宋体" w:hAnsi="宋体" w:eastAsia="方正仿宋_GBK" w:cs="方正仿宋_GBK"/>
                <w:i w:val="0"/>
                <w:color w:val="000000"/>
                <w:kern w:val="0"/>
                <w:sz w:val="20"/>
                <w:szCs w:val="20"/>
                <w:u w:val="none"/>
                <w:lang w:val="en-US" w:eastAsia="zh-CN" w:bidi="ar"/>
              </w:rPr>
              <w:t>食品和生活饮用水安全</w:t>
            </w:r>
          </w:p>
        </w:tc>
        <w:tc>
          <w:tcPr>
            <w:tcW w:w="50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方正仿宋_GBK" w:cs="方正仿宋_GBK"/>
                <w:i w:val="0"/>
                <w:color w:val="000000"/>
                <w:sz w:val="20"/>
                <w:szCs w:val="20"/>
                <w:u w:val="none"/>
              </w:rPr>
            </w:pPr>
            <w:r>
              <w:rPr>
                <w:rFonts w:hint="eastAsia" w:ascii="宋体" w:hAnsi="宋体" w:eastAsia="方正仿宋_GBK" w:cs="方正仿宋_GBK"/>
                <w:i w:val="0"/>
                <w:color w:val="000000"/>
                <w:kern w:val="0"/>
                <w:sz w:val="20"/>
                <w:szCs w:val="20"/>
                <w:u w:val="none"/>
                <w:lang w:val="en-US" w:eastAsia="zh-CN" w:bidi="ar"/>
              </w:rPr>
              <w:t>近3年辖区内未发生重大食品安全和饮用水安全事故，依法报告食品安全和饮用水安全事故信息。</w:t>
            </w:r>
          </w:p>
        </w:tc>
        <w:tc>
          <w:tcPr>
            <w:tcW w:w="64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方正仿宋_GBK" w:cs="方正仿宋_GBK"/>
                <w:i w:val="0"/>
                <w:color w:val="000000"/>
                <w:sz w:val="20"/>
                <w:szCs w:val="20"/>
                <w:u w:val="none"/>
              </w:rPr>
            </w:pPr>
            <w:r>
              <w:rPr>
                <w:rFonts w:hint="eastAsia" w:ascii="宋体" w:hAnsi="宋体" w:eastAsia="方正仿宋_GBK" w:cs="方正仿宋_GBK"/>
                <w:i w:val="0"/>
                <w:color w:val="000000"/>
                <w:kern w:val="0"/>
                <w:sz w:val="20"/>
                <w:szCs w:val="20"/>
                <w:u w:val="none"/>
                <w:lang w:val="en-US" w:eastAsia="zh-CN" w:bidi="ar"/>
              </w:rPr>
              <w:t>1.严格按照重大食品安全事故标准进行执行。2.积极制定食品安全和饮用水安全突发事件应急预案，健全食品安全和饮用水安全突发事件报告制度，明确处置措施和程序，按时组织开展应急处置技能培训和演练</w:t>
            </w:r>
          </w:p>
        </w:tc>
        <w:tc>
          <w:tcPr>
            <w:tcW w:w="14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方正仿宋_GBK" w:cs="方正仿宋_GBK"/>
                <w:i w:val="0"/>
                <w:color w:val="000000"/>
                <w:sz w:val="20"/>
                <w:szCs w:val="20"/>
                <w:u w:val="none"/>
              </w:rPr>
            </w:pPr>
            <w:r>
              <w:rPr>
                <w:rFonts w:hint="eastAsia" w:ascii="宋体" w:hAnsi="宋体" w:eastAsia="方正仿宋_GBK" w:cs="方正仿宋_GBK"/>
                <w:i w:val="0"/>
                <w:color w:val="000000"/>
                <w:kern w:val="0"/>
                <w:sz w:val="20"/>
                <w:szCs w:val="20"/>
                <w:u w:val="none"/>
                <w:lang w:val="en-US" w:eastAsia="zh-CN" w:bidi="ar"/>
              </w:rPr>
              <w:t>市监局、水利局</w:t>
            </w:r>
          </w:p>
        </w:tc>
        <w:tc>
          <w:tcPr>
            <w:tcW w:w="9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方正仿宋_GBK" w:cs="方正仿宋_GBK"/>
                <w:i w:val="0"/>
                <w:color w:val="000000"/>
                <w:sz w:val="20"/>
                <w:szCs w:val="20"/>
                <w:u w:val="none"/>
              </w:rPr>
            </w:pPr>
            <w:r>
              <w:rPr>
                <w:rFonts w:hint="eastAsia" w:ascii="宋体" w:hAnsi="宋体" w:eastAsia="方正仿宋_GBK" w:cs="方正仿宋_GBK"/>
                <w:i w:val="0"/>
                <w:color w:val="000000"/>
                <w:kern w:val="0"/>
                <w:sz w:val="20"/>
                <w:szCs w:val="20"/>
                <w:u w:val="none"/>
                <w:lang w:val="en-US" w:eastAsia="zh-CN" w:bidi="ar"/>
              </w:rPr>
              <w:t>贯穿2023年全年</w:t>
            </w:r>
          </w:p>
        </w:tc>
        <w:tc>
          <w:tcPr>
            <w:tcW w:w="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rPr>
                <w:rFonts w:hint="eastAsia" w:ascii="宋体" w:hAnsi="宋体" w:eastAsia="方正仿宋_GBK" w:cs="方正仿宋_GBK"/>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0" w:hRule="atLeast"/>
          <w:jc w:val="center"/>
        </w:trPr>
        <w:tc>
          <w:tcPr>
            <w:tcW w:w="7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方正仿宋_GBK" w:cs="方正仿宋_GBK"/>
                <w:i w:val="0"/>
                <w:color w:val="000000"/>
                <w:sz w:val="20"/>
                <w:szCs w:val="20"/>
                <w:u w:val="none"/>
              </w:rPr>
            </w:pPr>
            <w:r>
              <w:rPr>
                <w:rFonts w:hint="eastAsia" w:ascii="宋体" w:hAnsi="宋体" w:eastAsia="方正仿宋_GBK" w:cs="方正仿宋_GBK"/>
                <w:i w:val="0"/>
                <w:color w:val="000000"/>
                <w:kern w:val="0"/>
                <w:sz w:val="20"/>
                <w:szCs w:val="20"/>
                <w:u w:val="none"/>
                <w:lang w:val="en-US" w:eastAsia="zh-CN" w:bidi="ar"/>
              </w:rPr>
              <w:t>34</w:t>
            </w: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方正仿宋_GBK" w:cs="方正仿宋_GBK"/>
                <w:i w:val="0"/>
                <w:color w:val="000000"/>
                <w:sz w:val="20"/>
                <w:szCs w:val="20"/>
                <w:u w:val="none"/>
              </w:rPr>
            </w:pPr>
          </w:p>
        </w:tc>
        <w:tc>
          <w:tcPr>
            <w:tcW w:w="50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方正仿宋_GBK" w:cs="方正仿宋_GBK"/>
                <w:i w:val="0"/>
                <w:color w:val="000000"/>
                <w:sz w:val="20"/>
                <w:szCs w:val="20"/>
                <w:u w:val="none"/>
              </w:rPr>
            </w:pPr>
            <w:r>
              <w:rPr>
                <w:rFonts w:hint="eastAsia" w:ascii="宋体" w:hAnsi="宋体" w:eastAsia="方正仿宋_GBK" w:cs="方正仿宋_GBK"/>
                <w:i w:val="0"/>
                <w:color w:val="000000"/>
                <w:kern w:val="0"/>
                <w:sz w:val="20"/>
                <w:szCs w:val="20"/>
                <w:u w:val="none"/>
                <w:lang w:val="en-US" w:eastAsia="zh-CN" w:bidi="ar"/>
              </w:rPr>
              <w:t>加强小餐饮店、小食品店、小作坊管理，无固定经营场所的食 品摊贩实行统一管理，规定区域、限定品种经营。无制售“三无”食品、假冒食品、劣质食品、过期食品等现象。</w:t>
            </w:r>
          </w:p>
        </w:tc>
        <w:tc>
          <w:tcPr>
            <w:tcW w:w="64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方正仿宋_GBK" w:cs="方正仿宋_GBK"/>
                <w:i w:val="0"/>
                <w:color w:val="000000"/>
                <w:sz w:val="20"/>
                <w:szCs w:val="20"/>
                <w:u w:val="none"/>
              </w:rPr>
            </w:pPr>
            <w:r>
              <w:rPr>
                <w:rFonts w:hint="eastAsia" w:ascii="宋体" w:hAnsi="宋体" w:eastAsia="方正仿宋_GBK" w:cs="方正仿宋_GBK"/>
                <w:i w:val="0"/>
                <w:color w:val="000000"/>
                <w:kern w:val="0"/>
                <w:sz w:val="20"/>
                <w:szCs w:val="20"/>
                <w:u w:val="none"/>
                <w:lang w:val="en-US" w:eastAsia="zh-CN" w:bidi="ar"/>
              </w:rPr>
              <w:t>1.彻底治理小餐饮店、小食品店、小作坊的“脏、乱、差”等难点问题，严厉查处制售“三无”食品、假冒食品、劣质食品、过期食品等违法行为。2.严格落实食品生产经营场所要求、餐饮服务场所要求、食品加工要求、食品配送要求、小餐饮店要求、小食品店要求、食品小作坊要求、食品摊贩要求。</w:t>
            </w:r>
          </w:p>
        </w:tc>
        <w:tc>
          <w:tcPr>
            <w:tcW w:w="14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方正仿宋_GBK" w:cs="方正仿宋_GBK"/>
                <w:i w:val="0"/>
                <w:color w:val="000000"/>
                <w:sz w:val="20"/>
                <w:szCs w:val="20"/>
                <w:u w:val="none"/>
              </w:rPr>
            </w:pPr>
            <w:r>
              <w:rPr>
                <w:rFonts w:hint="eastAsia" w:ascii="宋体" w:hAnsi="宋体" w:eastAsia="方正仿宋_GBK" w:cs="方正仿宋_GBK"/>
                <w:i w:val="0"/>
                <w:color w:val="000000"/>
                <w:kern w:val="0"/>
                <w:sz w:val="20"/>
                <w:szCs w:val="20"/>
                <w:u w:val="none"/>
                <w:lang w:val="en-US" w:eastAsia="zh-CN" w:bidi="ar"/>
              </w:rPr>
              <w:t>市场监督管理局</w:t>
            </w:r>
          </w:p>
        </w:tc>
        <w:tc>
          <w:tcPr>
            <w:tcW w:w="9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方正仿宋_GBK" w:cs="方正仿宋_GBK"/>
                <w:i w:val="0"/>
                <w:color w:val="000000"/>
                <w:sz w:val="20"/>
                <w:szCs w:val="20"/>
                <w:u w:val="none"/>
              </w:rPr>
            </w:pPr>
            <w:r>
              <w:rPr>
                <w:rFonts w:hint="eastAsia" w:ascii="宋体" w:hAnsi="宋体" w:eastAsia="方正仿宋_GBK" w:cs="方正仿宋_GBK"/>
                <w:i w:val="0"/>
                <w:color w:val="000000"/>
                <w:kern w:val="0"/>
                <w:sz w:val="20"/>
                <w:szCs w:val="20"/>
                <w:u w:val="none"/>
                <w:lang w:val="en-US" w:eastAsia="zh-CN" w:bidi="ar"/>
              </w:rPr>
              <w:t>贯穿2023年全年</w:t>
            </w:r>
          </w:p>
        </w:tc>
        <w:tc>
          <w:tcPr>
            <w:tcW w:w="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rPr>
                <w:rFonts w:hint="eastAsia" w:ascii="宋体" w:hAnsi="宋体" w:eastAsia="方正仿宋_GBK" w:cs="方正仿宋_GBK"/>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90" w:hRule="atLeast"/>
          <w:jc w:val="center"/>
        </w:trPr>
        <w:tc>
          <w:tcPr>
            <w:tcW w:w="7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方正仿宋_GBK" w:cs="方正仿宋_GBK"/>
                <w:i w:val="0"/>
                <w:color w:val="000000"/>
                <w:sz w:val="20"/>
                <w:szCs w:val="20"/>
                <w:u w:val="none"/>
              </w:rPr>
            </w:pPr>
            <w:r>
              <w:rPr>
                <w:rFonts w:hint="eastAsia" w:ascii="宋体" w:hAnsi="宋体" w:eastAsia="方正仿宋_GBK" w:cs="方正仿宋_GBK"/>
                <w:i w:val="0"/>
                <w:color w:val="000000"/>
                <w:kern w:val="0"/>
                <w:sz w:val="20"/>
                <w:szCs w:val="20"/>
                <w:u w:val="none"/>
                <w:lang w:val="en-US" w:eastAsia="zh-CN" w:bidi="ar"/>
              </w:rPr>
              <w:t>35</w:t>
            </w: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方正仿宋_GBK" w:cs="方正仿宋_GBK"/>
                <w:i w:val="0"/>
                <w:color w:val="000000"/>
                <w:sz w:val="20"/>
                <w:szCs w:val="20"/>
                <w:u w:val="none"/>
              </w:rPr>
            </w:pPr>
          </w:p>
        </w:tc>
        <w:tc>
          <w:tcPr>
            <w:tcW w:w="50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方正仿宋_GBK" w:cs="方正仿宋_GBK"/>
                <w:i w:val="0"/>
                <w:color w:val="000000"/>
                <w:sz w:val="20"/>
                <w:szCs w:val="20"/>
                <w:u w:val="none"/>
              </w:rPr>
            </w:pPr>
            <w:r>
              <w:rPr>
                <w:rFonts w:hint="eastAsia" w:ascii="宋体" w:hAnsi="宋体" w:eastAsia="方正仿宋_GBK" w:cs="方正仿宋_GBK"/>
                <w:i w:val="0"/>
                <w:color w:val="000000"/>
                <w:kern w:val="0"/>
                <w:sz w:val="20"/>
                <w:szCs w:val="20"/>
                <w:u w:val="none"/>
                <w:lang w:val="en-US" w:eastAsia="zh-CN" w:bidi="ar"/>
              </w:rPr>
              <w:t>积极推行明厨亮灶和食品生产经营风险分级管理。从事接触直接入口食品工作的食品生产经营人员取得有效的健康合格证明。落实清洗消毒 制度，防蝇防鼠等设施健全。食品生产经营单位严格执行国家相关标准。</w:t>
            </w:r>
          </w:p>
        </w:tc>
        <w:tc>
          <w:tcPr>
            <w:tcW w:w="64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方正仿宋_GBK" w:cs="方正仿宋_GBK"/>
                <w:i w:val="0"/>
                <w:color w:val="000000"/>
                <w:sz w:val="20"/>
                <w:szCs w:val="20"/>
                <w:u w:val="none"/>
              </w:rPr>
            </w:pPr>
            <w:r>
              <w:rPr>
                <w:rFonts w:hint="eastAsia" w:ascii="宋体" w:hAnsi="宋体" w:eastAsia="方正仿宋_GBK" w:cs="方正仿宋_GBK"/>
                <w:i w:val="0"/>
                <w:color w:val="000000"/>
                <w:kern w:val="0"/>
                <w:sz w:val="20"/>
                <w:szCs w:val="20"/>
                <w:u w:val="none"/>
                <w:lang w:val="en-US" w:eastAsia="zh-CN" w:bidi="ar"/>
              </w:rPr>
              <w:t>1.积极推行明厨亮灶管理，采用透明、视频等方式，将厨房环境卫生、冷食类食品加工制作、生食类食品加工制作、烹饪和餐饮具清洗消毒等过程，向社会公众展示，视频信息保存不少于 7 天。2.食品生产经营风险分级管理率≥90%。3.食品生产经营者建立并执行从业人员健康管理制。4.餐饮具使用前洗净、消毒，消毒后的餐饮具符合标准要求，并贮存在消毒柜或专用保洁柜内备用。餐饮具所用的洗涤剂、消毒剂及一次性餐饮具和集中消毒餐饮具向供货商索取其营业执照及检测合格报告等安全证明，不得重复使用一次性餐饮具或集中消毒餐饮具。5.健全防鼠、防蝇等病媒生物防制设施，具体要求参照疾病防控和医疗卫生服务部分的重点行业和单位防蝇和防鼠设施。</w:t>
            </w:r>
          </w:p>
        </w:tc>
        <w:tc>
          <w:tcPr>
            <w:tcW w:w="14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方正仿宋_GBK" w:cs="方正仿宋_GBK"/>
                <w:i w:val="0"/>
                <w:color w:val="000000"/>
                <w:sz w:val="20"/>
                <w:szCs w:val="20"/>
                <w:u w:val="none"/>
              </w:rPr>
            </w:pPr>
            <w:r>
              <w:rPr>
                <w:rFonts w:hint="eastAsia" w:ascii="宋体" w:hAnsi="宋体" w:eastAsia="方正仿宋_GBK" w:cs="方正仿宋_GBK"/>
                <w:i w:val="0"/>
                <w:color w:val="000000"/>
                <w:kern w:val="0"/>
                <w:sz w:val="20"/>
                <w:szCs w:val="20"/>
                <w:u w:val="none"/>
                <w:lang w:val="en-US" w:eastAsia="zh-CN" w:bidi="ar"/>
              </w:rPr>
              <w:t>市场监督管理局</w:t>
            </w:r>
          </w:p>
        </w:tc>
        <w:tc>
          <w:tcPr>
            <w:tcW w:w="9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方正仿宋_GBK" w:cs="方正仿宋_GBK"/>
                <w:i w:val="0"/>
                <w:color w:val="000000"/>
                <w:sz w:val="20"/>
                <w:szCs w:val="20"/>
                <w:u w:val="none"/>
              </w:rPr>
            </w:pPr>
            <w:r>
              <w:rPr>
                <w:rFonts w:hint="eastAsia" w:ascii="宋体" w:hAnsi="宋体" w:eastAsia="方正仿宋_GBK" w:cs="方正仿宋_GBK"/>
                <w:i w:val="0"/>
                <w:color w:val="000000"/>
                <w:kern w:val="0"/>
                <w:sz w:val="20"/>
                <w:szCs w:val="20"/>
                <w:u w:val="none"/>
                <w:lang w:val="en-US" w:eastAsia="zh-CN" w:bidi="ar"/>
              </w:rPr>
              <w:t>贯穿2023年全年</w:t>
            </w:r>
          </w:p>
        </w:tc>
        <w:tc>
          <w:tcPr>
            <w:tcW w:w="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rPr>
                <w:rFonts w:hint="eastAsia" w:ascii="宋体" w:hAnsi="宋体" w:eastAsia="方正仿宋_GBK" w:cs="方正仿宋_GBK"/>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20" w:hRule="atLeast"/>
          <w:jc w:val="center"/>
        </w:trPr>
        <w:tc>
          <w:tcPr>
            <w:tcW w:w="7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方正仿宋_GBK" w:cs="方正仿宋_GBK"/>
                <w:i w:val="0"/>
                <w:color w:val="000000"/>
                <w:sz w:val="20"/>
                <w:szCs w:val="20"/>
                <w:u w:val="none"/>
              </w:rPr>
            </w:pPr>
            <w:r>
              <w:rPr>
                <w:rFonts w:hint="eastAsia" w:ascii="宋体" w:hAnsi="宋体" w:eastAsia="方正仿宋_GBK" w:cs="方正仿宋_GBK"/>
                <w:i w:val="0"/>
                <w:color w:val="000000"/>
                <w:kern w:val="0"/>
                <w:sz w:val="20"/>
                <w:szCs w:val="20"/>
                <w:u w:val="none"/>
                <w:lang w:val="en-US" w:eastAsia="zh-CN" w:bidi="ar"/>
              </w:rPr>
              <w:t>36</w:t>
            </w: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方正仿宋_GBK" w:cs="方正仿宋_GBK"/>
                <w:i w:val="0"/>
                <w:color w:val="000000"/>
                <w:sz w:val="20"/>
                <w:szCs w:val="20"/>
                <w:u w:val="none"/>
              </w:rPr>
            </w:pPr>
          </w:p>
        </w:tc>
        <w:tc>
          <w:tcPr>
            <w:tcW w:w="50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方正仿宋_GBK" w:cs="方正仿宋_GBK"/>
                <w:i w:val="0"/>
                <w:color w:val="000000"/>
                <w:sz w:val="20"/>
                <w:szCs w:val="20"/>
                <w:u w:val="none"/>
              </w:rPr>
            </w:pPr>
            <w:r>
              <w:rPr>
                <w:rFonts w:hint="eastAsia" w:ascii="宋体" w:hAnsi="宋体" w:eastAsia="方正仿宋_GBK" w:cs="方正仿宋_GBK"/>
                <w:i w:val="0"/>
                <w:color w:val="000000"/>
                <w:kern w:val="0"/>
                <w:sz w:val="20"/>
                <w:szCs w:val="20"/>
                <w:u w:val="none"/>
                <w:lang w:val="en-US" w:eastAsia="zh-CN" w:bidi="ar"/>
              </w:rPr>
              <w:t>辖区内积极推广分餐制和公筷制，大力倡导“光盘行动”。辖区内无贩卖、制售、食用野生动物现象。</w:t>
            </w:r>
          </w:p>
        </w:tc>
        <w:tc>
          <w:tcPr>
            <w:tcW w:w="64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方正仿宋_GBK" w:cs="方正仿宋_GBK"/>
                <w:i w:val="0"/>
                <w:color w:val="000000"/>
                <w:sz w:val="20"/>
                <w:szCs w:val="20"/>
                <w:u w:val="none"/>
              </w:rPr>
            </w:pPr>
            <w:r>
              <w:rPr>
                <w:rFonts w:hint="eastAsia" w:ascii="宋体" w:hAnsi="宋体" w:eastAsia="方正仿宋_GBK" w:cs="方正仿宋_GBK"/>
                <w:i w:val="0"/>
                <w:color w:val="000000"/>
                <w:kern w:val="0"/>
                <w:sz w:val="20"/>
                <w:szCs w:val="20"/>
                <w:u w:val="none"/>
                <w:lang w:val="en-US" w:eastAsia="zh-CN" w:bidi="ar"/>
              </w:rPr>
              <w:t>1.在公共用餐场所显著位置摆放标识公筷公勺和消毒日期的工作台，便于服务人员或就餐者取用。2人（含2人）以上聚餐时，可在每份菜品旁摆放一套公筷（公勺），或在每位就餐者自用筷（勺）边摆放一套颜色区分的公筷（公勺）。2.餐饮服务经营者主动在传统菜单上增加部分菜品的半份（或小份）的明码标价。主动提醒消费者适量点餐，主动提供剩餐打包服务，杜绝餐桌上的浪费。3.餐饮服务经营者主动在传统菜单上增加部分菜品的半份（或小份）的明码标价。主动提醒消费者适量点餐，主动提供剩餐打包服务，杜绝餐桌上的浪费。</w:t>
            </w:r>
          </w:p>
        </w:tc>
        <w:tc>
          <w:tcPr>
            <w:tcW w:w="14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方正仿宋_GBK" w:cs="方正仿宋_GBK"/>
                <w:i w:val="0"/>
                <w:color w:val="000000"/>
                <w:sz w:val="20"/>
                <w:szCs w:val="20"/>
                <w:u w:val="none"/>
              </w:rPr>
            </w:pPr>
            <w:r>
              <w:rPr>
                <w:rFonts w:hint="eastAsia" w:ascii="宋体" w:hAnsi="宋体" w:eastAsia="方正仿宋_GBK" w:cs="方正仿宋_GBK"/>
                <w:i w:val="0"/>
                <w:color w:val="000000"/>
                <w:kern w:val="0"/>
                <w:sz w:val="20"/>
                <w:szCs w:val="20"/>
                <w:u w:val="none"/>
                <w:lang w:val="en-US" w:eastAsia="zh-CN" w:bidi="ar"/>
              </w:rPr>
              <w:t>市场监督管理局、各商铺及餐馆</w:t>
            </w:r>
          </w:p>
        </w:tc>
        <w:tc>
          <w:tcPr>
            <w:tcW w:w="9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方正仿宋_GBK" w:cs="方正仿宋_GBK"/>
                <w:i w:val="0"/>
                <w:color w:val="000000"/>
                <w:sz w:val="20"/>
                <w:szCs w:val="20"/>
                <w:u w:val="none"/>
              </w:rPr>
            </w:pPr>
            <w:r>
              <w:rPr>
                <w:rFonts w:hint="eastAsia" w:ascii="宋体" w:hAnsi="宋体" w:eastAsia="方正仿宋_GBK" w:cs="方正仿宋_GBK"/>
                <w:i w:val="0"/>
                <w:color w:val="000000"/>
                <w:kern w:val="0"/>
                <w:sz w:val="20"/>
                <w:szCs w:val="20"/>
                <w:u w:val="none"/>
                <w:lang w:val="en-US" w:eastAsia="zh-CN" w:bidi="ar"/>
              </w:rPr>
              <w:t>贯穿2023年全年</w:t>
            </w:r>
          </w:p>
        </w:tc>
        <w:tc>
          <w:tcPr>
            <w:tcW w:w="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rPr>
                <w:rFonts w:hint="eastAsia" w:ascii="宋体" w:hAnsi="宋体" w:eastAsia="方正仿宋_GBK" w:cs="方正仿宋_GBK"/>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60" w:hRule="atLeast"/>
          <w:jc w:val="center"/>
        </w:trPr>
        <w:tc>
          <w:tcPr>
            <w:tcW w:w="7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方正仿宋_GBK" w:cs="方正仿宋_GBK"/>
                <w:i w:val="0"/>
                <w:color w:val="000000"/>
                <w:sz w:val="20"/>
                <w:szCs w:val="20"/>
                <w:u w:val="none"/>
              </w:rPr>
            </w:pPr>
            <w:r>
              <w:rPr>
                <w:rFonts w:hint="eastAsia" w:ascii="宋体" w:hAnsi="宋体" w:eastAsia="方正仿宋_GBK" w:cs="方正仿宋_GBK"/>
                <w:i w:val="0"/>
                <w:color w:val="000000"/>
                <w:kern w:val="0"/>
                <w:sz w:val="20"/>
                <w:szCs w:val="20"/>
                <w:u w:val="none"/>
                <w:lang w:val="en-US" w:eastAsia="zh-CN" w:bidi="ar"/>
              </w:rPr>
              <w:t>37</w:t>
            </w: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方正仿宋_GBK" w:cs="方正仿宋_GBK"/>
                <w:i w:val="0"/>
                <w:color w:val="000000"/>
                <w:sz w:val="20"/>
                <w:szCs w:val="20"/>
                <w:u w:val="none"/>
              </w:rPr>
            </w:pPr>
          </w:p>
        </w:tc>
        <w:tc>
          <w:tcPr>
            <w:tcW w:w="50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方正仿宋_GBK" w:cs="方正仿宋_GBK"/>
                <w:i w:val="0"/>
                <w:color w:val="000000"/>
                <w:sz w:val="20"/>
                <w:szCs w:val="20"/>
                <w:u w:val="none"/>
              </w:rPr>
            </w:pPr>
            <w:r>
              <w:rPr>
                <w:rFonts w:hint="eastAsia" w:ascii="宋体" w:hAnsi="宋体" w:eastAsia="方正仿宋_GBK" w:cs="方正仿宋_GBK"/>
                <w:i w:val="0"/>
                <w:color w:val="000000"/>
                <w:kern w:val="0"/>
                <w:sz w:val="20"/>
                <w:szCs w:val="20"/>
                <w:u w:val="none"/>
                <w:lang w:val="en-US" w:eastAsia="zh-CN" w:bidi="ar"/>
              </w:rPr>
              <w:t>市政供水、自备供水、居民小区供水管理规范，供水单位有卫生许可证。二次供水符合国家相关标准要求。开展水质监测工作，采样点选择、检验项目和频率符合相关要求。</w:t>
            </w:r>
          </w:p>
        </w:tc>
        <w:tc>
          <w:tcPr>
            <w:tcW w:w="64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方正仿宋_GBK" w:cs="方正仿宋_GBK"/>
                <w:i w:val="0"/>
                <w:color w:val="000000"/>
                <w:sz w:val="20"/>
                <w:szCs w:val="20"/>
                <w:u w:val="none"/>
              </w:rPr>
            </w:pPr>
            <w:r>
              <w:rPr>
                <w:rFonts w:hint="eastAsia" w:ascii="宋体" w:hAnsi="宋体" w:eastAsia="方正仿宋_GBK" w:cs="方正仿宋_GBK"/>
                <w:i w:val="0"/>
                <w:color w:val="000000"/>
                <w:kern w:val="0"/>
                <w:sz w:val="20"/>
                <w:szCs w:val="20"/>
                <w:u w:val="none"/>
                <w:lang w:val="en-US" w:eastAsia="zh-CN" w:bidi="ar"/>
              </w:rPr>
              <w:t>1.根据国家或省级卫生健康行政部门要求，制定本地区生活饮用水水质监测工作方案，明确水质监测的采样点要求，检测项目和频率，按要求开展水质监测工作，相关档案资料齐全。2.供水责任单位按照国家和本地区要求定期进行水质检验，做好水质档案管理工作。3.严格落实集中式供水（市政供水、自备供水）单位要求、二次供水单位要求、小区直饮水要求开展工作。</w:t>
            </w:r>
          </w:p>
        </w:tc>
        <w:tc>
          <w:tcPr>
            <w:tcW w:w="14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方正仿宋_GBK" w:cs="方正仿宋_GBK"/>
                <w:i w:val="0"/>
                <w:color w:val="000000"/>
                <w:sz w:val="20"/>
                <w:szCs w:val="20"/>
                <w:u w:val="none"/>
              </w:rPr>
            </w:pPr>
            <w:r>
              <w:rPr>
                <w:rFonts w:hint="eastAsia" w:ascii="宋体" w:hAnsi="宋体" w:eastAsia="方正仿宋_GBK" w:cs="方正仿宋_GBK"/>
                <w:i w:val="0"/>
                <w:color w:val="000000"/>
                <w:kern w:val="0"/>
                <w:sz w:val="20"/>
                <w:szCs w:val="20"/>
                <w:u w:val="none"/>
                <w:lang w:val="en-US" w:eastAsia="zh-CN" w:bidi="ar"/>
              </w:rPr>
              <w:t>水利局</w:t>
            </w:r>
          </w:p>
        </w:tc>
        <w:tc>
          <w:tcPr>
            <w:tcW w:w="9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方正仿宋_GBK" w:cs="方正仿宋_GBK"/>
                <w:i w:val="0"/>
                <w:color w:val="000000"/>
                <w:sz w:val="20"/>
                <w:szCs w:val="20"/>
                <w:u w:val="none"/>
              </w:rPr>
            </w:pPr>
            <w:r>
              <w:rPr>
                <w:rFonts w:hint="eastAsia" w:ascii="宋体" w:hAnsi="宋体" w:eastAsia="方正仿宋_GBK" w:cs="方正仿宋_GBK"/>
                <w:i w:val="0"/>
                <w:color w:val="000000"/>
                <w:kern w:val="0"/>
                <w:sz w:val="20"/>
                <w:szCs w:val="20"/>
                <w:u w:val="none"/>
                <w:lang w:val="en-US" w:eastAsia="zh-CN" w:bidi="ar"/>
              </w:rPr>
              <w:t>贯穿2023年全年</w:t>
            </w:r>
          </w:p>
        </w:tc>
        <w:tc>
          <w:tcPr>
            <w:tcW w:w="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rPr>
                <w:rFonts w:hint="eastAsia" w:ascii="宋体" w:hAnsi="宋体" w:eastAsia="方正仿宋_GBK" w:cs="方正仿宋_GBK"/>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35" w:hRule="atLeast"/>
          <w:jc w:val="center"/>
        </w:trPr>
        <w:tc>
          <w:tcPr>
            <w:tcW w:w="7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方正仿宋_GBK" w:cs="方正仿宋_GBK"/>
                <w:i w:val="0"/>
                <w:color w:val="000000"/>
                <w:sz w:val="20"/>
                <w:szCs w:val="20"/>
                <w:u w:val="none"/>
              </w:rPr>
            </w:pPr>
            <w:r>
              <w:rPr>
                <w:rFonts w:hint="eastAsia" w:ascii="宋体" w:hAnsi="宋体" w:eastAsia="方正仿宋_GBK" w:cs="方正仿宋_GBK"/>
                <w:i w:val="0"/>
                <w:color w:val="000000"/>
                <w:kern w:val="0"/>
                <w:sz w:val="20"/>
                <w:szCs w:val="20"/>
                <w:u w:val="none"/>
                <w:lang w:val="en-US" w:eastAsia="zh-CN" w:bidi="ar"/>
              </w:rPr>
              <w:t>38</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方正仿宋_GBK" w:cs="方正仿宋_GBK"/>
                <w:i w:val="0"/>
                <w:color w:val="000000"/>
                <w:sz w:val="20"/>
                <w:szCs w:val="20"/>
                <w:u w:val="none"/>
              </w:rPr>
            </w:pPr>
            <w:r>
              <w:rPr>
                <w:rFonts w:hint="eastAsia" w:ascii="宋体" w:hAnsi="宋体" w:eastAsia="方正仿宋_GBK" w:cs="方正仿宋_GBK"/>
                <w:i w:val="0"/>
                <w:color w:val="000000"/>
                <w:kern w:val="0"/>
                <w:sz w:val="20"/>
                <w:szCs w:val="20"/>
                <w:u w:val="none"/>
                <w:lang w:val="en-US" w:eastAsia="zh-CN" w:bidi="ar"/>
              </w:rPr>
              <w:t>疾病防控与医疗卫生服务</w:t>
            </w:r>
          </w:p>
        </w:tc>
        <w:tc>
          <w:tcPr>
            <w:tcW w:w="50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方正仿宋_GBK" w:cs="方正仿宋_GBK"/>
                <w:i w:val="0"/>
                <w:color w:val="000000"/>
                <w:sz w:val="20"/>
                <w:szCs w:val="20"/>
                <w:u w:val="none"/>
              </w:rPr>
            </w:pPr>
            <w:r>
              <w:rPr>
                <w:rFonts w:hint="eastAsia" w:ascii="宋体" w:hAnsi="宋体" w:eastAsia="方正仿宋_GBK" w:cs="方正仿宋_GBK"/>
                <w:i w:val="0"/>
                <w:color w:val="000000"/>
                <w:kern w:val="0"/>
                <w:sz w:val="20"/>
                <w:szCs w:val="20"/>
                <w:u w:val="none"/>
                <w:lang w:val="en-US" w:eastAsia="zh-CN" w:bidi="ar"/>
              </w:rPr>
              <w:t>建立与经济社会发展、财政状况和实现健康目标相适应的卫生健康事业投入机制。个人卫生支出占卫生总费用的比重持续降低。</w:t>
            </w:r>
          </w:p>
        </w:tc>
        <w:tc>
          <w:tcPr>
            <w:tcW w:w="64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方正仿宋_GBK" w:cs="方正仿宋_GBK"/>
                <w:i w:val="0"/>
                <w:color w:val="000000"/>
                <w:sz w:val="20"/>
                <w:szCs w:val="20"/>
                <w:u w:val="none"/>
              </w:rPr>
            </w:pPr>
            <w:r>
              <w:rPr>
                <w:rFonts w:hint="eastAsia" w:ascii="宋体" w:hAnsi="宋体" w:eastAsia="方正仿宋_GBK" w:cs="方正仿宋_GBK"/>
                <w:i w:val="0"/>
                <w:color w:val="000000"/>
                <w:kern w:val="0"/>
                <w:sz w:val="20"/>
                <w:szCs w:val="20"/>
                <w:u w:val="none"/>
                <w:lang w:val="en-US" w:eastAsia="zh-CN" w:bidi="ar"/>
              </w:rPr>
              <w:t>1.政府切实履行发展卫生健康事业的职责，建立与经济社会发展、财政状况和实现健康目标相适应的卫生健康事业投入机制。2.建立结果导向的卫生健康投入机制，开展卫生健康投入绩效监测和评价。要持续降低个人卫生支出占卫生总费用的比重，减轻居民医疗卫生费用的个人负担。</w:t>
            </w:r>
          </w:p>
        </w:tc>
        <w:tc>
          <w:tcPr>
            <w:tcW w:w="14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方正仿宋_GBK" w:cs="方正仿宋_GBK"/>
                <w:i w:val="0"/>
                <w:color w:val="000000"/>
                <w:sz w:val="20"/>
                <w:szCs w:val="20"/>
                <w:u w:val="none"/>
              </w:rPr>
            </w:pPr>
            <w:r>
              <w:rPr>
                <w:rFonts w:hint="eastAsia" w:ascii="宋体" w:hAnsi="宋体" w:eastAsia="方正仿宋_GBK" w:cs="方正仿宋_GBK"/>
                <w:i w:val="0"/>
                <w:color w:val="000000"/>
                <w:kern w:val="0"/>
                <w:sz w:val="20"/>
                <w:szCs w:val="20"/>
                <w:u w:val="none"/>
                <w:lang w:val="en-US" w:eastAsia="zh-CN" w:bidi="ar"/>
              </w:rPr>
              <w:t>卫健委</w:t>
            </w:r>
          </w:p>
        </w:tc>
        <w:tc>
          <w:tcPr>
            <w:tcW w:w="9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方正仿宋_GBK" w:cs="方正仿宋_GBK"/>
                <w:i w:val="0"/>
                <w:color w:val="000000"/>
                <w:sz w:val="20"/>
                <w:szCs w:val="20"/>
                <w:u w:val="none"/>
              </w:rPr>
            </w:pPr>
            <w:r>
              <w:rPr>
                <w:rFonts w:hint="eastAsia" w:ascii="宋体" w:hAnsi="宋体" w:eastAsia="方正仿宋_GBK" w:cs="方正仿宋_GBK"/>
                <w:i w:val="0"/>
                <w:color w:val="000000"/>
                <w:kern w:val="0"/>
                <w:sz w:val="20"/>
                <w:szCs w:val="20"/>
                <w:u w:val="none"/>
                <w:lang w:val="en-US" w:eastAsia="zh-CN" w:bidi="ar"/>
              </w:rPr>
              <w:t>贯穿2023年全年</w:t>
            </w:r>
          </w:p>
        </w:tc>
        <w:tc>
          <w:tcPr>
            <w:tcW w:w="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rPr>
                <w:rFonts w:hint="eastAsia" w:ascii="宋体" w:hAnsi="宋体" w:eastAsia="方正仿宋_GBK" w:cs="方正仿宋_GBK"/>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20" w:hRule="atLeast"/>
          <w:jc w:val="center"/>
        </w:trPr>
        <w:tc>
          <w:tcPr>
            <w:tcW w:w="7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方正仿宋_GBK" w:cs="方正仿宋_GBK"/>
                <w:i w:val="0"/>
                <w:color w:val="000000"/>
                <w:sz w:val="20"/>
                <w:szCs w:val="20"/>
                <w:u w:val="none"/>
              </w:rPr>
            </w:pPr>
            <w:r>
              <w:rPr>
                <w:rFonts w:hint="eastAsia" w:ascii="宋体" w:hAnsi="宋体" w:eastAsia="方正仿宋_GBK" w:cs="方正仿宋_GBK"/>
                <w:i w:val="0"/>
                <w:color w:val="000000"/>
                <w:kern w:val="0"/>
                <w:sz w:val="20"/>
                <w:szCs w:val="20"/>
                <w:u w:val="none"/>
                <w:lang w:val="en-US" w:eastAsia="zh-CN" w:bidi="ar"/>
              </w:rPr>
              <w:t>39</w:t>
            </w: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方正仿宋_GBK" w:cs="方正仿宋_GBK"/>
                <w:i w:val="0"/>
                <w:color w:val="000000"/>
                <w:sz w:val="20"/>
                <w:szCs w:val="20"/>
                <w:u w:val="none"/>
              </w:rPr>
            </w:pPr>
          </w:p>
        </w:tc>
        <w:tc>
          <w:tcPr>
            <w:tcW w:w="50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方正仿宋_GBK" w:cs="方正仿宋_GBK"/>
                <w:i w:val="0"/>
                <w:color w:val="000000"/>
                <w:sz w:val="20"/>
                <w:szCs w:val="20"/>
                <w:u w:val="none"/>
              </w:rPr>
            </w:pPr>
            <w:r>
              <w:rPr>
                <w:rFonts w:hint="eastAsia" w:ascii="宋体" w:hAnsi="宋体" w:eastAsia="方正仿宋_GBK" w:cs="方正仿宋_GBK"/>
                <w:i w:val="0"/>
                <w:color w:val="000000"/>
                <w:kern w:val="0"/>
                <w:sz w:val="20"/>
                <w:szCs w:val="20"/>
                <w:u w:val="none"/>
                <w:lang w:val="en-US" w:eastAsia="zh-CN" w:bidi="ar"/>
              </w:rPr>
              <w:t>强化重大传染病防控措施，建立重大新发突发传染病疫情防控 联防联控机制，按照相关要求制定传染病预防控制预案，落实“四早”要求，压实“四方责任”，甲、乙类法定传染病发病情况稳定。二级以上综合性医院 设置公共卫生科和感染性疾病科，发热门诊、肠道门诊、预检分诊符合有关规定。近3年辖区内未发生重大实验室生物安全事故。</w:t>
            </w:r>
          </w:p>
        </w:tc>
        <w:tc>
          <w:tcPr>
            <w:tcW w:w="64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方正仿宋_GBK" w:cs="方正仿宋_GBK"/>
                <w:i w:val="0"/>
                <w:color w:val="000000"/>
                <w:sz w:val="20"/>
                <w:szCs w:val="20"/>
                <w:u w:val="none"/>
              </w:rPr>
            </w:pPr>
            <w:r>
              <w:rPr>
                <w:rFonts w:hint="eastAsia" w:ascii="宋体" w:hAnsi="宋体" w:eastAsia="方正仿宋_GBK" w:cs="方正仿宋_GBK"/>
                <w:i w:val="0"/>
                <w:color w:val="000000"/>
                <w:kern w:val="0"/>
                <w:sz w:val="20"/>
                <w:szCs w:val="20"/>
                <w:u w:val="none"/>
                <w:lang w:val="en-US" w:eastAsia="zh-CN" w:bidi="ar"/>
              </w:rPr>
              <w:t>1.制定传染病预防控制预案，落实早发现、早报告、早隔离、早治疗的“四早”要求，压实属地、部门、单位、个人“四方责任”，把防控措施落到实处。2.加强对传染病防治工作的领导，辖区内甲、乙类法定传染病发病总体保持平稳，报告发病率不高于近5年平均水平。3.发热门诊、肠道门诊、预检分诊符合有关规定。4.加强对病原微生物实验室生物安全的管理，病原微生物实验室依法取得批准或者进行备案，符合生物安全国家标准和要求，对病原微生物实行分类管理。5.近3年辖区内未发生重大实验室生物安全事故。</w:t>
            </w:r>
          </w:p>
        </w:tc>
        <w:tc>
          <w:tcPr>
            <w:tcW w:w="14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方正仿宋_GBK" w:cs="方正仿宋_GBK"/>
                <w:i w:val="0"/>
                <w:color w:val="000000"/>
                <w:sz w:val="20"/>
                <w:szCs w:val="20"/>
                <w:u w:val="none"/>
              </w:rPr>
            </w:pPr>
            <w:r>
              <w:rPr>
                <w:rFonts w:hint="eastAsia" w:ascii="宋体" w:hAnsi="宋体" w:eastAsia="方正仿宋_GBK" w:cs="方正仿宋_GBK"/>
                <w:i w:val="0"/>
                <w:color w:val="000000"/>
                <w:kern w:val="0"/>
                <w:sz w:val="20"/>
                <w:szCs w:val="20"/>
                <w:u w:val="none"/>
                <w:lang w:val="en-US" w:eastAsia="zh-CN" w:bidi="ar"/>
              </w:rPr>
              <w:t>疾控中心</w:t>
            </w:r>
          </w:p>
        </w:tc>
        <w:tc>
          <w:tcPr>
            <w:tcW w:w="9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方正仿宋_GBK" w:cs="方正仿宋_GBK"/>
                <w:i w:val="0"/>
                <w:color w:val="000000"/>
                <w:sz w:val="20"/>
                <w:szCs w:val="20"/>
                <w:u w:val="none"/>
              </w:rPr>
            </w:pPr>
            <w:r>
              <w:rPr>
                <w:rFonts w:hint="eastAsia" w:ascii="宋体" w:hAnsi="宋体" w:eastAsia="方正仿宋_GBK" w:cs="方正仿宋_GBK"/>
                <w:i w:val="0"/>
                <w:color w:val="000000"/>
                <w:kern w:val="0"/>
                <w:sz w:val="20"/>
                <w:szCs w:val="20"/>
                <w:u w:val="none"/>
                <w:lang w:val="en-US" w:eastAsia="zh-CN" w:bidi="ar"/>
              </w:rPr>
              <w:t>贯穿2023年全年</w:t>
            </w:r>
          </w:p>
        </w:tc>
        <w:tc>
          <w:tcPr>
            <w:tcW w:w="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rPr>
                <w:rFonts w:hint="eastAsia" w:ascii="宋体" w:hAnsi="宋体" w:eastAsia="方正仿宋_GBK" w:cs="方正仿宋_GBK"/>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80" w:hRule="atLeast"/>
          <w:jc w:val="center"/>
        </w:trPr>
        <w:tc>
          <w:tcPr>
            <w:tcW w:w="7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方正仿宋_GBK" w:cs="方正仿宋_GBK"/>
                <w:i w:val="0"/>
                <w:color w:val="000000"/>
                <w:sz w:val="20"/>
                <w:szCs w:val="20"/>
                <w:u w:val="none"/>
              </w:rPr>
            </w:pPr>
            <w:r>
              <w:rPr>
                <w:rFonts w:hint="eastAsia" w:ascii="宋体" w:hAnsi="宋体" w:eastAsia="方正仿宋_GBK" w:cs="方正仿宋_GBK"/>
                <w:i w:val="0"/>
                <w:color w:val="000000"/>
                <w:kern w:val="0"/>
                <w:sz w:val="20"/>
                <w:szCs w:val="20"/>
                <w:u w:val="none"/>
                <w:lang w:val="en-US" w:eastAsia="zh-CN" w:bidi="ar"/>
              </w:rPr>
              <w:t>40</w:t>
            </w: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方正仿宋_GBK" w:cs="方正仿宋_GBK"/>
                <w:i w:val="0"/>
                <w:color w:val="000000"/>
                <w:sz w:val="20"/>
                <w:szCs w:val="20"/>
                <w:u w:val="none"/>
              </w:rPr>
            </w:pPr>
          </w:p>
        </w:tc>
        <w:tc>
          <w:tcPr>
            <w:tcW w:w="50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方正仿宋_GBK" w:cs="方正仿宋_GBK"/>
                <w:i w:val="0"/>
                <w:color w:val="000000"/>
                <w:sz w:val="20"/>
                <w:szCs w:val="20"/>
                <w:u w:val="none"/>
              </w:rPr>
            </w:pPr>
            <w:r>
              <w:rPr>
                <w:rFonts w:hint="eastAsia" w:ascii="宋体" w:hAnsi="宋体" w:eastAsia="方正仿宋_GBK" w:cs="方正仿宋_GBK"/>
                <w:i w:val="0"/>
                <w:color w:val="000000"/>
                <w:kern w:val="0"/>
                <w:sz w:val="20"/>
                <w:szCs w:val="20"/>
                <w:u w:val="none"/>
                <w:lang w:val="en-US" w:eastAsia="zh-CN" w:bidi="ar"/>
              </w:rPr>
              <w:t>多措并举降低孕产妇死亡率、婴儿死亡率和 5 岁以下儿童死亡率，持续提升人均预期寿命。按照国家免疫规划和当地预防接种工作计划，定期为适龄人群提供预防接种服务。提升妇幼健康服务能力，促进妇女儿童全面健康 发展。推进医养结合服务。</w:t>
            </w:r>
          </w:p>
        </w:tc>
        <w:tc>
          <w:tcPr>
            <w:tcW w:w="64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方正仿宋_GBK" w:cs="方正仿宋_GBK"/>
                <w:i w:val="0"/>
                <w:color w:val="000000"/>
                <w:sz w:val="20"/>
                <w:szCs w:val="20"/>
                <w:u w:val="none"/>
              </w:rPr>
            </w:pPr>
            <w:r>
              <w:rPr>
                <w:rFonts w:hint="eastAsia" w:ascii="宋体" w:hAnsi="宋体" w:eastAsia="方正仿宋_GBK" w:cs="方正仿宋_GBK"/>
                <w:i w:val="0"/>
                <w:color w:val="000000"/>
                <w:kern w:val="0"/>
                <w:sz w:val="20"/>
                <w:szCs w:val="20"/>
                <w:u w:val="none"/>
                <w:lang w:val="en-US" w:eastAsia="zh-CN" w:bidi="ar"/>
              </w:rPr>
              <w:t>1.婴儿死亡率≤5.6‰或持续降低，5 岁以下儿童死亡率≤7.8‰或持续降低，孕产妇死亡率≤18/10万或持续降低。2.以街道（乡镇）为单位适龄儿童免疫规划疫苗接种率≥90%。3.人均预期寿命≥78.3岁或逐年提高。4.按规定为适龄儿童建立预防接种证。居住满3个月以上的适龄儿童建卡、建证率≥95%。4.辖区内 3 岁以下儿童系统管理率≥90%。5.0—6岁儿童保健和视力检查率≥90%。</w:t>
            </w:r>
          </w:p>
        </w:tc>
        <w:tc>
          <w:tcPr>
            <w:tcW w:w="14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方正仿宋_GBK" w:cs="方正仿宋_GBK"/>
                <w:i w:val="0"/>
                <w:color w:val="000000"/>
                <w:sz w:val="20"/>
                <w:szCs w:val="20"/>
                <w:u w:val="none"/>
              </w:rPr>
            </w:pPr>
            <w:r>
              <w:rPr>
                <w:rFonts w:hint="eastAsia" w:ascii="宋体" w:hAnsi="宋体" w:eastAsia="方正仿宋_GBK" w:cs="方正仿宋_GBK"/>
                <w:i w:val="0"/>
                <w:color w:val="000000"/>
                <w:kern w:val="0"/>
                <w:sz w:val="20"/>
                <w:szCs w:val="20"/>
                <w:u w:val="none"/>
                <w:lang w:val="en-US" w:eastAsia="zh-CN" w:bidi="ar"/>
              </w:rPr>
              <w:t>妇幼保健院</w:t>
            </w:r>
          </w:p>
        </w:tc>
        <w:tc>
          <w:tcPr>
            <w:tcW w:w="9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方正仿宋_GBK" w:cs="方正仿宋_GBK"/>
                <w:i w:val="0"/>
                <w:color w:val="000000"/>
                <w:sz w:val="20"/>
                <w:szCs w:val="20"/>
                <w:u w:val="none"/>
              </w:rPr>
            </w:pPr>
            <w:r>
              <w:rPr>
                <w:rFonts w:hint="eastAsia" w:ascii="宋体" w:hAnsi="宋体" w:eastAsia="方正仿宋_GBK" w:cs="方正仿宋_GBK"/>
                <w:i w:val="0"/>
                <w:color w:val="000000"/>
                <w:kern w:val="0"/>
                <w:sz w:val="20"/>
                <w:szCs w:val="20"/>
                <w:u w:val="none"/>
                <w:lang w:val="en-US" w:eastAsia="zh-CN" w:bidi="ar"/>
              </w:rPr>
              <w:t>贯穿2023年全年</w:t>
            </w:r>
          </w:p>
        </w:tc>
        <w:tc>
          <w:tcPr>
            <w:tcW w:w="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rPr>
                <w:rFonts w:hint="eastAsia" w:ascii="宋体" w:hAnsi="宋体" w:eastAsia="方正仿宋_GBK" w:cs="方正仿宋_GBK"/>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80" w:hRule="atLeast"/>
          <w:jc w:val="center"/>
        </w:trPr>
        <w:tc>
          <w:tcPr>
            <w:tcW w:w="7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方正仿宋_GBK" w:cs="方正仿宋_GBK"/>
                <w:i w:val="0"/>
                <w:color w:val="000000"/>
                <w:sz w:val="20"/>
                <w:szCs w:val="20"/>
                <w:u w:val="none"/>
              </w:rPr>
            </w:pPr>
            <w:r>
              <w:rPr>
                <w:rFonts w:hint="eastAsia" w:ascii="宋体" w:hAnsi="宋体" w:eastAsia="方正仿宋_GBK" w:cs="方正仿宋_GBK"/>
                <w:i w:val="0"/>
                <w:color w:val="000000"/>
                <w:kern w:val="0"/>
                <w:sz w:val="20"/>
                <w:szCs w:val="20"/>
                <w:u w:val="none"/>
                <w:lang w:val="en-US" w:eastAsia="zh-CN" w:bidi="ar"/>
              </w:rPr>
              <w:t>41</w:t>
            </w: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方正仿宋_GBK" w:cs="方正仿宋_GBK"/>
                <w:i w:val="0"/>
                <w:color w:val="000000"/>
                <w:sz w:val="20"/>
                <w:szCs w:val="20"/>
                <w:u w:val="none"/>
              </w:rPr>
            </w:pPr>
          </w:p>
        </w:tc>
        <w:tc>
          <w:tcPr>
            <w:tcW w:w="50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方正仿宋_GBK" w:cs="方正仿宋_GBK"/>
                <w:i w:val="0"/>
                <w:color w:val="000000"/>
                <w:sz w:val="20"/>
                <w:szCs w:val="20"/>
                <w:u w:val="none"/>
              </w:rPr>
            </w:pPr>
            <w:r>
              <w:rPr>
                <w:rFonts w:hint="eastAsia" w:ascii="宋体" w:hAnsi="宋体" w:eastAsia="方正仿宋_GBK" w:cs="方正仿宋_GBK"/>
                <w:i w:val="0"/>
                <w:color w:val="000000"/>
                <w:kern w:val="0"/>
                <w:sz w:val="20"/>
                <w:szCs w:val="20"/>
                <w:u w:val="none"/>
                <w:lang w:val="en-US" w:eastAsia="zh-CN" w:bidi="ar"/>
              </w:rPr>
              <w:t>重大慢性病过早死亡率呈下降趋势。健全重大事件处置中的社会心理健康监测预警机制，强化心理健康促进和心理疏导、危机干预。严重精 神障碍患者管理规范。</w:t>
            </w:r>
          </w:p>
        </w:tc>
        <w:tc>
          <w:tcPr>
            <w:tcW w:w="64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方正仿宋_GBK" w:cs="方正仿宋_GBK"/>
                <w:i w:val="0"/>
                <w:color w:val="000000"/>
                <w:sz w:val="20"/>
                <w:szCs w:val="20"/>
                <w:u w:val="none"/>
              </w:rPr>
            </w:pPr>
            <w:r>
              <w:rPr>
                <w:rFonts w:hint="eastAsia" w:ascii="宋体" w:hAnsi="宋体" w:eastAsia="方正仿宋_GBK" w:cs="方正仿宋_GBK"/>
                <w:i w:val="0"/>
                <w:color w:val="000000"/>
                <w:kern w:val="0"/>
                <w:sz w:val="20"/>
                <w:szCs w:val="20"/>
                <w:u w:val="none"/>
                <w:lang w:val="en-US" w:eastAsia="zh-CN" w:bidi="ar"/>
              </w:rPr>
              <w:t>1.健全重大事件处置中的社会心理健康监测预警机制，将社会心理健康监测、心理危机干预和心理援助纳入辖区重大事件应急预案和技术方案。分级建立应急心理援助和危机干预的专业队伍和心理健康服务志愿者队伍。2.在事件善后和恢复重建过程中，对高危人群持续开展心理援助服务。定期开展重大事件心理应急处置演练。3.严重精神障碍患者规范管理率≥85%。</w:t>
            </w:r>
          </w:p>
        </w:tc>
        <w:tc>
          <w:tcPr>
            <w:tcW w:w="14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方正仿宋_GBK" w:cs="方正仿宋_GBK"/>
                <w:i w:val="0"/>
                <w:color w:val="000000"/>
                <w:sz w:val="20"/>
                <w:szCs w:val="20"/>
                <w:u w:val="none"/>
              </w:rPr>
            </w:pPr>
            <w:r>
              <w:rPr>
                <w:rFonts w:hint="eastAsia" w:ascii="宋体" w:hAnsi="宋体" w:eastAsia="方正仿宋_GBK" w:cs="方正仿宋_GBK"/>
                <w:i w:val="0"/>
                <w:color w:val="000000"/>
                <w:kern w:val="0"/>
                <w:sz w:val="20"/>
                <w:szCs w:val="20"/>
                <w:u w:val="none"/>
                <w:lang w:val="en-US" w:eastAsia="zh-CN" w:bidi="ar"/>
              </w:rPr>
              <w:t>疾控中心</w:t>
            </w:r>
          </w:p>
        </w:tc>
        <w:tc>
          <w:tcPr>
            <w:tcW w:w="9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方正仿宋_GBK" w:cs="方正仿宋_GBK"/>
                <w:i w:val="0"/>
                <w:color w:val="000000"/>
                <w:sz w:val="20"/>
                <w:szCs w:val="20"/>
                <w:u w:val="none"/>
              </w:rPr>
            </w:pPr>
            <w:r>
              <w:rPr>
                <w:rFonts w:hint="eastAsia" w:ascii="宋体" w:hAnsi="宋体" w:eastAsia="方正仿宋_GBK" w:cs="方正仿宋_GBK"/>
                <w:i w:val="0"/>
                <w:color w:val="000000"/>
                <w:kern w:val="0"/>
                <w:sz w:val="20"/>
                <w:szCs w:val="20"/>
                <w:u w:val="none"/>
                <w:lang w:val="en-US" w:eastAsia="zh-CN" w:bidi="ar"/>
              </w:rPr>
              <w:t>贯穿2023年全年</w:t>
            </w:r>
          </w:p>
        </w:tc>
        <w:tc>
          <w:tcPr>
            <w:tcW w:w="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rPr>
                <w:rFonts w:hint="eastAsia" w:ascii="宋体" w:hAnsi="宋体" w:eastAsia="方正仿宋_GBK" w:cs="方正仿宋_GBK"/>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80" w:hRule="atLeast"/>
          <w:jc w:val="center"/>
        </w:trPr>
        <w:tc>
          <w:tcPr>
            <w:tcW w:w="7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方正仿宋_GBK" w:cs="方正仿宋_GBK"/>
                <w:i w:val="0"/>
                <w:color w:val="000000"/>
                <w:sz w:val="20"/>
                <w:szCs w:val="20"/>
                <w:u w:val="none"/>
              </w:rPr>
            </w:pPr>
            <w:r>
              <w:rPr>
                <w:rFonts w:hint="eastAsia" w:ascii="宋体" w:hAnsi="宋体" w:eastAsia="方正仿宋_GBK" w:cs="方正仿宋_GBK"/>
                <w:i w:val="0"/>
                <w:color w:val="000000"/>
                <w:kern w:val="0"/>
                <w:sz w:val="20"/>
                <w:szCs w:val="20"/>
                <w:u w:val="none"/>
                <w:lang w:val="en-US" w:eastAsia="zh-CN" w:bidi="ar"/>
              </w:rPr>
              <w:t>42</w:t>
            </w: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方正仿宋_GBK" w:cs="方正仿宋_GBK"/>
                <w:i w:val="0"/>
                <w:color w:val="000000"/>
                <w:sz w:val="20"/>
                <w:szCs w:val="20"/>
                <w:u w:val="none"/>
              </w:rPr>
            </w:pPr>
          </w:p>
        </w:tc>
        <w:tc>
          <w:tcPr>
            <w:tcW w:w="50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方正仿宋_GBK" w:cs="方正仿宋_GBK"/>
                <w:i w:val="0"/>
                <w:color w:val="000000"/>
                <w:sz w:val="20"/>
                <w:szCs w:val="20"/>
                <w:u w:val="none"/>
              </w:rPr>
            </w:pPr>
            <w:r>
              <w:rPr>
                <w:rFonts w:hint="eastAsia" w:ascii="宋体" w:hAnsi="宋体" w:eastAsia="方正仿宋_GBK" w:cs="方正仿宋_GBK"/>
                <w:i w:val="0"/>
                <w:color w:val="000000"/>
                <w:kern w:val="0"/>
                <w:sz w:val="20"/>
                <w:szCs w:val="20"/>
                <w:u w:val="none"/>
                <w:lang w:val="en-US" w:eastAsia="zh-CN" w:bidi="ar"/>
              </w:rPr>
              <w:t>医疗卫生服务体系健全，机构建设符合国家标准要求，千人口 的床位数、执业（助理）医师数、注册护士数、公共卫生人员数、药师（药士）数和万人口全科医生数等指标符合所在地区域卫生规划要求。</w:t>
            </w:r>
          </w:p>
        </w:tc>
        <w:tc>
          <w:tcPr>
            <w:tcW w:w="64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方正仿宋_GBK" w:cs="方正仿宋_GBK"/>
                <w:i w:val="0"/>
                <w:color w:val="000000"/>
                <w:sz w:val="20"/>
                <w:szCs w:val="20"/>
                <w:u w:val="none"/>
              </w:rPr>
            </w:pPr>
            <w:r>
              <w:rPr>
                <w:rFonts w:hint="eastAsia" w:ascii="宋体" w:hAnsi="宋体" w:eastAsia="方正仿宋_GBK" w:cs="方正仿宋_GBK"/>
                <w:i w:val="0"/>
                <w:color w:val="000000"/>
                <w:kern w:val="0"/>
                <w:sz w:val="20"/>
                <w:szCs w:val="20"/>
                <w:u w:val="none"/>
                <w:lang w:val="en-US" w:eastAsia="zh-CN" w:bidi="ar"/>
              </w:rPr>
              <w:t>1.基本医疗卫生资源按常住人口和服务半径合理布局，实现人人享有均等化的基本医疗卫生服务，初步形成 15 分钟基本医疗卫生服务圈。辖区内医疗卫生服务机构建设符合相关标准规范，千人口的医疗卫生机构床位数、执业（助理）医师数、注册护士数、公共卫生人员数、药师（药士）数和万人口全科医生数等指标达到所在地区域卫生规划要求。</w:t>
            </w:r>
          </w:p>
        </w:tc>
        <w:tc>
          <w:tcPr>
            <w:tcW w:w="14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方正仿宋_GBK" w:cs="方正仿宋_GBK"/>
                <w:i w:val="0"/>
                <w:color w:val="000000"/>
                <w:sz w:val="20"/>
                <w:szCs w:val="20"/>
                <w:u w:val="none"/>
              </w:rPr>
            </w:pPr>
            <w:r>
              <w:rPr>
                <w:rFonts w:hint="eastAsia" w:ascii="宋体" w:hAnsi="宋体" w:eastAsia="方正仿宋_GBK" w:cs="方正仿宋_GBK"/>
                <w:i w:val="0"/>
                <w:color w:val="000000"/>
                <w:kern w:val="0"/>
                <w:sz w:val="20"/>
                <w:szCs w:val="20"/>
                <w:u w:val="none"/>
                <w:lang w:val="en-US" w:eastAsia="zh-CN" w:bidi="ar"/>
              </w:rPr>
              <w:t>卫健委</w:t>
            </w:r>
          </w:p>
        </w:tc>
        <w:tc>
          <w:tcPr>
            <w:tcW w:w="9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方正仿宋_GBK" w:cs="方正仿宋_GBK"/>
                <w:i w:val="0"/>
                <w:color w:val="000000"/>
                <w:sz w:val="20"/>
                <w:szCs w:val="20"/>
                <w:u w:val="none"/>
              </w:rPr>
            </w:pPr>
            <w:r>
              <w:rPr>
                <w:rFonts w:hint="eastAsia" w:ascii="宋体" w:hAnsi="宋体" w:eastAsia="方正仿宋_GBK" w:cs="方正仿宋_GBK"/>
                <w:i w:val="0"/>
                <w:color w:val="000000"/>
                <w:kern w:val="0"/>
                <w:sz w:val="20"/>
                <w:szCs w:val="20"/>
                <w:u w:val="none"/>
                <w:lang w:val="en-US" w:eastAsia="zh-CN" w:bidi="ar"/>
              </w:rPr>
              <w:t>贯穿2023年全年</w:t>
            </w:r>
          </w:p>
        </w:tc>
        <w:tc>
          <w:tcPr>
            <w:tcW w:w="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rPr>
                <w:rFonts w:hint="eastAsia" w:ascii="宋体" w:hAnsi="宋体" w:eastAsia="方正仿宋_GBK" w:cs="方正仿宋_GBK"/>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40" w:hRule="atLeast"/>
          <w:jc w:val="center"/>
        </w:trPr>
        <w:tc>
          <w:tcPr>
            <w:tcW w:w="7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方正仿宋_GBK" w:cs="方正仿宋_GBK"/>
                <w:i w:val="0"/>
                <w:color w:val="000000"/>
                <w:sz w:val="20"/>
                <w:szCs w:val="20"/>
                <w:u w:val="none"/>
              </w:rPr>
            </w:pPr>
            <w:r>
              <w:rPr>
                <w:rFonts w:hint="eastAsia" w:ascii="宋体" w:hAnsi="宋体" w:eastAsia="方正仿宋_GBK" w:cs="方正仿宋_GBK"/>
                <w:i w:val="0"/>
                <w:color w:val="000000"/>
                <w:kern w:val="0"/>
                <w:sz w:val="20"/>
                <w:szCs w:val="20"/>
                <w:u w:val="none"/>
                <w:lang w:val="en-US" w:eastAsia="zh-CN" w:bidi="ar"/>
              </w:rPr>
              <w:t>43</w:t>
            </w: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方正仿宋_GBK" w:cs="方正仿宋_GBK"/>
                <w:i w:val="0"/>
                <w:color w:val="000000"/>
                <w:sz w:val="20"/>
                <w:szCs w:val="20"/>
                <w:u w:val="none"/>
              </w:rPr>
            </w:pPr>
          </w:p>
        </w:tc>
        <w:tc>
          <w:tcPr>
            <w:tcW w:w="50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方正仿宋_GBK" w:cs="方正仿宋_GBK"/>
                <w:i w:val="0"/>
                <w:color w:val="000000"/>
                <w:sz w:val="20"/>
                <w:szCs w:val="20"/>
                <w:u w:val="none"/>
              </w:rPr>
            </w:pPr>
            <w:r>
              <w:rPr>
                <w:rFonts w:hint="eastAsia" w:ascii="宋体" w:hAnsi="宋体" w:eastAsia="方正仿宋_GBK" w:cs="方正仿宋_GBK"/>
                <w:i w:val="0"/>
                <w:color w:val="000000"/>
                <w:kern w:val="0"/>
                <w:sz w:val="20"/>
                <w:szCs w:val="20"/>
                <w:u w:val="none"/>
                <w:lang w:val="en-US" w:eastAsia="zh-CN" w:bidi="ar"/>
              </w:rPr>
              <w:t>推动机场、地铁站、火车站、公路（水路）客运站等交通枢纽以及学校、景区、机关单位、商场超市等重点行业、重点场所配置和使用自动体外心脏除颤仪(AED)等医疗急救设备和药品。对公安、消防、安保、交通和教育等重点行业人群开展急救知识与技能培训，引导全社会逐步提高全民急救 能力。</w:t>
            </w:r>
          </w:p>
        </w:tc>
        <w:tc>
          <w:tcPr>
            <w:tcW w:w="64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方正仿宋_GBK" w:cs="方正仿宋_GBK"/>
                <w:i w:val="0"/>
                <w:color w:val="000000"/>
                <w:sz w:val="20"/>
                <w:szCs w:val="20"/>
                <w:u w:val="none"/>
              </w:rPr>
            </w:pPr>
            <w:r>
              <w:rPr>
                <w:rFonts w:hint="eastAsia" w:ascii="宋体" w:hAnsi="宋体" w:eastAsia="方正仿宋_GBK" w:cs="方正仿宋_GBK"/>
                <w:i w:val="0"/>
                <w:color w:val="000000"/>
                <w:kern w:val="0"/>
                <w:sz w:val="20"/>
                <w:szCs w:val="20"/>
                <w:u w:val="none"/>
                <w:lang w:val="en-US" w:eastAsia="zh-CN" w:bidi="ar"/>
              </w:rPr>
              <w:t>1.推进辖区院前医疗急救体系建设，配置充足的医疗急救设备和药品，并保障正常使用。2.积极探索将自动体外心脏除颤仪（AED）纳入急救设备配置标准。2.开展面向公众的心肺复苏等急救知识和技术培训，特别是要定期对公安、消防、安保、交通和教育等重点行业人群开展急救知识与技能培训，引导全社会逐步提高全民急救能力。3.通过官方网站、微博、微信和电视广播等媒体平台，广泛宣传急救知识和基本技能，促进急救知识和技能的全民普及，引导公众正确处理突发急救事件。</w:t>
            </w:r>
          </w:p>
        </w:tc>
        <w:tc>
          <w:tcPr>
            <w:tcW w:w="14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方正仿宋_GBK" w:cs="方正仿宋_GBK"/>
                <w:i w:val="0"/>
                <w:color w:val="000000"/>
                <w:sz w:val="20"/>
                <w:szCs w:val="20"/>
                <w:u w:val="none"/>
              </w:rPr>
            </w:pPr>
            <w:r>
              <w:rPr>
                <w:rFonts w:hint="eastAsia" w:ascii="宋体" w:hAnsi="宋体" w:eastAsia="方正仿宋_GBK" w:cs="方正仿宋_GBK"/>
                <w:i w:val="0"/>
                <w:color w:val="000000"/>
                <w:kern w:val="0"/>
                <w:sz w:val="20"/>
                <w:szCs w:val="20"/>
                <w:u w:val="none"/>
                <w:lang w:val="en-US" w:eastAsia="zh-CN" w:bidi="ar"/>
              </w:rPr>
              <w:t>交通局、市监局、公安局、消防大队、教育局</w:t>
            </w:r>
          </w:p>
        </w:tc>
        <w:tc>
          <w:tcPr>
            <w:tcW w:w="9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方正仿宋_GBK" w:cs="方正仿宋_GBK"/>
                <w:i w:val="0"/>
                <w:color w:val="000000"/>
                <w:sz w:val="20"/>
                <w:szCs w:val="20"/>
                <w:u w:val="none"/>
              </w:rPr>
            </w:pPr>
            <w:r>
              <w:rPr>
                <w:rFonts w:hint="eastAsia" w:ascii="宋体" w:hAnsi="宋体" w:eastAsia="方正仿宋_GBK" w:cs="方正仿宋_GBK"/>
                <w:i w:val="0"/>
                <w:color w:val="000000"/>
                <w:kern w:val="0"/>
                <w:sz w:val="20"/>
                <w:szCs w:val="20"/>
                <w:u w:val="none"/>
                <w:lang w:val="en-US" w:eastAsia="zh-CN" w:bidi="ar"/>
              </w:rPr>
              <w:t>贯穿2023年全年</w:t>
            </w:r>
          </w:p>
        </w:tc>
        <w:tc>
          <w:tcPr>
            <w:tcW w:w="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rPr>
                <w:rFonts w:hint="eastAsia" w:ascii="宋体" w:hAnsi="宋体" w:eastAsia="方正仿宋_GBK" w:cs="方正仿宋_GBK"/>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40" w:hRule="atLeast"/>
          <w:jc w:val="center"/>
        </w:trPr>
        <w:tc>
          <w:tcPr>
            <w:tcW w:w="7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方正仿宋_GBK" w:cs="方正仿宋_GBK"/>
                <w:i w:val="0"/>
                <w:color w:val="000000"/>
                <w:sz w:val="20"/>
                <w:szCs w:val="20"/>
                <w:u w:val="none"/>
              </w:rPr>
            </w:pPr>
            <w:r>
              <w:rPr>
                <w:rFonts w:hint="eastAsia" w:ascii="宋体" w:hAnsi="宋体" w:eastAsia="方正仿宋_GBK" w:cs="方正仿宋_GBK"/>
                <w:i w:val="0"/>
                <w:color w:val="000000"/>
                <w:kern w:val="0"/>
                <w:sz w:val="20"/>
                <w:szCs w:val="20"/>
                <w:u w:val="none"/>
                <w:lang w:val="en-US" w:eastAsia="zh-CN" w:bidi="ar"/>
              </w:rPr>
              <w:t>44</w:t>
            </w: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方正仿宋_GBK" w:cs="方正仿宋_GBK"/>
                <w:i w:val="0"/>
                <w:color w:val="000000"/>
                <w:sz w:val="20"/>
                <w:szCs w:val="20"/>
                <w:u w:val="none"/>
              </w:rPr>
            </w:pPr>
          </w:p>
        </w:tc>
        <w:tc>
          <w:tcPr>
            <w:tcW w:w="50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方正仿宋_GBK" w:cs="方正仿宋_GBK"/>
                <w:i w:val="0"/>
                <w:color w:val="000000"/>
                <w:sz w:val="20"/>
                <w:szCs w:val="20"/>
                <w:u w:val="none"/>
              </w:rPr>
            </w:pPr>
            <w:r>
              <w:rPr>
                <w:rFonts w:hint="eastAsia" w:ascii="宋体" w:hAnsi="宋体" w:eastAsia="方正仿宋_GBK" w:cs="方正仿宋_GBK"/>
                <w:i w:val="0"/>
                <w:color w:val="000000"/>
                <w:kern w:val="0"/>
                <w:sz w:val="20"/>
                <w:szCs w:val="20"/>
                <w:u w:val="none"/>
                <w:lang w:val="en-US" w:eastAsia="zh-CN" w:bidi="ar"/>
              </w:rPr>
              <w:t>构建和谐医患关系，医疗卫生人员具备安全的工作条件，执业环境逐步改善。辖区内无重特大刑事伤医案件。临床用血来自自愿无偿献血。 无无证行医、非法采供血和非法医疗广告。</w:t>
            </w:r>
          </w:p>
        </w:tc>
        <w:tc>
          <w:tcPr>
            <w:tcW w:w="64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方正仿宋_GBK" w:cs="方正仿宋_GBK"/>
                <w:i w:val="0"/>
                <w:color w:val="000000"/>
                <w:sz w:val="20"/>
                <w:szCs w:val="20"/>
                <w:u w:val="none"/>
              </w:rPr>
            </w:pPr>
            <w:r>
              <w:rPr>
                <w:rFonts w:hint="eastAsia" w:ascii="宋体" w:hAnsi="宋体" w:eastAsia="方正仿宋_GBK" w:cs="方正仿宋_GBK"/>
                <w:i w:val="0"/>
                <w:color w:val="000000"/>
                <w:kern w:val="0"/>
                <w:sz w:val="20"/>
                <w:szCs w:val="20"/>
                <w:u w:val="none"/>
                <w:lang w:val="en-US" w:eastAsia="zh-CN" w:bidi="ar"/>
              </w:rPr>
              <w:t>1.完善医疗机构的安全防范机制，医疗卫生人员具备安全的工作条件，执业环境逐步改善。公安机关应当在三级医院和有条件的二级医院设立警务室，配备必要警力。2.要加大对医疗机构安全保卫基础设施建设投入，落实物防、技防系统，提高突发事件的先期处置和控制能力，以及为案发事件调查取证提供支撑。</w:t>
            </w:r>
          </w:p>
        </w:tc>
        <w:tc>
          <w:tcPr>
            <w:tcW w:w="14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方正仿宋_GBK" w:cs="方正仿宋_GBK"/>
                <w:i w:val="0"/>
                <w:color w:val="000000"/>
                <w:sz w:val="20"/>
                <w:szCs w:val="20"/>
                <w:u w:val="none"/>
              </w:rPr>
            </w:pPr>
            <w:r>
              <w:rPr>
                <w:rFonts w:hint="eastAsia" w:ascii="宋体" w:hAnsi="宋体" w:eastAsia="方正仿宋_GBK" w:cs="方正仿宋_GBK"/>
                <w:i w:val="0"/>
                <w:color w:val="000000"/>
                <w:kern w:val="0"/>
                <w:sz w:val="20"/>
                <w:szCs w:val="20"/>
                <w:u w:val="none"/>
                <w:lang w:val="en-US" w:eastAsia="zh-CN" w:bidi="ar"/>
              </w:rPr>
              <w:t>卫健委</w:t>
            </w:r>
          </w:p>
        </w:tc>
        <w:tc>
          <w:tcPr>
            <w:tcW w:w="9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方正仿宋_GBK" w:cs="方正仿宋_GBK"/>
                <w:i w:val="0"/>
                <w:color w:val="000000"/>
                <w:sz w:val="20"/>
                <w:szCs w:val="20"/>
                <w:u w:val="none"/>
              </w:rPr>
            </w:pPr>
            <w:r>
              <w:rPr>
                <w:rFonts w:hint="eastAsia" w:ascii="宋体" w:hAnsi="宋体" w:eastAsia="方正仿宋_GBK" w:cs="方正仿宋_GBK"/>
                <w:i w:val="0"/>
                <w:color w:val="000000"/>
                <w:kern w:val="0"/>
                <w:sz w:val="20"/>
                <w:szCs w:val="20"/>
                <w:u w:val="none"/>
                <w:lang w:val="en-US" w:eastAsia="zh-CN" w:bidi="ar"/>
              </w:rPr>
              <w:t>贯穿2023年全年</w:t>
            </w:r>
          </w:p>
        </w:tc>
        <w:tc>
          <w:tcPr>
            <w:tcW w:w="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rPr>
                <w:rFonts w:hint="eastAsia" w:ascii="宋体" w:hAnsi="宋体" w:eastAsia="方正仿宋_GBK" w:cs="方正仿宋_GBK"/>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0" w:hRule="atLeast"/>
          <w:jc w:val="center"/>
        </w:trPr>
        <w:tc>
          <w:tcPr>
            <w:tcW w:w="7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方正仿宋_GBK" w:cs="方正仿宋_GBK"/>
                <w:i w:val="0"/>
                <w:color w:val="000000"/>
                <w:sz w:val="20"/>
                <w:szCs w:val="20"/>
                <w:u w:val="none"/>
              </w:rPr>
            </w:pPr>
            <w:r>
              <w:rPr>
                <w:rFonts w:hint="eastAsia" w:ascii="宋体" w:hAnsi="宋体" w:eastAsia="方正仿宋_GBK" w:cs="方正仿宋_GBK"/>
                <w:i w:val="0"/>
                <w:color w:val="000000"/>
                <w:kern w:val="0"/>
                <w:sz w:val="20"/>
                <w:szCs w:val="20"/>
                <w:u w:val="none"/>
                <w:lang w:val="en-US" w:eastAsia="zh-CN" w:bidi="ar"/>
              </w:rPr>
              <w:t>45</w:t>
            </w: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方正仿宋_GBK" w:cs="方正仿宋_GBK"/>
                <w:i w:val="0"/>
                <w:color w:val="000000"/>
                <w:sz w:val="20"/>
                <w:szCs w:val="20"/>
                <w:u w:val="none"/>
              </w:rPr>
            </w:pPr>
          </w:p>
        </w:tc>
        <w:tc>
          <w:tcPr>
            <w:tcW w:w="50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方正仿宋_GBK" w:cs="方正仿宋_GBK"/>
                <w:i w:val="0"/>
                <w:color w:val="000000"/>
                <w:sz w:val="20"/>
                <w:szCs w:val="20"/>
                <w:u w:val="none"/>
              </w:rPr>
            </w:pPr>
            <w:r>
              <w:rPr>
                <w:rFonts w:hint="eastAsia" w:ascii="宋体" w:hAnsi="宋体" w:eastAsia="方正仿宋_GBK" w:cs="方正仿宋_GBK"/>
                <w:i w:val="0"/>
                <w:color w:val="000000"/>
                <w:kern w:val="0"/>
                <w:sz w:val="20"/>
                <w:szCs w:val="20"/>
                <w:u w:val="none"/>
                <w:lang w:val="en-US" w:eastAsia="zh-CN" w:bidi="ar"/>
              </w:rPr>
              <w:t>建立政府组织和全社会参与的病媒生物预防控制机制。掌握辖区病媒生物孳生地情况、密度变化和侵害状况。湖泊、河流、沟渠、景观水体、 小型积水、垃圾、厕所等各类孳生环境得到有效治理，鼠、蚊、蝇、蟑螂的密度达标。重点行业和单位防蝇和防鼠设施合格。</w:t>
            </w:r>
          </w:p>
        </w:tc>
        <w:tc>
          <w:tcPr>
            <w:tcW w:w="64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方正仿宋_GBK" w:cs="方正仿宋_GBK"/>
                <w:i w:val="0"/>
                <w:color w:val="000000"/>
                <w:sz w:val="20"/>
                <w:szCs w:val="20"/>
                <w:u w:val="none"/>
              </w:rPr>
            </w:pPr>
            <w:r>
              <w:rPr>
                <w:rFonts w:hint="eastAsia" w:ascii="宋体" w:hAnsi="宋体" w:eastAsia="方正仿宋_GBK" w:cs="方正仿宋_GBK"/>
                <w:i w:val="0"/>
                <w:color w:val="000000"/>
                <w:kern w:val="0"/>
                <w:sz w:val="20"/>
                <w:szCs w:val="20"/>
                <w:u w:val="none"/>
                <w:lang w:val="en-US" w:eastAsia="zh-CN" w:bidi="ar"/>
              </w:rPr>
              <w:t>1.建立政府组织和全社会参与的病媒生物预防控制机制。2.掌握辖区病媒生物孳生地情况、密度变化和侵害状况。3.湖泊、河流、沟渠、景观水体、小型积水、垃圾、厕所等各类孳生环境得到有效治理方面要求。4.重点行业和单位防蝇和防鼠设施合格方面要求。</w:t>
            </w:r>
          </w:p>
        </w:tc>
        <w:tc>
          <w:tcPr>
            <w:tcW w:w="14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方正仿宋_GBK" w:cs="方正仿宋_GBK"/>
                <w:i w:val="0"/>
                <w:color w:val="000000"/>
                <w:sz w:val="20"/>
                <w:szCs w:val="20"/>
                <w:u w:val="none"/>
              </w:rPr>
            </w:pPr>
            <w:r>
              <w:rPr>
                <w:rFonts w:hint="eastAsia" w:ascii="宋体" w:hAnsi="宋体" w:eastAsia="方正仿宋_GBK" w:cs="方正仿宋_GBK"/>
                <w:i w:val="0"/>
                <w:color w:val="000000"/>
                <w:kern w:val="0"/>
                <w:sz w:val="20"/>
                <w:szCs w:val="20"/>
                <w:u w:val="none"/>
                <w:lang w:val="en-US" w:eastAsia="zh-CN" w:bidi="ar"/>
              </w:rPr>
              <w:t>各乡镇（街办）、各成员单位</w:t>
            </w:r>
          </w:p>
        </w:tc>
        <w:tc>
          <w:tcPr>
            <w:tcW w:w="9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方正仿宋_GBK" w:cs="方正仿宋_GBK"/>
                <w:i w:val="0"/>
                <w:color w:val="000000"/>
                <w:sz w:val="20"/>
                <w:szCs w:val="20"/>
                <w:u w:val="none"/>
              </w:rPr>
            </w:pPr>
            <w:r>
              <w:rPr>
                <w:rFonts w:hint="eastAsia" w:ascii="宋体" w:hAnsi="宋体" w:eastAsia="方正仿宋_GBK" w:cs="方正仿宋_GBK"/>
                <w:i w:val="0"/>
                <w:color w:val="000000"/>
                <w:kern w:val="0"/>
                <w:sz w:val="20"/>
                <w:szCs w:val="20"/>
                <w:u w:val="none"/>
                <w:lang w:val="en-US" w:eastAsia="zh-CN" w:bidi="ar"/>
              </w:rPr>
              <w:t>贯穿2023年全年</w:t>
            </w:r>
          </w:p>
        </w:tc>
        <w:tc>
          <w:tcPr>
            <w:tcW w:w="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rPr>
                <w:rFonts w:hint="eastAsia" w:ascii="宋体" w:hAnsi="宋体" w:eastAsia="方正仿宋_GBK" w:cs="方正仿宋_GBK"/>
                <w:i w:val="0"/>
                <w:color w:val="000000"/>
                <w:sz w:val="20"/>
                <w:szCs w:val="20"/>
                <w:u w:val="none"/>
              </w:rPr>
            </w:pPr>
          </w:p>
        </w:tc>
      </w:tr>
    </w:tbl>
    <w:p>
      <w:pPr>
        <w:keepNext w:val="0"/>
        <w:keepLines w:val="0"/>
        <w:pageBreakBefore w:val="0"/>
        <w:kinsoku/>
        <w:overflowPunct/>
        <w:topLinePunct w:val="0"/>
        <w:bidi w:val="0"/>
        <w:spacing w:line="560" w:lineRule="exact"/>
        <w:rPr>
          <w:rFonts w:hint="default" w:ascii="宋体" w:hAnsi="宋体" w:eastAsia="仿宋_GB2312" w:cs="仿宋_GB2312"/>
          <w:sz w:val="32"/>
          <w:szCs w:val="32"/>
          <w:lang w:val="en-US" w:eastAsia="zh-CN"/>
        </w:rPr>
      </w:pPr>
    </w:p>
    <w:sectPr>
      <w:footerReference r:id="rId4" w:type="default"/>
      <w:pgSz w:w="16838" w:h="11906" w:orient="landscape"/>
      <w:pgMar w:top="1587" w:right="2098" w:bottom="1474" w:left="1984" w:header="851" w:footer="992" w:gutter="0"/>
      <w:pgNumType w:fmt="numberInDash" w:start="22"/>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隶书">
    <w:altName w:val="宋体"/>
    <w:panose1 w:val="02010509060101010101"/>
    <w:charset w:val="00"/>
    <w:family w:val="modern"/>
    <w:pitch w:val="default"/>
    <w:sig w:usb0="00000000" w:usb1="00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小标宋_GBK">
    <w:panose1 w:val="03000502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仿宋简体">
    <w:altName w:val="方正仿宋_GBK"/>
    <w:panose1 w:val="02010601030101010101"/>
    <w:charset w:val="86"/>
    <w:family w:val="auto"/>
    <w:pitch w:val="default"/>
    <w:sig w:usb0="00000000" w:usb1="00000000" w:usb2="00000000" w:usb3="00000000" w:csb0="00040000" w:csb1="00000000"/>
  </w:font>
  <w:font w:name="方正楷体简体">
    <w:altName w:val="方正楷体_GBK"/>
    <w:panose1 w:val="02010601030101010101"/>
    <w:charset w:val="86"/>
    <w:family w:val="auto"/>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-485775</wp:posOffset>
              </wp:positionV>
              <wp:extent cx="633095" cy="631825"/>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633095" cy="63182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jc w:val="center"/>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square" lIns="0" tIns="0" rIns="0" bIns="0" numCol="1" spcCol="0" rtlCol="0" fromWordArt="false" anchor="t" anchorCtr="false" forceAA="false" upright="false" compatLnSpc="true">
                      <a:noAutofit/>
                    </wps:bodyPr>
                  </wps:wsp>
                </a:graphicData>
              </a:graphic>
            </wp:anchor>
          </w:drawing>
        </mc:Choice>
        <mc:Fallback>
          <w:pict>
            <v:shape id="_x0000_s1026" o:spid="_x0000_s1026" o:spt="202" type="#_x0000_t202" style="position:absolute;left:0pt;margin-top:-38.25pt;height:49.75pt;width:49.85pt;mso-position-horizontal:outside;mso-position-horizontal-relative:margin;z-index:251659264;mso-width-relative:page;mso-height-relative:page;" filled="f" stroked="f" coordsize="21600,21600" o:gfxdata="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FgAAAGRycy9Q&#10;SwECFAAUAAAACACHTuJARiJf3NYAAAAGAQAADwAAAAAAAAABACAAAAA4AAAAZHJzL2Rvd25yZXYu&#10;eG1sUEsBAhQAFAAAAAgAh07iQCYX96AgAgAAKQQAAA4AAAAAAAAAAQAgAAAAOwEAAGRycy9lMm9E&#10;b2MueG1sUEsFBgAAAAAGAAYAWQEAAM0FAAAAAA==&#10;">
              <v:fill on="f" focussize="0,0"/>
              <v:stroke on="f" weight="0.5pt"/>
              <v:imagedata o:title=""/>
              <o:lock v:ext="edit" aspectratio="f"/>
              <v:textbox inset="0mm,0mm,0mm,0mm">
                <w:txbxContent>
                  <w:p>
                    <w:pPr>
                      <w:pStyle w:val="3"/>
                      <w:jc w:val="center"/>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8480" behindDoc="0" locked="0" layoutInCell="1" allowOverlap="1">
              <wp:simplePos x="0" y="0"/>
              <wp:positionH relativeFrom="margin">
                <wp:posOffset>0</wp:posOffset>
              </wp:positionH>
              <wp:positionV relativeFrom="paragraph">
                <wp:posOffset>-167005</wp:posOffset>
              </wp:positionV>
              <wp:extent cx="756285" cy="313055"/>
              <wp:effectExtent l="0" t="0" r="0" b="0"/>
              <wp:wrapNone/>
              <wp:docPr id="6" name="文本框 6"/>
              <wp:cNvGraphicFramePr/>
              <a:graphic xmlns:a="http://schemas.openxmlformats.org/drawingml/2006/main">
                <a:graphicData uri="http://schemas.microsoft.com/office/word/2010/wordprocessingShape">
                  <wps:wsp>
                    <wps:cNvSpPr txBox="true"/>
                    <wps:spPr>
                      <a:xfrm>
                        <a:off x="0" y="0"/>
                        <a:ext cx="756285" cy="31305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- 2 -</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square" lIns="0" tIns="0" rIns="0" bIns="0" numCol="1" spcCol="0" rtlCol="0" fromWordArt="false" anchor="t" anchorCtr="false" forceAA="false" upright="false" compatLnSpc="true">
                      <a:noAutofit/>
                    </wps:bodyPr>
                  </wps:wsp>
                </a:graphicData>
              </a:graphic>
            </wp:anchor>
          </w:drawing>
        </mc:Choice>
        <mc:Fallback>
          <w:pict>
            <v:shape id="_x0000_s1026" o:spid="_x0000_s1026" o:spt="202" type="#_x0000_t202" style="position:absolute;left:0pt;margin-left:0pt;margin-top:-13.15pt;height:24.65pt;width:59.55pt;mso-position-horizontal-relative:margin;z-index:251668480;mso-width-relative:page;mso-height-relative:page;" filled="f" stroked="f" coordsize="21600,21600" o:gfxdata="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FgAAAGRycy9Q&#10;SwECFAAUAAAACACHTuJAmKTIgdUAAAAHAQAADwAAAAAAAAABACAAAAA4AAAAZHJzL2Rvd25yZXYu&#10;eG1sUEsBAhQAFAAAAAgAh07iQCROIdghAgAAKQQAAA4AAAAAAAAAAQAgAAAAOgEAAGRycy9lMm9E&#10;b2MueG1sUEsFBgAAAAAGAAYAWQEAAM0FAAAAAA==&#10;">
              <v:fill on="f" focussize="0,0"/>
              <v:stroke on="f" weight="0.5pt"/>
              <v:imagedata o:title=""/>
              <o:lock v:ext="edit" aspectratio="f"/>
              <v:textbox inset="0mm,0mm,0mm,0mm">
                <w:txbxContent>
                  <w:p>
                    <w:pPr>
                      <w:pStyle w:val="3"/>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- 2 -</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A972B6"/>
    <w:rsid w:val="00DB5A21"/>
    <w:rsid w:val="01462A7A"/>
    <w:rsid w:val="01D22AB8"/>
    <w:rsid w:val="03105788"/>
    <w:rsid w:val="05020B4C"/>
    <w:rsid w:val="055668AC"/>
    <w:rsid w:val="05E073D4"/>
    <w:rsid w:val="06153E7F"/>
    <w:rsid w:val="062A088A"/>
    <w:rsid w:val="066C1034"/>
    <w:rsid w:val="06B8105D"/>
    <w:rsid w:val="07BC2B17"/>
    <w:rsid w:val="08220D49"/>
    <w:rsid w:val="08BF437C"/>
    <w:rsid w:val="0A4A636B"/>
    <w:rsid w:val="0B186A0A"/>
    <w:rsid w:val="0B1C0E29"/>
    <w:rsid w:val="0CEA3417"/>
    <w:rsid w:val="0D574159"/>
    <w:rsid w:val="0D61117B"/>
    <w:rsid w:val="11D57FA5"/>
    <w:rsid w:val="175C02CA"/>
    <w:rsid w:val="177249D0"/>
    <w:rsid w:val="198D2CF7"/>
    <w:rsid w:val="1AC8276F"/>
    <w:rsid w:val="1B1C3C8A"/>
    <w:rsid w:val="1B9A7056"/>
    <w:rsid w:val="1BB053E3"/>
    <w:rsid w:val="1D083DE0"/>
    <w:rsid w:val="1D2F59C2"/>
    <w:rsid w:val="1EA21068"/>
    <w:rsid w:val="203E7899"/>
    <w:rsid w:val="22292FE7"/>
    <w:rsid w:val="257D6283"/>
    <w:rsid w:val="25C724C2"/>
    <w:rsid w:val="26C416CB"/>
    <w:rsid w:val="28415BF9"/>
    <w:rsid w:val="287B386F"/>
    <w:rsid w:val="2D3734AC"/>
    <w:rsid w:val="2D5F41D3"/>
    <w:rsid w:val="2DBA0DEC"/>
    <w:rsid w:val="357F6DA7"/>
    <w:rsid w:val="35FF2671"/>
    <w:rsid w:val="372F1B6E"/>
    <w:rsid w:val="377D7FCC"/>
    <w:rsid w:val="386F3B20"/>
    <w:rsid w:val="39801028"/>
    <w:rsid w:val="3DED0409"/>
    <w:rsid w:val="3E3B5E66"/>
    <w:rsid w:val="3F5A64BD"/>
    <w:rsid w:val="3FFF0ED4"/>
    <w:rsid w:val="41ED3B52"/>
    <w:rsid w:val="449B2AAA"/>
    <w:rsid w:val="452B563D"/>
    <w:rsid w:val="45736088"/>
    <w:rsid w:val="47283F1E"/>
    <w:rsid w:val="48413AF8"/>
    <w:rsid w:val="49C82298"/>
    <w:rsid w:val="4C2066AE"/>
    <w:rsid w:val="4FEF1440"/>
    <w:rsid w:val="4FF134E8"/>
    <w:rsid w:val="515F2D8F"/>
    <w:rsid w:val="518D6AF6"/>
    <w:rsid w:val="51CE2194"/>
    <w:rsid w:val="52642E9A"/>
    <w:rsid w:val="527B5F1F"/>
    <w:rsid w:val="53AB199D"/>
    <w:rsid w:val="53FF621D"/>
    <w:rsid w:val="55F30A5F"/>
    <w:rsid w:val="5633791D"/>
    <w:rsid w:val="57AB7E80"/>
    <w:rsid w:val="58C6541A"/>
    <w:rsid w:val="5BD7E972"/>
    <w:rsid w:val="5D886D2F"/>
    <w:rsid w:val="5F7D29D1"/>
    <w:rsid w:val="5FE26E17"/>
    <w:rsid w:val="61E144F0"/>
    <w:rsid w:val="62C4319E"/>
    <w:rsid w:val="639B10D3"/>
    <w:rsid w:val="65D323C7"/>
    <w:rsid w:val="66F36D9B"/>
    <w:rsid w:val="671D5764"/>
    <w:rsid w:val="67282695"/>
    <w:rsid w:val="687546C9"/>
    <w:rsid w:val="688D3257"/>
    <w:rsid w:val="6AC71AD3"/>
    <w:rsid w:val="6DE42761"/>
    <w:rsid w:val="6E081997"/>
    <w:rsid w:val="6E0F631B"/>
    <w:rsid w:val="70043FBD"/>
    <w:rsid w:val="71762BC3"/>
    <w:rsid w:val="734F3BE2"/>
    <w:rsid w:val="735F2FAE"/>
    <w:rsid w:val="73706FF5"/>
    <w:rsid w:val="74705A3F"/>
    <w:rsid w:val="751151BB"/>
    <w:rsid w:val="764E775F"/>
    <w:rsid w:val="766443EF"/>
    <w:rsid w:val="77F6E6F6"/>
    <w:rsid w:val="787A6D00"/>
    <w:rsid w:val="790A11AD"/>
    <w:rsid w:val="7B4E0D29"/>
    <w:rsid w:val="7DB951FF"/>
    <w:rsid w:val="7EB64548"/>
    <w:rsid w:val="7EEF6C56"/>
    <w:rsid w:val="7FD7B2BE"/>
    <w:rsid w:val="9F6E093C"/>
    <w:rsid w:val="B71802CE"/>
    <w:rsid w:val="B7FA7091"/>
    <w:rsid w:val="BEFFADFC"/>
    <w:rsid w:val="CF576D0F"/>
    <w:rsid w:val="D9774071"/>
    <w:rsid w:val="EFBF740A"/>
    <w:rsid w:val="FBA524F6"/>
    <w:rsid w:val="FE7BCC7B"/>
    <w:rsid w:val="FFBB2C24"/>
    <w:rsid w:val="FFDF53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paragraph" w:customStyle="1" w:styleId="8">
    <w:name w:val="Default"/>
    <w:next w:val="1"/>
    <w:qFormat/>
    <w:uiPriority w:val="0"/>
    <w:pPr>
      <w:widowControl w:val="0"/>
      <w:autoSpaceDE w:val="0"/>
      <w:autoSpaceDN w:val="0"/>
      <w:adjustRightInd w:val="0"/>
    </w:pPr>
    <w:rPr>
      <w:rFonts w:ascii="隶书" w:hAnsi="Calibri" w:eastAsia="隶书" w:cs="隶书"/>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28</Pages>
  <Words>22446</Words>
  <Characters>23096</Characters>
  <Lines>0</Lines>
  <Paragraphs>0</Paragraphs>
  <TotalTime>13</TotalTime>
  <ScaleCrop>false</ScaleCrop>
  <LinksUpToDate>false</LinksUpToDate>
  <CharactersWithSpaces>24431</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2023-06-09T03:22:00Z</dcterms:created>
  <dc:creator>Administrator</dc:creator>
  <cp:lastModifiedBy>user</cp:lastModifiedBy>
  <cp:lastPrinted>2023-06-30T04:52:00Z</cp:lastPrinted>
  <dcterms:modified xsi:type="dcterms:W3CDTF">2023-07-01T18:47:47Z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ies>
</file>