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sz w:val="32"/>
          <w:szCs w:val="32"/>
        </w:rPr>
      </w:pPr>
      <w:bookmarkStart w:id="0" w:name="_GoBack"/>
      <w:r>
        <w:rPr>
          <w:rFonts w:hint="eastAsia" w:ascii="方正小标宋简体" w:hAnsi="方正小标宋简体" w:eastAsia="方正小标宋简体"/>
          <w:b w:val="0"/>
          <w:bCs w:val="0"/>
          <w:sz w:val="44"/>
          <w:szCs w:val="44"/>
        </w:rPr>
        <w:t>关于</w:t>
      </w:r>
      <w:r>
        <w:rPr>
          <w:rFonts w:hint="eastAsia" w:ascii="方正小标宋简体" w:hAnsi="方正小标宋简体" w:eastAsia="方正小标宋简体"/>
          <w:b w:val="0"/>
          <w:bCs w:val="0"/>
          <w:sz w:val="44"/>
          <w:szCs w:val="44"/>
          <w:lang w:eastAsia="zh-CN"/>
        </w:rPr>
        <w:t>拨付</w:t>
      </w:r>
      <w:r>
        <w:rPr>
          <w:rFonts w:hint="eastAsia" w:ascii="方正小标宋简体" w:hAnsi="方正小标宋简体" w:eastAsia="方正小标宋简体"/>
          <w:b w:val="0"/>
          <w:bCs w:val="0"/>
          <w:sz w:val="44"/>
          <w:szCs w:val="44"/>
        </w:rPr>
        <w:t>20</w:t>
      </w:r>
      <w:r>
        <w:rPr>
          <w:rFonts w:hint="eastAsia" w:ascii="方正小标宋简体" w:hAnsi="方正小标宋简体" w:eastAsia="方正小标宋简体"/>
          <w:b w:val="0"/>
          <w:bCs w:val="0"/>
          <w:sz w:val="44"/>
          <w:szCs w:val="44"/>
          <w:lang w:val="en-US" w:eastAsia="zh-CN"/>
        </w:rPr>
        <w:t>20</w:t>
      </w:r>
      <w:r>
        <w:rPr>
          <w:rFonts w:hint="eastAsia" w:ascii="方正小标宋简体" w:hAnsi="方正小标宋简体" w:eastAsia="方正小标宋简体"/>
          <w:b w:val="0"/>
          <w:bCs w:val="0"/>
          <w:sz w:val="44"/>
          <w:szCs w:val="44"/>
        </w:rPr>
        <w:t>年</w:t>
      </w:r>
      <w:r>
        <w:rPr>
          <w:rFonts w:hint="eastAsia" w:ascii="方正小标宋简体" w:hAnsi="方正小标宋简体" w:eastAsia="方正小标宋简体"/>
          <w:b w:val="0"/>
          <w:bCs w:val="0"/>
          <w:sz w:val="44"/>
          <w:szCs w:val="44"/>
          <w:lang w:eastAsia="zh-CN"/>
        </w:rPr>
        <w:t>中央财政第二批困难群众</w:t>
      </w:r>
      <w:r>
        <w:rPr>
          <w:rFonts w:hint="eastAsia" w:ascii="方正小标宋简体" w:hAnsi="方正小标宋简体" w:eastAsia="方正小标宋简体"/>
          <w:b w:val="0"/>
          <w:bCs w:val="0"/>
          <w:sz w:val="44"/>
          <w:szCs w:val="44"/>
        </w:rPr>
        <w:t>救助补助资金的通知</w:t>
      </w:r>
    </w:p>
    <w:bookmarkEnd w:id="0"/>
    <w:p>
      <w:pPr>
        <w:keepNext w:val="0"/>
        <w:keepLines w:val="0"/>
        <w:pageBreakBefore w:val="0"/>
        <w:widowControl w:val="0"/>
        <w:kinsoku/>
        <w:wordWrap/>
        <w:overflowPunct/>
        <w:topLinePunct w:val="0"/>
        <w:autoSpaceDE/>
        <w:autoSpaceDN/>
        <w:bidi w:val="0"/>
        <w:adjustRightInd/>
        <w:snapToGrid/>
        <w:spacing w:line="520" w:lineRule="exact"/>
        <w:ind w:firstLine="960" w:firstLineChars="300"/>
        <w:textAlignment w:val="auto"/>
        <w:outlineLvl w:val="9"/>
        <w:rPr>
          <w:rFonts w:hint="eastAsia" w:ascii="仿宋_GB2312" w:hAnsi="仿宋_GB2312" w:eastAsia="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仿宋_GB2312" w:hAnsi="仿宋_GB2312" w:eastAsia="仿宋_GB2312"/>
          <w:sz w:val="32"/>
          <w:szCs w:val="32"/>
        </w:rPr>
      </w:pPr>
      <w:r>
        <w:rPr>
          <w:rFonts w:hint="eastAsia" w:ascii="仿宋_GB2312" w:hAnsi="仿宋_GB2312" w:eastAsia="仿宋_GB2312"/>
          <w:sz w:val="32"/>
          <w:szCs w:val="32"/>
          <w:lang w:eastAsia="zh-CN"/>
        </w:rPr>
        <w:t>和田市民政局</w:t>
      </w:r>
      <w:r>
        <w:rPr>
          <w:rFonts w:hint="eastAsia" w:ascii="仿宋_GB2312" w:hAnsi="仿宋_GB2312" w:eastAsia="仿宋_GB2312"/>
          <w:sz w:val="32"/>
          <w:szCs w:val="32"/>
        </w:rPr>
        <w:t xml:space="preserve">： </w:t>
      </w:r>
    </w:p>
    <w:p>
      <w:pPr>
        <w:pStyle w:val="6"/>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仿宋_GB2312"/>
          <w:spacing w:val="4"/>
          <w:szCs w:val="32"/>
          <w:lang w:eastAsia="zh-CN"/>
        </w:rPr>
      </w:pPr>
      <w:r>
        <w:rPr>
          <w:rFonts w:hint="eastAsia" w:ascii="仿宋_GB2312" w:hAnsi="仿宋_GB2312" w:eastAsia="仿宋_GB2312"/>
          <w:sz w:val="32"/>
          <w:szCs w:val="32"/>
        </w:rPr>
        <w:t>根据</w:t>
      </w:r>
      <w:r>
        <w:rPr>
          <w:rFonts w:hint="eastAsia" w:ascii="仿宋_GB2312" w:hAnsi="仿宋_GB2312"/>
          <w:sz w:val="32"/>
          <w:szCs w:val="32"/>
          <w:lang w:eastAsia="zh-CN"/>
        </w:rPr>
        <w:t>和田地区财政局</w:t>
      </w:r>
      <w:r>
        <w:rPr>
          <w:rFonts w:hint="eastAsia" w:ascii="仿宋_GB2312" w:hAnsi="仿宋_GB2312" w:eastAsia="仿宋_GB2312"/>
          <w:sz w:val="32"/>
          <w:szCs w:val="32"/>
        </w:rPr>
        <w:t>《关于</w:t>
      </w:r>
      <w:r>
        <w:rPr>
          <w:rFonts w:hint="eastAsia" w:ascii="仿宋_GB2312" w:hAnsi="仿宋_GB2312"/>
          <w:sz w:val="32"/>
          <w:szCs w:val="32"/>
          <w:lang w:eastAsia="zh-CN"/>
        </w:rPr>
        <w:t>拨付</w:t>
      </w:r>
      <w:r>
        <w:rPr>
          <w:rFonts w:hint="eastAsia" w:ascii="仿宋_GB2312" w:hAnsi="仿宋_GB2312" w:eastAsia="仿宋_GB2312"/>
          <w:sz w:val="32"/>
          <w:szCs w:val="32"/>
        </w:rPr>
        <w:t>2020年</w:t>
      </w:r>
      <w:r>
        <w:rPr>
          <w:rFonts w:hint="eastAsia" w:ascii="仿宋_GB2312" w:hAnsi="仿宋_GB2312"/>
          <w:sz w:val="32"/>
          <w:szCs w:val="32"/>
          <w:lang w:eastAsia="zh-CN"/>
        </w:rPr>
        <w:t>中央财政第二批</w:t>
      </w:r>
      <w:r>
        <w:rPr>
          <w:rFonts w:hint="eastAsia" w:ascii="仿宋_GB2312" w:hAnsi="仿宋_GB2312" w:eastAsia="仿宋_GB2312"/>
          <w:sz w:val="32"/>
          <w:szCs w:val="32"/>
        </w:rPr>
        <w:t>困难群众救助补助资金的通知》（</w:t>
      </w:r>
      <w:r>
        <w:rPr>
          <w:rFonts w:hint="eastAsia" w:ascii="仿宋_GB2312" w:hAnsi="仿宋_GB2312"/>
          <w:sz w:val="32"/>
          <w:szCs w:val="32"/>
          <w:lang w:eastAsia="zh-CN"/>
        </w:rPr>
        <w:t>和地</w:t>
      </w:r>
      <w:r>
        <w:rPr>
          <w:rFonts w:hint="eastAsia" w:ascii="仿宋_GB2312" w:hAnsi="仿宋_GB2312" w:eastAsia="仿宋_GB2312"/>
          <w:sz w:val="32"/>
          <w:szCs w:val="32"/>
          <w:lang w:eastAsia="zh-CN"/>
        </w:rPr>
        <w:t>财社</w:t>
      </w:r>
      <w:r>
        <w:rPr>
          <w:rFonts w:hint="eastAsia" w:ascii="仿宋_GB2312" w:hAnsi="仿宋_GB2312" w:eastAsia="仿宋_GB2312"/>
          <w:sz w:val="32"/>
          <w:szCs w:val="32"/>
        </w:rPr>
        <w:t>〔20</w:t>
      </w:r>
      <w:r>
        <w:rPr>
          <w:rFonts w:hint="eastAsia" w:ascii="仿宋_GB2312" w:hAnsi="仿宋_GB2312"/>
          <w:sz w:val="32"/>
          <w:szCs w:val="32"/>
          <w:lang w:val="en-US" w:eastAsia="zh-CN"/>
        </w:rPr>
        <w:t>20</w:t>
      </w:r>
      <w:r>
        <w:rPr>
          <w:rFonts w:hint="eastAsia" w:ascii="仿宋_GB2312" w:hAnsi="仿宋_GB2312" w:eastAsia="仿宋_GB2312"/>
          <w:sz w:val="32"/>
          <w:szCs w:val="32"/>
        </w:rPr>
        <w:t>〕</w:t>
      </w:r>
      <w:r>
        <w:rPr>
          <w:rFonts w:hint="eastAsia" w:ascii="仿宋_GB2312" w:hAnsi="仿宋_GB2312"/>
          <w:sz w:val="32"/>
          <w:szCs w:val="32"/>
          <w:lang w:val="en-US" w:eastAsia="zh-CN"/>
        </w:rPr>
        <w:t>51</w:t>
      </w:r>
      <w:r>
        <w:rPr>
          <w:rFonts w:hint="eastAsia" w:ascii="仿宋_GB2312" w:hAnsi="仿宋_GB2312" w:eastAsia="仿宋_GB2312"/>
          <w:sz w:val="32"/>
          <w:szCs w:val="32"/>
        </w:rPr>
        <w:t>号），</w:t>
      </w:r>
      <w:r>
        <w:rPr>
          <w:rFonts w:hint="eastAsia" w:ascii="仿宋_GB2312"/>
          <w:spacing w:val="4"/>
          <w:szCs w:val="32"/>
        </w:rPr>
        <w:t>现拨付你</w:t>
      </w:r>
      <w:r>
        <w:rPr>
          <w:rFonts w:hint="eastAsia" w:ascii="仿宋_GB2312" w:hAnsi="仿宋_GB2312"/>
          <w:sz w:val="32"/>
          <w:szCs w:val="32"/>
          <w:lang w:eastAsia="zh-CN"/>
        </w:rPr>
        <w:t>单位</w:t>
      </w:r>
      <w:r>
        <w:rPr>
          <w:rFonts w:hint="eastAsia" w:ascii="仿宋_GB2312"/>
          <w:spacing w:val="4"/>
          <w:szCs w:val="32"/>
        </w:rPr>
        <w:t>2020年中央财政第二批困难群众救助补助资金（项目名称：困难群众救助补助资金，项目代码：Z175080010001,指标金额详见附件1），并将有关事宜通知如下：</w:t>
      </w:r>
    </w:p>
    <w:p>
      <w:pPr>
        <w:pStyle w:val="6"/>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仿宋_GB2312"/>
          <w:b w:val="0"/>
          <w:bCs w:val="0"/>
          <w:spacing w:val="4"/>
          <w:szCs w:val="32"/>
          <w:lang w:eastAsia="zh-CN"/>
        </w:rPr>
      </w:pPr>
      <w:r>
        <w:rPr>
          <w:rFonts w:hint="eastAsia" w:ascii="仿宋_GB2312"/>
          <w:spacing w:val="4"/>
          <w:szCs w:val="32"/>
          <w:lang w:eastAsia="zh-CN"/>
        </w:rPr>
        <w:t>一、</w:t>
      </w:r>
      <w:r>
        <w:rPr>
          <w:rFonts w:hint="eastAsia" w:ascii="仿宋_GB2312"/>
          <w:b w:val="0"/>
          <w:bCs w:val="0"/>
          <w:spacing w:val="4"/>
          <w:szCs w:val="32"/>
          <w:lang w:eastAsia="zh-CN"/>
        </w:rPr>
        <w:t>此次下达的中央财政补助资金，一是用于低保、特困人员救助供养、临时救助、流浪乞讨人员救助（含农村留守儿童、困境儿童、流浪乞讨儿童的应急处置、救助帮扶、监护支持、精神关爱等未成年人社会保护支出）、孤儿（含艾滋病病毒感染儿童、生活困难家庭中的和纳入特困人员救助供养范围的事实无人抚养儿童）基本生活支出；二是按照国家发改委等部门《关于进一步做好阶段性价格临时补贴工作的通知》（发改电〔2020〕876号）规定及附件1所列“价格临时补贴补助资金”金额，用于低保对象、特困人员、享受国家定期抚恤的优抚对象、孤儿、事实无人抚养儿童2020年3-6月价格临时补贴支出。</w:t>
      </w:r>
    </w:p>
    <w:p>
      <w:pPr>
        <w:pStyle w:val="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b w:val="0"/>
          <w:bCs w:val="0"/>
          <w:spacing w:val="4"/>
          <w:szCs w:val="32"/>
          <w:lang w:eastAsia="zh-CN"/>
        </w:rPr>
      </w:pPr>
      <w:r>
        <w:rPr>
          <w:rFonts w:hint="eastAsia" w:ascii="仿宋_GB2312"/>
          <w:b w:val="0"/>
          <w:bCs w:val="0"/>
          <w:spacing w:val="4"/>
          <w:szCs w:val="32"/>
          <w:lang w:eastAsia="zh-CN"/>
        </w:rPr>
        <w:t>二、该预算收入请列入2020年政府收支分类科目第1100248项“社会保障和就业共同财政事权转移支付收入”科目；支出列入2020年政府收支分类科目第</w:t>
      </w:r>
      <w:r>
        <w:rPr>
          <w:rFonts w:hint="eastAsia" w:ascii="仿宋_GB2312" w:hAnsi="仿宋"/>
          <w:sz w:val="32"/>
          <w:szCs w:val="32"/>
          <w:lang w:val="en-US" w:eastAsia="zh-CN"/>
        </w:rPr>
        <w:t>2089901</w:t>
      </w:r>
      <w:r>
        <w:rPr>
          <w:rFonts w:hint="eastAsia" w:ascii="仿宋_GB2312" w:hAnsi="仿宋" w:eastAsia="仿宋_GB2312"/>
          <w:sz w:val="32"/>
          <w:szCs w:val="32"/>
        </w:rPr>
        <w:t>项“其他社会保障和就业支出”科目</w:t>
      </w:r>
      <w:r>
        <w:rPr>
          <w:rFonts w:hint="eastAsia" w:ascii="仿宋_GB2312"/>
          <w:b w:val="0"/>
          <w:bCs w:val="0"/>
          <w:spacing w:val="4"/>
          <w:szCs w:val="32"/>
          <w:lang w:eastAsia="zh-CN"/>
        </w:rPr>
        <w:t>，你单位要按实际支出方向单独记账，分别核算。</w:t>
      </w:r>
    </w:p>
    <w:p>
      <w:pPr>
        <w:pStyle w:val="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b w:val="0"/>
          <w:bCs w:val="0"/>
          <w:spacing w:val="4"/>
          <w:szCs w:val="32"/>
          <w:lang w:eastAsia="zh-CN"/>
        </w:rPr>
      </w:pPr>
    </w:p>
    <w:p>
      <w:pPr>
        <w:pStyle w:val="6"/>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仿宋_GB2312"/>
          <w:spacing w:val="-20"/>
          <w:szCs w:val="32"/>
        </w:rPr>
      </w:pPr>
      <w:r>
        <w:rPr>
          <w:rFonts w:hint="eastAsia" w:ascii="仿宋_GB2312"/>
          <w:szCs w:val="32"/>
        </w:rPr>
        <w:t>附件：1</w:t>
      </w:r>
      <w:r>
        <w:rPr>
          <w:rFonts w:hint="eastAsia" w:ascii="仿宋_GB2312" w:hAnsi="仿宋" w:eastAsia="仿宋_GB2312"/>
          <w:szCs w:val="32"/>
        </w:rPr>
        <w:t>．</w:t>
      </w:r>
      <w:r>
        <w:rPr>
          <w:rFonts w:hint="eastAsia" w:ascii="仿宋_GB2312"/>
          <w:spacing w:val="0"/>
          <w:szCs w:val="32"/>
        </w:rPr>
        <w:t>2020年</w:t>
      </w:r>
      <w:r>
        <w:rPr>
          <w:rFonts w:hint="eastAsia" w:ascii="仿宋_GB2312"/>
          <w:spacing w:val="0"/>
          <w:szCs w:val="32"/>
          <w:lang w:eastAsia="zh-CN"/>
        </w:rPr>
        <w:t>第二批</w:t>
      </w:r>
      <w:r>
        <w:rPr>
          <w:rFonts w:hint="eastAsia" w:ascii="仿宋_GB2312"/>
          <w:spacing w:val="0"/>
          <w:szCs w:val="32"/>
        </w:rPr>
        <w:t>困难群众救助补助资金分配表</w:t>
      </w:r>
    </w:p>
    <w:p>
      <w:pPr>
        <w:pStyle w:val="6"/>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仿宋_GB2312" w:eastAsia="仿宋_GB2312"/>
          <w:sz w:val="32"/>
          <w:szCs w:val="32"/>
        </w:rPr>
      </w:pPr>
      <w:r>
        <w:rPr>
          <w:rFonts w:hint="eastAsia" w:ascii="仿宋_GB2312"/>
          <w:szCs w:val="32"/>
        </w:rPr>
        <w:t xml:space="preserve">      </w:t>
      </w:r>
    </w:p>
    <w:p>
      <w:pPr>
        <w:ind w:right="1120" w:firstLine="4000" w:firstLineChars="1250"/>
        <w:jc w:val="both"/>
        <w:rPr>
          <w:rFonts w:hint="eastAsia" w:ascii="宋体" w:hAnsi="宋体" w:eastAsia="宋体" w:cs="宋体"/>
          <w:sz w:val="32"/>
          <w:szCs w:val="32"/>
          <w:lang w:val="en-US" w:eastAsia="zh-CN"/>
        </w:rPr>
      </w:pPr>
    </w:p>
    <w:p>
      <w:pPr>
        <w:ind w:right="1120" w:firstLine="4000" w:firstLineChars="125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2020年</w:t>
      </w:r>
      <w:r>
        <w:rPr>
          <w:rFonts w:hint="eastAsia" w:ascii="宋体" w:hAnsi="宋体" w:cs="宋体"/>
          <w:sz w:val="32"/>
          <w:szCs w:val="32"/>
          <w:lang w:val="en-US" w:eastAsia="zh-CN"/>
        </w:rPr>
        <w:t>7</w:t>
      </w:r>
      <w:r>
        <w:rPr>
          <w:rFonts w:hint="eastAsia" w:ascii="宋体" w:hAnsi="宋体" w:eastAsia="宋体" w:cs="宋体"/>
          <w:sz w:val="32"/>
          <w:szCs w:val="32"/>
          <w:lang w:val="en-US" w:eastAsia="zh-CN"/>
        </w:rPr>
        <w:t>月</w:t>
      </w:r>
      <w:r>
        <w:rPr>
          <w:rFonts w:hint="eastAsia" w:ascii="宋体" w:hAnsi="宋体" w:cs="宋体"/>
          <w:sz w:val="32"/>
          <w:szCs w:val="32"/>
          <w:lang w:val="en-US" w:eastAsia="zh-CN"/>
        </w:rPr>
        <w:t>10</w:t>
      </w:r>
      <w:r>
        <w:rPr>
          <w:rFonts w:hint="eastAsia" w:ascii="宋体" w:hAnsi="宋体" w:eastAsia="宋体" w:cs="宋体"/>
          <w:sz w:val="32"/>
          <w:szCs w:val="32"/>
          <w:lang w:val="en-US" w:eastAsia="zh-CN"/>
        </w:rPr>
        <w:t>日</w:t>
      </w:r>
    </w:p>
    <w:p>
      <w:pPr>
        <w:pStyle w:val="3"/>
        <w:tabs>
          <w:tab w:val="left" w:pos="315"/>
        </w:tabs>
        <w:ind w:firstLine="0"/>
        <w:jc w:val="center"/>
        <w:rPr>
          <w:rFonts w:hint="eastAsia" w:ascii="仿宋_GB2312" w:eastAsia="仿宋_GB2312" w:cs="Times New Roman"/>
          <w:w w:val="98"/>
          <w:sz w:val="32"/>
          <w:szCs w:val="32"/>
          <w:lang w:val="en-US" w:eastAsia="zh-CN"/>
        </w:rPr>
      </w:pPr>
      <w:r>
        <w:rPr>
          <w:rFonts w:hint="eastAsia" w:ascii="仿宋_GB2312" w:eastAsia="仿宋_GB2312" w:cs="Times New Roman"/>
          <w:w w:val="98"/>
          <w:sz w:val="32"/>
          <w:szCs w:val="32"/>
          <w:lang w:val="en-US" w:eastAsia="zh-CN"/>
        </w:rPr>
        <w:t xml:space="preserve">           和田市财政局</w:t>
      </w: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pPr>
    </w:p>
    <w:p>
      <w:pPr>
        <w:pStyle w:val="3"/>
        <w:tabs>
          <w:tab w:val="left" w:pos="315"/>
        </w:tabs>
        <w:ind w:firstLine="0"/>
        <w:jc w:val="center"/>
        <w:rPr>
          <w:rFonts w:hint="eastAsia" w:ascii="仿宋_GB2312" w:eastAsia="仿宋_GB2312" w:cs="Times New Roman"/>
          <w:w w:val="98"/>
          <w:sz w:val="32"/>
          <w:szCs w:val="32"/>
          <w:lang w:val="en-US" w:eastAsia="zh-CN"/>
        </w:rPr>
        <w:sectPr>
          <w:pgSz w:w="11906" w:h="16838"/>
          <w:pgMar w:top="1440" w:right="1800" w:bottom="1440" w:left="1800" w:header="851" w:footer="992" w:gutter="0"/>
          <w:cols w:space="425" w:num="1"/>
          <w:docGrid w:type="lines" w:linePitch="312" w:charSpace="0"/>
        </w:sectPr>
      </w:pPr>
    </w:p>
    <w:p>
      <w:pPr>
        <w:pStyle w:val="3"/>
        <w:tabs>
          <w:tab w:val="left" w:pos="315"/>
        </w:tabs>
        <w:ind w:firstLine="0"/>
        <w:jc w:val="center"/>
        <w:rPr>
          <w:rFonts w:hint="eastAsia" w:ascii="仿宋_GB2312" w:eastAsia="仿宋_GB2312" w:cs="Times New Roman"/>
          <w:w w:val="98"/>
          <w:sz w:val="32"/>
          <w:szCs w:val="32"/>
          <w:lang w:val="en-US" w:eastAsia="zh-CN"/>
        </w:rPr>
      </w:pPr>
    </w:p>
    <w:tbl>
      <w:tblPr>
        <w:tblW w:w="11901" w:type="dxa"/>
        <w:jc w:val="center"/>
        <w:tblInd w:w="1044" w:type="dxa"/>
        <w:shd w:val="clear"/>
        <w:tblLayout w:type="fixed"/>
        <w:tblCellMar>
          <w:top w:w="0" w:type="dxa"/>
          <w:left w:w="0" w:type="dxa"/>
          <w:bottom w:w="0" w:type="dxa"/>
          <w:right w:w="0" w:type="dxa"/>
        </w:tblCellMar>
      </w:tblPr>
      <w:tblGrid>
        <w:gridCol w:w="1779"/>
        <w:gridCol w:w="1665"/>
        <w:gridCol w:w="2021"/>
        <w:gridCol w:w="2070"/>
        <w:gridCol w:w="1989"/>
        <w:gridCol w:w="2377"/>
      </w:tblGrid>
      <w:tr>
        <w:tblPrEx>
          <w:shd w:val="clear"/>
          <w:tblLayout w:type="fixed"/>
          <w:tblCellMar>
            <w:top w:w="0" w:type="dxa"/>
            <w:left w:w="0" w:type="dxa"/>
            <w:bottom w:w="0" w:type="dxa"/>
            <w:right w:w="0" w:type="dxa"/>
          </w:tblCellMar>
        </w:tblPrEx>
        <w:trPr>
          <w:trHeight w:val="428" w:hRule="atLeast"/>
          <w:jc w:val="center"/>
        </w:trPr>
        <w:tc>
          <w:tcPr>
            <w:tcW w:w="1779" w:type="dxa"/>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附件1：</w:t>
            </w:r>
          </w:p>
        </w:tc>
        <w:tc>
          <w:tcPr>
            <w:tcW w:w="1665" w:type="dxa"/>
            <w:tcBorders>
              <w:top w:val="nil"/>
              <w:left w:val="nil"/>
              <w:bottom w:val="nil"/>
              <w:right w:val="nil"/>
            </w:tcBorders>
            <w:shd w:val="clear"/>
            <w:tcMar>
              <w:top w:w="15" w:type="dxa"/>
              <w:left w:w="15" w:type="dxa"/>
              <w:right w:w="15" w:type="dxa"/>
            </w:tcMar>
            <w:vAlign w:val="bottom"/>
          </w:tcPr>
          <w:p>
            <w:pPr>
              <w:jc w:val="center"/>
              <w:rPr>
                <w:rFonts w:hint="eastAsia" w:ascii="Tahoma" w:hAnsi="Tahoma" w:eastAsia="Tahoma" w:cs="Tahoma"/>
                <w:i w:val="0"/>
                <w:color w:val="000000"/>
                <w:sz w:val="22"/>
                <w:szCs w:val="22"/>
                <w:u w:val="none"/>
              </w:rPr>
            </w:pPr>
          </w:p>
        </w:tc>
        <w:tc>
          <w:tcPr>
            <w:tcW w:w="2021" w:type="dxa"/>
            <w:tcBorders>
              <w:top w:val="nil"/>
              <w:left w:val="nil"/>
              <w:bottom w:val="nil"/>
              <w:right w:val="nil"/>
            </w:tcBorders>
            <w:shd w:val="clear"/>
            <w:tcMar>
              <w:top w:w="15" w:type="dxa"/>
              <w:left w:w="15" w:type="dxa"/>
              <w:right w:w="15" w:type="dxa"/>
            </w:tcMar>
            <w:vAlign w:val="bottom"/>
          </w:tcPr>
          <w:p>
            <w:pPr>
              <w:jc w:val="center"/>
              <w:rPr>
                <w:rFonts w:hint="default" w:ascii="Tahoma" w:hAnsi="Tahoma" w:eastAsia="Tahoma" w:cs="Tahoma"/>
                <w:i w:val="0"/>
                <w:color w:val="000000"/>
                <w:sz w:val="22"/>
                <w:szCs w:val="22"/>
                <w:u w:val="none"/>
              </w:rPr>
            </w:pPr>
          </w:p>
        </w:tc>
        <w:tc>
          <w:tcPr>
            <w:tcW w:w="2070" w:type="dxa"/>
            <w:tcBorders>
              <w:top w:val="nil"/>
              <w:left w:val="nil"/>
              <w:bottom w:val="nil"/>
              <w:right w:val="nil"/>
            </w:tcBorders>
            <w:shd w:val="clear"/>
            <w:tcMar>
              <w:top w:w="15" w:type="dxa"/>
              <w:left w:w="15" w:type="dxa"/>
              <w:right w:w="15" w:type="dxa"/>
            </w:tcMar>
            <w:vAlign w:val="bottom"/>
          </w:tcPr>
          <w:p>
            <w:pPr>
              <w:jc w:val="center"/>
              <w:rPr>
                <w:rFonts w:hint="default" w:ascii="Tahoma" w:hAnsi="Tahoma" w:eastAsia="Tahoma" w:cs="Tahoma"/>
                <w:i w:val="0"/>
                <w:color w:val="000000"/>
                <w:sz w:val="22"/>
                <w:szCs w:val="22"/>
                <w:u w:val="none"/>
              </w:rPr>
            </w:pPr>
          </w:p>
        </w:tc>
        <w:tc>
          <w:tcPr>
            <w:tcW w:w="1989" w:type="dxa"/>
            <w:tcBorders>
              <w:top w:val="nil"/>
              <w:left w:val="nil"/>
              <w:bottom w:val="nil"/>
              <w:right w:val="nil"/>
            </w:tcBorders>
            <w:shd w:val="clear"/>
            <w:tcMar>
              <w:top w:w="15" w:type="dxa"/>
              <w:left w:w="15" w:type="dxa"/>
              <w:right w:w="15" w:type="dxa"/>
            </w:tcMar>
            <w:vAlign w:val="bottom"/>
          </w:tcPr>
          <w:p>
            <w:pPr>
              <w:rPr>
                <w:rFonts w:hint="default" w:ascii="Tahoma" w:hAnsi="Tahoma" w:eastAsia="Tahoma" w:cs="Tahoma"/>
                <w:i w:val="0"/>
                <w:color w:val="000000"/>
                <w:sz w:val="22"/>
                <w:szCs w:val="22"/>
                <w:u w:val="none"/>
              </w:rPr>
            </w:pPr>
          </w:p>
        </w:tc>
        <w:tc>
          <w:tcPr>
            <w:tcW w:w="2377" w:type="dxa"/>
            <w:tcBorders>
              <w:top w:val="nil"/>
              <w:left w:val="nil"/>
              <w:bottom w:val="nil"/>
              <w:right w:val="nil"/>
            </w:tcBorders>
            <w:shd w:val="clear"/>
            <w:tcMar>
              <w:top w:w="15" w:type="dxa"/>
              <w:left w:w="15" w:type="dxa"/>
              <w:right w:w="15" w:type="dxa"/>
            </w:tcMar>
            <w:vAlign w:val="bottom"/>
          </w:tcPr>
          <w:p>
            <w:pPr>
              <w:rPr>
                <w:rFonts w:hint="default" w:ascii="Tahoma" w:hAnsi="Tahoma" w:eastAsia="Tahoma" w:cs="Tahoma"/>
                <w:i w:val="0"/>
                <w:color w:val="000000"/>
                <w:sz w:val="22"/>
                <w:szCs w:val="22"/>
                <w:u w:val="none"/>
              </w:rPr>
            </w:pPr>
          </w:p>
        </w:tc>
      </w:tr>
      <w:tr>
        <w:tblPrEx>
          <w:tblLayout w:type="fixed"/>
          <w:tblCellMar>
            <w:top w:w="0" w:type="dxa"/>
            <w:left w:w="0" w:type="dxa"/>
            <w:bottom w:w="0" w:type="dxa"/>
            <w:right w:w="0" w:type="dxa"/>
          </w:tblCellMar>
        </w:tblPrEx>
        <w:trPr>
          <w:trHeight w:val="679" w:hRule="atLeast"/>
          <w:jc w:val="center"/>
        </w:trPr>
        <w:tc>
          <w:tcPr>
            <w:tcW w:w="11901" w:type="dxa"/>
            <w:gridSpan w:val="6"/>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bdr w:val="none" w:color="auto" w:sz="0" w:space="0"/>
                <w:lang w:val="en-US" w:eastAsia="zh-CN" w:bidi="ar"/>
              </w:rPr>
              <w:t>2020年困难群众救助补助资金分配表</w:t>
            </w:r>
          </w:p>
        </w:tc>
      </w:tr>
      <w:tr>
        <w:tblPrEx>
          <w:tblLayout w:type="fixed"/>
          <w:tblCellMar>
            <w:top w:w="0" w:type="dxa"/>
            <w:left w:w="0" w:type="dxa"/>
            <w:bottom w:w="0" w:type="dxa"/>
            <w:right w:w="0" w:type="dxa"/>
          </w:tblCellMar>
        </w:tblPrEx>
        <w:trPr>
          <w:trHeight w:val="629" w:hRule="atLeast"/>
          <w:jc w:val="center"/>
        </w:trPr>
        <w:tc>
          <w:tcPr>
            <w:tcW w:w="1779" w:type="dxa"/>
            <w:tcBorders>
              <w:top w:val="nil"/>
              <w:left w:val="nil"/>
              <w:bottom w:val="nil"/>
              <w:right w:val="nil"/>
            </w:tcBorders>
            <w:shd w:val="clear"/>
            <w:tcMar>
              <w:top w:w="15" w:type="dxa"/>
              <w:left w:w="15" w:type="dxa"/>
              <w:right w:w="15" w:type="dxa"/>
            </w:tcMar>
            <w:vAlign w:val="bottom"/>
          </w:tcPr>
          <w:p>
            <w:pPr>
              <w:jc w:val="center"/>
              <w:rPr>
                <w:rFonts w:hint="eastAsia" w:ascii="宋体" w:hAnsi="宋体" w:eastAsia="宋体" w:cs="宋体"/>
                <w:i w:val="0"/>
                <w:color w:val="000000"/>
                <w:sz w:val="36"/>
                <w:szCs w:val="36"/>
                <w:u w:val="none"/>
              </w:rPr>
            </w:pPr>
          </w:p>
        </w:tc>
        <w:tc>
          <w:tcPr>
            <w:tcW w:w="5756" w:type="dxa"/>
            <w:gridSpan w:val="3"/>
            <w:tcBorders>
              <w:top w:val="nil"/>
              <w:left w:val="nil"/>
              <w:bottom w:val="nil"/>
              <w:right w:val="nil"/>
            </w:tcBorders>
            <w:shd w:val="clear"/>
            <w:tcMar>
              <w:top w:w="15" w:type="dxa"/>
              <w:left w:w="15" w:type="dxa"/>
              <w:right w:w="15" w:type="dxa"/>
            </w:tcMar>
            <w:vAlign w:val="center"/>
          </w:tcPr>
          <w:p>
            <w:pPr>
              <w:jc w:val="right"/>
              <w:rPr>
                <w:rFonts w:hint="eastAsia" w:ascii="宋体" w:hAnsi="宋体" w:eastAsia="宋体" w:cs="宋体"/>
                <w:b/>
                <w:i w:val="0"/>
                <w:color w:val="000000"/>
                <w:sz w:val="22"/>
                <w:szCs w:val="22"/>
                <w:u w:val="none"/>
              </w:rPr>
            </w:pPr>
          </w:p>
        </w:tc>
        <w:tc>
          <w:tcPr>
            <w:tcW w:w="4366" w:type="dxa"/>
            <w:gridSpan w:val="2"/>
            <w:tcBorders>
              <w:top w:val="nil"/>
              <w:left w:val="nil"/>
              <w:bottom w:val="single" w:color="000000" w:sz="4" w:space="0"/>
              <w:right w:val="nil"/>
            </w:tcBorders>
            <w:shd w:val="clear"/>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单位：万元</w:t>
            </w:r>
          </w:p>
        </w:tc>
      </w:tr>
      <w:tr>
        <w:tblPrEx>
          <w:tblLayout w:type="fixed"/>
          <w:tblCellMar>
            <w:top w:w="0" w:type="dxa"/>
            <w:left w:w="0" w:type="dxa"/>
            <w:bottom w:w="0" w:type="dxa"/>
            <w:right w:w="0" w:type="dxa"/>
          </w:tblCellMar>
        </w:tblPrEx>
        <w:trPr>
          <w:trHeight w:val="556" w:hRule="atLeast"/>
          <w:jc w:val="center"/>
        </w:trPr>
        <w:tc>
          <w:tcPr>
            <w:tcW w:w="177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县（市）</w:t>
            </w:r>
          </w:p>
        </w:tc>
        <w:tc>
          <w:tcPr>
            <w:tcW w:w="166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合 计</w:t>
            </w:r>
          </w:p>
        </w:tc>
        <w:tc>
          <w:tcPr>
            <w:tcW w:w="409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其中：</w:t>
            </w:r>
          </w:p>
        </w:tc>
        <w:tc>
          <w:tcPr>
            <w:tcW w:w="198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其中：中央财政单独增加安排的22个深度贫困县困难群众救助补助资金</w:t>
            </w:r>
          </w:p>
        </w:tc>
        <w:tc>
          <w:tcPr>
            <w:tcW w:w="237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其中：中央财政单独安排的价格临时补贴补助资金</w:t>
            </w:r>
          </w:p>
        </w:tc>
      </w:tr>
      <w:tr>
        <w:tblPrEx>
          <w:tblLayout w:type="fixed"/>
          <w:tblCellMar>
            <w:top w:w="0" w:type="dxa"/>
            <w:left w:w="0" w:type="dxa"/>
            <w:bottom w:w="0" w:type="dxa"/>
            <w:right w:w="0" w:type="dxa"/>
          </w:tblCellMar>
        </w:tblPrEx>
        <w:trPr>
          <w:trHeight w:val="1618" w:hRule="atLeast"/>
          <w:jc w:val="center"/>
        </w:trPr>
        <w:tc>
          <w:tcPr>
            <w:tcW w:w="17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02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已下达（中央财政提前下达补助资金和自治区财政补助资金）</w:t>
            </w:r>
          </w:p>
        </w:tc>
        <w:tc>
          <w:tcPr>
            <w:tcW w:w="20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本次下达中央   财政第二批补    助资金</w:t>
            </w:r>
          </w:p>
        </w:tc>
        <w:tc>
          <w:tcPr>
            <w:tcW w:w="198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37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566" w:hRule="atLeast"/>
          <w:jc w:val="center"/>
        </w:trPr>
        <w:tc>
          <w:tcPr>
            <w:tcW w:w="177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和田市</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 xml:space="preserve">29489 </w:t>
            </w:r>
          </w:p>
        </w:tc>
        <w:tc>
          <w:tcPr>
            <w:tcW w:w="202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 xml:space="preserve">17749 </w:t>
            </w:r>
          </w:p>
        </w:tc>
        <w:tc>
          <w:tcPr>
            <w:tcW w:w="2070"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 xml:space="preserve">11740 </w:t>
            </w:r>
          </w:p>
        </w:tc>
        <w:tc>
          <w:tcPr>
            <w:tcW w:w="1989"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 xml:space="preserve">3283.0 </w:t>
            </w:r>
          </w:p>
        </w:tc>
        <w:tc>
          <w:tcPr>
            <w:tcW w:w="23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233</w:t>
            </w:r>
          </w:p>
        </w:tc>
      </w:tr>
    </w:tbl>
    <w:p>
      <w:pPr>
        <w:pStyle w:val="3"/>
        <w:tabs>
          <w:tab w:val="left" w:pos="315"/>
        </w:tabs>
        <w:ind w:firstLine="0"/>
        <w:jc w:val="center"/>
        <w:rPr>
          <w:rFonts w:hint="eastAsia" w:ascii="仿宋_GB2312" w:eastAsia="仿宋_GB2312" w:cs="Times New Roman"/>
          <w:w w:val="98"/>
          <w:sz w:val="32"/>
          <w:szCs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6033E"/>
    <w:rsid w:val="0657125D"/>
    <w:rsid w:val="0EE861B9"/>
    <w:rsid w:val="133B3554"/>
    <w:rsid w:val="13C70972"/>
    <w:rsid w:val="1B2667CE"/>
    <w:rsid w:val="1C3C7D7F"/>
    <w:rsid w:val="1C9C6787"/>
    <w:rsid w:val="23071C64"/>
    <w:rsid w:val="28660462"/>
    <w:rsid w:val="2932593E"/>
    <w:rsid w:val="2A760627"/>
    <w:rsid w:val="2C6B5F25"/>
    <w:rsid w:val="30956672"/>
    <w:rsid w:val="323C7772"/>
    <w:rsid w:val="32EF2D78"/>
    <w:rsid w:val="34DC5D6B"/>
    <w:rsid w:val="43A16DC2"/>
    <w:rsid w:val="448B5A54"/>
    <w:rsid w:val="4B964921"/>
    <w:rsid w:val="552E2772"/>
    <w:rsid w:val="573246C2"/>
    <w:rsid w:val="58085E32"/>
    <w:rsid w:val="5A6C5E88"/>
    <w:rsid w:val="5EA00C3A"/>
    <w:rsid w:val="5ECA3D36"/>
    <w:rsid w:val="5F45786E"/>
    <w:rsid w:val="6D4B5634"/>
    <w:rsid w:val="6F875B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qFormat/>
    <w:uiPriority w:val="0"/>
    <w:pPr>
      <w:jc w:val="center"/>
    </w:pPr>
    <w:rPr>
      <w:sz w:val="44"/>
    </w:rPr>
  </w:style>
  <w:style w:type="paragraph" w:styleId="3">
    <w:name w:val="Body Text Indent"/>
    <w:basedOn w:val="1"/>
    <w:unhideWhenUsed/>
    <w:qFormat/>
    <w:uiPriority w:val="99"/>
    <w:pPr>
      <w:ind w:firstLine="630"/>
    </w:pPr>
    <w:rPr>
      <w:rFonts w:ascii="宋体" w:cs="宋体"/>
      <w:kern w:val="2"/>
      <w:sz w:val="28"/>
      <w:szCs w:val="28"/>
    </w:rPr>
  </w:style>
  <w:style w:type="paragraph" w:styleId="6">
    <w:name w:val="No Spacing"/>
    <w:qFormat/>
    <w:uiPriority w:val="99"/>
    <w:pPr>
      <w:widowControl w:val="0"/>
      <w:ind w:firstLine="200" w:firstLineChars="200"/>
      <w:jc w:val="both"/>
    </w:pPr>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Office_10.8.2.7058_F1E327BC-269C-435d-A152-05C5408002CA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2020-07-13T08:31:34Z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2052-10.8.2.7058</vt:lpwstr>
  </property>
</Properties>
</file>